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269B824" wp14:paraId="31EF3759" wp14:textId="0161A065">
      <w:pPr>
        <w:pStyle w:val="Normal"/>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44A7E90A" wp14:textId="1687924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504FB74" wp14:textId="6DA02183">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0B193F0" wp14:textId="67AB650A">
      <w:pPr>
        <w:pBdr>
          <w:top w:val="single" w:color="FF000000" w:sz="4" w:space="4"/>
          <w:left w:val="single" w:color="FF000000" w:sz="4" w:space="4"/>
          <w:bottom w:val="single" w:color="FF000000" w:sz="4" w:space="4"/>
          <w:right w:val="single" w:color="FF000000" w:sz="4" w:space="4"/>
        </w:pBd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7269B824" w:rsidR="357CC7CD">
        <w:rPr>
          <w:rFonts w:ascii="Calibri" w:hAnsi="Calibri" w:eastAsia="Calibri" w:cs="Calibri"/>
          <w:b w:val="0"/>
          <w:bCs w:val="0"/>
          <w:i w:val="0"/>
          <w:iCs w:val="0"/>
          <w:caps w:val="0"/>
          <w:smallCaps w:val="0"/>
          <w:noProof w:val="0"/>
          <w:color w:val="000000" w:themeColor="text1" w:themeTint="FF" w:themeShade="FF"/>
          <w:sz w:val="40"/>
          <w:szCs w:val="40"/>
          <w:lang w:val="en-GB"/>
        </w:rPr>
        <w:t>S</w:t>
      </w:r>
      <w:r w:rsidRPr="7269B824" w:rsidR="14177AA9">
        <w:rPr>
          <w:rFonts w:ascii="Calibri" w:hAnsi="Calibri" w:eastAsia="Calibri" w:cs="Calibri"/>
          <w:b w:val="0"/>
          <w:bCs w:val="0"/>
          <w:i w:val="0"/>
          <w:iCs w:val="0"/>
          <w:caps w:val="0"/>
          <w:smallCaps w:val="0"/>
          <w:noProof w:val="0"/>
          <w:color w:val="000000" w:themeColor="text1" w:themeTint="FF" w:themeShade="FF"/>
          <w:sz w:val="40"/>
          <w:szCs w:val="40"/>
          <w:lang w:val="en-GB"/>
        </w:rPr>
        <w:t>tudent</w:t>
      </w:r>
      <w:r w:rsidRPr="7269B824" w:rsidR="357CC7CD">
        <w:rPr>
          <w:rFonts w:ascii="Calibri" w:hAnsi="Calibri" w:eastAsia="Calibri" w:cs="Calibri"/>
          <w:b w:val="0"/>
          <w:bCs w:val="0"/>
          <w:i w:val="0"/>
          <w:iCs w:val="0"/>
          <w:caps w:val="0"/>
          <w:smallCaps w:val="0"/>
          <w:noProof w:val="0"/>
          <w:color w:val="000000" w:themeColor="text1" w:themeTint="FF" w:themeShade="FF"/>
          <w:sz w:val="40"/>
          <w:szCs w:val="40"/>
          <w:lang w:val="en-GB"/>
        </w:rPr>
        <w:t>-Angy Carolan.</w:t>
      </w:r>
    </w:p>
    <w:p xmlns:wp14="http://schemas.microsoft.com/office/word/2010/wordml" w:rsidP="7269B824" wp14:paraId="7F797AEA" wp14:textId="04B3675A">
      <w:pPr>
        <w:pBdr>
          <w:top w:val="single" w:color="FF000000" w:sz="4" w:space="4"/>
          <w:left w:val="single" w:color="FF000000" w:sz="4" w:space="4"/>
          <w:bottom w:val="single" w:color="FF000000" w:sz="4" w:space="4"/>
          <w:right w:val="single" w:color="FF000000" w:sz="4" w:space="4"/>
        </w:pBd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7269B824" w:rsidR="357CC7CD">
        <w:rPr>
          <w:rFonts w:ascii="Calibri" w:hAnsi="Calibri" w:eastAsia="Calibri" w:cs="Calibri"/>
          <w:b w:val="0"/>
          <w:bCs w:val="0"/>
          <w:i w:val="0"/>
          <w:iCs w:val="0"/>
          <w:caps w:val="0"/>
          <w:smallCaps w:val="0"/>
          <w:noProof w:val="0"/>
          <w:color w:val="000000" w:themeColor="text1" w:themeTint="FF" w:themeShade="FF"/>
          <w:sz w:val="40"/>
          <w:szCs w:val="40"/>
          <w:lang w:val="en-GB"/>
        </w:rPr>
        <w:t>S</w:t>
      </w:r>
      <w:r w:rsidRPr="7269B824" w:rsidR="5861543D">
        <w:rPr>
          <w:rFonts w:ascii="Calibri" w:hAnsi="Calibri" w:eastAsia="Calibri" w:cs="Calibri"/>
          <w:b w:val="0"/>
          <w:bCs w:val="0"/>
          <w:i w:val="0"/>
          <w:iCs w:val="0"/>
          <w:caps w:val="0"/>
          <w:smallCaps w:val="0"/>
          <w:noProof w:val="0"/>
          <w:color w:val="000000" w:themeColor="text1" w:themeTint="FF" w:themeShade="FF"/>
          <w:sz w:val="40"/>
          <w:szCs w:val="40"/>
          <w:lang w:val="en-GB"/>
        </w:rPr>
        <w:t>tudent I.D</w:t>
      </w:r>
      <w:r w:rsidRPr="7269B824" w:rsidR="357CC7CD">
        <w:rPr>
          <w:rFonts w:ascii="Calibri" w:hAnsi="Calibri" w:eastAsia="Calibri" w:cs="Calibri"/>
          <w:b w:val="0"/>
          <w:bCs w:val="0"/>
          <w:i w:val="0"/>
          <w:iCs w:val="0"/>
          <w:caps w:val="0"/>
          <w:smallCaps w:val="0"/>
          <w:noProof w:val="0"/>
          <w:color w:val="000000" w:themeColor="text1" w:themeTint="FF" w:themeShade="FF"/>
          <w:sz w:val="40"/>
          <w:szCs w:val="40"/>
          <w:lang w:val="en-GB"/>
        </w:rPr>
        <w:t>- 2509406.</w:t>
      </w:r>
    </w:p>
    <w:p xmlns:wp14="http://schemas.microsoft.com/office/word/2010/wordml" w:rsidP="7269B824" wp14:paraId="10DC7309" wp14:textId="7EFA0A00">
      <w:pPr>
        <w:pBdr>
          <w:top w:val="single" w:color="FF000000" w:sz="4" w:space="4"/>
          <w:left w:val="single" w:color="FF000000" w:sz="4" w:space="4"/>
          <w:bottom w:val="single" w:color="FF000000" w:sz="4" w:space="4"/>
          <w:right w:val="single" w:color="FF000000" w:sz="4" w:space="4"/>
        </w:pBd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7269B824" w:rsidR="357CC7CD">
        <w:rPr>
          <w:rFonts w:ascii="Calibri" w:hAnsi="Calibri" w:eastAsia="Calibri" w:cs="Calibri"/>
          <w:b w:val="0"/>
          <w:bCs w:val="0"/>
          <w:i w:val="0"/>
          <w:iCs w:val="0"/>
          <w:caps w:val="0"/>
          <w:smallCaps w:val="0"/>
          <w:noProof w:val="0"/>
          <w:color w:val="000000" w:themeColor="text1" w:themeTint="FF" w:themeShade="FF"/>
          <w:sz w:val="40"/>
          <w:szCs w:val="40"/>
          <w:lang w:val="en-GB"/>
        </w:rPr>
        <w:t>T</w:t>
      </w:r>
      <w:r w:rsidRPr="7269B824" w:rsidR="4BBE545C">
        <w:rPr>
          <w:rFonts w:ascii="Calibri" w:hAnsi="Calibri" w:eastAsia="Calibri" w:cs="Calibri"/>
          <w:b w:val="0"/>
          <w:bCs w:val="0"/>
          <w:i w:val="0"/>
          <w:iCs w:val="0"/>
          <w:caps w:val="0"/>
          <w:smallCaps w:val="0"/>
          <w:noProof w:val="0"/>
          <w:color w:val="000000" w:themeColor="text1" w:themeTint="FF" w:themeShade="FF"/>
          <w:sz w:val="40"/>
          <w:szCs w:val="40"/>
          <w:lang w:val="en-GB"/>
        </w:rPr>
        <w:t>utor</w:t>
      </w:r>
      <w:r w:rsidRPr="7269B824" w:rsidR="357CC7CD">
        <w:rPr>
          <w:rFonts w:ascii="Calibri" w:hAnsi="Calibri" w:eastAsia="Calibri" w:cs="Calibri"/>
          <w:b w:val="0"/>
          <w:bCs w:val="0"/>
          <w:i w:val="0"/>
          <w:iCs w:val="0"/>
          <w:caps w:val="0"/>
          <w:smallCaps w:val="0"/>
          <w:noProof w:val="0"/>
          <w:color w:val="000000" w:themeColor="text1" w:themeTint="FF" w:themeShade="FF"/>
          <w:sz w:val="40"/>
          <w:szCs w:val="40"/>
          <w:lang w:val="en-GB"/>
        </w:rPr>
        <w:t>- Wafa Nasir.</w:t>
      </w:r>
    </w:p>
    <w:p xmlns:wp14="http://schemas.microsoft.com/office/word/2010/wordml" w:rsidP="7269B824" wp14:paraId="5A97D78A" wp14:textId="1EB53D6C">
      <w:pPr>
        <w:pBdr>
          <w:top w:val="single" w:color="FF000000" w:sz="4" w:space="4"/>
          <w:left w:val="single" w:color="FF000000" w:sz="4" w:space="4"/>
          <w:bottom w:val="single" w:color="FF000000" w:sz="4" w:space="4"/>
          <w:right w:val="single" w:color="FF000000" w:sz="4" w:space="4"/>
        </w:pBd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7269B824" w:rsidR="51A83DD8">
        <w:rPr>
          <w:rFonts w:ascii="Calibri" w:hAnsi="Calibri" w:eastAsia="Calibri" w:cs="Calibri"/>
          <w:b w:val="0"/>
          <w:bCs w:val="0"/>
          <w:i w:val="0"/>
          <w:iCs w:val="0"/>
          <w:caps w:val="0"/>
          <w:smallCaps w:val="0"/>
          <w:noProof w:val="0"/>
          <w:color w:val="000000" w:themeColor="text1" w:themeTint="FF" w:themeShade="FF"/>
          <w:sz w:val="40"/>
          <w:szCs w:val="40"/>
          <w:lang w:val="en-GB"/>
        </w:rPr>
        <w:t>Title</w:t>
      </w:r>
      <w:r w:rsidRPr="7269B824" w:rsidR="357CC7CD">
        <w:rPr>
          <w:rFonts w:ascii="Calibri" w:hAnsi="Calibri" w:eastAsia="Calibri" w:cs="Calibri"/>
          <w:b w:val="0"/>
          <w:bCs w:val="0"/>
          <w:i w:val="0"/>
          <w:iCs w:val="0"/>
          <w:caps w:val="0"/>
          <w:smallCaps w:val="0"/>
          <w:noProof w:val="0"/>
          <w:color w:val="000000" w:themeColor="text1" w:themeTint="FF" w:themeShade="FF"/>
          <w:sz w:val="40"/>
          <w:szCs w:val="40"/>
          <w:lang w:val="en-GB"/>
        </w:rPr>
        <w:t>- Introduction to Health &amp; Social Care.</w:t>
      </w:r>
    </w:p>
    <w:p xmlns:wp14="http://schemas.microsoft.com/office/word/2010/wordml" w:rsidP="7269B824" wp14:paraId="5B4937FD" wp14:textId="181FAF07">
      <w:pPr>
        <w:pBdr>
          <w:top w:val="single" w:color="FF000000" w:sz="4" w:space="4"/>
          <w:left w:val="single" w:color="FF000000" w:sz="4" w:space="4"/>
          <w:bottom w:val="single" w:color="FF000000" w:sz="4" w:space="4"/>
          <w:right w:val="single" w:color="FF000000" w:sz="4" w:space="4"/>
        </w:pBd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7269B824" w:rsidR="313F712B">
        <w:rPr>
          <w:rFonts w:ascii="Calibri" w:hAnsi="Calibri" w:eastAsia="Calibri" w:cs="Calibri"/>
          <w:b w:val="0"/>
          <w:bCs w:val="0"/>
          <w:i w:val="0"/>
          <w:iCs w:val="0"/>
          <w:caps w:val="0"/>
          <w:smallCaps w:val="0"/>
          <w:noProof w:val="0"/>
          <w:color w:val="000000" w:themeColor="text1" w:themeTint="FF" w:themeShade="FF"/>
          <w:sz w:val="40"/>
          <w:szCs w:val="40"/>
          <w:lang w:val="en-GB"/>
        </w:rPr>
        <w:t xml:space="preserve">Module Code- </w:t>
      </w:r>
      <w:r w:rsidRPr="7269B824" w:rsidR="1525AF4A">
        <w:rPr>
          <w:rFonts w:ascii="Calibri" w:hAnsi="Calibri" w:eastAsia="Calibri" w:cs="Calibri"/>
          <w:b w:val="0"/>
          <w:bCs w:val="0"/>
          <w:i w:val="0"/>
          <w:iCs w:val="0"/>
          <w:caps w:val="0"/>
          <w:smallCaps w:val="0"/>
          <w:noProof w:val="0"/>
          <w:color w:val="000000" w:themeColor="text1" w:themeTint="FF" w:themeShade="FF"/>
          <w:sz w:val="40"/>
          <w:szCs w:val="40"/>
          <w:lang w:val="en-GB"/>
        </w:rPr>
        <w:t>LSCH4003</w:t>
      </w:r>
    </w:p>
    <w:p xmlns:wp14="http://schemas.microsoft.com/office/word/2010/wordml" w:rsidP="7269B824" wp14:paraId="696AA616" wp14:textId="51DC286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869BB0D" wp14:textId="7F0A508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76DF371" wp14:textId="64B4D5EA">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D46C516" wp14:textId="33C30483">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2D298849" wp14:textId="7F80E64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796C944A" wp14:textId="6B251F69">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160C4EA" wp14:textId="570233F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D423AD9" wp14:textId="2E7541E8">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BFB3216" wp14:textId="4A410BD9">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32568B16" wp14:textId="78111918">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71389AA2" wp14:textId="05A25093">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03721B3C" wp14:textId="580DA1E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25AFF72" wp14:textId="593770A9">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07B2A72D" wp14:textId="7400BA1B">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2F37AAFD" wp14:textId="3B77BAFE">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A3B5DD9" wp14:textId="7640EC52">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3D10D39F" wp14:textId="61E90DAA">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398D422" wp14:textId="70A52C23">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3789E38" wp14:textId="2CEF6B8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03514312" wp14:textId="537266C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43D49FB" wp14:textId="2FD0D12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CFF5355" wp14:textId="372D90AE">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2DCEC229" wp14:textId="642B0A8B">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3159507C" wp14:textId="574D2AC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0CFA6BD6" wp14:textId="0311F8BB">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2762AA09" wp14:textId="68728037">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C2CF40B" wp14:textId="6DB6CA4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76ECB7E" wp14:textId="312BA642">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463881C" wp14:textId="1D64A99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3A677D3" wp14:textId="43D41BBD">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B1F49D6" wp14:textId="5B2FB4F3">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8622779" wp14:textId="26E9501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06C96FA" wp14:textId="689C6483">
      <w:pPr>
        <w:shd w:val="clear" w:color="auto" w:fill="FFFFFF" w:themeFill="background1"/>
        <w:spacing w:before="0" w:beforeAutospacing="off" w:after="0" w:afterAutospacing="off"/>
        <w:jc w:val="left"/>
        <w:rPr>
          <w:rFonts w:ascii="Calibri" w:hAnsi="Calibri" w:eastAsia="Calibri" w:cs="Calibri"/>
          <w:b w:val="1"/>
          <w:bCs w:val="1"/>
          <w:i w:val="0"/>
          <w:iCs w:val="0"/>
          <w:caps w:val="0"/>
          <w:smallCaps w:val="0"/>
          <w:noProof w:val="0"/>
          <w:color w:val="000000" w:themeColor="text1" w:themeTint="FF" w:themeShade="FF"/>
          <w:sz w:val="36"/>
          <w:szCs w:val="36"/>
          <w:lang w:val="en-GB"/>
        </w:rPr>
      </w:pPr>
      <w:r w:rsidRPr="7269B824" w:rsidR="63CA9967">
        <w:rPr>
          <w:rFonts w:ascii="Calibri" w:hAnsi="Calibri" w:eastAsia="Calibri" w:cs="Calibri"/>
          <w:b w:val="1"/>
          <w:bCs w:val="1"/>
          <w:i w:val="0"/>
          <w:iCs w:val="0"/>
          <w:caps w:val="0"/>
          <w:smallCaps w:val="0"/>
          <w:noProof w:val="0"/>
          <w:color w:val="000000" w:themeColor="text1" w:themeTint="FF" w:themeShade="FF"/>
          <w:sz w:val="36"/>
          <w:szCs w:val="36"/>
          <w:lang w:val="en-GB"/>
        </w:rPr>
        <w:t>Contents Page-</w:t>
      </w:r>
    </w:p>
    <w:p xmlns:wp14="http://schemas.microsoft.com/office/word/2010/wordml" w:rsidP="7269B824" wp14:paraId="4A3AFCAC" wp14:textId="0F7C8BBC">
      <w:pPr>
        <w:shd w:val="clear" w:color="auto" w:fill="FFFFFF" w:themeFill="background1"/>
        <w:spacing w:before="0" w:beforeAutospacing="off" w:after="0" w:afterAutospacing="off"/>
        <w:jc w:val="left"/>
        <w:rPr>
          <w:rFonts w:ascii="Calibri" w:hAnsi="Calibri" w:eastAsia="Calibri" w:cs="Calibri"/>
          <w:b w:val="1"/>
          <w:bCs w:val="1"/>
          <w:i w:val="0"/>
          <w:iCs w:val="0"/>
          <w:caps w:val="0"/>
          <w:smallCaps w:val="0"/>
          <w:noProof w:val="0"/>
          <w:color w:val="000000" w:themeColor="text1" w:themeTint="FF" w:themeShade="FF"/>
          <w:sz w:val="36"/>
          <w:szCs w:val="36"/>
          <w:lang w:val="en-GB"/>
        </w:rPr>
      </w:pPr>
      <w:r w:rsidRPr="7269B824" w:rsidR="24E90B2A">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Page no</w:t>
      </w:r>
    </w:p>
    <w:p xmlns:wp14="http://schemas.microsoft.com/office/word/2010/wordml" w:rsidP="7269B824" wp14:paraId="19B09808" wp14:textId="2E0C2394">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63CA9967">
        <w:rPr>
          <w:rFonts w:ascii="Calibri" w:hAnsi="Calibri" w:eastAsia="Calibri" w:cs="Calibri"/>
          <w:b w:val="0"/>
          <w:bCs w:val="0"/>
          <w:i w:val="0"/>
          <w:iCs w:val="0"/>
          <w:caps w:val="0"/>
          <w:smallCaps w:val="0"/>
          <w:noProof w:val="0"/>
          <w:color w:val="000000" w:themeColor="text1" w:themeTint="FF" w:themeShade="FF"/>
          <w:sz w:val="28"/>
          <w:szCs w:val="28"/>
          <w:lang w:val="en-GB"/>
        </w:rPr>
        <w:t>Introduction-</w:t>
      </w:r>
      <w:r w:rsidRPr="7269B824" w:rsidR="53C2D39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269B824" w:rsidR="0AA7E38E">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3</w:t>
      </w:r>
    </w:p>
    <w:p xmlns:wp14="http://schemas.microsoft.com/office/word/2010/wordml" w:rsidP="7269B824" wp14:paraId="73BC80B2" wp14:textId="73E25A3E">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66AC4F58">
        <w:rPr>
          <w:rFonts w:ascii="Calibri" w:hAnsi="Calibri" w:eastAsia="Calibri" w:cs="Calibri"/>
          <w:b w:val="0"/>
          <w:bCs w:val="0"/>
          <w:i w:val="0"/>
          <w:iCs w:val="0"/>
          <w:caps w:val="0"/>
          <w:smallCaps w:val="0"/>
          <w:noProof w:val="0"/>
          <w:color w:val="000000" w:themeColor="text1" w:themeTint="FF" w:themeShade="FF"/>
          <w:sz w:val="28"/>
          <w:szCs w:val="28"/>
          <w:lang w:val="en-GB"/>
        </w:rPr>
        <w:t>Multidisciplinary care-                                                                                3</w:t>
      </w:r>
    </w:p>
    <w:p xmlns:wp14="http://schemas.microsoft.com/office/word/2010/wordml" w:rsidP="7269B824" wp14:paraId="65D5882B" wp14:textId="6A7E5A6C">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349A1767">
        <w:rPr>
          <w:rFonts w:ascii="Calibri" w:hAnsi="Calibri" w:eastAsia="Calibri" w:cs="Calibri"/>
          <w:b w:val="0"/>
          <w:bCs w:val="0"/>
          <w:i w:val="0"/>
          <w:iCs w:val="0"/>
          <w:caps w:val="0"/>
          <w:smallCaps w:val="0"/>
          <w:noProof w:val="0"/>
          <w:color w:val="000000" w:themeColor="text1" w:themeTint="FF" w:themeShade="FF"/>
          <w:sz w:val="28"/>
          <w:szCs w:val="28"/>
          <w:lang w:val="en-GB"/>
        </w:rPr>
        <w:t>Accurate record keeping-                                                                           3</w:t>
      </w:r>
    </w:p>
    <w:p xmlns:wp14="http://schemas.microsoft.com/office/word/2010/wordml" w:rsidP="7269B824" wp14:paraId="33C9A990" wp14:textId="0476565B">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349A1767">
        <w:rPr>
          <w:rFonts w:ascii="Calibri" w:hAnsi="Calibri" w:eastAsia="Calibri" w:cs="Calibri"/>
          <w:b w:val="0"/>
          <w:bCs w:val="0"/>
          <w:i w:val="0"/>
          <w:iCs w:val="0"/>
          <w:caps w:val="0"/>
          <w:smallCaps w:val="0"/>
          <w:noProof w:val="0"/>
          <w:color w:val="000000" w:themeColor="text1" w:themeTint="FF" w:themeShade="FF"/>
          <w:sz w:val="28"/>
          <w:szCs w:val="28"/>
          <w:lang w:val="en-GB"/>
        </w:rPr>
        <w:t>Effective communication-                                                                          3</w:t>
      </w:r>
    </w:p>
    <w:p xmlns:wp14="http://schemas.microsoft.com/office/word/2010/wordml" w:rsidP="7269B824" wp14:paraId="7869F0E3" wp14:textId="6A174DFA">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349A1767">
        <w:rPr>
          <w:rFonts w:ascii="Calibri" w:hAnsi="Calibri" w:eastAsia="Calibri" w:cs="Calibri"/>
          <w:b w:val="0"/>
          <w:bCs w:val="0"/>
          <w:i w:val="0"/>
          <w:iCs w:val="0"/>
          <w:caps w:val="0"/>
          <w:smallCaps w:val="0"/>
          <w:noProof w:val="0"/>
          <w:color w:val="000000" w:themeColor="text1" w:themeTint="FF" w:themeShade="FF"/>
          <w:sz w:val="28"/>
          <w:szCs w:val="28"/>
          <w:lang w:val="en-GB"/>
        </w:rPr>
        <w:t>Communication with family-                                                                     4</w:t>
      </w:r>
    </w:p>
    <w:p xmlns:wp14="http://schemas.microsoft.com/office/word/2010/wordml" w:rsidP="7269B824" wp14:paraId="28A7AB80" wp14:textId="34F644E9">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349A1767">
        <w:rPr>
          <w:rFonts w:ascii="Calibri" w:hAnsi="Calibri" w:eastAsia="Calibri" w:cs="Calibri"/>
          <w:b w:val="0"/>
          <w:bCs w:val="0"/>
          <w:i w:val="0"/>
          <w:iCs w:val="0"/>
          <w:caps w:val="0"/>
          <w:smallCaps w:val="0"/>
          <w:noProof w:val="0"/>
          <w:color w:val="000000" w:themeColor="text1" w:themeTint="FF" w:themeShade="FF"/>
          <w:sz w:val="28"/>
          <w:szCs w:val="28"/>
          <w:lang w:val="en-GB"/>
        </w:rPr>
        <w:t>The equality act 2010-                                                                                4</w:t>
      </w:r>
    </w:p>
    <w:p xmlns:wp14="http://schemas.microsoft.com/office/word/2010/wordml" w:rsidP="7269B824" wp14:paraId="48917A12" wp14:textId="6722EE02">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349A1767">
        <w:rPr>
          <w:rFonts w:ascii="Calibri" w:hAnsi="Calibri" w:eastAsia="Calibri" w:cs="Calibri"/>
          <w:b w:val="0"/>
          <w:bCs w:val="0"/>
          <w:i w:val="0"/>
          <w:iCs w:val="0"/>
          <w:caps w:val="0"/>
          <w:smallCaps w:val="0"/>
          <w:noProof w:val="0"/>
          <w:color w:val="000000" w:themeColor="text1" w:themeTint="FF" w:themeShade="FF"/>
          <w:sz w:val="28"/>
          <w:szCs w:val="28"/>
          <w:lang w:val="en-GB"/>
        </w:rPr>
        <w:t>Communication model-                                                                              4</w:t>
      </w:r>
    </w:p>
    <w:p xmlns:wp14="http://schemas.microsoft.com/office/word/2010/wordml" w:rsidP="7269B824" wp14:paraId="441A7C44" wp14:textId="102F28EC">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377110A8">
        <w:rPr>
          <w:rFonts w:ascii="Calibri" w:hAnsi="Calibri" w:eastAsia="Calibri" w:cs="Calibri"/>
          <w:b w:val="0"/>
          <w:bCs w:val="0"/>
          <w:i w:val="0"/>
          <w:iCs w:val="0"/>
          <w:caps w:val="0"/>
          <w:smallCaps w:val="0"/>
          <w:noProof w:val="0"/>
          <w:color w:val="000000" w:themeColor="text1" w:themeTint="FF" w:themeShade="FF"/>
          <w:sz w:val="28"/>
          <w:szCs w:val="28"/>
          <w:lang w:val="en-GB"/>
        </w:rPr>
        <w:t>Administrative tasks-                                                                                   5</w:t>
      </w:r>
    </w:p>
    <w:p xmlns:wp14="http://schemas.microsoft.com/office/word/2010/wordml" w:rsidP="7269B824" wp14:paraId="67B90BCC" wp14:textId="1C349F4C">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377110A8">
        <w:rPr>
          <w:rFonts w:ascii="Calibri" w:hAnsi="Calibri" w:eastAsia="Calibri" w:cs="Calibri"/>
          <w:b w:val="0"/>
          <w:bCs w:val="0"/>
          <w:i w:val="0"/>
          <w:iCs w:val="0"/>
          <w:caps w:val="0"/>
          <w:smallCaps w:val="0"/>
          <w:noProof w:val="0"/>
          <w:color w:val="000000" w:themeColor="text1" w:themeTint="FF" w:themeShade="FF"/>
          <w:sz w:val="28"/>
          <w:szCs w:val="28"/>
          <w:lang w:val="en-GB"/>
        </w:rPr>
        <w:t>The Data Protection Act 2018-                                                                   5</w:t>
      </w:r>
    </w:p>
    <w:p xmlns:wp14="http://schemas.microsoft.com/office/word/2010/wordml" w:rsidP="7269B824" wp14:paraId="7EAE7A4E" wp14:textId="55671A89">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269B824" w:rsidR="377110A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7269B824" wp14:paraId="4E73E3A6" wp14:textId="55522D0D">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2CA6621B" wp14:textId="6CB8B9E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E77B741" wp14:textId="76F9C950">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42D3E928" wp14:textId="107F259E">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3C7F8637" wp14:textId="63FB95E9">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35F9356" wp14:textId="0BAA652E">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31CD813A" wp14:textId="75330DC3">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9056B57" wp14:textId="40337FB1">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7DC660D4" wp14:textId="4EF3424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4D1A43B0" wp14:textId="45386208">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E41A97C" wp14:textId="3FF31615">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5425E61" wp14:textId="6E5570BB">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A1C9EBE" wp14:textId="3135DF6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60589139" wp14:textId="2F76E067">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25034FBE" wp14:textId="0F8229D8">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4E6D1289" wp14:textId="19048EAC">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FF23355" wp14:textId="5A07717E">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4DFC98FD" wp14:textId="65B7EB75">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4490628D" wp14:textId="27AC40B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34035B35" wp14:textId="7C4999A2">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2DA0662B" wp14:textId="405282E1">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01632CDA" wp14:textId="6637E4AF">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4487D04A" wp14:textId="6BD54EE9">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5FD6C758" wp14:textId="77494033">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36DC0AFD" wp14:textId="1F3785E8">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28AF10B" wp14:textId="05EC0774">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05A70FEC" wp14:textId="54D28F7B">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39B57537" wp14:textId="7530A77D">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170661F6" wp14:textId="47EB692A">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69B824" wp14:paraId="00E140BF" wp14:textId="03F0E9C6">
      <w:pPr>
        <w:pStyle w:val="Normal"/>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Health and </w:t>
      </w:r>
      <w:r w:rsidRPr="7269B824" w:rsidR="519E59F6">
        <w:rPr>
          <w:rFonts w:ascii="Aptos" w:hAnsi="Aptos" w:eastAsia="Aptos" w:cs="Aptos"/>
          <w:b w:val="0"/>
          <w:bCs w:val="0"/>
          <w:i w:val="0"/>
          <w:iCs w:val="0"/>
          <w:caps w:val="0"/>
          <w:smallCaps w:val="0"/>
          <w:noProof w:val="0"/>
          <w:color w:val="000000" w:themeColor="text1" w:themeTint="FF" w:themeShade="FF"/>
          <w:sz w:val="24"/>
          <w:szCs w:val="24"/>
          <w:lang w:val="en-GB"/>
        </w:rPr>
        <w:t>S</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ocial care services in the UK are designed to support people who need help with their health,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wellbeing</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or daily living. Many individuals receive care from more than one professional, especially when they have complex health conditions. Because of this,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good communication</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accurate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record</w:t>
      </w:r>
      <w:r w:rsidRPr="7269B824" w:rsidR="625C7C5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keeping and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team</w:t>
      </w:r>
      <w:r w:rsidRPr="7269B824" w:rsidR="7ABDB97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work</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between professionals are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very important</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If these areas are managed well, service users are more likely to receive safe and consistent care. However, when communication breaks down or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important information</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is not recorded properly, it can create problems and may even put patients at risk.</w:t>
      </w:r>
    </w:p>
    <w:p xmlns:wp14="http://schemas.microsoft.com/office/word/2010/wordml" w:rsidP="7269B824" wp14:paraId="0CB172B3" wp14:textId="3CB50CEA">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The case of Mr Ahmed shows how these issues can appear in real life. Mr Ahmed is a 68</w:t>
      </w:r>
      <w:r w:rsidRPr="7269B824" w:rsidR="189D415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year</w:t>
      </w:r>
      <w:r w:rsidRPr="7269B824" w:rsidR="6606D2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o</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ld man who has recently returned home after being treated in hospital for a stroke. Since leaving hospital, he now receives support from a domiciliary care agency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and also</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has regular contact with a district nurse, his GP and a speech and language therapist. Because Mr Ahmed’s first language is Bengali and he has experienced communication difficulties after his stroke, the way professionals communicate with him and each other becomes particularly important.</w:t>
      </w:r>
    </w:p>
    <w:p xmlns:wp14="http://schemas.microsoft.com/office/word/2010/wordml" w:rsidP="7269B824" wp14:paraId="59DF8167" wp14:textId="3956DF03">
      <w:pPr>
        <w:shd w:val="clear" w:color="auto" w:fill="FFFFFF" w:themeFill="background1"/>
        <w:spacing w:before="0" w:beforeAutospacing="off" w:after="0" w:afterAutospacing="off"/>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Communication is one of the most important parts of working in health and social care. Professionals need to communicate clearly so they can understand a service user’s needs, explain treatments and make sure the person receiving care understands what is happening. When communication works well, it helps build trust between patients and professionals and can improve health outcomes (Arnold and Boggs, 2020).</w:t>
      </w:r>
    </w:p>
    <w:p xmlns:wp14="http://schemas.microsoft.com/office/word/2010/wordml" w:rsidP="7269B824" wp14:paraId="4A3A1774" wp14:textId="4FE36DDC">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In Mr Ahmed’s case, communication may not always be straightforward. One reason for this is the impact of his stroke. After a stroke, some people experience problems with speaking, understanding language or remembering information. This can make everyday conversations more difficult than they used to be (Stroke Association, 2023). For Mr Ahmed, this might mean he finds it harder to explain how he feels or to understand instructions about his medication or therapy.</w:t>
      </w:r>
    </w:p>
    <w:p xmlns:wp14="http://schemas.microsoft.com/office/word/2010/wordml" w:rsidP="7269B824" wp14:paraId="4C68E94D" wp14:textId="32071F53">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Another factor that affects communication is that English is not Mr Ahmed’s first language. Even though he understands some English, complicated conversations could still be confusing. This means that professionals need to be careful about how they explain information to him. For example, they might need to speak more slowly, use simple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language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or repeat key points to make sure he has understood</w:t>
      </w:r>
      <w:r w:rsidRPr="7269B824" w:rsidR="30201C0A">
        <w:rPr>
          <w:rFonts w:ascii="Aptos" w:hAnsi="Aptos" w:eastAsia="Aptos" w:cs="Aptos"/>
          <w:b w:val="0"/>
          <w:bCs w:val="0"/>
          <w:i w:val="0"/>
          <w:iCs w:val="0"/>
          <w:caps w:val="0"/>
          <w:smallCaps w:val="0"/>
          <w:noProof w:val="0"/>
          <w:color w:val="000000" w:themeColor="text1" w:themeTint="FF" w:themeShade="FF"/>
          <w:sz w:val="24"/>
          <w:szCs w:val="24"/>
          <w:lang w:val="en-GB"/>
        </w:rPr>
        <w:t>, s</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mall changes like this can make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a big difference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7269B824" wp14:paraId="66C1AB77" wp14:textId="1CB2A7B9">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Mr Ahmed’s wife also plays an important role in communication. Because she speaks fluent English, she often communicates with the care team on his behalf. Having a family member involved can be helpful because it allows professionals to make sure important information is understood. At the same time, it is still important that Mr Ahmed is included in conversations about his care. Person-centred care means that service users should be involved in decisions that affect them, even if they sometimes need support during discussions.</w:t>
      </w:r>
    </w:p>
    <w:p xmlns:wp14="http://schemas.microsoft.com/office/word/2010/wordml" w:rsidP="7269B824" wp14:paraId="79B1474A" wp14:textId="3CF930F6">
      <w:pPr>
        <w:shd w:val="clear" w:color="auto" w:fill="FFFFFF" w:themeFill="background1"/>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Equality Act 2010</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is relevant here because it protects individuals from discrimination and requires organisations to make services accessible to everyone (Equality Act, 2010). In a situation like Mr Ahmed’s, this could mean providing extra support with communication. For example, healthcare providers might offer translation services or ensure that information is explained in a way that is easy to understand.</w:t>
      </w:r>
    </w:p>
    <w:p xmlns:wp14="http://schemas.microsoft.com/office/word/2010/wordml" w:rsidP="7269B824" wp14:paraId="17D3E502" wp14:textId="75C9FBF7">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A useful way to understand communication is through the Shannon and Weaver communication model. This model describes communication as a process where information is sent from one person to another. During this process, different things can interfere with the message, which the model describes as noise (Shannon and Weaver, 1949). In healthcare settings, this noise could include language barriers, stress, background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noise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or misunderstandings.</w:t>
      </w:r>
    </w:p>
    <w:p xmlns:wp14="http://schemas.microsoft.com/office/word/2010/wordml" w:rsidP="7269B824" wp14:paraId="21A7F816" wp14:textId="103329DE">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In Mr Ahmed’s situation, several types of noise</w:t>
      </w:r>
      <w:r w:rsidRPr="7269B824" w:rsidR="726FB9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might affect communication. His stroke may make speech and understanding more difficult, while language differences could also create confusion. Because of this, professionals should check that he understands what has been explained to him. For instance, they might ask him to repeat information back or ask questions about his medication schedule.</w:t>
      </w:r>
    </w:p>
    <w:p xmlns:wp14="http://schemas.microsoft.com/office/word/2010/wordml" w:rsidP="7269B824" wp14:paraId="5E23C1EC" wp14:textId="4AAE6CDA">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Overall, communication needs to be flexible and adapted to the person receiving care. By adjusting how they communicate with Mr Ahmed, professionals can help ensure he understands his treatment and feels more confident about managing his recovery at home.</w:t>
      </w:r>
    </w:p>
    <w:p xmlns:wp14="http://schemas.microsoft.com/office/word/2010/wordml" w:rsidP="7269B824" wp14:paraId="4C406E58" wp14:textId="6981D301">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Administrative tasks might not always seem like the most exciting part of healthcare, but they are actually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very important</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Good organisation and record</w:t>
      </w:r>
      <w:r w:rsidRPr="7269B824" w:rsidR="33D862F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keeping help ensure that services run smoothly and that patients receive the care they need at the right time. Without proper documentation and planning, it becomes much harder for professionals to keep track of what care has been provided.</w:t>
      </w:r>
    </w:p>
    <w:p xmlns:wp14="http://schemas.microsoft.com/office/word/2010/wordml" w:rsidP="7269B824" wp14:paraId="147744BB" wp14:textId="7486FE82">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One of the main administrative responsibilities in health and social care is keeping accurate records. These records show what care has been delivered, how the patient is progressing and whether any changes have been noticed. They also allow different professionals to share information with each other so that everyone involved in the patient’s care understands what is happening (Moonie, 2020).</w:t>
      </w:r>
    </w:p>
    <w:p xmlns:wp14="http://schemas.microsoft.com/office/word/2010/wordml" w:rsidP="7269B824" wp14:paraId="5DC6E2C4" wp14:textId="3BAFC901">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In Mr Ahmed’s case, several professionals are involved in supporting him at home. The district nurse monitors his blood pressure and wound care, the speech and language therapist works with him to improve communication and swallowing, and domiciliary care workers help with personal care, meals and medication. Because different people are providing support, it is important that all of them record the care they give. This helps ensure that everyone has access to the same information.</w:t>
      </w:r>
    </w:p>
    <w:p xmlns:wp14="http://schemas.microsoft.com/office/word/2010/wordml" w:rsidP="7269B824" wp14:paraId="6030C0A5" wp14:textId="3FEE4143">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The missed care visit mentioned in the case study shows why good administrative systems are important. When the domiciliary care worker missed the visit, Mr Ahmed did not receive his medication on time. Even though this may seem like a small mistake, it could have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serious consequences</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if it happens repeatedly. Situations like this highlight the importance of careful scheduling and communication within care services.</w:t>
      </w:r>
      <w:r w:rsidRPr="7269B824" w:rsidR="7BE8A07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Documentation is also important if problems occur and an investigation needs to take place. Clear records help organisations understand what went wrong and how similar mistakes can be prevented in the future.</w:t>
      </w:r>
    </w:p>
    <w:p xmlns:wp14="http://schemas.microsoft.com/office/word/2010/wordml" w:rsidP="7269B824" wp14:paraId="1A48968A" wp14:textId="338C2418">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Another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important issue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related to record</w:t>
      </w:r>
      <w:r w:rsidRPr="7269B824" w:rsidR="4C952B3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keeping is confidentiality. Healthcare professionals often handle sensitive information about people’s health, personal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lives</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and medical treatment. Because of this, there are strict rules about how information should be stored and shared.</w:t>
      </w:r>
    </w:p>
    <w:p xmlns:wp14="http://schemas.microsoft.com/office/word/2010/wordml" w:rsidP="7269B824" wp14:paraId="2702E9A8" wp14:textId="71E7E499">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T</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he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Data Protection Act 2018</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se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ts out guidelines for how personal data should be handled in the UK (Information Commissioner’s Office, 2023). This law requires organisations to keep personal information secure and to only share it with people who have a legitimate reason to access it. For Mr Ahmed, this means that only professionals directly involved in his care should be able to view his medical records.</w:t>
      </w:r>
    </w:p>
    <w:p xmlns:wp14="http://schemas.microsoft.com/office/word/2010/wordml" w:rsidP="7269B824" wp14:paraId="0E44DACB" wp14:textId="4A6A5D05">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At the same time, information sometimes needs to be shared between professionals to provide safe care. For example, if the district nurse notices a problem with Mr Ahmed’s blood pressure, this information should be communicated to his GP so that appropriate treatment can be provided.</w:t>
      </w:r>
    </w:p>
    <w:p xmlns:wp14="http://schemas.microsoft.com/office/word/2010/wordml" w:rsidP="7269B824" wp14:paraId="009372C1" wp14:textId="6F8F6F81">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Overall, strong administrative skills and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accurate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record</w:t>
      </w:r>
      <w:r w:rsidRPr="7269B824" w:rsidR="445E9C3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keeping help ensure that healthcare services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remain</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organised,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safe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and accountable.</w:t>
      </w:r>
    </w:p>
    <w:p xmlns:wp14="http://schemas.microsoft.com/office/word/2010/wordml" w:rsidP="7269B824" wp14:paraId="0D4F97B0" wp14:textId="1E7C9863">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Healthcare today often involves professionals from different backgrounds working together to support patients. This approach is sometimes described as multidisciplinary or collaborative working. When professionals work as a team, they are able to combine their knowledge and skills to provide better care (Glasby and Dickinson, 2014).</w:t>
      </w:r>
    </w:p>
    <w:p xmlns:wp14="http://schemas.microsoft.com/office/word/2010/wordml" w:rsidP="7269B824" wp14:paraId="1C74C7E2" wp14:textId="10FF23C2">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Mr Ahmed’s situation is a good example of this type of teamwork. Several professionals are involved in helping him recover from his stroke. His GP oversees his medical treatment, while the district nurse checks his physical health and wound care. The speech and language therapist helps him improve his communication and swallowing. In addition, domiciliary care workers support him with daily tasks such as washing, dressing and preparing meals.</w:t>
      </w:r>
    </w:p>
    <w:p xmlns:wp14="http://schemas.microsoft.com/office/word/2010/wordml" w:rsidP="7269B824" wp14:paraId="5F8DDCC3" wp14:textId="58916B12">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Working together allows these professionals to address different aspects of Mr Ahmed’s needs. However, teamwork in healthcare is not always perfect. Sometimes communication between organisations can be slow or unclear. When this happens, it may lead to misunderstandings or delays in care.</w:t>
      </w:r>
    </w:p>
    <w:p xmlns:wp14="http://schemas.microsoft.com/office/word/2010/wordml" w:rsidP="7269B824" wp14:paraId="521CE0B4" wp14:textId="4698E1EA">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The missed domiciliary care visit described in the case study may suggest that coordination within the care agency needs to be improved. If staff schedules are not managed properly or information is not shared clearly, mistakes can happen.</w:t>
      </w:r>
    </w:p>
    <w:p xmlns:wp14="http://schemas.microsoft.com/office/word/2010/wordml" w:rsidP="7269B824" wp14:paraId="4515C619" wp14:textId="66074A8A">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There are several ways to improve collaboration between professionals. Shared care plans are one useful approach because they outline the roles and responsibilities of each team member. Regular communication between professionals can also help ensure that important updates about the patient are shared quickly.</w:t>
      </w:r>
    </w:p>
    <w:p xmlns:wp14="http://schemas.microsoft.com/office/word/2010/wordml" w:rsidP="7269B824" wp14:paraId="781D221C" wp14:textId="64BB1B3D">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Involving the patient and their family in discussions is another important part of collaborative care. Mr Ahmed’s wife already supports communication with the care team, and including both of them in care planning can help ensure that the support provided meets their needs.</w:t>
      </w:r>
    </w:p>
    <w:p xmlns:wp14="http://schemas.microsoft.com/office/word/2010/wordml" w:rsidP="7269B824" wp14:paraId="7B9F6053" wp14:textId="0C8C83D8">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This report has explored the importance of communication, administrative practice and teamwork in the care of Mr Ahmed after his stroke. Each of these areas plays a significant role in making sure that service users receive safe and effective care.</w:t>
      </w:r>
    </w:p>
    <w:p xmlns:wp14="http://schemas.microsoft.com/office/word/2010/wordml" w:rsidP="7269B824" wp14:paraId="20D21225" wp14:textId="3CF9A846">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Communication is particularly important in Mr Ahmed’s situation because he has experienced speech difficulties following his stroke and English is not his first language. By adjusting the way they communicate and making reasonable adjustments under the Equality Act 2010, healthcare professionals can help ensure that he understands his treatment and remains involved in decisions about his care.</w:t>
      </w:r>
    </w:p>
    <w:p xmlns:wp14="http://schemas.microsoft.com/office/word/2010/wordml" w:rsidP="7269B824" wp14:paraId="2F816B7F" wp14:textId="0BD0402E">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Accurate record-keeping and good administrative systems are also essential. They help professionals share information, maintain continuity of care and protect patient confidentiality under the Data Protection Act 2018.</w:t>
      </w:r>
    </w:p>
    <w:p xmlns:wp14="http://schemas.microsoft.com/office/word/2010/wordml" w:rsidP="7269B824" wp14:paraId="180E0EA2" wp14:textId="5B3D89D5">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Finally, collaborative working allows professionals from different backgrounds to combine their expertise and provide more comprehensive support. When communication, documentation and teamwork are managed well, they help improve the quality of care and support positive outcomes for service users like Mr Ahmed.</w:t>
      </w:r>
    </w:p>
    <w:p xmlns:wp14="http://schemas.microsoft.com/office/word/2010/wordml" wp14:paraId="0B2DB61B" wp14:textId="56B8F1AE"/>
    <w:p xmlns:wp14="http://schemas.microsoft.com/office/word/2010/wordml" w:rsidP="7269B824" wp14:paraId="05CCB1CD" wp14:textId="5A7453C0">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1C814F72" wp14:textId="485ACF18">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5DD31362" wp14:textId="4DD3D48F">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6506BE2F" wp14:textId="3CE4295D">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D45AFB6" wp14:textId="50D503C9">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4290B841" wp14:textId="5935D4EE">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08EA7EA6" wp14:textId="7CF96C0E">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1D396D03" wp14:textId="39BFA745">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9E36ED0" wp14:textId="5A693861">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4833DEBD" wp14:textId="05F03C72">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5F4CC9E6" wp14:textId="1B3CFFD0">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5DF633A9" wp14:textId="666F21F3">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750D6DE5" wp14:textId="76B5A60B">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B20797C" wp14:textId="0186DF53">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12F3C13" wp14:textId="6D61B670">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D22ACBC" wp14:textId="550DE1D4">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7F4854CD" wp14:textId="402E6CF4">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0119F15B" wp14:textId="6E23A862">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ED7CF64" wp14:textId="796E152F">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A628DF0" wp14:textId="72E23013">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321CFE88" wp14:textId="7F983481">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51439CBF" wp14:textId="208A75C2">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1A0FDF33" wp14:textId="07E3EA6B">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46BA29F4" wp14:textId="1FA5390B">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3D14A13F" wp14:textId="2167B48F">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4A623936" wp14:textId="423DC198">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5FB74C8C" wp14:textId="322FEC0E">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10969DAC" wp14:textId="6465CC8C">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61C9ADC1" wp14:textId="628138D7">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3C48F7A1" wp14:textId="1F830143">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D2E39B3" wp14:textId="441F851D">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33495739" wp14:textId="0A95A059">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115FAFCC" wp14:textId="749805F9">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4D6D4BD0" wp14:textId="60A81971">
      <w:pPr>
        <w:shd w:val="clear" w:color="auto" w:fill="FFFFFF" w:themeFill="background1"/>
        <w:spacing w:before="0" w:beforeAutospacing="off" w:after="0" w:afterAutospacing="off"/>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7269B824" wp14:paraId="2CD0BC9B" wp14:textId="757E087F">
      <w:pPr>
        <w:shd w:val="clear" w:color="auto" w:fill="FFFFFF" w:themeFill="background1"/>
        <w:spacing w:before="0" w:beforeAutospacing="off" w:after="0" w:afterAutospacing="off"/>
        <w:jc w:val="left"/>
      </w:pPr>
      <w:r w:rsidRPr="7269B824" w:rsidR="7ADD81BD">
        <w:rPr>
          <w:rFonts w:ascii="Aptos" w:hAnsi="Aptos" w:eastAsia="Aptos" w:cs="Aptos"/>
          <w:b w:val="1"/>
          <w:bCs w:val="1"/>
          <w:i w:val="0"/>
          <w:iCs w:val="0"/>
          <w:caps w:val="0"/>
          <w:smallCaps w:val="0"/>
          <w:noProof w:val="0"/>
          <w:color w:val="000000" w:themeColor="text1" w:themeTint="FF" w:themeShade="FF"/>
          <w:sz w:val="24"/>
          <w:szCs w:val="24"/>
          <w:lang w:val="en-GB"/>
        </w:rPr>
        <w:t>References</w:t>
      </w:r>
    </w:p>
    <w:p xmlns:wp14="http://schemas.microsoft.com/office/word/2010/wordml" w:rsidP="7269B824" wp14:paraId="600019FE" wp14:textId="7AF40A74">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Arnold,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and Boggs, K. (2020) </w:t>
      </w:r>
      <w:r w:rsidRPr="7269B824" w:rsidR="7ADD81BD">
        <w:rPr>
          <w:rFonts w:ascii="Aptos" w:hAnsi="Aptos" w:eastAsia="Aptos" w:cs="Aptos"/>
          <w:b w:val="0"/>
          <w:bCs w:val="0"/>
          <w:i w:val="1"/>
          <w:iCs w:val="1"/>
          <w:caps w:val="0"/>
          <w:smallCaps w:val="0"/>
          <w:noProof w:val="0"/>
          <w:color w:val="000000" w:themeColor="text1" w:themeTint="FF" w:themeShade="FF"/>
          <w:sz w:val="24"/>
          <w:szCs w:val="24"/>
          <w:lang w:val="en-GB"/>
        </w:rPr>
        <w:t>Interpersonal Relationships: Professional Communication Skills for Nurses</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8th </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ed</w:t>
      </w:r>
      <w:r w:rsidRPr="7269B824" w:rsidR="398CF97A">
        <w:rPr>
          <w:rFonts w:ascii="Aptos" w:hAnsi="Aptos" w:eastAsia="Aptos" w:cs="Aptos"/>
          <w:b w:val="0"/>
          <w:bCs w:val="0"/>
          <w:i w:val="0"/>
          <w:iCs w:val="0"/>
          <w:caps w:val="0"/>
          <w:smallCaps w:val="0"/>
          <w:noProof w:val="0"/>
          <w:color w:val="000000" w:themeColor="text1" w:themeTint="FF" w:themeShade="FF"/>
          <w:sz w:val="24"/>
          <w:szCs w:val="24"/>
          <w:lang w:val="en-GB"/>
        </w:rPr>
        <w:t>itio</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n</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St. Louis: Elsevier.</w:t>
      </w:r>
    </w:p>
    <w:p xmlns:wp14="http://schemas.microsoft.com/office/word/2010/wordml" w:rsidP="7269B824" wp14:paraId="3BAA4F7F" wp14:textId="082988AE">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Equality Act (2010) </w:t>
      </w:r>
      <w:r w:rsidRPr="7269B824" w:rsidR="7ADD81BD">
        <w:rPr>
          <w:rFonts w:ascii="Aptos" w:hAnsi="Aptos" w:eastAsia="Aptos" w:cs="Aptos"/>
          <w:b w:val="0"/>
          <w:bCs w:val="0"/>
          <w:i w:val="1"/>
          <w:iCs w:val="1"/>
          <w:caps w:val="0"/>
          <w:smallCaps w:val="0"/>
          <w:noProof w:val="0"/>
          <w:color w:val="000000" w:themeColor="text1" w:themeTint="FF" w:themeShade="FF"/>
          <w:sz w:val="24"/>
          <w:szCs w:val="24"/>
          <w:lang w:val="en-GB"/>
        </w:rPr>
        <w:t>Equality Act 2010</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London: The Stationery Office.</w:t>
      </w:r>
    </w:p>
    <w:p xmlns:wp14="http://schemas.microsoft.com/office/word/2010/wordml" w:rsidP="7269B824" wp14:paraId="5145D22B" wp14:textId="53F126F8">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Glasby, J. and Dickinson, H. (2014) </w:t>
      </w:r>
      <w:r w:rsidRPr="7269B824" w:rsidR="7ADD81BD">
        <w:rPr>
          <w:rFonts w:ascii="Aptos" w:hAnsi="Aptos" w:eastAsia="Aptos" w:cs="Aptos"/>
          <w:b w:val="0"/>
          <w:bCs w:val="0"/>
          <w:i w:val="1"/>
          <w:iCs w:val="1"/>
          <w:caps w:val="0"/>
          <w:smallCaps w:val="0"/>
          <w:noProof w:val="0"/>
          <w:color w:val="000000" w:themeColor="text1" w:themeTint="FF" w:themeShade="FF"/>
          <w:sz w:val="24"/>
          <w:szCs w:val="24"/>
          <w:lang w:val="en-GB"/>
        </w:rPr>
        <w:t>Partnership Working in Health and Social Care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Bristol: Policy Press.</w:t>
      </w:r>
    </w:p>
    <w:p xmlns:wp14="http://schemas.microsoft.com/office/word/2010/wordml" w:rsidP="7269B824" wp14:paraId="4812C62B" wp14:textId="010C56D4">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Information Commissioner’s Office (2023) </w:t>
      </w:r>
      <w:r w:rsidRPr="7269B824" w:rsidR="7ADD81BD">
        <w:rPr>
          <w:rFonts w:ascii="Aptos" w:hAnsi="Aptos" w:eastAsia="Aptos" w:cs="Aptos"/>
          <w:b w:val="0"/>
          <w:bCs w:val="0"/>
          <w:i w:val="1"/>
          <w:iCs w:val="1"/>
          <w:caps w:val="0"/>
          <w:smallCaps w:val="0"/>
          <w:noProof w:val="0"/>
          <w:color w:val="000000" w:themeColor="text1" w:themeTint="FF" w:themeShade="FF"/>
          <w:sz w:val="24"/>
          <w:szCs w:val="24"/>
          <w:lang w:val="en-GB"/>
        </w:rPr>
        <w:t>Guide to Data Protection</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3465556d0114aa8">
        <w:r w:rsidRPr="7269B824" w:rsidR="7ADD81BD">
          <w:rPr>
            <w:rStyle w:val="Hyperlink"/>
            <w:rFonts w:ascii="Aptos" w:hAnsi="Aptos" w:eastAsia="Aptos" w:cs="Aptos"/>
            <w:b w:val="0"/>
            <w:bCs w:val="0"/>
            <w:i w:val="0"/>
            <w:iCs w:val="0"/>
            <w:caps w:val="0"/>
            <w:smallCaps w:val="0"/>
            <w:noProof w:val="0"/>
            <w:color w:val="000000" w:themeColor="text1" w:themeTint="FF" w:themeShade="FF"/>
            <w:sz w:val="24"/>
            <w:szCs w:val="24"/>
            <w:lang w:val="en-GB"/>
          </w:rPr>
          <w:t>https://ico.org.uk</w:t>
        </w:r>
      </w:hyperlink>
    </w:p>
    <w:p xmlns:wp14="http://schemas.microsoft.com/office/word/2010/wordml" w:rsidP="7269B824" wp14:paraId="3E249A87" wp14:textId="7EC5A419">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Moonie, N. (2020) </w:t>
      </w:r>
      <w:r w:rsidRPr="7269B824" w:rsidR="7ADD81BD">
        <w:rPr>
          <w:rFonts w:ascii="Aptos" w:hAnsi="Aptos" w:eastAsia="Aptos" w:cs="Aptos"/>
          <w:b w:val="0"/>
          <w:bCs w:val="0"/>
          <w:i w:val="1"/>
          <w:iCs w:val="1"/>
          <w:caps w:val="0"/>
          <w:smallCaps w:val="0"/>
          <w:noProof w:val="0"/>
          <w:color w:val="000000" w:themeColor="text1" w:themeTint="FF" w:themeShade="FF"/>
          <w:sz w:val="24"/>
          <w:szCs w:val="24"/>
          <w:lang w:val="en-GB"/>
        </w:rPr>
        <w:t>Health and Social Care Level 3</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London: Hodder Education.</w:t>
      </w:r>
    </w:p>
    <w:p xmlns:wp14="http://schemas.microsoft.com/office/word/2010/wordml" w:rsidP="7269B824" wp14:paraId="15459268" wp14:textId="75AD7AC6">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Shannon, C. and Weaver, W. (1949) </w:t>
      </w:r>
      <w:r w:rsidRPr="7269B824" w:rsidR="7ADD81BD">
        <w:rPr>
          <w:rFonts w:ascii="Aptos" w:hAnsi="Aptos" w:eastAsia="Aptos" w:cs="Aptos"/>
          <w:b w:val="0"/>
          <w:bCs w:val="0"/>
          <w:i w:val="1"/>
          <w:iCs w:val="1"/>
          <w:caps w:val="0"/>
          <w:smallCaps w:val="0"/>
          <w:noProof w:val="0"/>
          <w:color w:val="000000" w:themeColor="text1" w:themeTint="FF" w:themeShade="FF"/>
          <w:sz w:val="24"/>
          <w:szCs w:val="24"/>
          <w:lang w:val="en-GB"/>
        </w:rPr>
        <w:t>The Mathematical Theory of Communication</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Urbana: University of Illinois Press.</w:t>
      </w:r>
    </w:p>
    <w:p xmlns:wp14="http://schemas.microsoft.com/office/word/2010/wordml" w:rsidP="7269B824" wp14:paraId="431EBC39" wp14:textId="2D4B6E36">
      <w:pPr>
        <w:shd w:val="clear" w:color="auto" w:fill="FFFFFF" w:themeFill="background1"/>
        <w:spacing w:before="240" w:beforeAutospacing="off" w:after="240" w:afterAutospacing="off"/>
        <w:jc w:val="left"/>
      </w:pP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Stroke Association (2023) </w:t>
      </w:r>
      <w:r w:rsidRPr="7269B824" w:rsidR="7ADD81BD">
        <w:rPr>
          <w:rFonts w:ascii="Aptos" w:hAnsi="Aptos" w:eastAsia="Aptos" w:cs="Aptos"/>
          <w:b w:val="0"/>
          <w:bCs w:val="0"/>
          <w:i w:val="1"/>
          <w:iCs w:val="1"/>
          <w:caps w:val="0"/>
          <w:smallCaps w:val="0"/>
          <w:noProof w:val="0"/>
          <w:color w:val="000000" w:themeColor="text1" w:themeTint="FF" w:themeShade="FF"/>
          <w:sz w:val="24"/>
          <w:szCs w:val="24"/>
          <w:lang w:val="en-GB"/>
        </w:rPr>
        <w:t>Communication Problems After Stroke</w:t>
      </w:r>
      <w:r w:rsidRPr="7269B824" w:rsidR="7ADD81BD">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bcd59dd3f60a4418">
        <w:r w:rsidRPr="7269B824" w:rsidR="7ADD81BD">
          <w:rPr>
            <w:rStyle w:val="Hyperlink"/>
            <w:rFonts w:ascii="Aptos" w:hAnsi="Aptos" w:eastAsia="Aptos" w:cs="Aptos"/>
            <w:b w:val="0"/>
            <w:bCs w:val="0"/>
            <w:i w:val="0"/>
            <w:iCs w:val="0"/>
            <w:caps w:val="0"/>
            <w:smallCaps w:val="0"/>
            <w:noProof w:val="0"/>
            <w:color w:val="000000" w:themeColor="text1" w:themeTint="FF" w:themeShade="FF"/>
            <w:sz w:val="24"/>
            <w:szCs w:val="24"/>
            <w:lang w:val="en-GB"/>
          </w:rPr>
          <w:t>https://www.stroke.org.uk</w:t>
        </w:r>
      </w:hyperlink>
    </w:p>
    <w:p xmlns:wp14="http://schemas.microsoft.com/office/word/2010/wordml" wp14:paraId="5E5787A5" wp14:textId="24F9D42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E3B6EE"/>
    <w:rsid w:val="00D3FA2C"/>
    <w:rsid w:val="00F0852B"/>
    <w:rsid w:val="03CE4065"/>
    <w:rsid w:val="0582903F"/>
    <w:rsid w:val="0AA7E38E"/>
    <w:rsid w:val="0B62E935"/>
    <w:rsid w:val="0FD5205C"/>
    <w:rsid w:val="12C65646"/>
    <w:rsid w:val="12E2E5E6"/>
    <w:rsid w:val="12FC438D"/>
    <w:rsid w:val="14177AA9"/>
    <w:rsid w:val="1525AF4A"/>
    <w:rsid w:val="1531563B"/>
    <w:rsid w:val="1547AA16"/>
    <w:rsid w:val="189D415B"/>
    <w:rsid w:val="1FB3B0A4"/>
    <w:rsid w:val="24E90B2A"/>
    <w:rsid w:val="2828BCB8"/>
    <w:rsid w:val="2C6DB630"/>
    <w:rsid w:val="30201C0A"/>
    <w:rsid w:val="313F712B"/>
    <w:rsid w:val="32FD4474"/>
    <w:rsid w:val="33D862F0"/>
    <w:rsid w:val="349A1767"/>
    <w:rsid w:val="357CC7CD"/>
    <w:rsid w:val="377110A8"/>
    <w:rsid w:val="396E6992"/>
    <w:rsid w:val="398CF97A"/>
    <w:rsid w:val="3B98B23A"/>
    <w:rsid w:val="3C10B12C"/>
    <w:rsid w:val="426EA2AC"/>
    <w:rsid w:val="445E9C38"/>
    <w:rsid w:val="48E01E43"/>
    <w:rsid w:val="4BBE545C"/>
    <w:rsid w:val="4C952B3D"/>
    <w:rsid w:val="519E59F6"/>
    <w:rsid w:val="51A83DD8"/>
    <w:rsid w:val="53C2D390"/>
    <w:rsid w:val="546590B3"/>
    <w:rsid w:val="5861543D"/>
    <w:rsid w:val="5AAB6BE5"/>
    <w:rsid w:val="5CBB5CCB"/>
    <w:rsid w:val="5D07243F"/>
    <w:rsid w:val="5D49F054"/>
    <w:rsid w:val="601C77A5"/>
    <w:rsid w:val="60D14DF2"/>
    <w:rsid w:val="625C7C55"/>
    <w:rsid w:val="626364A0"/>
    <w:rsid w:val="62794D3B"/>
    <w:rsid w:val="63CA9967"/>
    <w:rsid w:val="64A852AD"/>
    <w:rsid w:val="6606D23E"/>
    <w:rsid w:val="66AC4F58"/>
    <w:rsid w:val="6DE98BA5"/>
    <w:rsid w:val="70EF3646"/>
    <w:rsid w:val="712CDD80"/>
    <w:rsid w:val="7269B824"/>
    <w:rsid w:val="726FB9D5"/>
    <w:rsid w:val="7ABDB975"/>
    <w:rsid w:val="7ADD81BD"/>
    <w:rsid w:val="7B3832D9"/>
    <w:rsid w:val="7BE8A078"/>
    <w:rsid w:val="7D99B662"/>
    <w:rsid w:val="7FE3B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AE158"/>
  <w15:chartTrackingRefBased/>
  <w15:docId w15:val="{790C0258-D80F-40B0-836B-0418711B8D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69B82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r01.safelinks.protection.outlook.com/?url=https%3A%2F%2Fico.org.uk%2F&amp;data=05%7C02%7C2509406%40student.uwtsd.ac.uk%7C09c5a483e62d4e093d6908de8025cf31%7C4e0f11f9046e45059cb8db2152311e21%7C0%7C0%7C639089097080959005%7CUnknown%7CTWFpbGZsb3d8eyJFbXB0eU1hcGkiOnRydWUsIlYiOiIwLjAuMDAwMCIsIlAiOiJXaW4zMiIsIkFOIjoiTWFpbCIsIldUIjoyfQ%3D%3D%7C0%7C%7C%7C&amp;sdata=RWOAqzEp201ZSnY7UGX4xzbs6thBRX7L24L5hc1UdVk%3D&amp;reserved=0" TargetMode="External" Id="Rc3465556d0114aa8" /><Relationship Type="http://schemas.openxmlformats.org/officeDocument/2006/relationships/hyperlink" Target="https://eur01.safelinks.protection.outlook.com/?url=https%3A%2F%2Fwww.stroke.org.uk%2F&amp;data=05%7C02%7C2509406%40student.uwtsd.ac.uk%7C09c5a483e62d4e093d6908de8025cf31%7C4e0f11f9046e45059cb8db2152311e21%7C0%7C0%7C639089097080984050%7CUnknown%7CTWFpbGZsb3d8eyJFbXB0eU1hcGkiOnRydWUsIlYiOiIwLjAuMDAwMCIsIlAiOiJXaW4zMiIsIkFOIjoiTWFpbCIsIldUIjoyfQ%3D%3D%7C0%7C%7C%7C&amp;sdata=vZX2pci9cUcfvLiTRD0N6GVaQD7%2B1M%2FkGHlWrE904dY%3D&amp;reserved=0" TargetMode="External" Id="Rbcd59dd3f60a44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Angy Carolan (2509406)</dc:creator>
  <keywords/>
  <dc:description/>
  <lastModifiedBy>Angy Carolan (2509406)</lastModifiedBy>
  <revision>2</revision>
  <dcterms:created xsi:type="dcterms:W3CDTF">2026-03-12T11:02:02.9969740Z</dcterms:created>
  <dcterms:modified xsi:type="dcterms:W3CDTF">2026-03-12T12:07:55.3789624Z</dcterms:modified>
</coreProperties>
</file>