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56CD8F" w14:textId="77777777" w:rsidR="00B1512B" w:rsidRDefault="00B1512B" w:rsidP="00B1512B">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Reflective Practices </w:t>
      </w:r>
    </w:p>
    <w:p w14:paraId="1D18A957" w14:textId="6F8EDDD2" w:rsidR="00B1512B" w:rsidRDefault="00B1512B" w:rsidP="00B1512B">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By</w:t>
      </w:r>
      <w:r w:rsidR="00FD082A">
        <w:rPr>
          <w:rFonts w:ascii="Times New Roman" w:hAnsi="Times New Roman" w:cs="Times New Roman"/>
          <w:sz w:val="24"/>
          <w:szCs w:val="24"/>
        </w:rPr>
        <w:t xml:space="preserve"> Maria Ion.</w:t>
      </w:r>
    </w:p>
    <w:p w14:paraId="56251F89" w14:textId="77777777" w:rsidR="00B1512B" w:rsidRDefault="00B1512B" w:rsidP="00B1512B">
      <w:pPr>
        <w:spacing w:after="0" w:line="480" w:lineRule="auto"/>
        <w:jc w:val="center"/>
        <w:rPr>
          <w:rFonts w:ascii="Times New Roman" w:hAnsi="Times New Roman" w:cs="Times New Roman"/>
          <w:sz w:val="24"/>
          <w:szCs w:val="24"/>
        </w:rPr>
      </w:pPr>
    </w:p>
    <w:p w14:paraId="6937A415" w14:textId="77777777" w:rsidR="00B1512B" w:rsidRDefault="00B1512B" w:rsidP="00B1512B">
      <w:pPr>
        <w:spacing w:after="0" w:line="480" w:lineRule="auto"/>
        <w:jc w:val="center"/>
        <w:rPr>
          <w:rFonts w:ascii="Times New Roman" w:hAnsi="Times New Roman" w:cs="Times New Roman"/>
          <w:sz w:val="24"/>
          <w:szCs w:val="24"/>
        </w:rPr>
      </w:pPr>
    </w:p>
    <w:p w14:paraId="169EA740" w14:textId="66B75D3A" w:rsidR="00B1512B" w:rsidRDefault="00B1512B" w:rsidP="00B1512B">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City</w:t>
      </w:r>
      <w:r w:rsidR="00FD082A">
        <w:rPr>
          <w:rFonts w:ascii="Times New Roman" w:hAnsi="Times New Roman" w:cs="Times New Roman"/>
          <w:sz w:val="24"/>
          <w:szCs w:val="24"/>
        </w:rPr>
        <w:t>: Birmingham</w:t>
      </w:r>
    </w:p>
    <w:p w14:paraId="5F83121F" w14:textId="5B757792" w:rsidR="00B1512B" w:rsidRDefault="00B1512B" w:rsidP="00B1512B">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Course</w:t>
      </w:r>
      <w:r w:rsidR="00FD082A">
        <w:rPr>
          <w:rFonts w:ascii="Times New Roman" w:hAnsi="Times New Roman" w:cs="Times New Roman"/>
          <w:sz w:val="24"/>
          <w:szCs w:val="24"/>
        </w:rPr>
        <w:t>: BABM BUSINESS</w:t>
      </w:r>
    </w:p>
    <w:p w14:paraId="425B213A" w14:textId="127D3DED" w:rsidR="00B1512B" w:rsidRDefault="00B1512B" w:rsidP="00B1512B">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Student number</w:t>
      </w:r>
      <w:r w:rsidR="00FD082A">
        <w:rPr>
          <w:rFonts w:ascii="Times New Roman" w:hAnsi="Times New Roman" w:cs="Times New Roman"/>
          <w:sz w:val="24"/>
          <w:szCs w:val="24"/>
        </w:rPr>
        <w:t>: 2008482</w:t>
      </w:r>
    </w:p>
    <w:p w14:paraId="1F7B9A67" w14:textId="42520D30" w:rsidR="00B1512B" w:rsidRPr="00B1512B" w:rsidRDefault="00B1512B" w:rsidP="00FD082A">
      <w:pPr>
        <w:spacing w:after="0" w:line="480" w:lineRule="auto"/>
        <w:rPr>
          <w:rFonts w:ascii="Times New Roman" w:hAnsi="Times New Roman" w:cs="Times New Roman"/>
          <w:sz w:val="24"/>
          <w:szCs w:val="24"/>
        </w:rPr>
      </w:pPr>
    </w:p>
    <w:p w14:paraId="63DF17BD" w14:textId="77777777" w:rsidR="00B1512B" w:rsidRDefault="00B1512B" w:rsidP="00B1512B">
      <w:pPr>
        <w:rPr>
          <w:rFonts w:ascii="Times New Roman" w:hAnsi="Times New Roman" w:cs="Times New Roman"/>
          <w:b/>
          <w:sz w:val="24"/>
          <w:szCs w:val="24"/>
        </w:rPr>
      </w:pPr>
      <w:r>
        <w:rPr>
          <w:rFonts w:ascii="Times New Roman" w:hAnsi="Times New Roman" w:cs="Times New Roman"/>
          <w:b/>
          <w:sz w:val="24"/>
          <w:szCs w:val="24"/>
        </w:rPr>
        <w:br w:type="page"/>
      </w:r>
    </w:p>
    <w:p w14:paraId="009EA1F4" w14:textId="77777777" w:rsidR="00314B0A" w:rsidRPr="00314B0A" w:rsidRDefault="009F6507" w:rsidP="00B1512B">
      <w:pPr>
        <w:pStyle w:val="ListParagraph"/>
        <w:numPr>
          <w:ilvl w:val="0"/>
          <w:numId w:val="1"/>
        </w:numPr>
        <w:spacing w:after="0" w:line="480" w:lineRule="auto"/>
        <w:rPr>
          <w:rFonts w:ascii="Times New Roman" w:hAnsi="Times New Roman" w:cs="Times New Roman"/>
          <w:b/>
          <w:sz w:val="24"/>
          <w:szCs w:val="24"/>
        </w:rPr>
      </w:pPr>
      <w:r w:rsidRPr="00314B0A">
        <w:rPr>
          <w:rFonts w:ascii="Times New Roman" w:hAnsi="Times New Roman" w:cs="Times New Roman"/>
          <w:b/>
          <w:sz w:val="24"/>
          <w:szCs w:val="24"/>
        </w:rPr>
        <w:lastRenderedPageBreak/>
        <w:t xml:space="preserve">Reflective practices and the models of reflections </w:t>
      </w:r>
    </w:p>
    <w:p w14:paraId="60B7BD85" w14:textId="77777777" w:rsidR="003604F2" w:rsidRDefault="009F6507" w:rsidP="00B1512B">
      <w:pPr>
        <w:spacing w:after="0" w:line="480" w:lineRule="auto"/>
        <w:ind w:firstLine="360"/>
        <w:rPr>
          <w:rFonts w:ascii="Times New Roman" w:hAnsi="Times New Roman" w:cs="Times New Roman"/>
          <w:sz w:val="24"/>
          <w:szCs w:val="24"/>
        </w:rPr>
      </w:pPr>
      <w:r>
        <w:rPr>
          <w:rFonts w:ascii="Times New Roman" w:hAnsi="Times New Roman" w:cs="Times New Roman"/>
          <w:sz w:val="24"/>
          <w:szCs w:val="24"/>
        </w:rPr>
        <w:t>Reflective practice is defined as the basis of professional development. For personal growth and organization development, the reflective practice explores the meaning from experience and transmutes the vision into practical strategies. Reflective practice involves the understanding of the daily activities and implementing them to everyday life to hasty critical analysis, raises awareness, decision making, and self-management. This can be defined in different consent, which includes noticing patterns, changing what we see and the way we see them, facing our assumptions, and listening to inside us</w:t>
      </w:r>
      <w:r w:rsidR="00B1512B">
        <w:rPr>
          <w:rFonts w:ascii="Times New Roman" w:hAnsi="Times New Roman" w:cs="Times New Roman"/>
          <w:sz w:val="24"/>
          <w:szCs w:val="24"/>
        </w:rPr>
        <w:t xml:space="preserve"> (Mathew et al</w:t>
      </w:r>
      <w:r w:rsidR="00E51B4C">
        <w:rPr>
          <w:rFonts w:ascii="Times New Roman" w:hAnsi="Times New Roman" w:cs="Times New Roman"/>
          <w:sz w:val="24"/>
          <w:szCs w:val="24"/>
        </w:rPr>
        <w:t>.,</w:t>
      </w:r>
      <w:r w:rsidR="00B1512B">
        <w:rPr>
          <w:rFonts w:ascii="Times New Roman" w:hAnsi="Times New Roman" w:cs="Times New Roman"/>
          <w:sz w:val="24"/>
          <w:szCs w:val="24"/>
        </w:rPr>
        <w:t xml:space="preserve"> 2017)</w:t>
      </w:r>
      <w:r>
        <w:rPr>
          <w:rFonts w:ascii="Times New Roman" w:hAnsi="Times New Roman" w:cs="Times New Roman"/>
          <w:sz w:val="24"/>
          <w:szCs w:val="24"/>
        </w:rPr>
        <w:t xml:space="preserve">. Learning is a progression of what we do </w:t>
      </w:r>
      <w:r w:rsidR="00EB5D58">
        <w:rPr>
          <w:rFonts w:ascii="Times New Roman" w:hAnsi="Times New Roman" w:cs="Times New Roman"/>
          <w:sz w:val="24"/>
          <w:szCs w:val="24"/>
        </w:rPr>
        <w:t>every day</w:t>
      </w:r>
      <w:r>
        <w:rPr>
          <w:rFonts w:ascii="Times New Roman" w:hAnsi="Times New Roman" w:cs="Times New Roman"/>
          <w:sz w:val="24"/>
          <w:szCs w:val="24"/>
        </w:rPr>
        <w:t>; the reflective practices analyze, articulate, and recognizes what we learn day by day.</w:t>
      </w:r>
    </w:p>
    <w:p w14:paraId="03EE73C8" w14:textId="77777777" w:rsidR="00EB5D58" w:rsidRDefault="00B1512B" w:rsidP="00B1512B">
      <w:pPr>
        <w:spacing w:after="0" w:line="480" w:lineRule="auto"/>
        <w:ind w:firstLine="360"/>
        <w:rPr>
          <w:rFonts w:ascii="Times New Roman" w:hAnsi="Times New Roman" w:cs="Times New Roman"/>
          <w:sz w:val="24"/>
          <w:szCs w:val="24"/>
        </w:rPr>
      </w:pPr>
      <w:proofErr w:type="spellStart"/>
      <w:r>
        <w:rPr>
          <w:rFonts w:ascii="Times New Roman" w:hAnsi="Times New Roman" w:cs="Times New Roman"/>
          <w:sz w:val="24"/>
          <w:szCs w:val="24"/>
        </w:rPr>
        <w:t>Mora</w:t>
      </w:r>
      <w:r w:rsidR="00E51B4C">
        <w:rPr>
          <w:rFonts w:ascii="Times New Roman" w:hAnsi="Times New Roman" w:cs="Times New Roman"/>
          <w:sz w:val="24"/>
          <w:szCs w:val="24"/>
        </w:rPr>
        <w:t>dkhani</w:t>
      </w:r>
      <w:proofErr w:type="spellEnd"/>
      <w:r w:rsidR="00E51B4C">
        <w:rPr>
          <w:rFonts w:ascii="Times New Roman" w:hAnsi="Times New Roman" w:cs="Times New Roman"/>
          <w:sz w:val="24"/>
          <w:szCs w:val="24"/>
        </w:rPr>
        <w:t xml:space="preserve"> et al.,</w:t>
      </w:r>
      <w:r>
        <w:rPr>
          <w:rFonts w:ascii="Times New Roman" w:hAnsi="Times New Roman" w:cs="Times New Roman"/>
          <w:sz w:val="24"/>
          <w:szCs w:val="24"/>
        </w:rPr>
        <w:t xml:space="preserve"> 2017, </w:t>
      </w:r>
      <w:r w:rsidR="009F6507">
        <w:rPr>
          <w:rFonts w:ascii="Times New Roman" w:hAnsi="Times New Roman" w:cs="Times New Roman"/>
          <w:sz w:val="24"/>
          <w:szCs w:val="24"/>
        </w:rPr>
        <w:t xml:space="preserve">suggests that the learning between children and adults is very different. When the children are learning by creating new connections in their brains and arranging them in sequences, the adult's brain is full of links. Their approach to learning is considered unlearning, which is the crucial component of processes. However, the teaching differs from one adult to another; this is made possible by the difference and unique mental models, set experiences, and assumptions. To restructure, reorder what individual known calls for active participation and active listening to the learning process. Also, one has to connect their ideas and personal experiences. </w:t>
      </w:r>
    </w:p>
    <w:p w14:paraId="6DDC8423" w14:textId="77777777" w:rsidR="00294047" w:rsidRDefault="009F6507" w:rsidP="00B1512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There are different models of reflection which, although sharing standard features, their structure and format vary. Atkins and Murphy's reflection model and Gibb's reflection model will be compared in this paper to clarify why reflection models are helpful. </w:t>
      </w:r>
    </w:p>
    <w:p w14:paraId="3FC633AB" w14:textId="77777777" w:rsidR="00294047" w:rsidRPr="0082671E" w:rsidRDefault="009F6507" w:rsidP="00B1512B">
      <w:pPr>
        <w:spacing w:after="0" w:line="480" w:lineRule="auto"/>
        <w:rPr>
          <w:rFonts w:ascii="Times New Roman" w:hAnsi="Times New Roman" w:cs="Times New Roman"/>
          <w:b/>
          <w:sz w:val="24"/>
          <w:szCs w:val="24"/>
        </w:rPr>
      </w:pPr>
      <w:r w:rsidRPr="0082671E">
        <w:rPr>
          <w:rFonts w:ascii="Times New Roman" w:hAnsi="Times New Roman" w:cs="Times New Roman"/>
          <w:b/>
          <w:sz w:val="24"/>
          <w:szCs w:val="24"/>
        </w:rPr>
        <w:t xml:space="preserve">Atkins and Murphy </w:t>
      </w:r>
      <w:r w:rsidR="003604F2" w:rsidRPr="0082671E">
        <w:rPr>
          <w:rFonts w:ascii="Times New Roman" w:hAnsi="Times New Roman" w:cs="Times New Roman"/>
          <w:b/>
          <w:sz w:val="24"/>
          <w:szCs w:val="24"/>
        </w:rPr>
        <w:t xml:space="preserve">  </w:t>
      </w:r>
      <w:r w:rsidR="00410D60" w:rsidRPr="0082671E">
        <w:rPr>
          <w:rFonts w:ascii="Times New Roman" w:hAnsi="Times New Roman" w:cs="Times New Roman"/>
          <w:b/>
          <w:sz w:val="24"/>
          <w:szCs w:val="24"/>
        </w:rPr>
        <w:t xml:space="preserve"> </w:t>
      </w:r>
    </w:p>
    <w:p w14:paraId="31B8F1D3" w14:textId="77777777" w:rsidR="00B1512B" w:rsidRDefault="009F6507" w:rsidP="00B1512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It is a model named after Atkins S. and Murphy. K 1994. The model's main aim was to study and explore the individual experience to allocate improved areas, which can be termed reflective practices. This kind of model is mainly used when the professional requires to learning continually. Reason has been the proactive attitude that is believed to </w:t>
      </w:r>
      <w:r w:rsidR="00445E96">
        <w:rPr>
          <w:rFonts w:ascii="Times New Roman" w:hAnsi="Times New Roman" w:cs="Times New Roman"/>
          <w:sz w:val="24"/>
          <w:szCs w:val="24"/>
        </w:rPr>
        <w:t xml:space="preserve">improve the abilities and professional competencies due to model ability to force people to understand their discomfort and adjust through learning. The Atkins and Murphy model holds that afflictions are crucial for improvements. However, the previous experiences and behaviors should not be confronted as </w:t>
      </w:r>
      <w:r w:rsidR="00B1512B">
        <w:rPr>
          <w:rFonts w:ascii="Times New Roman" w:hAnsi="Times New Roman" w:cs="Times New Roman"/>
          <w:sz w:val="24"/>
          <w:szCs w:val="24"/>
        </w:rPr>
        <w:t>these results</w:t>
      </w:r>
      <w:r w:rsidR="00445E96">
        <w:rPr>
          <w:rFonts w:ascii="Times New Roman" w:hAnsi="Times New Roman" w:cs="Times New Roman"/>
          <w:sz w:val="24"/>
          <w:szCs w:val="24"/>
        </w:rPr>
        <w:t xml:space="preserve"> in uncomfortable practices</w:t>
      </w:r>
      <w:r w:rsidR="00B1512B">
        <w:rPr>
          <w:rFonts w:ascii="Times New Roman" w:hAnsi="Times New Roman" w:cs="Times New Roman"/>
          <w:sz w:val="24"/>
          <w:szCs w:val="24"/>
        </w:rPr>
        <w:t xml:space="preserve"> (</w:t>
      </w:r>
      <w:proofErr w:type="spellStart"/>
      <w:r w:rsidR="00B1512B">
        <w:rPr>
          <w:rFonts w:ascii="Times New Roman" w:hAnsi="Times New Roman" w:cs="Times New Roman"/>
          <w:sz w:val="24"/>
          <w:szCs w:val="24"/>
        </w:rPr>
        <w:t>Mantzourani</w:t>
      </w:r>
      <w:proofErr w:type="spellEnd"/>
      <w:r w:rsidR="00B1512B">
        <w:rPr>
          <w:rFonts w:ascii="Times New Roman" w:hAnsi="Times New Roman" w:cs="Times New Roman"/>
          <w:sz w:val="24"/>
          <w:szCs w:val="24"/>
        </w:rPr>
        <w:t xml:space="preserve"> et al.</w:t>
      </w:r>
      <w:r w:rsidR="00E51B4C">
        <w:rPr>
          <w:rFonts w:ascii="Times New Roman" w:hAnsi="Times New Roman" w:cs="Times New Roman"/>
          <w:sz w:val="24"/>
          <w:szCs w:val="24"/>
        </w:rPr>
        <w:t>,</w:t>
      </w:r>
      <w:r w:rsidR="00B1512B">
        <w:rPr>
          <w:rFonts w:ascii="Times New Roman" w:hAnsi="Times New Roman" w:cs="Times New Roman"/>
          <w:sz w:val="24"/>
          <w:szCs w:val="24"/>
        </w:rPr>
        <w:t xml:space="preserve"> 2019)</w:t>
      </w:r>
      <w:r w:rsidR="00445E96">
        <w:rPr>
          <w:rFonts w:ascii="Times New Roman" w:hAnsi="Times New Roman" w:cs="Times New Roman"/>
          <w:sz w:val="24"/>
          <w:szCs w:val="24"/>
        </w:rPr>
        <w:t xml:space="preserve">. The reflective practices are avoided due to the proactive attitude required to assess previous wrong things. </w:t>
      </w:r>
    </w:p>
    <w:p w14:paraId="1F22092A" w14:textId="77777777" w:rsidR="00961BCA" w:rsidRDefault="009F6507" w:rsidP="00B1512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According</w:t>
      </w:r>
      <w:r w:rsidR="00445E96">
        <w:rPr>
          <w:rFonts w:ascii="Times New Roman" w:hAnsi="Times New Roman" w:cs="Times New Roman"/>
          <w:sz w:val="24"/>
          <w:szCs w:val="24"/>
        </w:rPr>
        <w:t xml:space="preserve"> to other research, </w:t>
      </w:r>
      <w:r>
        <w:rPr>
          <w:rFonts w:ascii="Times New Roman" w:hAnsi="Times New Roman" w:cs="Times New Roman"/>
          <w:sz w:val="24"/>
          <w:szCs w:val="24"/>
        </w:rPr>
        <w:t>continual thinking about the discomfort is preferred, making the reflective practices easy.  Utilizing Atkins and Murphy's models results in performing reflective practices, which impacts the learning processes. Using this model in learning the previous from previous experiences makes it useful in in-depth and critical reflections, thus crucial for individual long-term goals.</w:t>
      </w:r>
      <w:r w:rsidR="00B1512B">
        <w:rPr>
          <w:rFonts w:ascii="Times New Roman" w:hAnsi="Times New Roman" w:cs="Times New Roman"/>
          <w:sz w:val="24"/>
          <w:szCs w:val="24"/>
        </w:rPr>
        <w:t xml:space="preserve"> </w:t>
      </w:r>
      <w:r>
        <w:rPr>
          <w:rFonts w:ascii="Times New Roman" w:hAnsi="Times New Roman" w:cs="Times New Roman"/>
          <w:sz w:val="24"/>
          <w:szCs w:val="24"/>
        </w:rPr>
        <w:t>For a thorough reflection, the Atkins and Murphy model of reflection utilizes various elements which are effective in the whole process. The components of the model are in circular arrangements and are designed to rotate clockwise directions</w:t>
      </w:r>
      <w:r w:rsidR="00B1512B">
        <w:rPr>
          <w:rFonts w:ascii="Times New Roman" w:hAnsi="Times New Roman" w:cs="Times New Roman"/>
          <w:sz w:val="24"/>
          <w:szCs w:val="24"/>
        </w:rPr>
        <w:t xml:space="preserve"> (</w:t>
      </w:r>
      <w:proofErr w:type="spellStart"/>
      <w:r w:rsidR="00B1512B">
        <w:rPr>
          <w:rFonts w:ascii="Times New Roman" w:hAnsi="Times New Roman" w:cs="Times New Roman"/>
          <w:sz w:val="24"/>
          <w:szCs w:val="24"/>
        </w:rPr>
        <w:t>Pather</w:t>
      </w:r>
      <w:proofErr w:type="spellEnd"/>
      <w:r w:rsidR="00B1512B">
        <w:rPr>
          <w:rFonts w:ascii="Times New Roman" w:hAnsi="Times New Roman" w:cs="Times New Roman"/>
          <w:sz w:val="24"/>
          <w:szCs w:val="24"/>
        </w:rPr>
        <w:t xml:space="preserve"> and Cupido, 2020)</w:t>
      </w:r>
      <w:r>
        <w:rPr>
          <w:rFonts w:ascii="Times New Roman" w:hAnsi="Times New Roman" w:cs="Times New Roman"/>
          <w:sz w:val="24"/>
          <w:szCs w:val="24"/>
        </w:rPr>
        <w:t xml:space="preserve">. The collection of the components is as below;  </w:t>
      </w:r>
    </w:p>
    <w:p w14:paraId="77C65E1B" w14:textId="77777777" w:rsidR="00A54BF7" w:rsidRDefault="009F6507" w:rsidP="00B1512B">
      <w:pPr>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445E96">
        <w:rPr>
          <w:rFonts w:ascii="Times New Roman" w:hAnsi="Times New Roman" w:cs="Times New Roman"/>
          <w:sz w:val="24"/>
          <w:szCs w:val="24"/>
        </w:rPr>
        <w:t xml:space="preserve">  </w:t>
      </w:r>
      <w:r w:rsidRPr="00961BCA">
        <w:rPr>
          <w:rFonts w:ascii="Times New Roman" w:hAnsi="Times New Roman" w:cs="Times New Roman"/>
          <w:noProof/>
          <w:sz w:val="24"/>
          <w:szCs w:val="24"/>
        </w:rPr>
        <w:drawing>
          <wp:inline distT="0" distB="0" distL="0" distR="0" wp14:anchorId="4B852D60" wp14:editId="4F2A981C">
            <wp:extent cx="5943600" cy="4457700"/>
            <wp:effectExtent l="0" t="0" r="0" b="0"/>
            <wp:docPr id="1" name="Picture 1" descr="Atkins and Murphy model of reflection components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tkins and Murphy model of reflection components - toolshero"/>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943600" cy="4457700"/>
                    </a:xfrm>
                    <a:prstGeom prst="rect">
                      <a:avLst/>
                    </a:prstGeom>
                    <a:noFill/>
                    <a:ln>
                      <a:noFill/>
                    </a:ln>
                  </pic:spPr>
                </pic:pic>
              </a:graphicData>
            </a:graphic>
          </wp:inline>
        </w:drawing>
      </w:r>
    </w:p>
    <w:p w14:paraId="10152773" w14:textId="77777777" w:rsidR="0082671E" w:rsidRDefault="009F6507" w:rsidP="00B1512B">
      <w:pPr>
        <w:spacing w:after="0" w:line="480" w:lineRule="auto"/>
        <w:rPr>
          <w:rFonts w:ascii="Times New Roman" w:hAnsi="Times New Roman" w:cs="Times New Roman"/>
          <w:b/>
          <w:sz w:val="24"/>
          <w:szCs w:val="24"/>
        </w:rPr>
      </w:pPr>
      <w:r w:rsidRPr="0082671E">
        <w:rPr>
          <w:rFonts w:ascii="Times New Roman" w:hAnsi="Times New Roman" w:cs="Times New Roman"/>
          <w:b/>
          <w:sz w:val="24"/>
          <w:szCs w:val="24"/>
        </w:rPr>
        <w:t xml:space="preserve">Gibbs model </w:t>
      </w:r>
    </w:p>
    <w:p w14:paraId="16972126" w14:textId="77777777" w:rsidR="00B1512B" w:rsidRDefault="009F6507" w:rsidP="00B1512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Gibbs model was developed by Graham Gibbs in 1988, with the aim of structuring learning from experience. The model provides the user with the framework to inspect experiences and provides a cyclic nature to understand and plan things that went wrong. This model is defined as an excellent way to work with experiences. It can work in two ways; stand-alone way or situation way where teams are involved</w:t>
      </w:r>
      <w:r w:rsidR="00B1512B">
        <w:rPr>
          <w:rFonts w:ascii="Times New Roman" w:hAnsi="Times New Roman" w:cs="Times New Roman"/>
          <w:sz w:val="24"/>
          <w:szCs w:val="24"/>
        </w:rPr>
        <w:t xml:space="preserve"> </w:t>
      </w:r>
      <w:r w:rsidR="00E51B4C">
        <w:rPr>
          <w:rFonts w:ascii="Times New Roman" w:hAnsi="Times New Roman" w:cs="Times New Roman"/>
          <w:sz w:val="24"/>
          <w:szCs w:val="24"/>
        </w:rPr>
        <w:t xml:space="preserve">(Wain, 2017). </w:t>
      </w:r>
      <w:r>
        <w:rPr>
          <w:rFonts w:ascii="Times New Roman" w:hAnsi="Times New Roman" w:cs="Times New Roman"/>
          <w:sz w:val="24"/>
          <w:szCs w:val="24"/>
        </w:rPr>
        <w:t xml:space="preserve">Although the Gibbs model was designed for repeated situations, the stages offer the same experiences. </w:t>
      </w:r>
    </w:p>
    <w:p w14:paraId="3EDF7563" w14:textId="77777777" w:rsidR="0082671E" w:rsidRDefault="009F6507" w:rsidP="00B1512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When the model is applied</w:t>
      </w:r>
      <w:r w:rsidR="00556DE9">
        <w:rPr>
          <w:rFonts w:ascii="Times New Roman" w:hAnsi="Times New Roman" w:cs="Times New Roman"/>
          <w:sz w:val="24"/>
          <w:szCs w:val="24"/>
        </w:rPr>
        <w:t xml:space="preserve"> to the stand-alone model, the action plan becomes more general and provides individuals with measures to use their conclusion on a future basis. Each </w:t>
      </w:r>
      <w:r w:rsidR="00556DE9">
        <w:rPr>
          <w:rFonts w:ascii="Times New Roman" w:hAnsi="Times New Roman" w:cs="Times New Roman"/>
          <w:sz w:val="24"/>
          <w:szCs w:val="24"/>
        </w:rPr>
        <w:lastRenderedPageBreak/>
        <w:t>stage provided by the Gibbs model provides the individual with a question that they need to answer. While Atkins and Murphy act as a stand-alone model, the Gibbs model can be applied for both stand-alone and team where collaboration is required. Although Gibbs uses the previous experiences, there are no beliefs of any professionalism associated with prior experiences. However, the question asked in each of the stages is based on past experiences.  Below is the structure of the Gibbs model and rotates in a clockwise direction</w:t>
      </w:r>
      <w:r w:rsidR="00E51B4C">
        <w:rPr>
          <w:rFonts w:ascii="Times New Roman" w:hAnsi="Times New Roman" w:cs="Times New Roman"/>
          <w:sz w:val="24"/>
          <w:szCs w:val="24"/>
        </w:rPr>
        <w:t xml:space="preserve"> (Ardian et al., 2019)</w:t>
      </w:r>
      <w:r w:rsidR="00556DE9">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1DA734DA" w14:textId="77777777" w:rsidR="0082671E" w:rsidRDefault="0082671E" w:rsidP="00B1512B">
      <w:pPr>
        <w:spacing w:after="0" w:line="480" w:lineRule="auto"/>
        <w:rPr>
          <w:rFonts w:ascii="Times New Roman" w:hAnsi="Times New Roman" w:cs="Times New Roman"/>
          <w:sz w:val="24"/>
          <w:szCs w:val="24"/>
        </w:rPr>
      </w:pPr>
    </w:p>
    <w:p w14:paraId="32A35986" w14:textId="77777777" w:rsidR="00556DE9" w:rsidRDefault="009F6507" w:rsidP="00B1512B">
      <w:pPr>
        <w:spacing w:after="0" w:line="480" w:lineRule="auto"/>
        <w:rPr>
          <w:rFonts w:ascii="Times New Roman" w:hAnsi="Times New Roman" w:cs="Times New Roman"/>
          <w:sz w:val="24"/>
          <w:szCs w:val="24"/>
        </w:rPr>
      </w:pPr>
      <w:r>
        <w:rPr>
          <w:noProof/>
        </w:rPr>
        <w:drawing>
          <wp:inline distT="0" distB="0" distL="0" distR="0" wp14:anchorId="301A5B04" wp14:editId="7E22710E">
            <wp:extent cx="5709920" cy="5709920"/>
            <wp:effectExtent l="0" t="0" r="5080" b="5080"/>
            <wp:docPr id="4" name="Picture 4"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9" descr="A circular diagram showing the 6 stages of Gibbs' Reflective cycle"/>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709920" cy="5709920"/>
                    </a:xfrm>
                    <a:prstGeom prst="rect">
                      <a:avLst/>
                    </a:prstGeom>
                    <a:noFill/>
                    <a:ln>
                      <a:noFill/>
                    </a:ln>
                  </pic:spPr>
                </pic:pic>
              </a:graphicData>
            </a:graphic>
          </wp:inline>
        </w:drawing>
      </w:r>
    </w:p>
    <w:p w14:paraId="3FAE4AB6" w14:textId="77777777" w:rsidR="00D510F4" w:rsidRDefault="009F6507" w:rsidP="00B1512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Some of the reflection practices are beyond stand-alone. Therefore Gibbs model remains worth it. This is because collaborative working offers comprehensive ways through which an individual would have altered the previous experience for the present actions. Also, the questions aligned with the Gibbs model provide the individual with the structure of what they would have done and feel to counteract the previous experiences. All of the models build their illustrations of earlier experiences, making them effective in designing the present actions. Although all the two remain effective, the ability to learn as a group makes Gibbs more useful than Atkins and Murphy's reflective models</w:t>
      </w:r>
      <w:r w:rsidR="00E51B4C">
        <w:rPr>
          <w:rFonts w:ascii="Times New Roman" w:hAnsi="Times New Roman" w:cs="Times New Roman"/>
          <w:sz w:val="24"/>
          <w:szCs w:val="24"/>
        </w:rPr>
        <w:t xml:space="preserve"> </w:t>
      </w:r>
      <w:r w:rsidR="00E51B4C" w:rsidRPr="00E51B4C">
        <w:rPr>
          <w:rFonts w:ascii="Times New Roman" w:hAnsi="Times New Roman" w:cs="Times New Roman"/>
          <w:sz w:val="24"/>
          <w:szCs w:val="24"/>
        </w:rPr>
        <w:t>(Ardian et al., 2019)</w:t>
      </w:r>
      <w:r w:rsidR="00E51B4C">
        <w:rPr>
          <w:rFonts w:ascii="Times New Roman" w:hAnsi="Times New Roman" w:cs="Times New Roman"/>
          <w:sz w:val="24"/>
          <w:szCs w:val="24"/>
        </w:rPr>
        <w:t xml:space="preserve">. </w:t>
      </w:r>
      <w:r>
        <w:rPr>
          <w:rFonts w:ascii="Times New Roman" w:hAnsi="Times New Roman" w:cs="Times New Roman"/>
          <w:sz w:val="24"/>
          <w:szCs w:val="24"/>
        </w:rPr>
        <w:t xml:space="preserve">I would therefore recommend Gibbs, a model for reflective practices. </w:t>
      </w:r>
    </w:p>
    <w:p w14:paraId="1C750A93" w14:textId="77777777" w:rsidR="00EB438D" w:rsidRPr="00314B0A" w:rsidRDefault="009F6507" w:rsidP="00B1512B">
      <w:pPr>
        <w:spacing w:after="0" w:line="480" w:lineRule="auto"/>
        <w:rPr>
          <w:rFonts w:ascii="Times New Roman" w:hAnsi="Times New Roman" w:cs="Times New Roman"/>
          <w:b/>
          <w:sz w:val="24"/>
          <w:szCs w:val="24"/>
        </w:rPr>
      </w:pPr>
      <w:r w:rsidRPr="00314B0A">
        <w:rPr>
          <w:rFonts w:ascii="Times New Roman" w:hAnsi="Times New Roman" w:cs="Times New Roman"/>
          <w:b/>
          <w:sz w:val="24"/>
          <w:szCs w:val="24"/>
        </w:rPr>
        <w:t>b.) A personal experience and learning of the module with the Gibbs model</w:t>
      </w:r>
    </w:p>
    <w:p w14:paraId="512376CD" w14:textId="77777777" w:rsidR="00EB438D" w:rsidRPr="00314B0A" w:rsidRDefault="009F6507" w:rsidP="00B1512B">
      <w:pPr>
        <w:spacing w:after="0" w:line="480" w:lineRule="auto"/>
        <w:rPr>
          <w:rFonts w:ascii="Times New Roman" w:hAnsi="Times New Roman" w:cs="Times New Roman"/>
          <w:i/>
          <w:sz w:val="24"/>
          <w:szCs w:val="24"/>
        </w:rPr>
      </w:pPr>
      <w:r w:rsidRPr="00314B0A">
        <w:rPr>
          <w:rFonts w:ascii="Times New Roman" w:hAnsi="Times New Roman" w:cs="Times New Roman"/>
          <w:i/>
          <w:sz w:val="24"/>
          <w:szCs w:val="24"/>
        </w:rPr>
        <w:t xml:space="preserve">Description </w:t>
      </w:r>
    </w:p>
    <w:p w14:paraId="589188AA" w14:textId="77777777" w:rsidR="00623F89" w:rsidRDefault="009F6507" w:rsidP="00B1512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This module involves understanding different co</w:t>
      </w:r>
      <w:r w:rsidR="00BF785D">
        <w:rPr>
          <w:rFonts w:ascii="Times New Roman" w:hAnsi="Times New Roman" w:cs="Times New Roman"/>
          <w:sz w:val="24"/>
          <w:szCs w:val="24"/>
        </w:rPr>
        <w:t>mmunity concepts and how they should involve the community in their collaborative work activities. Therefore field practical may play a vital role in improving the learning of this module. On a group of three and I, we structured a way to survey the community engagement in the neighboring business. We divided the task into four parts to avoid time wastages as our assessor needed the survey; we did not schedule a time to gather all the information. When we sat joined our surveys,  we understood that surveys were done differently and did not follow an authentic order. We were forced to redo the s</w:t>
      </w:r>
      <w:r>
        <w:rPr>
          <w:rFonts w:ascii="Times New Roman" w:hAnsi="Times New Roman" w:cs="Times New Roman"/>
          <w:sz w:val="24"/>
          <w:szCs w:val="24"/>
        </w:rPr>
        <w:t xml:space="preserve">tudy as one way to provide a well-structured survey. We had planned enough time for individual surveys to meet the dateline. However, we did not create a time to redesign the study, which forced some members to drop their day plan to finish the study before the dateline. </w:t>
      </w:r>
    </w:p>
    <w:p w14:paraId="6234B4B4" w14:textId="77777777" w:rsidR="00623F89" w:rsidRPr="00314B0A" w:rsidRDefault="009F6507" w:rsidP="00B1512B">
      <w:pPr>
        <w:spacing w:after="0" w:line="480" w:lineRule="auto"/>
        <w:rPr>
          <w:rFonts w:ascii="Times New Roman" w:hAnsi="Times New Roman" w:cs="Times New Roman"/>
          <w:i/>
          <w:sz w:val="24"/>
          <w:szCs w:val="24"/>
        </w:rPr>
      </w:pPr>
      <w:r w:rsidRPr="00314B0A">
        <w:rPr>
          <w:rFonts w:ascii="Times New Roman" w:hAnsi="Times New Roman" w:cs="Times New Roman"/>
          <w:i/>
          <w:sz w:val="24"/>
          <w:szCs w:val="24"/>
        </w:rPr>
        <w:t xml:space="preserve">Feeling </w:t>
      </w:r>
    </w:p>
    <w:p w14:paraId="1B053A28" w14:textId="77777777" w:rsidR="00606D5D" w:rsidRDefault="009F6507" w:rsidP="00B1512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When we divided the tasks individually, it was the best feeling, and I thought it was the best way to meet the dateline. After realizing the survey assignment was not well structured, I got worried. Redoing the surveys motivated me, and I was so sure it will work before the dateline. Realizing that some of the people had to cancel their duties, I felt it was my fault. This enabled me to work smart and meet the dateline. For now, is feel satisfied having met the dateline.</w:t>
      </w:r>
    </w:p>
    <w:p w14:paraId="3294BF10" w14:textId="77777777" w:rsidR="00606D5D" w:rsidRPr="00314B0A" w:rsidRDefault="009F6507" w:rsidP="00B1512B">
      <w:pPr>
        <w:spacing w:after="0" w:line="480" w:lineRule="auto"/>
        <w:rPr>
          <w:rFonts w:ascii="Times New Roman" w:hAnsi="Times New Roman" w:cs="Times New Roman"/>
          <w:i/>
          <w:sz w:val="24"/>
          <w:szCs w:val="24"/>
        </w:rPr>
      </w:pPr>
      <w:r w:rsidRPr="00314B0A">
        <w:rPr>
          <w:rFonts w:ascii="Times New Roman" w:hAnsi="Times New Roman" w:cs="Times New Roman"/>
          <w:i/>
          <w:sz w:val="24"/>
          <w:szCs w:val="24"/>
        </w:rPr>
        <w:t xml:space="preserve">Evaluation </w:t>
      </w:r>
    </w:p>
    <w:p w14:paraId="0F729AF0" w14:textId="77777777" w:rsidR="00606D5D" w:rsidRDefault="009F6507" w:rsidP="00B1512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One thing that went well is that everyone in the group provided their surveys on time. Also, some people canceled their daily plan to be committed with the failed part motivated the group to work hard and meet the dateline; this was a sign following the group's code of ethics. However, assuming that everyone works the same as the other was the worst experience, and failure to provide the module's quality failed. </w:t>
      </w:r>
    </w:p>
    <w:p w14:paraId="3AAE9FA9" w14:textId="77777777" w:rsidR="00606D5D" w:rsidRPr="00314B0A" w:rsidRDefault="009F6507" w:rsidP="00B1512B">
      <w:pPr>
        <w:spacing w:after="0" w:line="480" w:lineRule="auto"/>
        <w:rPr>
          <w:rFonts w:ascii="Times New Roman" w:hAnsi="Times New Roman" w:cs="Times New Roman"/>
          <w:i/>
          <w:sz w:val="24"/>
          <w:szCs w:val="24"/>
        </w:rPr>
      </w:pPr>
      <w:r w:rsidRPr="00314B0A">
        <w:rPr>
          <w:rFonts w:ascii="Times New Roman" w:hAnsi="Times New Roman" w:cs="Times New Roman"/>
          <w:i/>
          <w:sz w:val="24"/>
          <w:szCs w:val="24"/>
        </w:rPr>
        <w:t xml:space="preserve">Analysis </w:t>
      </w:r>
    </w:p>
    <w:p w14:paraId="582FF241" w14:textId="77777777" w:rsidR="00606D5D" w:rsidRDefault="009F6507" w:rsidP="00B1512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Every member providing their assignment on time is due to the survey's allocation according to the strong basis of every individual. </w:t>
      </w:r>
      <w:r w:rsidR="00695CD7">
        <w:rPr>
          <w:rFonts w:ascii="Times New Roman" w:hAnsi="Times New Roman" w:cs="Times New Roman"/>
          <w:sz w:val="24"/>
          <w:szCs w:val="24"/>
        </w:rPr>
        <w:t xml:space="preserve">This has been going well in other projects because I pick the parts that I am well contented with, thus valid for different groups. </w:t>
      </w:r>
    </w:p>
    <w:p w14:paraId="426D9BFA" w14:textId="77777777" w:rsidR="00314B0A" w:rsidRDefault="009F6507" w:rsidP="00B1512B">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Although this plan would save us time, it didn't work as planned. In the end, this strategy wasted our time with others canceling their daily activities to meet the dateline. To my thought, we failed to plan time which would enable us to meet every one hour to gather what we had, and this was the cause of this situation.  There are various theories that I found we failed to address in our group survey. First, we were unable to understand the different sides of the participant brought into the group. The group only focused on the strong side and not the weak sides. Theorists suggested that all the groups understand the different sides of their participants, which </w:t>
      </w:r>
      <w:r w:rsidR="002533D4">
        <w:rPr>
          <w:rFonts w:ascii="Times New Roman" w:hAnsi="Times New Roman" w:cs="Times New Roman"/>
          <w:sz w:val="24"/>
          <w:szCs w:val="24"/>
        </w:rPr>
        <w:t xml:space="preserve">we </w:t>
      </w:r>
      <w:r>
        <w:rPr>
          <w:rFonts w:ascii="Times New Roman" w:hAnsi="Times New Roman" w:cs="Times New Roman"/>
          <w:sz w:val="24"/>
          <w:szCs w:val="24"/>
        </w:rPr>
        <w:t xml:space="preserve">failed.  </w:t>
      </w:r>
      <w:r>
        <w:rPr>
          <w:rFonts w:ascii="Times New Roman" w:hAnsi="Times New Roman" w:cs="Times New Roman"/>
          <w:sz w:val="24"/>
          <w:szCs w:val="24"/>
        </w:rPr>
        <w:lastRenderedPageBreak/>
        <w:t xml:space="preserve">Also, groupthink affected our plan, and that was why it didn't work; this is when the members would not raise conflicting ideas to the dominant opinion as this would make be termed as an outsider. Therefore if the group had utilized the plan's criticism, it would have predicted the plan's failure </w:t>
      </w:r>
      <w:r w:rsidR="002533D4">
        <w:rPr>
          <w:rFonts w:ascii="Times New Roman" w:hAnsi="Times New Roman" w:cs="Times New Roman"/>
          <w:sz w:val="24"/>
          <w:szCs w:val="24"/>
        </w:rPr>
        <w:t>(Geramian et al., 2019)</w:t>
      </w:r>
      <w:r>
        <w:rPr>
          <w:rFonts w:ascii="Times New Roman" w:hAnsi="Times New Roman" w:cs="Times New Roman"/>
          <w:sz w:val="24"/>
          <w:szCs w:val="24"/>
        </w:rPr>
        <w:t>. The illusion of vulnerability, which involves a lack of seeing the wrong side of us, and collective rationalization, which involves thoughts that all will be okay, were among our group's characteristics.</w:t>
      </w:r>
    </w:p>
    <w:p w14:paraId="0205A309" w14:textId="77777777" w:rsidR="00314B0A" w:rsidRPr="00314B0A" w:rsidRDefault="009F6507" w:rsidP="00B1512B">
      <w:pPr>
        <w:spacing w:after="0" w:line="480" w:lineRule="auto"/>
        <w:rPr>
          <w:rFonts w:ascii="Times New Roman" w:hAnsi="Times New Roman" w:cs="Times New Roman"/>
          <w:i/>
          <w:sz w:val="24"/>
          <w:szCs w:val="24"/>
        </w:rPr>
      </w:pPr>
      <w:r w:rsidRPr="00314B0A">
        <w:rPr>
          <w:rFonts w:ascii="Times New Roman" w:hAnsi="Times New Roman" w:cs="Times New Roman"/>
          <w:i/>
          <w:sz w:val="24"/>
          <w:szCs w:val="24"/>
        </w:rPr>
        <w:t xml:space="preserve">Conclusion </w:t>
      </w:r>
    </w:p>
    <w:p w14:paraId="2D4C4240" w14:textId="77777777" w:rsidR="00695CD7" w:rsidRDefault="009F6507" w:rsidP="00B1512B">
      <w:pPr>
        <w:spacing w:after="0"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In the whole process, I learned that a group willing to divide their assignment should allocate time in the middle of the project to enable the group to table the bad and good sides of its mission. Also, we should criticize the dominant decision, which everyone thinks would work effectively to reduce groupthink impacts. If we had done this, the group would not have failed in time planning.   </w:t>
      </w:r>
    </w:p>
    <w:p w14:paraId="61964AA5" w14:textId="77777777" w:rsidR="002533D4" w:rsidRDefault="009F6507" w:rsidP="00B1512B">
      <w:pPr>
        <w:spacing w:after="0" w:line="480" w:lineRule="auto"/>
        <w:ind w:left="360"/>
        <w:rPr>
          <w:rFonts w:ascii="Times New Roman" w:hAnsi="Times New Roman" w:cs="Times New Roman"/>
          <w:sz w:val="24"/>
          <w:szCs w:val="24"/>
        </w:rPr>
      </w:pPr>
      <w:r>
        <w:rPr>
          <w:rFonts w:ascii="Times New Roman" w:hAnsi="Times New Roman" w:cs="Times New Roman"/>
          <w:sz w:val="24"/>
          <w:szCs w:val="24"/>
        </w:rPr>
        <w:t>c.)</w:t>
      </w:r>
      <w:r w:rsidR="00D510F4" w:rsidRPr="002533D4">
        <w:rPr>
          <w:rFonts w:ascii="Times New Roman" w:hAnsi="Times New Roman" w:cs="Times New Roman"/>
          <w:sz w:val="24"/>
          <w:szCs w:val="24"/>
        </w:rPr>
        <w:t xml:space="preserve">  </w:t>
      </w:r>
      <w:r>
        <w:rPr>
          <w:rFonts w:ascii="Times New Roman" w:hAnsi="Times New Roman" w:cs="Times New Roman"/>
          <w:b/>
          <w:sz w:val="24"/>
          <w:szCs w:val="24"/>
        </w:rPr>
        <w:t>P</w:t>
      </w:r>
      <w:r w:rsidRPr="002533D4">
        <w:rPr>
          <w:rFonts w:ascii="Times New Roman" w:hAnsi="Times New Roman" w:cs="Times New Roman"/>
          <w:b/>
          <w:sz w:val="24"/>
          <w:szCs w:val="24"/>
        </w:rPr>
        <w:t>ersonal experience and the academic theories</w:t>
      </w:r>
      <w:r>
        <w:rPr>
          <w:rFonts w:ascii="Times New Roman" w:hAnsi="Times New Roman" w:cs="Times New Roman"/>
          <w:sz w:val="24"/>
          <w:szCs w:val="24"/>
        </w:rPr>
        <w:t xml:space="preserve"> </w:t>
      </w:r>
      <w:r w:rsidR="00556DE9" w:rsidRPr="002533D4">
        <w:rPr>
          <w:rFonts w:ascii="Times New Roman" w:hAnsi="Times New Roman" w:cs="Times New Roman"/>
          <w:sz w:val="24"/>
          <w:szCs w:val="24"/>
        </w:rPr>
        <w:t xml:space="preserve"> </w:t>
      </w:r>
    </w:p>
    <w:p w14:paraId="5DBA9207" w14:textId="77777777" w:rsidR="007B5378" w:rsidRDefault="009F6507" w:rsidP="00B1512B">
      <w:pPr>
        <w:spacing w:after="0" w:line="480" w:lineRule="auto"/>
        <w:ind w:firstLine="360"/>
        <w:rPr>
          <w:rFonts w:ascii="Times New Roman" w:hAnsi="Times New Roman" w:cs="Times New Roman"/>
          <w:sz w:val="24"/>
          <w:szCs w:val="24"/>
        </w:rPr>
      </w:pPr>
      <w:r>
        <w:rPr>
          <w:rFonts w:ascii="Times New Roman" w:hAnsi="Times New Roman" w:cs="Times New Roman"/>
          <w:sz w:val="24"/>
          <w:szCs w:val="24"/>
        </w:rPr>
        <w:t>The cognitive theory of learning can be linked with my personal experience designed by the Gibbs model. According to cognitive theory, both internal and external factors contribute to our performances. The approach focuses more on what people think, with external and internal elements impacting the way we learn. The theory suggests that the students are affected by their thought process, which negatively impacts their learning. In our groups, internal thoughts affected the way we acted and the failure of our plan. The group was driven by what we thought was right. Although it was right, the group failed to look at the assignment on the other side and the impacts it would cost to the group, something called groupthink. This can be defined as the internal factor which influenced performances. According to a physiologist, the environment affects our learning</w:t>
      </w:r>
      <w:r w:rsidR="00E51B4C">
        <w:rPr>
          <w:rFonts w:ascii="Times New Roman" w:hAnsi="Times New Roman" w:cs="Times New Roman"/>
          <w:sz w:val="24"/>
          <w:szCs w:val="24"/>
        </w:rPr>
        <w:t xml:space="preserve"> (Rudolph, 2017)</w:t>
      </w:r>
      <w:r>
        <w:rPr>
          <w:rFonts w:ascii="Times New Roman" w:hAnsi="Times New Roman" w:cs="Times New Roman"/>
          <w:sz w:val="24"/>
          <w:szCs w:val="24"/>
        </w:rPr>
        <w:t xml:space="preserve">. Therefore, with four members in the group, every </w:t>
      </w:r>
      <w:r>
        <w:rPr>
          <w:rFonts w:ascii="Times New Roman" w:hAnsi="Times New Roman" w:cs="Times New Roman"/>
          <w:sz w:val="24"/>
          <w:szCs w:val="24"/>
        </w:rPr>
        <w:lastRenderedPageBreak/>
        <w:t xml:space="preserve">individual's thinking was influenced. That was why no one would criticize the dominant opinion, which we thought would enable the group to achieve its goals within the set dates. </w:t>
      </w:r>
    </w:p>
    <w:p w14:paraId="5980FA92" w14:textId="77777777" w:rsidR="00C80ECF" w:rsidRDefault="009F6507" w:rsidP="00B1512B">
      <w:pPr>
        <w:spacing w:after="0" w:line="480" w:lineRule="auto"/>
        <w:ind w:firstLine="360"/>
        <w:rPr>
          <w:rFonts w:ascii="Times New Roman" w:hAnsi="Times New Roman" w:cs="Times New Roman"/>
          <w:sz w:val="24"/>
          <w:szCs w:val="24"/>
        </w:rPr>
      </w:pPr>
      <w:r>
        <w:rPr>
          <w:rFonts w:ascii="Times New Roman" w:hAnsi="Times New Roman" w:cs="Times New Roman"/>
          <w:sz w:val="24"/>
          <w:szCs w:val="24"/>
        </w:rPr>
        <w:t>Also, the humanism theory of learning is a reflection of what the group provided. According to this theory, the idea of self-actualization is focused. It suggests that everyone functions depending on the hierarchy of needs. Therefore, one goes with what he or she feels is best for them. in our group survey, we shared the obligation and the task depending on the strength of every individual self-actualizing every group member. Everyone was therefore fighting hard to ensure the provided study is completed on time</w:t>
      </w:r>
      <w:r w:rsidR="00E51B4C">
        <w:rPr>
          <w:rFonts w:ascii="Times New Roman" w:hAnsi="Times New Roman" w:cs="Times New Roman"/>
          <w:sz w:val="24"/>
          <w:szCs w:val="24"/>
        </w:rPr>
        <w:t xml:space="preserve"> (Maharani and </w:t>
      </w:r>
      <w:proofErr w:type="spellStart"/>
      <w:r w:rsidR="00E51B4C">
        <w:rPr>
          <w:rFonts w:ascii="Times New Roman" w:hAnsi="Times New Roman" w:cs="Times New Roman"/>
          <w:sz w:val="24"/>
          <w:szCs w:val="24"/>
        </w:rPr>
        <w:t>Sukestiyarno</w:t>
      </w:r>
      <w:proofErr w:type="spellEnd"/>
      <w:r w:rsidR="00E51B4C">
        <w:rPr>
          <w:rFonts w:ascii="Times New Roman" w:hAnsi="Times New Roman" w:cs="Times New Roman"/>
          <w:sz w:val="24"/>
          <w:szCs w:val="24"/>
        </w:rPr>
        <w:t>, 2017)</w:t>
      </w:r>
      <w:r>
        <w:rPr>
          <w:rFonts w:ascii="Times New Roman" w:hAnsi="Times New Roman" w:cs="Times New Roman"/>
          <w:sz w:val="24"/>
          <w:szCs w:val="24"/>
        </w:rPr>
        <w:t xml:space="preserve">. However, the group failed to rule both the weak and strong sides of the members, resulting in quality and lack of good structure to the assigned tasks.  </w:t>
      </w:r>
    </w:p>
    <w:p w14:paraId="44199FAF" w14:textId="77777777" w:rsidR="00B1512B" w:rsidRDefault="009F6507" w:rsidP="00B1512B">
      <w:pPr>
        <w:spacing w:after="0"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In conclusion, reflective practices play a vital role in ensuring the same mistakes done previously are not repeated in future references. Through reflective practices, individuals learn what to do and not to do when planning for their daily activities. </w:t>
      </w:r>
      <w:r w:rsidR="007E4982">
        <w:rPr>
          <w:rFonts w:ascii="Times New Roman" w:hAnsi="Times New Roman" w:cs="Times New Roman"/>
          <w:sz w:val="24"/>
          <w:szCs w:val="24"/>
        </w:rPr>
        <w:t>This provides</w:t>
      </w:r>
      <w:r>
        <w:rPr>
          <w:rFonts w:ascii="Times New Roman" w:hAnsi="Times New Roman" w:cs="Times New Roman"/>
          <w:sz w:val="24"/>
          <w:szCs w:val="24"/>
        </w:rPr>
        <w:t xml:space="preserve"> the individuals with different measures which would counteract the previous failure. Therefore, for personal reflection, </w:t>
      </w:r>
      <w:r w:rsidR="007E4982">
        <w:rPr>
          <w:rFonts w:ascii="Times New Roman" w:hAnsi="Times New Roman" w:cs="Times New Roman"/>
          <w:sz w:val="24"/>
          <w:szCs w:val="24"/>
        </w:rPr>
        <w:t>various models that work</w:t>
      </w:r>
      <w:r>
        <w:rPr>
          <w:rFonts w:ascii="Times New Roman" w:hAnsi="Times New Roman" w:cs="Times New Roman"/>
          <w:sz w:val="24"/>
          <w:szCs w:val="24"/>
        </w:rPr>
        <w:t xml:space="preserve"> effectively for reflective practices are not limited to Gibbs and Atkins, and Murphy. Atkins and Murphy, and Gibbs are the ones explained in this research paper. Gibbs deals are more diverse and describe both team reflection and stand-alone while Atkins and Murphy are more responsible on stand-alone. Although both reflect the past, Atkins and Murphy believe merely in past experiences, which would help unlearn the previous mistakes. </w:t>
      </w:r>
      <w:r w:rsidR="007E4982">
        <w:rPr>
          <w:rFonts w:ascii="Times New Roman" w:hAnsi="Times New Roman" w:cs="Times New Roman"/>
          <w:sz w:val="24"/>
          <w:szCs w:val="24"/>
        </w:rPr>
        <w:t>The entire</w:t>
      </w:r>
      <w:r>
        <w:rPr>
          <w:rFonts w:ascii="Times New Roman" w:hAnsi="Times New Roman" w:cs="Times New Roman"/>
          <w:sz w:val="24"/>
          <w:szCs w:val="24"/>
        </w:rPr>
        <w:t xml:space="preserve"> reflection </w:t>
      </w:r>
      <w:r w:rsidR="007E4982">
        <w:rPr>
          <w:rFonts w:ascii="Times New Roman" w:hAnsi="Times New Roman" w:cs="Times New Roman"/>
          <w:sz w:val="24"/>
          <w:szCs w:val="24"/>
        </w:rPr>
        <w:t>model is</w:t>
      </w:r>
      <w:r>
        <w:rPr>
          <w:rFonts w:ascii="Times New Roman" w:hAnsi="Times New Roman" w:cs="Times New Roman"/>
          <w:sz w:val="24"/>
          <w:szCs w:val="24"/>
        </w:rPr>
        <w:t xml:space="preserve"> designed with steps, which provides questions on the situation, feeling, </w:t>
      </w:r>
      <w:r w:rsidR="007E4982">
        <w:rPr>
          <w:rFonts w:ascii="Times New Roman" w:hAnsi="Times New Roman" w:cs="Times New Roman"/>
          <w:sz w:val="24"/>
          <w:szCs w:val="24"/>
        </w:rPr>
        <w:t xml:space="preserve">analysis, and the conclusion made after the past experiences. While both offer the same information, the structure differs.  Also, the models are more related to academic theories such as humanism and cognitive theory, which have been described in research. </w:t>
      </w:r>
      <w:r>
        <w:rPr>
          <w:rFonts w:ascii="Times New Roman" w:hAnsi="Times New Roman" w:cs="Times New Roman"/>
          <w:sz w:val="24"/>
          <w:szCs w:val="24"/>
        </w:rPr>
        <w:t xml:space="preserve">     </w:t>
      </w:r>
      <w:r w:rsidR="007B5378">
        <w:rPr>
          <w:rFonts w:ascii="Times New Roman" w:hAnsi="Times New Roman" w:cs="Times New Roman"/>
          <w:sz w:val="24"/>
          <w:szCs w:val="24"/>
        </w:rPr>
        <w:t xml:space="preserve">    </w:t>
      </w:r>
    </w:p>
    <w:p w14:paraId="260FE4F4" w14:textId="77777777" w:rsidR="00B1512B" w:rsidRDefault="00B1512B" w:rsidP="00B1512B">
      <w:pPr>
        <w:spacing w:after="0" w:line="480" w:lineRule="auto"/>
        <w:ind w:left="360"/>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4ACF1917" w14:textId="77777777" w:rsidR="00E51B4C" w:rsidRDefault="00E51B4C" w:rsidP="00E51B4C">
      <w:pPr>
        <w:spacing w:after="0" w:line="480" w:lineRule="auto"/>
        <w:ind w:left="1080" w:hanging="720"/>
        <w:rPr>
          <w:rFonts w:ascii="Times New Roman" w:hAnsi="Times New Roman" w:cs="Times New Roman"/>
          <w:sz w:val="24"/>
          <w:szCs w:val="24"/>
        </w:rPr>
      </w:pPr>
      <w:r w:rsidRPr="00E51B4C">
        <w:rPr>
          <w:rFonts w:ascii="Times New Roman" w:hAnsi="Times New Roman" w:cs="Times New Roman"/>
          <w:sz w:val="24"/>
          <w:szCs w:val="24"/>
        </w:rPr>
        <w:t xml:space="preserve">Ardian, P., </w:t>
      </w:r>
      <w:proofErr w:type="spellStart"/>
      <w:r w:rsidRPr="00E51B4C">
        <w:rPr>
          <w:rFonts w:ascii="Times New Roman" w:hAnsi="Times New Roman" w:cs="Times New Roman"/>
          <w:sz w:val="24"/>
          <w:szCs w:val="24"/>
        </w:rPr>
        <w:t>Hariyati</w:t>
      </w:r>
      <w:proofErr w:type="spellEnd"/>
      <w:r w:rsidRPr="00E51B4C">
        <w:rPr>
          <w:rFonts w:ascii="Times New Roman" w:hAnsi="Times New Roman" w:cs="Times New Roman"/>
          <w:sz w:val="24"/>
          <w:szCs w:val="24"/>
        </w:rPr>
        <w:t xml:space="preserve">, R.T.S. and </w:t>
      </w:r>
      <w:proofErr w:type="spellStart"/>
      <w:r w:rsidRPr="00E51B4C">
        <w:rPr>
          <w:rFonts w:ascii="Times New Roman" w:hAnsi="Times New Roman" w:cs="Times New Roman"/>
          <w:sz w:val="24"/>
          <w:szCs w:val="24"/>
        </w:rPr>
        <w:t>Afifah</w:t>
      </w:r>
      <w:proofErr w:type="spellEnd"/>
      <w:r w:rsidRPr="00E51B4C">
        <w:rPr>
          <w:rFonts w:ascii="Times New Roman" w:hAnsi="Times New Roman" w:cs="Times New Roman"/>
          <w:sz w:val="24"/>
          <w:szCs w:val="24"/>
        </w:rPr>
        <w:t>, E., 2019. Correlation between implementation case reflection discussion based on the Graham Gibbs Cycle and nurses’ critical thinking skills. </w:t>
      </w:r>
      <w:proofErr w:type="spellStart"/>
      <w:r w:rsidRPr="00E51B4C">
        <w:rPr>
          <w:rFonts w:ascii="Times New Roman" w:hAnsi="Times New Roman" w:cs="Times New Roman"/>
          <w:i/>
          <w:iCs/>
          <w:sz w:val="24"/>
          <w:szCs w:val="24"/>
        </w:rPr>
        <w:t>Enfermeria</w:t>
      </w:r>
      <w:proofErr w:type="spellEnd"/>
      <w:r w:rsidRPr="00E51B4C">
        <w:rPr>
          <w:rFonts w:ascii="Times New Roman" w:hAnsi="Times New Roman" w:cs="Times New Roman"/>
          <w:i/>
          <w:iCs/>
          <w:sz w:val="24"/>
          <w:szCs w:val="24"/>
        </w:rPr>
        <w:t xml:space="preserve"> </w:t>
      </w:r>
      <w:proofErr w:type="spellStart"/>
      <w:r w:rsidRPr="00E51B4C">
        <w:rPr>
          <w:rFonts w:ascii="Times New Roman" w:hAnsi="Times New Roman" w:cs="Times New Roman"/>
          <w:i/>
          <w:iCs/>
          <w:sz w:val="24"/>
          <w:szCs w:val="24"/>
        </w:rPr>
        <w:t>clinica</w:t>
      </w:r>
      <w:proofErr w:type="spellEnd"/>
      <w:r w:rsidRPr="00E51B4C">
        <w:rPr>
          <w:rFonts w:ascii="Times New Roman" w:hAnsi="Times New Roman" w:cs="Times New Roman"/>
          <w:sz w:val="24"/>
          <w:szCs w:val="24"/>
        </w:rPr>
        <w:t>, </w:t>
      </w:r>
      <w:r w:rsidRPr="00E51B4C">
        <w:rPr>
          <w:rFonts w:ascii="Times New Roman" w:hAnsi="Times New Roman" w:cs="Times New Roman"/>
          <w:i/>
          <w:iCs/>
          <w:sz w:val="24"/>
          <w:szCs w:val="24"/>
        </w:rPr>
        <w:t>29</w:t>
      </w:r>
      <w:r w:rsidRPr="00E51B4C">
        <w:rPr>
          <w:rFonts w:ascii="Times New Roman" w:hAnsi="Times New Roman" w:cs="Times New Roman"/>
          <w:sz w:val="24"/>
          <w:szCs w:val="24"/>
        </w:rPr>
        <w:t>, pp.588-593.</w:t>
      </w:r>
    </w:p>
    <w:p w14:paraId="060266E5" w14:textId="77777777" w:rsidR="0082671E" w:rsidRDefault="009F6507" w:rsidP="00E51B4C">
      <w:pPr>
        <w:spacing w:after="0" w:line="480" w:lineRule="auto"/>
        <w:ind w:left="1080" w:hanging="720"/>
        <w:rPr>
          <w:rFonts w:ascii="Times New Roman" w:hAnsi="Times New Roman" w:cs="Times New Roman"/>
          <w:sz w:val="24"/>
          <w:szCs w:val="24"/>
        </w:rPr>
      </w:pPr>
      <w:proofErr w:type="spellStart"/>
      <w:r w:rsidRPr="002533D4">
        <w:rPr>
          <w:rFonts w:ascii="Times New Roman" w:hAnsi="Times New Roman" w:cs="Times New Roman"/>
          <w:sz w:val="24"/>
          <w:szCs w:val="24"/>
        </w:rPr>
        <w:t>Geramian</w:t>
      </w:r>
      <w:proofErr w:type="spellEnd"/>
      <w:r w:rsidRPr="002533D4">
        <w:rPr>
          <w:rFonts w:ascii="Times New Roman" w:hAnsi="Times New Roman" w:cs="Times New Roman"/>
          <w:sz w:val="24"/>
          <w:szCs w:val="24"/>
        </w:rPr>
        <w:t>, A., Abraham, A. and Ahmadi Nozari, M., 2019. Fuzzy logic-based FMEA robust design: a quantitative approach for robustness against groupthink in group/team decision-making. </w:t>
      </w:r>
      <w:r w:rsidRPr="002533D4">
        <w:rPr>
          <w:rFonts w:ascii="Times New Roman" w:hAnsi="Times New Roman" w:cs="Times New Roman"/>
          <w:i/>
          <w:iCs/>
          <w:sz w:val="24"/>
          <w:szCs w:val="24"/>
        </w:rPr>
        <w:t>International Journal of Production Research</w:t>
      </w:r>
      <w:r w:rsidRPr="002533D4">
        <w:rPr>
          <w:rFonts w:ascii="Times New Roman" w:hAnsi="Times New Roman" w:cs="Times New Roman"/>
          <w:sz w:val="24"/>
          <w:szCs w:val="24"/>
        </w:rPr>
        <w:t>, </w:t>
      </w:r>
      <w:r w:rsidRPr="002533D4">
        <w:rPr>
          <w:rFonts w:ascii="Times New Roman" w:hAnsi="Times New Roman" w:cs="Times New Roman"/>
          <w:i/>
          <w:iCs/>
          <w:sz w:val="24"/>
          <w:szCs w:val="24"/>
        </w:rPr>
        <w:t>57</w:t>
      </w:r>
      <w:r w:rsidRPr="002533D4">
        <w:rPr>
          <w:rFonts w:ascii="Times New Roman" w:hAnsi="Times New Roman" w:cs="Times New Roman"/>
          <w:sz w:val="24"/>
          <w:szCs w:val="24"/>
        </w:rPr>
        <w:t>(5), pp.1331-1344.</w:t>
      </w:r>
    </w:p>
    <w:p w14:paraId="25320302" w14:textId="77777777" w:rsidR="00E51B4C" w:rsidRPr="00E51B4C" w:rsidRDefault="00E51B4C" w:rsidP="00E51B4C">
      <w:pPr>
        <w:spacing w:after="0" w:line="480" w:lineRule="auto"/>
        <w:ind w:left="1080" w:hanging="720"/>
        <w:rPr>
          <w:rFonts w:ascii="Times New Roman" w:hAnsi="Times New Roman" w:cs="Times New Roman"/>
          <w:sz w:val="24"/>
          <w:szCs w:val="24"/>
          <w:lang w:val="fr-FR"/>
        </w:rPr>
      </w:pPr>
      <w:r w:rsidRPr="00E51B4C">
        <w:rPr>
          <w:rFonts w:ascii="Times New Roman" w:hAnsi="Times New Roman" w:cs="Times New Roman"/>
          <w:sz w:val="24"/>
          <w:szCs w:val="24"/>
        </w:rPr>
        <w:t xml:space="preserve">Maharani, H.R. and </w:t>
      </w:r>
      <w:proofErr w:type="spellStart"/>
      <w:r w:rsidRPr="00E51B4C">
        <w:rPr>
          <w:rFonts w:ascii="Times New Roman" w:hAnsi="Times New Roman" w:cs="Times New Roman"/>
          <w:sz w:val="24"/>
          <w:szCs w:val="24"/>
        </w:rPr>
        <w:t>Sukestiyarno</w:t>
      </w:r>
      <w:proofErr w:type="spellEnd"/>
      <w:r w:rsidRPr="00E51B4C">
        <w:rPr>
          <w:rFonts w:ascii="Times New Roman" w:hAnsi="Times New Roman" w:cs="Times New Roman"/>
          <w:sz w:val="24"/>
          <w:szCs w:val="24"/>
        </w:rPr>
        <w:t>, S., 2017. Learning analysis based on humanism theory and mathematics creative thinking ability of students. </w:t>
      </w:r>
      <w:proofErr w:type="spellStart"/>
      <w:r w:rsidRPr="00E51B4C">
        <w:rPr>
          <w:rFonts w:ascii="Times New Roman" w:hAnsi="Times New Roman" w:cs="Times New Roman"/>
          <w:i/>
          <w:iCs/>
          <w:sz w:val="24"/>
          <w:szCs w:val="24"/>
          <w:lang w:val="fr-FR"/>
        </w:rPr>
        <w:t>Proceeding</w:t>
      </w:r>
      <w:proofErr w:type="spellEnd"/>
      <w:r w:rsidRPr="00E51B4C">
        <w:rPr>
          <w:rFonts w:ascii="Times New Roman" w:hAnsi="Times New Roman" w:cs="Times New Roman"/>
          <w:i/>
          <w:iCs/>
          <w:sz w:val="24"/>
          <w:szCs w:val="24"/>
          <w:lang w:val="fr-FR"/>
        </w:rPr>
        <w:t xml:space="preserve"> ICMETA</w:t>
      </w:r>
      <w:r w:rsidRPr="00E51B4C">
        <w:rPr>
          <w:rFonts w:ascii="Times New Roman" w:hAnsi="Times New Roman" w:cs="Times New Roman"/>
          <w:sz w:val="24"/>
          <w:szCs w:val="24"/>
          <w:lang w:val="fr-FR"/>
        </w:rPr>
        <w:t>, </w:t>
      </w:r>
      <w:r w:rsidRPr="00E51B4C">
        <w:rPr>
          <w:rFonts w:ascii="Times New Roman" w:hAnsi="Times New Roman" w:cs="Times New Roman"/>
          <w:i/>
          <w:iCs/>
          <w:sz w:val="24"/>
          <w:szCs w:val="24"/>
          <w:lang w:val="fr-FR"/>
        </w:rPr>
        <w:t>1</w:t>
      </w:r>
      <w:r w:rsidRPr="00E51B4C">
        <w:rPr>
          <w:rFonts w:ascii="Times New Roman" w:hAnsi="Times New Roman" w:cs="Times New Roman"/>
          <w:sz w:val="24"/>
          <w:szCs w:val="24"/>
          <w:lang w:val="fr-FR"/>
        </w:rPr>
        <w:t>(1).</w:t>
      </w:r>
    </w:p>
    <w:p w14:paraId="0AAA36D3" w14:textId="77777777" w:rsidR="00B1512B" w:rsidRDefault="00B1512B" w:rsidP="00E51B4C">
      <w:pPr>
        <w:spacing w:after="0" w:line="480" w:lineRule="auto"/>
        <w:ind w:left="1080" w:hanging="720"/>
        <w:rPr>
          <w:rFonts w:ascii="Times New Roman" w:hAnsi="Times New Roman" w:cs="Times New Roman"/>
          <w:sz w:val="24"/>
          <w:szCs w:val="24"/>
        </w:rPr>
      </w:pPr>
      <w:proofErr w:type="spellStart"/>
      <w:r w:rsidRPr="00B1512B">
        <w:rPr>
          <w:rFonts w:ascii="Times New Roman" w:hAnsi="Times New Roman" w:cs="Times New Roman"/>
          <w:sz w:val="24"/>
          <w:szCs w:val="24"/>
          <w:lang w:val="fr-FR"/>
        </w:rPr>
        <w:t>Mantzourani</w:t>
      </w:r>
      <w:proofErr w:type="spellEnd"/>
      <w:r w:rsidRPr="00B1512B">
        <w:rPr>
          <w:rFonts w:ascii="Times New Roman" w:hAnsi="Times New Roman" w:cs="Times New Roman"/>
          <w:sz w:val="24"/>
          <w:szCs w:val="24"/>
          <w:lang w:val="fr-FR"/>
        </w:rPr>
        <w:t xml:space="preserve">, E., Desselle, S., Le, J., </w:t>
      </w:r>
      <w:proofErr w:type="spellStart"/>
      <w:r w:rsidRPr="00B1512B">
        <w:rPr>
          <w:rFonts w:ascii="Times New Roman" w:hAnsi="Times New Roman" w:cs="Times New Roman"/>
          <w:sz w:val="24"/>
          <w:szCs w:val="24"/>
          <w:lang w:val="fr-FR"/>
        </w:rPr>
        <w:t>Lonie</w:t>
      </w:r>
      <w:proofErr w:type="spellEnd"/>
      <w:r w:rsidRPr="00B1512B">
        <w:rPr>
          <w:rFonts w:ascii="Times New Roman" w:hAnsi="Times New Roman" w:cs="Times New Roman"/>
          <w:sz w:val="24"/>
          <w:szCs w:val="24"/>
          <w:lang w:val="fr-FR"/>
        </w:rPr>
        <w:t xml:space="preserve">, J.M. and Lucas, C., 2019. </w:t>
      </w:r>
      <w:r w:rsidRPr="00B1512B">
        <w:rPr>
          <w:rFonts w:ascii="Times New Roman" w:hAnsi="Times New Roman" w:cs="Times New Roman"/>
          <w:sz w:val="24"/>
          <w:szCs w:val="24"/>
        </w:rPr>
        <w:t>The role of reflective practice in healthcare professions: Next steps for pharmacy education and practice. </w:t>
      </w:r>
      <w:r w:rsidRPr="00B1512B">
        <w:rPr>
          <w:rFonts w:ascii="Times New Roman" w:hAnsi="Times New Roman" w:cs="Times New Roman"/>
          <w:i/>
          <w:iCs/>
          <w:sz w:val="24"/>
          <w:szCs w:val="24"/>
        </w:rPr>
        <w:t>Research in Social and Administrative Pharmacy</w:t>
      </w:r>
      <w:r w:rsidRPr="00B1512B">
        <w:rPr>
          <w:rFonts w:ascii="Times New Roman" w:hAnsi="Times New Roman" w:cs="Times New Roman"/>
          <w:sz w:val="24"/>
          <w:szCs w:val="24"/>
        </w:rPr>
        <w:t>, </w:t>
      </w:r>
      <w:r w:rsidRPr="00B1512B">
        <w:rPr>
          <w:rFonts w:ascii="Times New Roman" w:hAnsi="Times New Roman" w:cs="Times New Roman"/>
          <w:i/>
          <w:iCs/>
          <w:sz w:val="24"/>
          <w:szCs w:val="24"/>
        </w:rPr>
        <w:t>15</w:t>
      </w:r>
      <w:r w:rsidRPr="00B1512B">
        <w:rPr>
          <w:rFonts w:ascii="Times New Roman" w:hAnsi="Times New Roman" w:cs="Times New Roman"/>
          <w:sz w:val="24"/>
          <w:szCs w:val="24"/>
        </w:rPr>
        <w:t>(12), pp.1476-1479.</w:t>
      </w:r>
    </w:p>
    <w:p w14:paraId="3F0600FD" w14:textId="77777777" w:rsidR="00B1512B" w:rsidRDefault="00B1512B" w:rsidP="00E51B4C">
      <w:pPr>
        <w:spacing w:after="0" w:line="480" w:lineRule="auto"/>
        <w:ind w:left="1080" w:hanging="720"/>
        <w:rPr>
          <w:rFonts w:ascii="Times New Roman" w:hAnsi="Times New Roman" w:cs="Times New Roman"/>
          <w:sz w:val="24"/>
          <w:szCs w:val="24"/>
        </w:rPr>
      </w:pPr>
      <w:r w:rsidRPr="00B1512B">
        <w:rPr>
          <w:rFonts w:ascii="Times New Roman" w:hAnsi="Times New Roman" w:cs="Times New Roman"/>
          <w:sz w:val="24"/>
          <w:szCs w:val="24"/>
        </w:rPr>
        <w:t xml:space="preserve">Mathew, P., Mathew, P. and </w:t>
      </w:r>
      <w:proofErr w:type="spellStart"/>
      <w:r w:rsidRPr="00B1512B">
        <w:rPr>
          <w:rFonts w:ascii="Times New Roman" w:hAnsi="Times New Roman" w:cs="Times New Roman"/>
          <w:sz w:val="24"/>
          <w:szCs w:val="24"/>
        </w:rPr>
        <w:t>Peechattu</w:t>
      </w:r>
      <w:proofErr w:type="spellEnd"/>
      <w:r w:rsidRPr="00B1512B">
        <w:rPr>
          <w:rFonts w:ascii="Times New Roman" w:hAnsi="Times New Roman" w:cs="Times New Roman"/>
          <w:sz w:val="24"/>
          <w:szCs w:val="24"/>
        </w:rPr>
        <w:t>, P.J., 2017. Reflective practices: A means to teacher development. </w:t>
      </w:r>
      <w:r w:rsidRPr="00B1512B">
        <w:rPr>
          <w:rFonts w:ascii="Times New Roman" w:hAnsi="Times New Roman" w:cs="Times New Roman"/>
          <w:i/>
          <w:iCs/>
          <w:sz w:val="24"/>
          <w:szCs w:val="24"/>
        </w:rPr>
        <w:t>Asia Pacific Journal of Contemporary Education and Communication Technology</w:t>
      </w:r>
      <w:r w:rsidRPr="00B1512B">
        <w:rPr>
          <w:rFonts w:ascii="Times New Roman" w:hAnsi="Times New Roman" w:cs="Times New Roman"/>
          <w:sz w:val="24"/>
          <w:szCs w:val="24"/>
        </w:rPr>
        <w:t>, </w:t>
      </w:r>
      <w:r w:rsidRPr="00B1512B">
        <w:rPr>
          <w:rFonts w:ascii="Times New Roman" w:hAnsi="Times New Roman" w:cs="Times New Roman"/>
          <w:i/>
          <w:iCs/>
          <w:sz w:val="24"/>
          <w:szCs w:val="24"/>
        </w:rPr>
        <w:t>3</w:t>
      </w:r>
      <w:r w:rsidRPr="00B1512B">
        <w:rPr>
          <w:rFonts w:ascii="Times New Roman" w:hAnsi="Times New Roman" w:cs="Times New Roman"/>
          <w:sz w:val="24"/>
          <w:szCs w:val="24"/>
        </w:rPr>
        <w:t>(1), pp.126-131.</w:t>
      </w:r>
    </w:p>
    <w:p w14:paraId="6460B68F" w14:textId="77777777" w:rsidR="00B1512B" w:rsidRDefault="00B1512B" w:rsidP="00E51B4C">
      <w:pPr>
        <w:spacing w:after="0" w:line="480" w:lineRule="auto"/>
        <w:ind w:left="1080" w:hanging="720"/>
        <w:rPr>
          <w:rFonts w:ascii="Times New Roman" w:hAnsi="Times New Roman" w:cs="Times New Roman"/>
          <w:sz w:val="24"/>
          <w:szCs w:val="24"/>
        </w:rPr>
      </w:pPr>
      <w:proofErr w:type="spellStart"/>
      <w:r w:rsidRPr="00B1512B">
        <w:rPr>
          <w:rFonts w:ascii="Times New Roman" w:hAnsi="Times New Roman" w:cs="Times New Roman"/>
          <w:sz w:val="24"/>
          <w:szCs w:val="24"/>
        </w:rPr>
        <w:t>Moradkhani</w:t>
      </w:r>
      <w:proofErr w:type="spellEnd"/>
      <w:r w:rsidRPr="00B1512B">
        <w:rPr>
          <w:rFonts w:ascii="Times New Roman" w:hAnsi="Times New Roman" w:cs="Times New Roman"/>
          <w:sz w:val="24"/>
          <w:szCs w:val="24"/>
        </w:rPr>
        <w:t xml:space="preserve">, S., </w:t>
      </w:r>
      <w:proofErr w:type="spellStart"/>
      <w:r w:rsidRPr="00B1512B">
        <w:rPr>
          <w:rFonts w:ascii="Times New Roman" w:hAnsi="Times New Roman" w:cs="Times New Roman"/>
          <w:sz w:val="24"/>
          <w:szCs w:val="24"/>
        </w:rPr>
        <w:t>Raygan</w:t>
      </w:r>
      <w:proofErr w:type="spellEnd"/>
      <w:r w:rsidRPr="00B1512B">
        <w:rPr>
          <w:rFonts w:ascii="Times New Roman" w:hAnsi="Times New Roman" w:cs="Times New Roman"/>
          <w:sz w:val="24"/>
          <w:szCs w:val="24"/>
        </w:rPr>
        <w:t xml:space="preserve">, A. and </w:t>
      </w:r>
      <w:proofErr w:type="spellStart"/>
      <w:r w:rsidRPr="00B1512B">
        <w:rPr>
          <w:rFonts w:ascii="Times New Roman" w:hAnsi="Times New Roman" w:cs="Times New Roman"/>
          <w:sz w:val="24"/>
          <w:szCs w:val="24"/>
        </w:rPr>
        <w:t>Moein</w:t>
      </w:r>
      <w:proofErr w:type="spellEnd"/>
      <w:r w:rsidRPr="00B1512B">
        <w:rPr>
          <w:rFonts w:ascii="Times New Roman" w:hAnsi="Times New Roman" w:cs="Times New Roman"/>
          <w:sz w:val="24"/>
          <w:szCs w:val="24"/>
        </w:rPr>
        <w:t>, M.S., 2017. Iranian EFL teachers' reflective practices and self-efficacy: Exploring possible relationships. </w:t>
      </w:r>
      <w:r w:rsidRPr="00B1512B">
        <w:rPr>
          <w:rFonts w:ascii="Times New Roman" w:hAnsi="Times New Roman" w:cs="Times New Roman"/>
          <w:i/>
          <w:iCs/>
          <w:sz w:val="24"/>
          <w:szCs w:val="24"/>
        </w:rPr>
        <w:t>System</w:t>
      </w:r>
      <w:r w:rsidRPr="00B1512B">
        <w:rPr>
          <w:rFonts w:ascii="Times New Roman" w:hAnsi="Times New Roman" w:cs="Times New Roman"/>
          <w:sz w:val="24"/>
          <w:szCs w:val="24"/>
        </w:rPr>
        <w:t>, </w:t>
      </w:r>
      <w:r w:rsidRPr="00B1512B">
        <w:rPr>
          <w:rFonts w:ascii="Times New Roman" w:hAnsi="Times New Roman" w:cs="Times New Roman"/>
          <w:i/>
          <w:iCs/>
          <w:sz w:val="24"/>
          <w:szCs w:val="24"/>
        </w:rPr>
        <w:t>65</w:t>
      </w:r>
      <w:r w:rsidRPr="00B1512B">
        <w:rPr>
          <w:rFonts w:ascii="Times New Roman" w:hAnsi="Times New Roman" w:cs="Times New Roman"/>
          <w:sz w:val="24"/>
          <w:szCs w:val="24"/>
        </w:rPr>
        <w:t>, pp.1-14.</w:t>
      </w:r>
    </w:p>
    <w:p w14:paraId="6D48852E" w14:textId="77777777" w:rsidR="00B1512B" w:rsidRDefault="00B1512B" w:rsidP="00E51B4C">
      <w:pPr>
        <w:spacing w:after="0" w:line="480" w:lineRule="auto"/>
        <w:ind w:left="1080" w:hanging="720"/>
        <w:rPr>
          <w:rFonts w:ascii="Times New Roman" w:hAnsi="Times New Roman" w:cs="Times New Roman"/>
          <w:sz w:val="24"/>
          <w:szCs w:val="24"/>
        </w:rPr>
      </w:pPr>
      <w:proofErr w:type="spellStart"/>
      <w:r w:rsidRPr="00B1512B">
        <w:rPr>
          <w:rFonts w:ascii="Times New Roman" w:hAnsi="Times New Roman" w:cs="Times New Roman"/>
          <w:sz w:val="24"/>
          <w:szCs w:val="24"/>
        </w:rPr>
        <w:t>Pather</w:t>
      </w:r>
      <w:proofErr w:type="spellEnd"/>
      <w:r w:rsidRPr="00B1512B">
        <w:rPr>
          <w:rFonts w:ascii="Times New Roman" w:hAnsi="Times New Roman" w:cs="Times New Roman"/>
          <w:sz w:val="24"/>
          <w:szCs w:val="24"/>
        </w:rPr>
        <w:t>, S. and Cupido, X., 2020, November. UNDERSTANDING ACADEMICS’ADAPTATION TO LEARNING AND TEACHING DURING A CRISIS. In </w:t>
      </w:r>
      <w:r w:rsidRPr="00B1512B">
        <w:rPr>
          <w:rFonts w:ascii="Times New Roman" w:hAnsi="Times New Roman" w:cs="Times New Roman"/>
          <w:i/>
          <w:iCs/>
          <w:sz w:val="24"/>
          <w:szCs w:val="24"/>
        </w:rPr>
        <w:t>Proceedings of ICERI2020 Conference</w:t>
      </w:r>
      <w:r w:rsidRPr="00B1512B">
        <w:rPr>
          <w:rFonts w:ascii="Times New Roman" w:hAnsi="Times New Roman" w:cs="Times New Roman"/>
          <w:sz w:val="24"/>
          <w:szCs w:val="24"/>
        </w:rPr>
        <w:t> (Vol. 9, p. 10th).</w:t>
      </w:r>
    </w:p>
    <w:p w14:paraId="122A31DF" w14:textId="77777777" w:rsidR="00E51B4C" w:rsidRDefault="00E51B4C" w:rsidP="00E51B4C">
      <w:pPr>
        <w:spacing w:after="0" w:line="480" w:lineRule="auto"/>
        <w:ind w:left="1080" w:hanging="720"/>
        <w:rPr>
          <w:rFonts w:ascii="Times New Roman" w:hAnsi="Times New Roman" w:cs="Times New Roman"/>
          <w:sz w:val="24"/>
          <w:szCs w:val="24"/>
        </w:rPr>
      </w:pPr>
      <w:r w:rsidRPr="00E51B4C">
        <w:rPr>
          <w:rFonts w:ascii="Times New Roman" w:hAnsi="Times New Roman" w:cs="Times New Roman"/>
          <w:sz w:val="24"/>
          <w:szCs w:val="24"/>
        </w:rPr>
        <w:t>Rudolph, M., 2017. Cognitive theory of multimedia learning. </w:t>
      </w:r>
      <w:r w:rsidRPr="00E51B4C">
        <w:rPr>
          <w:rFonts w:ascii="Times New Roman" w:hAnsi="Times New Roman" w:cs="Times New Roman"/>
          <w:i/>
          <w:iCs/>
          <w:sz w:val="24"/>
          <w:szCs w:val="24"/>
        </w:rPr>
        <w:t>Journal of Online Higher Education</w:t>
      </w:r>
      <w:r w:rsidRPr="00E51B4C">
        <w:rPr>
          <w:rFonts w:ascii="Times New Roman" w:hAnsi="Times New Roman" w:cs="Times New Roman"/>
          <w:sz w:val="24"/>
          <w:szCs w:val="24"/>
        </w:rPr>
        <w:t>, </w:t>
      </w:r>
      <w:r w:rsidRPr="00E51B4C">
        <w:rPr>
          <w:rFonts w:ascii="Times New Roman" w:hAnsi="Times New Roman" w:cs="Times New Roman"/>
          <w:i/>
          <w:iCs/>
          <w:sz w:val="24"/>
          <w:szCs w:val="24"/>
        </w:rPr>
        <w:t>1</w:t>
      </w:r>
      <w:r w:rsidRPr="00E51B4C">
        <w:rPr>
          <w:rFonts w:ascii="Times New Roman" w:hAnsi="Times New Roman" w:cs="Times New Roman"/>
          <w:sz w:val="24"/>
          <w:szCs w:val="24"/>
        </w:rPr>
        <w:t>(2).</w:t>
      </w:r>
    </w:p>
    <w:p w14:paraId="77C7EABC" w14:textId="77777777" w:rsidR="00E51B4C" w:rsidRPr="002533D4" w:rsidRDefault="00E51B4C" w:rsidP="00B1512B">
      <w:pPr>
        <w:spacing w:after="0" w:line="480" w:lineRule="auto"/>
        <w:ind w:left="360"/>
        <w:rPr>
          <w:rFonts w:ascii="Times New Roman" w:hAnsi="Times New Roman" w:cs="Times New Roman"/>
          <w:sz w:val="24"/>
          <w:szCs w:val="24"/>
        </w:rPr>
      </w:pPr>
      <w:r w:rsidRPr="00E51B4C">
        <w:rPr>
          <w:rFonts w:ascii="Times New Roman" w:hAnsi="Times New Roman" w:cs="Times New Roman"/>
          <w:sz w:val="24"/>
          <w:szCs w:val="24"/>
        </w:rPr>
        <w:lastRenderedPageBreak/>
        <w:t>Wain, A., 2017. Learning through reflection. </w:t>
      </w:r>
      <w:r w:rsidRPr="00E51B4C">
        <w:rPr>
          <w:rFonts w:ascii="Times New Roman" w:hAnsi="Times New Roman" w:cs="Times New Roman"/>
          <w:i/>
          <w:iCs/>
          <w:sz w:val="24"/>
          <w:szCs w:val="24"/>
        </w:rPr>
        <w:t>British Journal of Midwifery</w:t>
      </w:r>
      <w:r w:rsidRPr="00E51B4C">
        <w:rPr>
          <w:rFonts w:ascii="Times New Roman" w:hAnsi="Times New Roman" w:cs="Times New Roman"/>
          <w:sz w:val="24"/>
          <w:szCs w:val="24"/>
        </w:rPr>
        <w:t>, </w:t>
      </w:r>
      <w:r w:rsidRPr="00E51B4C">
        <w:rPr>
          <w:rFonts w:ascii="Times New Roman" w:hAnsi="Times New Roman" w:cs="Times New Roman"/>
          <w:i/>
          <w:iCs/>
          <w:sz w:val="24"/>
          <w:szCs w:val="24"/>
        </w:rPr>
        <w:t>25</w:t>
      </w:r>
      <w:r w:rsidRPr="00E51B4C">
        <w:rPr>
          <w:rFonts w:ascii="Times New Roman" w:hAnsi="Times New Roman" w:cs="Times New Roman"/>
          <w:sz w:val="24"/>
          <w:szCs w:val="24"/>
        </w:rPr>
        <w:t>(10), pp.662-666.</w:t>
      </w:r>
    </w:p>
    <w:sectPr w:rsidR="00E51B4C" w:rsidRPr="002533D4">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3B640D" w14:textId="77777777" w:rsidR="000C1952" w:rsidRDefault="000C1952" w:rsidP="00B1512B">
      <w:pPr>
        <w:spacing w:after="0" w:line="240" w:lineRule="auto"/>
      </w:pPr>
      <w:r>
        <w:separator/>
      </w:r>
    </w:p>
  </w:endnote>
  <w:endnote w:type="continuationSeparator" w:id="0">
    <w:p w14:paraId="3EBBA06C" w14:textId="77777777" w:rsidR="000C1952" w:rsidRDefault="000C1952" w:rsidP="00B151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A1C89D" w14:textId="77777777" w:rsidR="000C1952" w:rsidRDefault="000C1952" w:rsidP="00B1512B">
      <w:pPr>
        <w:spacing w:after="0" w:line="240" w:lineRule="auto"/>
      </w:pPr>
      <w:r>
        <w:separator/>
      </w:r>
    </w:p>
  </w:footnote>
  <w:footnote w:type="continuationSeparator" w:id="0">
    <w:p w14:paraId="6E36B7D9" w14:textId="77777777" w:rsidR="000C1952" w:rsidRDefault="000C1952" w:rsidP="00B151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B8EC2C" w14:textId="77777777" w:rsidR="00B1512B" w:rsidRPr="00B1512B" w:rsidRDefault="00B1512B">
    <w:pPr>
      <w:pStyle w:val="Header"/>
      <w:rPr>
        <w:rFonts w:ascii="Times New Roman" w:hAnsi="Times New Roman" w:cs="Times New Roman"/>
        <w:sz w:val="24"/>
        <w:szCs w:val="24"/>
      </w:rPr>
    </w:pPr>
    <w:r>
      <w:tab/>
    </w:r>
    <w:r>
      <w:tab/>
    </w:r>
    <w:r>
      <w:rPr>
        <w:rFonts w:ascii="Times New Roman" w:hAnsi="Times New Roman" w:cs="Times New Roman"/>
        <w:sz w:val="24"/>
        <w:szCs w:val="24"/>
      </w:rPr>
      <w:t xml:space="preserve">Reflective practices </w:t>
    </w:r>
    <w:r>
      <w:rPr>
        <w:rFonts w:ascii="Times New Roman" w:hAnsi="Times New Roman" w:cs="Times New Roman"/>
        <w:sz w:val="24"/>
        <w:szCs w:val="24"/>
      </w:rPr>
      <w:tab/>
    </w:r>
    <w:r w:rsidRPr="00B1512B">
      <w:rPr>
        <w:rFonts w:ascii="Times New Roman" w:hAnsi="Times New Roman" w:cs="Times New Roman"/>
        <w:sz w:val="24"/>
        <w:szCs w:val="24"/>
      </w:rPr>
      <w:fldChar w:fldCharType="begin"/>
    </w:r>
    <w:r w:rsidRPr="00B1512B">
      <w:rPr>
        <w:rFonts w:ascii="Times New Roman" w:hAnsi="Times New Roman" w:cs="Times New Roman"/>
        <w:sz w:val="24"/>
        <w:szCs w:val="24"/>
      </w:rPr>
      <w:instrText xml:space="preserve"> PAGE   \* MERGEFORMAT </w:instrText>
    </w:r>
    <w:r w:rsidRPr="00B1512B">
      <w:rPr>
        <w:rFonts w:ascii="Times New Roman" w:hAnsi="Times New Roman" w:cs="Times New Roman"/>
        <w:sz w:val="24"/>
        <w:szCs w:val="24"/>
      </w:rPr>
      <w:fldChar w:fldCharType="separate"/>
    </w:r>
    <w:r w:rsidR="00F37595">
      <w:rPr>
        <w:rFonts w:ascii="Times New Roman" w:hAnsi="Times New Roman" w:cs="Times New Roman"/>
        <w:noProof/>
        <w:sz w:val="24"/>
        <w:szCs w:val="24"/>
      </w:rPr>
      <w:t>1</w:t>
    </w:r>
    <w:r w:rsidRPr="00B1512B">
      <w:rPr>
        <w:rFonts w:ascii="Times New Roman" w:hAnsi="Times New Roman" w:cs="Times New Roman"/>
        <w:noProof/>
        <w:sz w:val="24"/>
        <w:szCs w:val="24"/>
      </w:rPr>
      <w:fldChar w:fldCharType="end"/>
    </w:r>
    <w:r>
      <w:rPr>
        <w:rFonts w:ascii="Times New Roman" w:hAnsi="Times New Roman" w:cs="Times New Roman"/>
        <w:sz w:val="24"/>
        <w:szCs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682126E"/>
    <w:multiLevelType w:val="hybridMultilevel"/>
    <w:tmpl w:val="0CFA4A7A"/>
    <w:lvl w:ilvl="0" w:tplc="8CDC3B16">
      <w:start w:val="1"/>
      <w:numFmt w:val="lowerLetter"/>
      <w:lvlText w:val="%1.)"/>
      <w:lvlJc w:val="left"/>
      <w:pPr>
        <w:ind w:left="720" w:hanging="360"/>
      </w:pPr>
      <w:rPr>
        <w:rFonts w:hint="default"/>
      </w:rPr>
    </w:lvl>
    <w:lvl w:ilvl="1" w:tplc="0A524218" w:tentative="1">
      <w:start w:val="1"/>
      <w:numFmt w:val="lowerLetter"/>
      <w:lvlText w:val="%2."/>
      <w:lvlJc w:val="left"/>
      <w:pPr>
        <w:ind w:left="1440" w:hanging="360"/>
      </w:pPr>
    </w:lvl>
    <w:lvl w:ilvl="2" w:tplc="E77655E6" w:tentative="1">
      <w:start w:val="1"/>
      <w:numFmt w:val="lowerRoman"/>
      <w:lvlText w:val="%3."/>
      <w:lvlJc w:val="right"/>
      <w:pPr>
        <w:ind w:left="2160" w:hanging="180"/>
      </w:pPr>
    </w:lvl>
    <w:lvl w:ilvl="3" w:tplc="C7E8C8C6" w:tentative="1">
      <w:start w:val="1"/>
      <w:numFmt w:val="decimal"/>
      <w:lvlText w:val="%4."/>
      <w:lvlJc w:val="left"/>
      <w:pPr>
        <w:ind w:left="2880" w:hanging="360"/>
      </w:pPr>
    </w:lvl>
    <w:lvl w:ilvl="4" w:tplc="01F8F6C4" w:tentative="1">
      <w:start w:val="1"/>
      <w:numFmt w:val="lowerLetter"/>
      <w:lvlText w:val="%5."/>
      <w:lvlJc w:val="left"/>
      <w:pPr>
        <w:ind w:left="3600" w:hanging="360"/>
      </w:pPr>
    </w:lvl>
    <w:lvl w:ilvl="5" w:tplc="6D18D258" w:tentative="1">
      <w:start w:val="1"/>
      <w:numFmt w:val="lowerRoman"/>
      <w:lvlText w:val="%6."/>
      <w:lvlJc w:val="right"/>
      <w:pPr>
        <w:ind w:left="4320" w:hanging="180"/>
      </w:pPr>
    </w:lvl>
    <w:lvl w:ilvl="6" w:tplc="0DBC3328" w:tentative="1">
      <w:start w:val="1"/>
      <w:numFmt w:val="decimal"/>
      <w:lvlText w:val="%7."/>
      <w:lvlJc w:val="left"/>
      <w:pPr>
        <w:ind w:left="5040" w:hanging="360"/>
      </w:pPr>
    </w:lvl>
    <w:lvl w:ilvl="7" w:tplc="E1A4FA36" w:tentative="1">
      <w:start w:val="1"/>
      <w:numFmt w:val="lowerLetter"/>
      <w:lvlText w:val="%8."/>
      <w:lvlJc w:val="left"/>
      <w:pPr>
        <w:ind w:left="5760" w:hanging="360"/>
      </w:pPr>
    </w:lvl>
    <w:lvl w:ilvl="8" w:tplc="799A7E22"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10D60"/>
    <w:rsid w:val="000C1952"/>
    <w:rsid w:val="002533D4"/>
    <w:rsid w:val="00294047"/>
    <w:rsid w:val="00314B0A"/>
    <w:rsid w:val="003604F2"/>
    <w:rsid w:val="00410D60"/>
    <w:rsid w:val="00445E96"/>
    <w:rsid w:val="00556DE9"/>
    <w:rsid w:val="00606D5D"/>
    <w:rsid w:val="00623F89"/>
    <w:rsid w:val="00695CD7"/>
    <w:rsid w:val="007B5378"/>
    <w:rsid w:val="007E4982"/>
    <w:rsid w:val="0082671E"/>
    <w:rsid w:val="00961BCA"/>
    <w:rsid w:val="009F6507"/>
    <w:rsid w:val="00A54BF7"/>
    <w:rsid w:val="00B1512B"/>
    <w:rsid w:val="00BF785D"/>
    <w:rsid w:val="00C80ECF"/>
    <w:rsid w:val="00D510F4"/>
    <w:rsid w:val="00E51B4C"/>
    <w:rsid w:val="00EB438D"/>
    <w:rsid w:val="00EB5D58"/>
    <w:rsid w:val="00F37595"/>
    <w:rsid w:val="00FD08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8DEC5"/>
  <w15:docId w15:val="{B0FCCF49-8528-4B3C-B6CC-D6D7D03E66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1BCA"/>
    <w:rPr>
      <w:color w:val="0000FF" w:themeColor="hyperlink"/>
      <w:u w:val="single"/>
    </w:rPr>
  </w:style>
  <w:style w:type="paragraph" w:styleId="BalloonText">
    <w:name w:val="Balloon Text"/>
    <w:basedOn w:val="Normal"/>
    <w:link w:val="BalloonTextChar"/>
    <w:uiPriority w:val="99"/>
    <w:semiHidden/>
    <w:unhideWhenUsed/>
    <w:rsid w:val="00961B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1BCA"/>
    <w:rPr>
      <w:rFonts w:ascii="Tahoma" w:hAnsi="Tahoma" w:cs="Tahoma"/>
      <w:sz w:val="16"/>
      <w:szCs w:val="16"/>
    </w:rPr>
  </w:style>
  <w:style w:type="paragraph" w:styleId="ListParagraph">
    <w:name w:val="List Paragraph"/>
    <w:basedOn w:val="Normal"/>
    <w:uiPriority w:val="34"/>
    <w:qFormat/>
    <w:rsid w:val="00314B0A"/>
    <w:pPr>
      <w:ind w:left="720"/>
      <w:contextualSpacing/>
    </w:pPr>
  </w:style>
  <w:style w:type="paragraph" w:styleId="Header">
    <w:name w:val="header"/>
    <w:basedOn w:val="Normal"/>
    <w:link w:val="HeaderChar"/>
    <w:uiPriority w:val="99"/>
    <w:unhideWhenUsed/>
    <w:rsid w:val="00B151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512B"/>
  </w:style>
  <w:style w:type="paragraph" w:styleId="Footer">
    <w:name w:val="footer"/>
    <w:basedOn w:val="Normal"/>
    <w:link w:val="FooterChar"/>
    <w:uiPriority w:val="99"/>
    <w:unhideWhenUsed/>
    <w:rsid w:val="00B151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51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11</Pages>
  <Words>2096</Words>
  <Characters>11951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dc:creator>
  <cp:lastModifiedBy>Alexandra-Beatrice Ion</cp:lastModifiedBy>
  <cp:revision>3</cp:revision>
  <dcterms:created xsi:type="dcterms:W3CDTF">2021-03-28T08:52:00Z</dcterms:created>
  <dcterms:modified xsi:type="dcterms:W3CDTF">2021-04-01T13:04:00Z</dcterms:modified>
</cp:coreProperties>
</file>