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bookmarkStart w:id="0" w:name="Xf7da15545a6e34139083fc34df74b59be28fe27" w:displacedByCustomXml="next"/>
    <w:sdt>
      <w:sdtPr>
        <w:id w:val="-1979993626"/>
        <w:docPartObj>
          <w:docPartGallery w:val="Cover Pages"/>
          <w:docPartUnique/>
        </w:docPartObj>
      </w:sdtPr>
      <w:sdtEndPr/>
      <w:sdtContent>
        <w:p w:rsidR="00A843F4" w:rsidRDefault="00A843F4">
          <w:pPr>
            <w:rPr>
              <w:noProof/>
            </w:rPr>
          </w:pPr>
        </w:p>
        <w:p w:rsidR="009A3EC8" w:rsidRDefault="001821E7">
          <w:r>
            <w:rPr>
              <w:noProof/>
              <w:lang w:val="en-US"/>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50380" cy="9141460"/>
                    <wp:effectExtent l="2540" t="0" r="0" b="2540"/>
                    <wp:wrapNone/>
                    <wp:docPr id="1" name="Group 19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850380" cy="9141460"/>
                              <a:chOff x="0" y="0"/>
                              <a:chExt cx="68648" cy="91235"/>
                            </a:xfrm>
                          </wpg:grpSpPr>
                          <wps:wsp>
                            <wps:cNvPr id="2" name="Rectangle 194"/>
                            <wps:cNvSpPr>
                              <a:spLocks noChangeArrowheads="1"/>
                            </wps:cNvSpPr>
                            <wps:spPr bwMode="auto">
                              <a:xfrm>
                                <a:off x="0" y="0"/>
                                <a:ext cx="68580" cy="13716"/>
                              </a:xfrm>
                              <a:prstGeom prst="rect">
                                <a:avLst/>
                              </a:prstGeom>
                              <a:solidFill>
                                <a:schemeClr val="accent1">
                                  <a:lumMod val="100000"/>
                                  <a:lumOff val="0"/>
                                </a:schemeClr>
                              </a:solidFill>
                              <a:ln>
                                <a:noFill/>
                              </a:ln>
                              <a:extLst>
                                <a:ext uri="{91240B29-F687-4F45-9708-019B960494DF}">
                                  <a14:hiddenLine xmlns:a14="http://schemas.microsoft.com/office/drawing/2010/main" w="12700">
                                    <a:solidFill>
                                      <a:srgbClr val="000000"/>
                                    </a:solidFill>
                                    <a:miter lim="800000"/>
                                    <a:headEnd/>
                                    <a:tailEnd/>
                                  </a14:hiddenLine>
                                </a:ext>
                              </a:extLst>
                            </wps:spPr>
                            <wps:bodyPr rot="0" vert="horz" wrap="square" lIns="91440" tIns="45720" rIns="91440" bIns="45720" anchor="ctr" anchorCtr="0" upright="1">
                              <a:noAutofit/>
                            </wps:bodyPr>
                          </wps:wsp>
                          <wps:wsp>
                            <wps:cNvPr id="3" name="Rectangle 195"/>
                            <wps:cNvSpPr>
                              <a:spLocks noChangeArrowheads="1"/>
                            </wps:cNvSpPr>
                            <wps:spPr bwMode="auto">
                              <a:xfrm>
                                <a:off x="0" y="40943"/>
                                <a:ext cx="68580" cy="50292"/>
                              </a:xfrm>
                              <a:prstGeom prst="rect">
                                <a:avLst/>
                              </a:prstGeom>
                              <a:solidFill>
                                <a:schemeClr val="accent1">
                                  <a:lumMod val="100000"/>
                                  <a:lumOff val="0"/>
                                </a:schemeClr>
                              </a:solidFill>
                              <a:ln>
                                <a:noFill/>
                              </a:ln>
                              <a:extLst>
                                <a:ext uri="{91240B29-F687-4F45-9708-019B960494DF}">
                                  <a14:hiddenLine xmlns:a14="http://schemas.microsoft.com/office/drawing/2010/main" w="12700">
                                    <a:solidFill>
                                      <a:srgbClr val="000000"/>
                                    </a:solidFill>
                                    <a:miter lim="800000"/>
                                    <a:headEnd/>
                                    <a:tailEnd/>
                                  </a14:hiddenLine>
                                </a:ext>
                              </a:extLst>
                            </wps:spPr>
                            <wps:txbx>
                              <w:txbxContent>
                                <w:p w:rsidR="009A3EC8" w:rsidRPr="001821E7" w:rsidRDefault="001821E7">
                                  <w:pPr>
                                    <w:pStyle w:val="NoSpacing"/>
                                    <w:spacing w:before="120"/>
                                    <w:jc w:val="center"/>
                                    <w:rPr>
                                      <w:b/>
                                      <w:color w:val="FFFFFF" w:themeColor="background1"/>
                                      <w:sz w:val="96"/>
                                      <w:szCs w:val="96"/>
                                    </w:rPr>
                                  </w:pPr>
                                  <w:r w:rsidRPr="001821E7">
                                    <w:rPr>
                                      <w:b/>
                                      <w:color w:val="FFFFFF" w:themeColor="background1"/>
                                      <w:sz w:val="96"/>
                                      <w:szCs w:val="96"/>
                                    </w:rPr>
                                    <w:t>U</w:t>
                                  </w:r>
                                  <w:bookmarkStart w:id="1" w:name="_GoBack"/>
                                  <w:bookmarkEnd w:id="1"/>
                                  <w:r w:rsidRPr="001821E7">
                                    <w:rPr>
                                      <w:b/>
                                      <w:color w:val="FFFFFF" w:themeColor="background1"/>
                                      <w:sz w:val="96"/>
                                      <w:szCs w:val="96"/>
                                    </w:rPr>
                                    <w:t>WTSD</w:t>
                                  </w:r>
                                </w:p>
                              </w:txbxContent>
                            </wps:txbx>
                            <wps:bodyPr rot="0" vert="horz" wrap="square" lIns="457200" tIns="731520" rIns="457200" bIns="457200" anchor="b" anchorCtr="0" upright="1">
                              <a:noAutofit/>
                            </wps:bodyPr>
                          </wps:wsp>
                          <wps:wsp>
                            <wps:cNvPr id="4" name="Text Box 196"/>
                            <wps:cNvSpPr txBox="1">
                              <a:spLocks noChangeArrowheads="1"/>
                            </wps:cNvSpPr>
                            <wps:spPr bwMode="auto">
                              <a:xfrm>
                                <a:off x="68" y="13716"/>
                                <a:ext cx="68580" cy="27227"/>
                              </a:xfrm>
                              <a:prstGeom prst="rect">
                                <a:avLst/>
                              </a:prstGeom>
                              <a:solidFill>
                                <a:schemeClr val="bg1">
                                  <a:lumMod val="100000"/>
                                  <a:lumOff val="0"/>
                                </a:schemeClr>
                              </a:solidFill>
                              <a:ln>
                                <a:noFill/>
                              </a:ln>
                              <a:extLst>
                                <a:ext uri="{91240B29-F687-4F45-9708-019B960494DF}">
                                  <a14:hiddenLine xmlns:a14="http://schemas.microsoft.com/office/drawing/2010/main" w="6350">
                                    <a:solidFill>
                                      <a:srgbClr val="000000"/>
                                    </a:solidFill>
                                    <a:miter lim="800000"/>
                                    <a:headEnd/>
                                    <a:tailEnd/>
                                  </a14:hiddenLine>
                                </a:ext>
                              </a:extLst>
                            </wps:spPr>
                            <wps:txbx>
                              <w:txbxContent>
                                <w:p w:rsidR="009A3EC8" w:rsidRDefault="003D60C1">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Task 1</w:t>
                                  </w:r>
                                </w:p>
                              </w:txbxContent>
                            </wps:txbx>
                            <wps:bodyPr rot="0" vert="horz" wrap="square" lIns="457200" tIns="91440" rIns="457200" bIns="91440" anchor="ctr" anchorCtr="0" upright="1">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39.4pt;height:719.8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">
                    <v:rect id="Rectangle 194" o:spid="_x0000_s1027" style="position:absolute;width:68580;height:1371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1C3PMQA&#10;AADaAAAADwAAAGRycy9kb3ducmV2LnhtbESPQWvCQBSE70L/w/IKvemmCrWkboIIQpFSMG0OvT2y&#10;r9lo9m3IrjHtr3cFweMwM98wq3y0rRio941jBc+zBARx5XTDtYLvr+30FYQPyBpbx6Tgjzzk2cNk&#10;hal2Z97TUIRaRAj7FBWYELpUSl8ZsuhnriOO3q/rLYYo+1rqHs8Rbls5T5IXabHhuGCwo42h6lic&#10;rILdYbkozLAe/hefVBpXfvxsN16pp8dx/QYi0Bju4Vv7XSuYw/VKvAEyu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9QtzzEAAAA2gAAAA8AAAAAAAAAAAAAAAAAmAIAAGRycy9k&#10;b3ducmV2LnhtbFBLBQYAAAAABAAEAPUAAACJAwAAAAA=&#10;" fillcolor="#156082 [3204]" stroked="f" strokeweight="1pt"/>
                    <v:rect id="Rectangle 195" o:spid="_x0000_s1028" style="position:absolute;top:40943;width:68580;height:50292;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dcTA8UA&#10;AADaAAAADwAAAGRycy9kb3ducmV2LnhtbESPQWvCQBSE70L/w/IKXoputKVo6ipFEaqUYmMu3p7Z&#10;12xo9m3Irhr/vVsoeBxm5htmtuhsLc7U+sqxgtEwAUFcOF1xqSDfrwcTED4ga6wdk4IreVjMH3oz&#10;TLW78Deds1CKCGGfogITQpNK6QtDFv3QNcTR+3GtxRBlW0rd4iXCbS3HSfIqLVYcFww2tDRU/GYn&#10;qyDLV/mRwst0+3XYuF3+ZHaf406p/mP3/gYiUBfu4f/2h1bwDH9X4g2Q8xs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N1xMDxQAAANoAAAAPAAAAAAAAAAAAAAAAAJgCAABkcnMv&#10;ZG93bnJldi54bWxQSwUGAAAAAAQABAD1AAAAigMAAAAA&#10;" fillcolor="#156082 [3204]" stroked="f" strokeweight="1pt">
                      <v:textbox inset="36pt,57.6pt,36pt,36pt">
                        <w:txbxContent>
                          <w:p w:rsidR="009A3EC8" w:rsidRPr="001821E7" w:rsidRDefault="001821E7">
                            <w:pPr>
                              <w:pStyle w:val="NoSpacing"/>
                              <w:spacing w:before="120"/>
                              <w:jc w:val="center"/>
                              <w:rPr>
                                <w:b/>
                                <w:color w:val="FFFFFF" w:themeColor="background1"/>
                                <w:sz w:val="96"/>
                                <w:szCs w:val="96"/>
                              </w:rPr>
                            </w:pPr>
                            <w:r w:rsidRPr="001821E7">
                              <w:rPr>
                                <w:b/>
                                <w:color w:val="FFFFFF" w:themeColor="background1"/>
                                <w:sz w:val="96"/>
                                <w:szCs w:val="96"/>
                              </w:rPr>
                              <w:t>U</w:t>
                            </w:r>
                            <w:bookmarkStart w:id="2" w:name="_GoBack"/>
                            <w:bookmarkEnd w:id="2"/>
                            <w:r w:rsidRPr="001821E7">
                              <w:rPr>
                                <w:b/>
                                <w:color w:val="FFFFFF" w:themeColor="background1"/>
                                <w:sz w:val="96"/>
                                <w:szCs w:val="96"/>
                              </w:rPr>
                              <w:t>WTSD</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Epl1MQA&#10;AADaAAAADwAAAGRycy9kb3ducmV2LnhtbESPQWvCQBSE74L/YXlCL6XZtClao6tURdoeo4WS2yP7&#10;TILZtzG7avz33ULB4zAz3zDzZW8acaHO1ZYVPEcxCOLC6ppLBd/77dMbCOeRNTaWScGNHCwXw8Ec&#10;U22vnNFl50sRIOxSVFB536ZSuqIigy6yLXHwDrYz6IPsSqk7vAa4aeRLHI+lwZrDQoUtrSsqjruz&#10;UTBd+Sx5/MmT9uNkNliev/bJJFfqYdS/z0B46v09/N/+1Ape4e9KuAFy8Qs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BKZdTEAAAA2gAAAA8AAAAAAAAAAAAAAAAAmAIAAGRycy9k&#10;b3ducmV2LnhtbFBLBQYAAAAABAAEAPUAAACJAwAAAAA=&#10;" fillcolor="white [3212]" stroked="f" strokeweight=".5pt">
                      <v:textbox inset="36pt,7.2pt,36pt,7.2pt">
                        <w:txbxContent>
                          <w:p w:rsidR="009A3EC8" w:rsidRDefault="003D60C1">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Task 1</w:t>
                            </w:r>
                          </w:p>
                        </w:txbxContent>
                      </v:textbox>
                    </v:shape>
                    <w10:wrap anchorx="page" anchory="page"/>
                  </v:group>
                </w:pict>
              </mc:Fallback>
            </mc:AlternateContent>
          </w:r>
        </w:p>
        <w:tbl>
          <w:tblPr>
            <w:tblStyle w:val="TableGrid"/>
            <w:tblpPr w:leftFromText="180" w:rightFromText="180" w:vertAnchor="text" w:horzAnchor="margin" w:tblpY="5305"/>
            <w:tblW w:w="9597" w:type="dxa"/>
            <w:tblLook w:val="04A0" w:firstRow="1" w:lastRow="0" w:firstColumn="1" w:lastColumn="0" w:noHBand="0" w:noVBand="1"/>
          </w:tblPr>
          <w:tblGrid>
            <w:gridCol w:w="9597"/>
          </w:tblGrid>
          <w:tr w:rsidR="00A843F4" w:rsidRPr="00A843F4" w:rsidTr="001821E7">
            <w:trPr>
              <w:trHeight w:val="3936"/>
            </w:trPr>
            <w:tc>
              <w:tcPr>
                <w:tcW w:w="9597" w:type="dxa"/>
              </w:tcPr>
              <w:p w:rsidR="00A843F4" w:rsidRPr="00A843F4" w:rsidRDefault="00A843F4" w:rsidP="001821E7">
                <w:pPr>
                  <w:pStyle w:val="NoSpacing"/>
                  <w:tabs>
                    <w:tab w:val="left" w:pos="675"/>
                    <w:tab w:val="center" w:pos="4602"/>
                  </w:tabs>
                  <w:spacing w:before="120"/>
                  <w:rPr>
                    <w:rFonts w:ascii="Times New Roman" w:hAnsi="Times New Roman" w:cs="Times New Roman"/>
                    <w:color w:val="000000" w:themeColor="text1"/>
                    <w:sz w:val="32"/>
                    <w:szCs w:val="32"/>
                  </w:rPr>
                </w:pPr>
                <w:r w:rsidRPr="00A843F4">
                  <w:rPr>
                    <w:rFonts w:ascii="Times New Roman" w:hAnsi="Times New Roman" w:cs="Times New Roman"/>
                    <w:b/>
                    <w:color w:val="000000" w:themeColor="text1"/>
                    <w:sz w:val="32"/>
                    <w:szCs w:val="32"/>
                  </w:rPr>
                  <w:t xml:space="preserve">Submission to: </w:t>
                </w:r>
                <w:r w:rsidRPr="00A843F4">
                  <w:rPr>
                    <w:rFonts w:ascii="Times New Roman" w:hAnsi="Times New Roman" w:cs="Times New Roman"/>
                    <w:color w:val="000000" w:themeColor="text1"/>
                    <w:sz w:val="32"/>
                    <w:szCs w:val="32"/>
                  </w:rPr>
                  <w:t xml:space="preserve">Dr. </w:t>
                </w:r>
                <w:r w:rsidRPr="00A843F4">
                  <w:rPr>
                    <w:sz w:val="32"/>
                    <w:szCs w:val="32"/>
                  </w:rPr>
                  <w:t>Nitheesh Murugan Kaliyamurthy</w:t>
                </w:r>
                <w:r w:rsidR="001821E7">
                  <w:rPr>
                    <w:sz w:val="32"/>
                    <w:szCs w:val="32"/>
                  </w:rPr>
                  <w:br/>
                </w:r>
                <w:r w:rsidR="001821E7">
                  <w:rPr>
                    <w:sz w:val="32"/>
                    <w:szCs w:val="32"/>
                  </w:rPr>
                  <w:br/>
                </w:r>
                <w:r w:rsidR="001821E7" w:rsidRPr="007B5566">
                  <w:rPr>
                    <w:rFonts w:ascii="Times New Roman" w:hAnsi="Times New Roman" w:cs="Times New Roman"/>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821E7" w:rsidRPr="001821E7">
                  <w:rPr>
                    <w:rFonts w:ascii="Times New Roman" w:hAnsi="Times New Roman" w:cs="Times New Roman"/>
                    <w:b/>
                    <w:color w:val="000000" w:themeColor="text1"/>
                    <w:sz w:val="32"/>
                    <w:szCs w:val="32"/>
                  </w:rPr>
                  <w:t>Module</w:t>
                </w:r>
                <w:r w:rsidR="001821E7" w:rsidRPr="001821E7">
                  <w:rPr>
                    <w:rFonts w:ascii="Times New Roman" w:hAnsi="Times New Roman" w:cs="Times New Roman"/>
                    <w:color w:val="000000" w:themeColor="text1"/>
                    <w:sz w:val="32"/>
                    <w:szCs w:val="32"/>
                  </w:rPr>
                  <w:t xml:space="preserve">: </w:t>
                </w:r>
                <w:r w:rsidR="001821E7">
                  <w:rPr>
                    <w:rFonts w:ascii="Times New Roman" w:eastAsia="Times New Roman" w:hAnsi="Times New Roman" w:cs="Times New Roman"/>
                    <w:b/>
                    <w:bCs/>
                    <w:kern w:val="36"/>
                    <w:sz w:val="48"/>
                    <w:szCs w:val="48"/>
                  </w:rPr>
                  <w:t xml:space="preserve"> </w:t>
                </w:r>
                <w:r w:rsidR="001821E7" w:rsidRPr="00C234CA">
                  <w:rPr>
                    <w:rFonts w:ascii="Times New Roman" w:eastAsia="Times New Roman" w:hAnsi="Times New Roman" w:cs="Times New Roman"/>
                    <w:sz w:val="24"/>
                    <w:szCs w:val="24"/>
                    <w:lang w:val="en-GB"/>
                  </w:rPr>
                  <w:t xml:space="preserve"> </w:t>
                </w:r>
                <w:r w:rsidR="001821E7">
                  <w:rPr>
                    <w:rFonts w:ascii="Times New Roman" w:eastAsia="Times New Roman" w:hAnsi="Times New Roman" w:cs="Times New Roman"/>
                    <w:sz w:val="36"/>
                    <w:szCs w:val="36"/>
                    <w:lang w:val="en-GB"/>
                  </w:rPr>
                  <w:t>Digital Forensics Analysis</w:t>
                </w:r>
                <w:r w:rsidR="001821E7">
                  <w:rPr>
                    <w:rFonts w:ascii="Times New Roman" w:eastAsia="Times New Roman" w:hAnsi="Times New Roman" w:cs="Times New Roman"/>
                    <w:sz w:val="36"/>
                    <w:szCs w:val="36"/>
                    <w:lang w:val="en-GB"/>
                  </w:rPr>
                  <w:br/>
                </w:r>
                <w:r w:rsidR="001821E7">
                  <w:rPr>
                    <w:rFonts w:ascii="Times New Roman" w:eastAsia="Times New Roman" w:hAnsi="Times New Roman" w:cs="Times New Roman"/>
                    <w:sz w:val="36"/>
                    <w:szCs w:val="36"/>
                    <w:lang w:val="en-GB"/>
                  </w:rPr>
                  <w:br/>
                </w:r>
                <w:r w:rsidR="001821E7" w:rsidRPr="007B5566">
                  <w:rPr>
                    <w:rFonts w:ascii="Times New Roman" w:hAnsi="Times New Roman" w:cs="Times New Roman"/>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821E7" w:rsidRPr="001821E7">
                  <w:rPr>
                    <w:rFonts w:ascii="Times New Roman" w:hAnsi="Times New Roman" w:cs="Times New Roman"/>
                    <w:b/>
                    <w:color w:val="000000" w:themeColor="text1"/>
                    <w:sz w:val="32"/>
                    <w:szCs w:val="32"/>
                  </w:rPr>
                  <w:t>Name:</w:t>
                </w:r>
                <w:r w:rsidR="001821E7" w:rsidRPr="001821E7">
                  <w:rPr>
                    <w:rFonts w:ascii="Times New Roman" w:hAnsi="Times New Roman" w:cs="Times New Roman"/>
                    <w:color w:val="000000" w:themeColor="text1"/>
                    <w:sz w:val="32"/>
                    <w:szCs w:val="32"/>
                  </w:rPr>
                  <w:t xml:space="preserve"> Hridoy Majumder     </w:t>
                </w:r>
                <w:r w:rsidR="001821E7">
                  <w:rPr>
                    <w:rFonts w:ascii="Times New Roman" w:hAnsi="Times New Roman" w:cs="Times New Roman"/>
                    <w:b/>
                    <w:color w:val="000000" w:themeColor="text1"/>
                    <w:sz w:val="32"/>
                    <w:szCs w:val="32"/>
                  </w:rPr>
                  <w:t xml:space="preserve"> </w:t>
                </w:r>
                <w:r w:rsidR="001821E7">
                  <w:rPr>
                    <w:rFonts w:ascii="Times New Roman" w:hAnsi="Times New Roman" w:cs="Times New Roman"/>
                    <w:b/>
                    <w:color w:val="000000" w:themeColor="text1"/>
                    <w:sz w:val="32"/>
                    <w:szCs w:val="32"/>
                  </w:rPr>
                  <w:br/>
                </w:r>
                <w:r w:rsidR="001821E7">
                  <w:rPr>
                    <w:rFonts w:ascii="Times New Roman" w:hAnsi="Times New Roman" w:cs="Times New Roman"/>
                    <w:b/>
                    <w:color w:val="000000" w:themeColor="text1"/>
                    <w:sz w:val="32"/>
                    <w:szCs w:val="32"/>
                  </w:rPr>
                  <w:br/>
                </w:r>
                <w:r w:rsidR="001821E7" w:rsidRPr="007B5566">
                  <w:rPr>
                    <w:rFonts w:ascii="Times New Roman" w:hAnsi="Times New Roman" w:cs="Times New Roman"/>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821E7" w:rsidRPr="001821E7">
                  <w:rPr>
                    <w:rFonts w:ascii="Times New Roman" w:hAnsi="Times New Roman" w:cs="Times New Roman"/>
                    <w:b/>
                    <w:color w:val="000000" w:themeColor="text1"/>
                    <w:sz w:val="32"/>
                    <w:szCs w:val="32"/>
                  </w:rPr>
                  <w:t xml:space="preserve">Department: </w:t>
                </w:r>
                <w:r w:rsidR="001821E7" w:rsidRPr="001821E7">
                  <w:rPr>
                    <w:rFonts w:ascii="Times New Roman" w:hAnsi="Times New Roman" w:cs="Times New Roman"/>
                    <w:color w:val="000000" w:themeColor="text1"/>
                    <w:sz w:val="32"/>
                    <w:szCs w:val="32"/>
                  </w:rPr>
                  <w:t>Cyber security &amp; Digital Forensics</w:t>
                </w:r>
                <w:r w:rsidR="001821E7">
                  <w:rPr>
                    <w:rFonts w:ascii="Times New Roman" w:hAnsi="Times New Roman" w:cs="Times New Roman"/>
                    <w:color w:val="000000" w:themeColor="text1"/>
                    <w:sz w:val="32"/>
                    <w:szCs w:val="32"/>
                  </w:rPr>
                  <w:br/>
                </w:r>
                <w:r w:rsidR="001821E7">
                  <w:rPr>
                    <w:rFonts w:ascii="Times New Roman" w:hAnsi="Times New Roman" w:cs="Times New Roman"/>
                    <w:color w:val="000000" w:themeColor="text1"/>
                    <w:sz w:val="32"/>
                    <w:szCs w:val="32"/>
                  </w:rPr>
                  <w:br/>
                </w:r>
                <w:r w:rsidR="001821E7" w:rsidRPr="007B5566">
                  <w:rPr>
                    <w:rFonts w:ascii="Times New Roman" w:hAnsi="Times New Roman" w:cs="Times New Roman"/>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821E7" w:rsidRPr="001821E7">
                  <w:rPr>
                    <w:rFonts w:ascii="Times New Roman" w:hAnsi="Times New Roman" w:cs="Times New Roman"/>
                    <w:b/>
                    <w:color w:val="000000" w:themeColor="text1"/>
                    <w:sz w:val="32"/>
                    <w:szCs w:val="32"/>
                  </w:rPr>
                  <w:t>ID:</w:t>
                </w:r>
                <w:r w:rsidR="001821E7" w:rsidRPr="001821E7">
                  <w:rPr>
                    <w:rFonts w:ascii="Times New Roman" w:hAnsi="Times New Roman" w:cs="Times New Roman"/>
                    <w:color w:val="000000" w:themeColor="text1"/>
                    <w:sz w:val="32"/>
                    <w:szCs w:val="32"/>
                  </w:rPr>
                  <w:t xml:space="preserve"> 2522065</w:t>
                </w:r>
              </w:p>
            </w:tc>
          </w:tr>
        </w:tbl>
        <w:p w:rsidR="009A3EC8" w:rsidRDefault="00A843F4">
          <w:pPr>
            <w:rPr>
              <w:rFonts w:asciiTheme="majorHAnsi" w:eastAsiaTheme="majorEastAsia" w:hAnsiTheme="majorHAnsi" w:cstheme="majorBidi"/>
              <w:color w:val="0F4761" w:themeColor="accent1" w:themeShade="BF"/>
              <w:sz w:val="40"/>
              <w:szCs w:val="40"/>
            </w:rPr>
          </w:pPr>
          <w:r>
            <w:br/>
          </w:r>
          <w:r w:rsidR="009A3EC8">
            <w:br w:type="page"/>
          </w:r>
        </w:p>
      </w:sdtContent>
    </w:sdt>
    <w:sdt>
      <w:sdtPr>
        <w:rPr>
          <w:rFonts w:asciiTheme="minorHAnsi" w:eastAsiaTheme="minorHAnsi" w:hAnsiTheme="minorHAnsi" w:cstheme="minorBidi"/>
          <w:color w:val="auto"/>
          <w:sz w:val="24"/>
          <w:szCs w:val="24"/>
        </w:rPr>
        <w:id w:val="-604734263"/>
        <w:docPartObj>
          <w:docPartGallery w:val="Table of Contents"/>
          <w:docPartUnique/>
        </w:docPartObj>
      </w:sdtPr>
      <w:sdtEndPr>
        <w:rPr>
          <w:b/>
          <w:bCs/>
          <w:noProof/>
        </w:rPr>
      </w:sdtEndPr>
      <w:sdtContent>
        <w:p w:rsidR="009A2138" w:rsidRPr="009A3EC8" w:rsidRDefault="009A2138">
          <w:pPr>
            <w:pStyle w:val="TOCHeading"/>
            <w:rPr>
              <w:sz w:val="56"/>
              <w:szCs w:val="56"/>
            </w:rPr>
          </w:pPr>
          <w:r w:rsidRPr="009A3EC8">
            <w:rPr>
              <w:sz w:val="56"/>
              <w:szCs w:val="56"/>
            </w:rPr>
            <w:t>Contents</w:t>
          </w:r>
        </w:p>
        <w:p w:rsidR="009A2138" w:rsidRPr="009A3EC8" w:rsidRDefault="009A2138">
          <w:pPr>
            <w:pStyle w:val="TOC1"/>
            <w:tabs>
              <w:tab w:val="right" w:leader="dot" w:pos="9350"/>
            </w:tabs>
            <w:rPr>
              <w:rFonts w:eastAsiaTheme="minorEastAsia"/>
              <w:noProof/>
              <w:sz w:val="40"/>
              <w:szCs w:val="40"/>
              <w:lang w:val="en-US"/>
            </w:rPr>
          </w:pPr>
          <w:r w:rsidRPr="009A3EC8">
            <w:rPr>
              <w:sz w:val="40"/>
              <w:szCs w:val="40"/>
            </w:rPr>
            <w:fldChar w:fldCharType="begin"/>
          </w:r>
          <w:r w:rsidRPr="009A3EC8">
            <w:rPr>
              <w:sz w:val="40"/>
              <w:szCs w:val="40"/>
            </w:rPr>
            <w:instrText xml:space="preserve"> TOC \o "1-3" \h \z \u </w:instrText>
          </w:r>
          <w:r w:rsidRPr="009A3EC8">
            <w:rPr>
              <w:sz w:val="40"/>
              <w:szCs w:val="40"/>
            </w:rPr>
            <w:fldChar w:fldCharType="separate"/>
          </w:r>
          <w:hyperlink w:anchor="_Toc231248757" w:history="1"/>
        </w:p>
        <w:p w:rsidR="009A2138" w:rsidRPr="009A3EC8" w:rsidRDefault="001821E7">
          <w:pPr>
            <w:pStyle w:val="TOC2"/>
            <w:tabs>
              <w:tab w:val="right" w:leader="dot" w:pos="9350"/>
            </w:tabs>
            <w:rPr>
              <w:rFonts w:eastAsiaTheme="minorEastAsia"/>
              <w:noProof/>
              <w:sz w:val="40"/>
              <w:szCs w:val="40"/>
              <w:lang w:val="en-US"/>
            </w:rPr>
          </w:pPr>
          <w:hyperlink w:anchor="_Toc231248758" w:history="1">
            <w:r w:rsidR="009A2138" w:rsidRPr="009A3EC8">
              <w:rPr>
                <w:rStyle w:val="Hyperlink"/>
                <w:noProof/>
                <w:sz w:val="40"/>
                <w:szCs w:val="40"/>
              </w:rPr>
              <w:t>Introduction</w:t>
            </w:r>
            <w:r w:rsidR="009A2138" w:rsidRPr="009A3EC8">
              <w:rPr>
                <w:noProof/>
                <w:webHidden/>
                <w:sz w:val="40"/>
                <w:szCs w:val="40"/>
              </w:rPr>
              <w:tab/>
            </w:r>
            <w:r w:rsidR="009A2138" w:rsidRPr="009A3EC8">
              <w:rPr>
                <w:noProof/>
                <w:webHidden/>
                <w:sz w:val="40"/>
                <w:szCs w:val="40"/>
              </w:rPr>
              <w:fldChar w:fldCharType="begin"/>
            </w:r>
            <w:r w:rsidR="009A2138" w:rsidRPr="009A3EC8">
              <w:rPr>
                <w:noProof/>
                <w:webHidden/>
                <w:sz w:val="40"/>
                <w:szCs w:val="40"/>
              </w:rPr>
              <w:instrText xml:space="preserve"> PAGEREF _Toc231248758 \h </w:instrText>
            </w:r>
            <w:r w:rsidR="009A2138" w:rsidRPr="009A3EC8">
              <w:rPr>
                <w:noProof/>
                <w:webHidden/>
                <w:sz w:val="40"/>
                <w:szCs w:val="40"/>
              </w:rPr>
            </w:r>
            <w:r w:rsidR="009A2138" w:rsidRPr="009A3EC8">
              <w:rPr>
                <w:noProof/>
                <w:webHidden/>
                <w:sz w:val="40"/>
                <w:szCs w:val="40"/>
              </w:rPr>
              <w:fldChar w:fldCharType="separate"/>
            </w:r>
            <w:r w:rsidR="009A2138" w:rsidRPr="009A3EC8">
              <w:rPr>
                <w:noProof/>
                <w:webHidden/>
                <w:sz w:val="40"/>
                <w:szCs w:val="40"/>
              </w:rPr>
              <w:t>2</w:t>
            </w:r>
            <w:r w:rsidR="009A2138" w:rsidRPr="009A3EC8">
              <w:rPr>
                <w:noProof/>
                <w:webHidden/>
                <w:sz w:val="40"/>
                <w:szCs w:val="40"/>
              </w:rPr>
              <w:fldChar w:fldCharType="end"/>
            </w:r>
          </w:hyperlink>
          <w:r w:rsidR="009A3EC8">
            <w:rPr>
              <w:rStyle w:val="Hyperlink"/>
              <w:noProof/>
              <w:sz w:val="40"/>
              <w:szCs w:val="40"/>
            </w:rPr>
            <w:br/>
          </w:r>
        </w:p>
        <w:p w:rsidR="009A2138" w:rsidRPr="009A3EC8" w:rsidRDefault="001821E7">
          <w:pPr>
            <w:pStyle w:val="TOC2"/>
            <w:tabs>
              <w:tab w:val="right" w:leader="dot" w:pos="9350"/>
            </w:tabs>
            <w:rPr>
              <w:rFonts w:eastAsiaTheme="minorEastAsia"/>
              <w:noProof/>
              <w:sz w:val="40"/>
              <w:szCs w:val="40"/>
              <w:lang w:val="en-US"/>
            </w:rPr>
          </w:pPr>
          <w:hyperlink w:anchor="_Toc231248759" w:history="1">
            <w:r w:rsidR="009A2138" w:rsidRPr="009A3EC8">
              <w:rPr>
                <w:rStyle w:val="Hyperlink"/>
                <w:noProof/>
                <w:sz w:val="40"/>
                <w:szCs w:val="40"/>
              </w:rPr>
              <w:t>1. Current State of the Field, Tools, Features and Capabilities</w:t>
            </w:r>
            <w:r w:rsidR="009A2138" w:rsidRPr="009A3EC8">
              <w:rPr>
                <w:noProof/>
                <w:webHidden/>
                <w:sz w:val="40"/>
                <w:szCs w:val="40"/>
              </w:rPr>
              <w:tab/>
            </w:r>
            <w:r w:rsidR="009A2138" w:rsidRPr="009A3EC8">
              <w:rPr>
                <w:noProof/>
                <w:webHidden/>
                <w:sz w:val="40"/>
                <w:szCs w:val="40"/>
              </w:rPr>
              <w:fldChar w:fldCharType="begin"/>
            </w:r>
            <w:r w:rsidR="009A2138" w:rsidRPr="009A3EC8">
              <w:rPr>
                <w:noProof/>
                <w:webHidden/>
                <w:sz w:val="40"/>
                <w:szCs w:val="40"/>
              </w:rPr>
              <w:instrText xml:space="preserve"> PAGEREF _Toc231248759 \h </w:instrText>
            </w:r>
            <w:r w:rsidR="009A2138" w:rsidRPr="009A3EC8">
              <w:rPr>
                <w:noProof/>
                <w:webHidden/>
                <w:sz w:val="40"/>
                <w:szCs w:val="40"/>
              </w:rPr>
            </w:r>
            <w:r w:rsidR="009A2138" w:rsidRPr="009A3EC8">
              <w:rPr>
                <w:noProof/>
                <w:webHidden/>
                <w:sz w:val="40"/>
                <w:szCs w:val="40"/>
              </w:rPr>
              <w:fldChar w:fldCharType="separate"/>
            </w:r>
            <w:r w:rsidR="009A2138" w:rsidRPr="009A3EC8">
              <w:rPr>
                <w:noProof/>
                <w:webHidden/>
                <w:sz w:val="40"/>
                <w:szCs w:val="40"/>
              </w:rPr>
              <w:t>2</w:t>
            </w:r>
            <w:r w:rsidR="009A2138" w:rsidRPr="009A3EC8">
              <w:rPr>
                <w:noProof/>
                <w:webHidden/>
                <w:sz w:val="40"/>
                <w:szCs w:val="40"/>
              </w:rPr>
              <w:fldChar w:fldCharType="end"/>
            </w:r>
          </w:hyperlink>
          <w:r w:rsidR="009A3EC8">
            <w:rPr>
              <w:rStyle w:val="Hyperlink"/>
              <w:noProof/>
              <w:sz w:val="40"/>
              <w:szCs w:val="40"/>
            </w:rPr>
            <w:br/>
          </w:r>
        </w:p>
        <w:p w:rsidR="009A2138" w:rsidRPr="009A3EC8" w:rsidRDefault="001821E7">
          <w:pPr>
            <w:pStyle w:val="TOC2"/>
            <w:tabs>
              <w:tab w:val="right" w:leader="dot" w:pos="9350"/>
            </w:tabs>
            <w:rPr>
              <w:rFonts w:eastAsiaTheme="minorEastAsia"/>
              <w:noProof/>
              <w:sz w:val="40"/>
              <w:szCs w:val="40"/>
              <w:lang w:val="en-US"/>
            </w:rPr>
          </w:pPr>
          <w:hyperlink w:anchor="_Toc231248760" w:history="1">
            <w:r w:rsidR="009A2138" w:rsidRPr="009A3EC8">
              <w:rPr>
                <w:rStyle w:val="Hyperlink"/>
                <w:noProof/>
                <w:sz w:val="40"/>
                <w:szCs w:val="40"/>
              </w:rPr>
              <w:t>2. Intersection of Digital Forensics and Cyber security</w:t>
            </w:r>
            <w:r w:rsidR="009A2138" w:rsidRPr="009A3EC8">
              <w:rPr>
                <w:noProof/>
                <w:webHidden/>
                <w:sz w:val="40"/>
                <w:szCs w:val="40"/>
              </w:rPr>
              <w:tab/>
            </w:r>
            <w:r w:rsidR="009A2138" w:rsidRPr="009A3EC8">
              <w:rPr>
                <w:noProof/>
                <w:webHidden/>
                <w:sz w:val="40"/>
                <w:szCs w:val="40"/>
              </w:rPr>
              <w:fldChar w:fldCharType="begin"/>
            </w:r>
            <w:r w:rsidR="009A2138" w:rsidRPr="009A3EC8">
              <w:rPr>
                <w:noProof/>
                <w:webHidden/>
                <w:sz w:val="40"/>
                <w:szCs w:val="40"/>
              </w:rPr>
              <w:instrText xml:space="preserve"> PAGEREF _Toc231248760 \h </w:instrText>
            </w:r>
            <w:r w:rsidR="009A2138" w:rsidRPr="009A3EC8">
              <w:rPr>
                <w:noProof/>
                <w:webHidden/>
                <w:sz w:val="40"/>
                <w:szCs w:val="40"/>
              </w:rPr>
            </w:r>
            <w:r w:rsidR="009A2138" w:rsidRPr="009A3EC8">
              <w:rPr>
                <w:noProof/>
                <w:webHidden/>
                <w:sz w:val="40"/>
                <w:szCs w:val="40"/>
              </w:rPr>
              <w:fldChar w:fldCharType="separate"/>
            </w:r>
            <w:r w:rsidR="009A2138" w:rsidRPr="009A3EC8">
              <w:rPr>
                <w:noProof/>
                <w:webHidden/>
                <w:sz w:val="40"/>
                <w:szCs w:val="40"/>
              </w:rPr>
              <w:t>3</w:t>
            </w:r>
            <w:r w:rsidR="009A2138" w:rsidRPr="009A3EC8">
              <w:rPr>
                <w:noProof/>
                <w:webHidden/>
                <w:sz w:val="40"/>
                <w:szCs w:val="40"/>
              </w:rPr>
              <w:fldChar w:fldCharType="end"/>
            </w:r>
          </w:hyperlink>
          <w:r w:rsidR="009A3EC8">
            <w:rPr>
              <w:rStyle w:val="Hyperlink"/>
              <w:noProof/>
              <w:sz w:val="40"/>
              <w:szCs w:val="40"/>
            </w:rPr>
            <w:br/>
          </w:r>
        </w:p>
        <w:p w:rsidR="009A2138" w:rsidRPr="009A3EC8" w:rsidRDefault="001821E7">
          <w:pPr>
            <w:pStyle w:val="TOC2"/>
            <w:tabs>
              <w:tab w:val="right" w:leader="dot" w:pos="9350"/>
            </w:tabs>
            <w:rPr>
              <w:rFonts w:eastAsiaTheme="minorEastAsia"/>
              <w:noProof/>
              <w:sz w:val="40"/>
              <w:szCs w:val="40"/>
              <w:lang w:val="en-US"/>
            </w:rPr>
          </w:pPr>
          <w:hyperlink w:anchor="_Toc231248761" w:history="1">
            <w:r w:rsidR="009A2138" w:rsidRPr="009A3EC8">
              <w:rPr>
                <w:rStyle w:val="Hyperlink"/>
                <w:noProof/>
                <w:sz w:val="40"/>
                <w:szCs w:val="40"/>
              </w:rPr>
              <w:t>3. Emerging Trends in Digital Forensics</w:t>
            </w:r>
            <w:r w:rsidR="009A2138" w:rsidRPr="009A3EC8">
              <w:rPr>
                <w:noProof/>
                <w:webHidden/>
                <w:sz w:val="40"/>
                <w:szCs w:val="40"/>
              </w:rPr>
              <w:tab/>
            </w:r>
            <w:r w:rsidR="009A2138" w:rsidRPr="009A3EC8">
              <w:rPr>
                <w:noProof/>
                <w:webHidden/>
                <w:sz w:val="40"/>
                <w:szCs w:val="40"/>
              </w:rPr>
              <w:fldChar w:fldCharType="begin"/>
            </w:r>
            <w:r w:rsidR="009A2138" w:rsidRPr="009A3EC8">
              <w:rPr>
                <w:noProof/>
                <w:webHidden/>
                <w:sz w:val="40"/>
                <w:szCs w:val="40"/>
              </w:rPr>
              <w:instrText xml:space="preserve"> PAGEREF _Toc231248761 \h </w:instrText>
            </w:r>
            <w:r w:rsidR="009A2138" w:rsidRPr="009A3EC8">
              <w:rPr>
                <w:noProof/>
                <w:webHidden/>
                <w:sz w:val="40"/>
                <w:szCs w:val="40"/>
              </w:rPr>
            </w:r>
            <w:r w:rsidR="009A2138" w:rsidRPr="009A3EC8">
              <w:rPr>
                <w:noProof/>
                <w:webHidden/>
                <w:sz w:val="40"/>
                <w:szCs w:val="40"/>
              </w:rPr>
              <w:fldChar w:fldCharType="separate"/>
            </w:r>
            <w:r w:rsidR="009A2138" w:rsidRPr="009A3EC8">
              <w:rPr>
                <w:noProof/>
                <w:webHidden/>
                <w:sz w:val="40"/>
                <w:szCs w:val="40"/>
              </w:rPr>
              <w:t>4</w:t>
            </w:r>
            <w:r w:rsidR="009A2138" w:rsidRPr="009A3EC8">
              <w:rPr>
                <w:noProof/>
                <w:webHidden/>
                <w:sz w:val="40"/>
                <w:szCs w:val="40"/>
              </w:rPr>
              <w:fldChar w:fldCharType="end"/>
            </w:r>
          </w:hyperlink>
        </w:p>
        <w:p w:rsidR="009A2138" w:rsidRPr="009A3EC8" w:rsidRDefault="009A3EC8">
          <w:pPr>
            <w:pStyle w:val="TOC2"/>
            <w:tabs>
              <w:tab w:val="right" w:leader="dot" w:pos="9350"/>
            </w:tabs>
            <w:rPr>
              <w:rFonts w:eastAsiaTheme="minorEastAsia"/>
              <w:noProof/>
              <w:sz w:val="40"/>
              <w:szCs w:val="40"/>
              <w:lang w:val="en-US"/>
            </w:rPr>
          </w:pPr>
          <w:r>
            <w:rPr>
              <w:rStyle w:val="Hyperlink"/>
              <w:noProof/>
              <w:sz w:val="40"/>
              <w:szCs w:val="40"/>
            </w:rPr>
            <w:br/>
          </w:r>
          <w:hyperlink w:anchor="_Toc231248762" w:history="1">
            <w:r w:rsidR="009A2138" w:rsidRPr="009A3EC8">
              <w:rPr>
                <w:rStyle w:val="Hyperlink"/>
                <w:noProof/>
                <w:sz w:val="40"/>
                <w:szCs w:val="40"/>
              </w:rPr>
              <w:t>4. Key Challenges in Digital Forensics</w:t>
            </w:r>
            <w:r w:rsidR="009A2138" w:rsidRPr="009A3EC8">
              <w:rPr>
                <w:noProof/>
                <w:webHidden/>
                <w:sz w:val="40"/>
                <w:szCs w:val="40"/>
              </w:rPr>
              <w:tab/>
            </w:r>
            <w:r w:rsidR="009A2138" w:rsidRPr="009A3EC8">
              <w:rPr>
                <w:noProof/>
                <w:webHidden/>
                <w:sz w:val="40"/>
                <w:szCs w:val="40"/>
              </w:rPr>
              <w:fldChar w:fldCharType="begin"/>
            </w:r>
            <w:r w:rsidR="009A2138" w:rsidRPr="009A3EC8">
              <w:rPr>
                <w:noProof/>
                <w:webHidden/>
                <w:sz w:val="40"/>
                <w:szCs w:val="40"/>
              </w:rPr>
              <w:instrText xml:space="preserve"> PAGEREF _Toc231248762 \h </w:instrText>
            </w:r>
            <w:r w:rsidR="009A2138" w:rsidRPr="009A3EC8">
              <w:rPr>
                <w:noProof/>
                <w:webHidden/>
                <w:sz w:val="40"/>
                <w:szCs w:val="40"/>
              </w:rPr>
            </w:r>
            <w:r w:rsidR="009A2138" w:rsidRPr="009A3EC8">
              <w:rPr>
                <w:noProof/>
                <w:webHidden/>
                <w:sz w:val="40"/>
                <w:szCs w:val="40"/>
              </w:rPr>
              <w:fldChar w:fldCharType="separate"/>
            </w:r>
            <w:r w:rsidR="009A2138" w:rsidRPr="009A3EC8">
              <w:rPr>
                <w:noProof/>
                <w:webHidden/>
                <w:sz w:val="40"/>
                <w:szCs w:val="40"/>
              </w:rPr>
              <w:t>5</w:t>
            </w:r>
            <w:r w:rsidR="009A2138" w:rsidRPr="009A3EC8">
              <w:rPr>
                <w:noProof/>
                <w:webHidden/>
                <w:sz w:val="40"/>
                <w:szCs w:val="40"/>
              </w:rPr>
              <w:fldChar w:fldCharType="end"/>
            </w:r>
          </w:hyperlink>
        </w:p>
        <w:p w:rsidR="009A2138" w:rsidRPr="009A3EC8" w:rsidRDefault="009A3EC8">
          <w:pPr>
            <w:pStyle w:val="TOC2"/>
            <w:tabs>
              <w:tab w:val="right" w:leader="dot" w:pos="9350"/>
            </w:tabs>
            <w:rPr>
              <w:rFonts w:eastAsiaTheme="minorEastAsia"/>
              <w:noProof/>
              <w:sz w:val="40"/>
              <w:szCs w:val="40"/>
              <w:lang w:val="en-US"/>
            </w:rPr>
          </w:pPr>
          <w:r>
            <w:rPr>
              <w:rStyle w:val="Hyperlink"/>
              <w:noProof/>
              <w:sz w:val="40"/>
              <w:szCs w:val="40"/>
            </w:rPr>
            <w:br/>
          </w:r>
          <w:hyperlink w:anchor="_Toc231248763" w:history="1">
            <w:r w:rsidR="009A2138" w:rsidRPr="009A3EC8">
              <w:rPr>
                <w:rStyle w:val="Hyperlink"/>
                <w:noProof/>
                <w:sz w:val="40"/>
                <w:szCs w:val="40"/>
              </w:rPr>
              <w:t>5. National and International Job Market</w:t>
            </w:r>
            <w:r w:rsidR="009A2138" w:rsidRPr="009A3EC8">
              <w:rPr>
                <w:noProof/>
                <w:webHidden/>
                <w:sz w:val="40"/>
                <w:szCs w:val="40"/>
              </w:rPr>
              <w:tab/>
            </w:r>
            <w:r w:rsidR="009A2138" w:rsidRPr="009A3EC8">
              <w:rPr>
                <w:noProof/>
                <w:webHidden/>
                <w:sz w:val="40"/>
                <w:szCs w:val="40"/>
              </w:rPr>
              <w:fldChar w:fldCharType="begin"/>
            </w:r>
            <w:r w:rsidR="009A2138" w:rsidRPr="009A3EC8">
              <w:rPr>
                <w:noProof/>
                <w:webHidden/>
                <w:sz w:val="40"/>
                <w:szCs w:val="40"/>
              </w:rPr>
              <w:instrText xml:space="preserve"> PAGEREF _Toc231248763 \h </w:instrText>
            </w:r>
            <w:r w:rsidR="009A2138" w:rsidRPr="009A3EC8">
              <w:rPr>
                <w:noProof/>
                <w:webHidden/>
                <w:sz w:val="40"/>
                <w:szCs w:val="40"/>
              </w:rPr>
            </w:r>
            <w:r w:rsidR="009A2138" w:rsidRPr="009A3EC8">
              <w:rPr>
                <w:noProof/>
                <w:webHidden/>
                <w:sz w:val="40"/>
                <w:szCs w:val="40"/>
              </w:rPr>
              <w:fldChar w:fldCharType="separate"/>
            </w:r>
            <w:r w:rsidR="009A2138" w:rsidRPr="009A3EC8">
              <w:rPr>
                <w:noProof/>
                <w:webHidden/>
                <w:sz w:val="40"/>
                <w:szCs w:val="40"/>
              </w:rPr>
              <w:t>6</w:t>
            </w:r>
            <w:r w:rsidR="009A2138" w:rsidRPr="009A3EC8">
              <w:rPr>
                <w:noProof/>
                <w:webHidden/>
                <w:sz w:val="40"/>
                <w:szCs w:val="40"/>
              </w:rPr>
              <w:fldChar w:fldCharType="end"/>
            </w:r>
          </w:hyperlink>
        </w:p>
        <w:p w:rsidR="009A2138" w:rsidRPr="009A3EC8" w:rsidRDefault="009A3EC8">
          <w:pPr>
            <w:pStyle w:val="TOC2"/>
            <w:tabs>
              <w:tab w:val="right" w:leader="dot" w:pos="9350"/>
            </w:tabs>
            <w:rPr>
              <w:rFonts w:eastAsiaTheme="minorEastAsia"/>
              <w:noProof/>
              <w:sz w:val="40"/>
              <w:szCs w:val="40"/>
              <w:lang w:val="en-US"/>
            </w:rPr>
          </w:pPr>
          <w:r>
            <w:rPr>
              <w:rStyle w:val="Hyperlink"/>
              <w:noProof/>
              <w:sz w:val="40"/>
              <w:szCs w:val="40"/>
            </w:rPr>
            <w:br/>
          </w:r>
          <w:hyperlink w:anchor="_Toc231248764" w:history="1">
            <w:r w:rsidR="009A2138" w:rsidRPr="009A3EC8">
              <w:rPr>
                <w:rStyle w:val="Hyperlink"/>
                <w:noProof/>
                <w:sz w:val="40"/>
                <w:szCs w:val="40"/>
              </w:rPr>
              <w:t>Conclusion</w:t>
            </w:r>
            <w:r w:rsidR="009A2138" w:rsidRPr="009A3EC8">
              <w:rPr>
                <w:noProof/>
                <w:webHidden/>
                <w:sz w:val="40"/>
                <w:szCs w:val="40"/>
              </w:rPr>
              <w:tab/>
            </w:r>
            <w:r w:rsidR="009A2138" w:rsidRPr="009A3EC8">
              <w:rPr>
                <w:noProof/>
                <w:webHidden/>
                <w:sz w:val="40"/>
                <w:szCs w:val="40"/>
              </w:rPr>
              <w:fldChar w:fldCharType="begin"/>
            </w:r>
            <w:r w:rsidR="009A2138" w:rsidRPr="009A3EC8">
              <w:rPr>
                <w:noProof/>
                <w:webHidden/>
                <w:sz w:val="40"/>
                <w:szCs w:val="40"/>
              </w:rPr>
              <w:instrText xml:space="preserve"> PAGEREF _Toc231248764 \h </w:instrText>
            </w:r>
            <w:r w:rsidR="009A2138" w:rsidRPr="009A3EC8">
              <w:rPr>
                <w:noProof/>
                <w:webHidden/>
                <w:sz w:val="40"/>
                <w:szCs w:val="40"/>
              </w:rPr>
            </w:r>
            <w:r w:rsidR="009A2138" w:rsidRPr="009A3EC8">
              <w:rPr>
                <w:noProof/>
                <w:webHidden/>
                <w:sz w:val="40"/>
                <w:szCs w:val="40"/>
              </w:rPr>
              <w:fldChar w:fldCharType="separate"/>
            </w:r>
            <w:r w:rsidR="009A2138" w:rsidRPr="009A3EC8">
              <w:rPr>
                <w:noProof/>
                <w:webHidden/>
                <w:sz w:val="40"/>
                <w:szCs w:val="40"/>
              </w:rPr>
              <w:t>6</w:t>
            </w:r>
            <w:r w:rsidR="009A2138" w:rsidRPr="009A3EC8">
              <w:rPr>
                <w:noProof/>
                <w:webHidden/>
                <w:sz w:val="40"/>
                <w:szCs w:val="40"/>
              </w:rPr>
              <w:fldChar w:fldCharType="end"/>
            </w:r>
          </w:hyperlink>
        </w:p>
        <w:p w:rsidR="009A2138" w:rsidRPr="009A3EC8" w:rsidRDefault="009A3EC8">
          <w:pPr>
            <w:pStyle w:val="TOC2"/>
            <w:tabs>
              <w:tab w:val="right" w:leader="dot" w:pos="9350"/>
            </w:tabs>
            <w:rPr>
              <w:rFonts w:eastAsiaTheme="minorEastAsia"/>
              <w:noProof/>
              <w:sz w:val="40"/>
              <w:szCs w:val="40"/>
              <w:lang w:val="en-US"/>
            </w:rPr>
          </w:pPr>
          <w:r>
            <w:rPr>
              <w:rStyle w:val="Hyperlink"/>
              <w:noProof/>
              <w:sz w:val="40"/>
              <w:szCs w:val="40"/>
            </w:rPr>
            <w:br/>
          </w:r>
          <w:hyperlink w:anchor="_Toc231248765" w:history="1">
            <w:r w:rsidR="009A2138" w:rsidRPr="009A3EC8">
              <w:rPr>
                <w:rStyle w:val="Hyperlink"/>
                <w:noProof/>
                <w:sz w:val="40"/>
                <w:szCs w:val="40"/>
              </w:rPr>
              <w:t>References</w:t>
            </w:r>
            <w:r w:rsidR="009A2138" w:rsidRPr="009A3EC8">
              <w:rPr>
                <w:noProof/>
                <w:webHidden/>
                <w:sz w:val="40"/>
                <w:szCs w:val="40"/>
              </w:rPr>
              <w:tab/>
            </w:r>
            <w:r w:rsidR="009A2138" w:rsidRPr="009A3EC8">
              <w:rPr>
                <w:noProof/>
                <w:webHidden/>
                <w:sz w:val="40"/>
                <w:szCs w:val="40"/>
              </w:rPr>
              <w:fldChar w:fldCharType="begin"/>
            </w:r>
            <w:r w:rsidR="009A2138" w:rsidRPr="009A3EC8">
              <w:rPr>
                <w:noProof/>
                <w:webHidden/>
                <w:sz w:val="40"/>
                <w:szCs w:val="40"/>
              </w:rPr>
              <w:instrText xml:space="preserve"> PAGEREF _Toc231248765 \h </w:instrText>
            </w:r>
            <w:r w:rsidR="009A2138" w:rsidRPr="009A3EC8">
              <w:rPr>
                <w:noProof/>
                <w:webHidden/>
                <w:sz w:val="40"/>
                <w:szCs w:val="40"/>
              </w:rPr>
            </w:r>
            <w:r w:rsidR="009A2138" w:rsidRPr="009A3EC8">
              <w:rPr>
                <w:noProof/>
                <w:webHidden/>
                <w:sz w:val="40"/>
                <w:szCs w:val="40"/>
              </w:rPr>
              <w:fldChar w:fldCharType="separate"/>
            </w:r>
            <w:r w:rsidR="009A2138" w:rsidRPr="009A3EC8">
              <w:rPr>
                <w:noProof/>
                <w:webHidden/>
                <w:sz w:val="40"/>
                <w:szCs w:val="40"/>
              </w:rPr>
              <w:t>7</w:t>
            </w:r>
            <w:r w:rsidR="009A2138" w:rsidRPr="009A3EC8">
              <w:rPr>
                <w:noProof/>
                <w:webHidden/>
                <w:sz w:val="40"/>
                <w:szCs w:val="40"/>
              </w:rPr>
              <w:fldChar w:fldCharType="end"/>
            </w:r>
          </w:hyperlink>
        </w:p>
        <w:p w:rsidR="009A2138" w:rsidRDefault="009A2138">
          <w:r w:rsidRPr="009A3EC8">
            <w:rPr>
              <w:b/>
              <w:bCs/>
              <w:noProof/>
              <w:sz w:val="40"/>
              <w:szCs w:val="40"/>
            </w:rPr>
            <w:fldChar w:fldCharType="end"/>
          </w:r>
        </w:p>
      </w:sdtContent>
    </w:sdt>
    <w:p w:rsidR="009A2138" w:rsidRDefault="009A2138">
      <w:pPr>
        <w:pStyle w:val="Heading1"/>
        <w:rPr>
          <w:sz w:val="44"/>
          <w:szCs w:val="44"/>
        </w:rPr>
      </w:pPr>
    </w:p>
    <w:p w:rsidR="009A2138" w:rsidRDefault="009A2138" w:rsidP="009A2138">
      <w:pPr>
        <w:pStyle w:val="BodyText"/>
        <w:rPr>
          <w:rFonts w:asciiTheme="majorHAnsi" w:eastAsiaTheme="majorEastAsia" w:hAnsiTheme="majorHAnsi" w:cstheme="majorBidi"/>
          <w:color w:val="0F4761" w:themeColor="accent1" w:themeShade="BF"/>
        </w:rPr>
      </w:pPr>
      <w:r>
        <w:br w:type="page"/>
      </w:r>
    </w:p>
    <w:p w:rsidR="008A0C24" w:rsidRPr="008F2E92" w:rsidRDefault="009A3EC8">
      <w:pPr>
        <w:pStyle w:val="Heading1"/>
        <w:rPr>
          <w:sz w:val="44"/>
          <w:szCs w:val="44"/>
        </w:rPr>
      </w:pPr>
      <w:bookmarkStart w:id="3" w:name="_Toc231248757"/>
      <w:r w:rsidRPr="008F2E92">
        <w:rPr>
          <w:sz w:val="44"/>
          <w:szCs w:val="44"/>
        </w:rPr>
        <w:lastRenderedPageBreak/>
        <w:t>Digital Forensics: Current State, Emerging Trends, Challenges and Employment Opportunities</w:t>
      </w:r>
      <w:bookmarkEnd w:id="3"/>
      <w:r w:rsidR="00BE0A9A" w:rsidRPr="008F2E92">
        <w:rPr>
          <w:sz w:val="44"/>
          <w:szCs w:val="44"/>
        </w:rPr>
        <w:br/>
      </w:r>
      <w:r w:rsidR="00BE0A9A" w:rsidRPr="008F2E92">
        <w:rPr>
          <w:sz w:val="44"/>
          <w:szCs w:val="44"/>
        </w:rPr>
        <w:br/>
      </w:r>
      <w:r w:rsidR="00BE0A9A" w:rsidRPr="008F2E92">
        <w:rPr>
          <w:sz w:val="44"/>
          <w:szCs w:val="44"/>
        </w:rPr>
        <w:br/>
      </w:r>
    </w:p>
    <w:p w:rsidR="008A0C24" w:rsidRPr="008F2E92" w:rsidRDefault="009A3EC8">
      <w:pPr>
        <w:pStyle w:val="Heading2"/>
        <w:rPr>
          <w:sz w:val="36"/>
          <w:szCs w:val="36"/>
        </w:rPr>
      </w:pPr>
      <w:bookmarkStart w:id="4" w:name="_Toc231248758"/>
      <w:bookmarkStart w:id="5" w:name="introduction"/>
      <w:r w:rsidRPr="008F2E92">
        <w:rPr>
          <w:sz w:val="36"/>
          <w:szCs w:val="36"/>
        </w:rPr>
        <w:t>Introduction</w:t>
      </w:r>
      <w:bookmarkEnd w:id="4"/>
      <w:r w:rsidR="008F2E92" w:rsidRPr="008F2E92">
        <w:rPr>
          <w:sz w:val="36"/>
          <w:szCs w:val="36"/>
        </w:rPr>
        <w:br/>
      </w:r>
    </w:p>
    <w:p w:rsidR="008F2E92" w:rsidRPr="008F2E92" w:rsidRDefault="008F2E92" w:rsidP="008F2E92">
      <w:pPr>
        <w:spacing w:after="0"/>
        <w:rPr>
          <w:rFonts w:ascii="Times New Roman" w:eastAsia="Times New Roman" w:hAnsi="Times New Roman" w:cs="Times New Roman"/>
          <w:sz w:val="28"/>
          <w:szCs w:val="28"/>
        </w:rPr>
      </w:pPr>
      <w:r w:rsidRPr="008F2E92">
        <w:rPr>
          <w:rFonts w:ascii="Times New Roman" w:eastAsia="Times New Roman" w:hAnsi="Times New Roman" w:cs="Times New Roman"/>
          <w:sz w:val="28"/>
          <w:szCs w:val="28"/>
        </w:rPr>
        <w:t>With the rise in cyber-attacks, insider threats, ransomware cases and data breaches on organisations worldwide, digital forensics has become a vital part of cyber security. Digital forensics is the identification, preservation, collection, examination, analysis and presentation of digital evidence in legally acceptable manner [1]. In recent years, digital forensic investigations are used to assist incident response, legal proceedings and cybercrime investigations in modern organisations. This report reviews the state of the art of digital forensics, forensic tools and capabilities, the intersection of cyber security and digital forensics, emerging trends, key challenges, and the national and international job market.</w:t>
      </w:r>
    </w:p>
    <w:p w:rsidR="008A0C24" w:rsidRPr="008F2E92" w:rsidRDefault="00BE0A9A">
      <w:pPr>
        <w:pStyle w:val="FirstParagraph"/>
      </w:pPr>
      <w:r w:rsidRPr="008F2E92">
        <w:br/>
      </w:r>
      <w:r w:rsidRPr="008F2E92">
        <w:br/>
      </w:r>
      <w:r w:rsidRPr="008F2E92">
        <w:br/>
      </w:r>
      <w:r w:rsidRPr="008F2E92">
        <w:br/>
      </w:r>
      <w:r w:rsidRPr="008F2E92">
        <w:br/>
      </w:r>
    </w:p>
    <w:p w:rsidR="008A0C24" w:rsidRPr="008F2E92" w:rsidRDefault="009A3EC8">
      <w:pPr>
        <w:pStyle w:val="Heading2"/>
        <w:rPr>
          <w:sz w:val="36"/>
          <w:szCs w:val="36"/>
        </w:rPr>
      </w:pPr>
      <w:bookmarkStart w:id="6" w:name="_Toc231248759"/>
      <w:bookmarkStart w:id="7" w:name="Xb765a07fde2f20540ab9d564073d8a676d22790"/>
      <w:bookmarkEnd w:id="5"/>
      <w:r w:rsidRPr="008F2E92">
        <w:rPr>
          <w:sz w:val="36"/>
          <w:szCs w:val="36"/>
        </w:rPr>
        <w:t>1. Current State of the Field, Tools, Features and Capabilities</w:t>
      </w:r>
      <w:bookmarkEnd w:id="6"/>
      <w:r w:rsidR="0030590C" w:rsidRPr="008F2E92">
        <w:rPr>
          <w:sz w:val="36"/>
          <w:szCs w:val="36"/>
        </w:rPr>
        <w:br/>
      </w:r>
    </w:p>
    <w:p w:rsidR="008F2E92" w:rsidRPr="008F2E92" w:rsidRDefault="008F2E92" w:rsidP="008F2E92">
      <w:pPr>
        <w:spacing w:after="0"/>
        <w:rPr>
          <w:rFonts w:ascii="Times New Roman" w:eastAsia="Times New Roman" w:hAnsi="Times New Roman" w:cs="Times New Roman"/>
          <w:sz w:val="28"/>
          <w:szCs w:val="28"/>
        </w:rPr>
      </w:pPr>
      <w:r w:rsidRPr="008F2E92">
        <w:rPr>
          <w:rFonts w:ascii="Times New Roman" w:eastAsia="Times New Roman" w:hAnsi="Times New Roman" w:cs="Times New Roman"/>
          <w:sz w:val="28"/>
          <w:szCs w:val="28"/>
        </w:rPr>
        <w:t>The area of digital forensics has developed greatly with the advancement of cloud computing, mobile devices, artificial intelligence and the Internet of Things (IoT). Today, digital forensic investigations encompass data on computers, cell phones, cloud systems, removable media, and networks [2].</w:t>
      </w:r>
      <w:r w:rsidRPr="008F2E92">
        <w:rPr>
          <w:rFonts w:ascii="Times New Roman" w:eastAsia="Times New Roman" w:hAnsi="Times New Roman" w:cs="Times New Roman"/>
          <w:sz w:val="28"/>
          <w:szCs w:val="28"/>
        </w:rPr>
        <w:br/>
      </w:r>
      <w:r w:rsidRPr="008F2E92">
        <w:rPr>
          <w:rFonts w:ascii="Times New Roman" w:eastAsia="Times New Roman" w:hAnsi="Times New Roman" w:cs="Times New Roman"/>
          <w:sz w:val="28"/>
          <w:szCs w:val="28"/>
        </w:rPr>
        <w:br/>
        <w:t xml:space="preserve">There are many forensic tools that are used by investigators. Autopsy is an open source digital forensic platform that provides file recovery, keyword searches, metadata analysis, timeline analysis, and hash matching. FTK Imager is a common </w:t>
      </w:r>
      <w:r w:rsidRPr="008F2E92">
        <w:rPr>
          <w:rFonts w:ascii="Times New Roman" w:eastAsia="Times New Roman" w:hAnsi="Times New Roman" w:cs="Times New Roman"/>
          <w:sz w:val="28"/>
          <w:szCs w:val="28"/>
        </w:rPr>
        <w:lastRenderedPageBreak/>
        <w:t xml:space="preserve">tool for forensic imaging and evidence collection that uses MD5 and SHA hashing to ensure data integrity [3]. </w:t>
      </w:r>
      <w:r w:rsidRPr="008F2E92">
        <w:rPr>
          <w:rFonts w:ascii="Times New Roman" w:eastAsia="Times New Roman" w:hAnsi="Times New Roman" w:cs="Times New Roman"/>
          <w:sz w:val="28"/>
          <w:szCs w:val="28"/>
        </w:rPr>
        <w:br/>
      </w:r>
      <w:r w:rsidRPr="008F2E92">
        <w:rPr>
          <w:rFonts w:ascii="Times New Roman" w:eastAsia="Times New Roman" w:hAnsi="Times New Roman" w:cs="Times New Roman"/>
          <w:sz w:val="28"/>
          <w:szCs w:val="28"/>
        </w:rPr>
        <w:br/>
        <w:t>Cellebrite is widely used in mobile device forensics for extracting call logs, deleted messages, application data and multimedia content from smart phones [4].</w:t>
      </w:r>
      <w:r w:rsidRPr="008F2E92">
        <w:rPr>
          <w:rFonts w:ascii="Times New Roman" w:eastAsia="Times New Roman" w:hAnsi="Times New Roman" w:cs="Times New Roman"/>
          <w:sz w:val="28"/>
          <w:szCs w:val="28"/>
        </w:rPr>
        <w:br/>
      </w:r>
      <w:r w:rsidRPr="008F2E92">
        <w:rPr>
          <w:rFonts w:ascii="Times New Roman" w:eastAsia="Times New Roman" w:hAnsi="Times New Roman" w:cs="Times New Roman"/>
          <w:sz w:val="28"/>
          <w:szCs w:val="28"/>
        </w:rPr>
        <w:br/>
        <w:t>Moreover, forensic tools now provide advanced features such as memory forensics, malware analysis, encrypted file recovery, live system acquisition, and automated reporting. According to Casey [5], modern forensic investigations require cross-platform analysis in many instances as evidence can be dispersed across Windows, Linux, Android, macOS, and cloud platforms simultaneously.</w:t>
      </w:r>
      <w:r w:rsidRPr="008F2E92">
        <w:rPr>
          <w:rFonts w:ascii="Times New Roman" w:eastAsia="Times New Roman" w:hAnsi="Times New Roman" w:cs="Times New Roman"/>
          <w:sz w:val="28"/>
          <w:szCs w:val="28"/>
        </w:rPr>
        <w:br/>
      </w:r>
      <w:r w:rsidRPr="008F2E92">
        <w:rPr>
          <w:rFonts w:ascii="Times New Roman" w:eastAsia="Times New Roman" w:hAnsi="Times New Roman" w:cs="Times New Roman"/>
          <w:sz w:val="28"/>
          <w:szCs w:val="28"/>
        </w:rPr>
        <w:br/>
        <w:t>Digital forensic investigations also depend heavily on maintaining continuity of evidence and following internationally accepted standards such as the ACPO principles and SWGDE guidelines to ensure evidence admissibility in court proceedings [6].</w:t>
      </w:r>
    </w:p>
    <w:p w:rsidR="008A0C24" w:rsidRPr="008F2E92" w:rsidRDefault="00BE0A9A">
      <w:pPr>
        <w:pStyle w:val="BodyText"/>
      </w:pPr>
      <w:r w:rsidRPr="008F2E92">
        <w:br/>
      </w:r>
      <w:r w:rsidRPr="008F2E92">
        <w:br/>
      </w:r>
      <w:r w:rsidRPr="008F2E92">
        <w:br/>
      </w:r>
    </w:p>
    <w:p w:rsidR="008A0C24" w:rsidRPr="008F2E92" w:rsidRDefault="009A3EC8">
      <w:pPr>
        <w:pStyle w:val="Heading2"/>
        <w:rPr>
          <w:sz w:val="36"/>
          <w:szCs w:val="36"/>
        </w:rPr>
      </w:pPr>
      <w:bookmarkStart w:id="8" w:name="_Toc231248760"/>
      <w:bookmarkStart w:id="9" w:name="Xbcb95ad4beb7687c35203893aedcda4fb7160e7"/>
      <w:bookmarkEnd w:id="7"/>
      <w:r w:rsidRPr="008F2E92">
        <w:rPr>
          <w:sz w:val="36"/>
          <w:szCs w:val="36"/>
        </w:rPr>
        <w:t xml:space="preserve">2. Intersection of Digital Forensics and </w:t>
      </w:r>
      <w:r w:rsidR="00BE0A9A" w:rsidRPr="008F2E92">
        <w:rPr>
          <w:sz w:val="36"/>
          <w:szCs w:val="36"/>
        </w:rPr>
        <w:t>Cyber security</w:t>
      </w:r>
      <w:bookmarkEnd w:id="8"/>
      <w:r w:rsidR="0030590C" w:rsidRPr="008F2E92">
        <w:rPr>
          <w:sz w:val="36"/>
          <w:szCs w:val="36"/>
        </w:rPr>
        <w:br/>
      </w:r>
    </w:p>
    <w:p w:rsidR="0030590C" w:rsidRPr="0030590C" w:rsidRDefault="0030590C" w:rsidP="0030590C">
      <w:pPr>
        <w:spacing w:after="0"/>
        <w:rPr>
          <w:rFonts w:ascii="Times New Roman" w:eastAsia="Times New Roman" w:hAnsi="Times New Roman" w:cs="Times New Roman"/>
          <w:sz w:val="28"/>
          <w:szCs w:val="28"/>
        </w:rPr>
      </w:pPr>
      <w:r w:rsidRPr="0030590C">
        <w:rPr>
          <w:rFonts w:ascii="Times New Roman" w:eastAsia="Times New Roman" w:hAnsi="Times New Roman" w:cs="Times New Roman"/>
          <w:sz w:val="28"/>
          <w:szCs w:val="28"/>
        </w:rPr>
        <w:t>Digital forensics and cyber security are both closely related fields. Cyber security deals with preventing, detecting, and mitigating cyber threats, whereas digital forensics deals with investigating incidents and analyzing digital evidence after an attack [7].</w:t>
      </w:r>
      <w:r w:rsidRPr="008F2E92">
        <w:rPr>
          <w:rFonts w:ascii="Times New Roman" w:eastAsia="Times New Roman" w:hAnsi="Times New Roman" w:cs="Times New Roman"/>
          <w:sz w:val="28"/>
          <w:szCs w:val="28"/>
        </w:rPr>
        <w:br/>
      </w:r>
      <w:r w:rsidRPr="0030590C">
        <w:rPr>
          <w:rFonts w:ascii="Times New Roman" w:eastAsia="Times New Roman" w:hAnsi="Times New Roman" w:cs="Times New Roman"/>
          <w:sz w:val="28"/>
          <w:szCs w:val="28"/>
        </w:rPr>
        <w:br/>
        <w:t>Forensic analysis is an integral part of incident response procedures in modern organisations. Security Operations Centres (SOCs) and Computer Security Incident Response Teams (CSIRTs) often use forensic techniques to identify attack vectors, locate compromised systems and reconstruct attack timelines. Incident response is to minimize damage, reduce recovery costs and preserve evidence in a legally sound manner, as discussed in the lecture materials [8].</w:t>
      </w:r>
      <w:r w:rsidRPr="008F2E92">
        <w:rPr>
          <w:rFonts w:ascii="Times New Roman" w:eastAsia="Times New Roman" w:hAnsi="Times New Roman" w:cs="Times New Roman"/>
          <w:sz w:val="28"/>
          <w:szCs w:val="28"/>
        </w:rPr>
        <w:br/>
      </w:r>
      <w:r w:rsidRPr="0030590C">
        <w:rPr>
          <w:rFonts w:ascii="Times New Roman" w:eastAsia="Times New Roman" w:hAnsi="Times New Roman" w:cs="Times New Roman"/>
          <w:sz w:val="28"/>
          <w:szCs w:val="28"/>
        </w:rPr>
        <w:br/>
        <w:t xml:space="preserve">Digital forensics also helps cyber security to detect insider threats, study malware behaviour, investigate phishing campaigns and detect unauthorised access attempts. Incorporating forensic readiness strategies into cyber security frameworks helps organisations to be prepared for future incidents by ensuring </w:t>
      </w:r>
      <w:r w:rsidRPr="0030590C">
        <w:rPr>
          <w:rFonts w:ascii="Times New Roman" w:eastAsia="Times New Roman" w:hAnsi="Times New Roman" w:cs="Times New Roman"/>
          <w:sz w:val="28"/>
          <w:szCs w:val="28"/>
        </w:rPr>
        <w:lastRenderedPageBreak/>
        <w:t>appropriate logging, monitoring and evidence preservation mechanisms are in place [9].</w:t>
      </w:r>
      <w:r w:rsidRPr="008F2E92">
        <w:rPr>
          <w:rFonts w:ascii="Times New Roman" w:eastAsia="Times New Roman" w:hAnsi="Times New Roman" w:cs="Times New Roman"/>
          <w:sz w:val="28"/>
          <w:szCs w:val="28"/>
        </w:rPr>
        <w:br/>
      </w:r>
      <w:r w:rsidRPr="0030590C">
        <w:rPr>
          <w:rFonts w:ascii="Times New Roman" w:eastAsia="Times New Roman" w:hAnsi="Times New Roman" w:cs="Times New Roman"/>
          <w:sz w:val="28"/>
          <w:szCs w:val="28"/>
        </w:rPr>
        <w:br/>
        <w:t>Cloud security, network security and endpoint detection systems are increasingly embedding forensic capabilities such as log correlation, behavioral analysis and automated threat intelligence sharing. Hence, digital forensics has become a proactive and reactive cyber security function.</w:t>
      </w:r>
    </w:p>
    <w:p w:rsidR="008A0C24" w:rsidRPr="008F2E92" w:rsidRDefault="00BE0A9A">
      <w:pPr>
        <w:pStyle w:val="BodyText"/>
      </w:pPr>
      <w:r w:rsidRPr="008F2E92">
        <w:br/>
      </w:r>
      <w:r w:rsidRPr="008F2E92">
        <w:br/>
      </w:r>
    </w:p>
    <w:p w:rsidR="008A0C24" w:rsidRPr="008F2E92" w:rsidRDefault="009A3EC8">
      <w:pPr>
        <w:pStyle w:val="Heading2"/>
        <w:rPr>
          <w:sz w:val="36"/>
          <w:szCs w:val="36"/>
        </w:rPr>
      </w:pPr>
      <w:bookmarkStart w:id="10" w:name="_Toc231248761"/>
      <w:bookmarkStart w:id="11" w:name="emerging-trends-in-digital-forensics"/>
      <w:bookmarkEnd w:id="9"/>
      <w:r w:rsidRPr="008F2E92">
        <w:rPr>
          <w:sz w:val="36"/>
          <w:szCs w:val="36"/>
        </w:rPr>
        <w:t>3. Emerging Trends in Digital Forensics</w:t>
      </w:r>
      <w:bookmarkEnd w:id="10"/>
      <w:r w:rsidR="0030590C" w:rsidRPr="008F2E92">
        <w:rPr>
          <w:sz w:val="36"/>
          <w:szCs w:val="36"/>
        </w:rPr>
        <w:br/>
      </w:r>
    </w:p>
    <w:p w:rsidR="0030590C" w:rsidRPr="0030590C" w:rsidRDefault="0030590C" w:rsidP="0030590C">
      <w:pPr>
        <w:spacing w:after="0"/>
        <w:rPr>
          <w:rFonts w:ascii="Times New Roman" w:eastAsia="Times New Roman" w:hAnsi="Times New Roman" w:cs="Times New Roman"/>
          <w:sz w:val="28"/>
          <w:szCs w:val="28"/>
        </w:rPr>
      </w:pPr>
      <w:r w:rsidRPr="0030590C">
        <w:rPr>
          <w:rFonts w:ascii="Times New Roman" w:eastAsia="Times New Roman" w:hAnsi="Times New Roman" w:cs="Times New Roman"/>
          <w:sz w:val="28"/>
          <w:szCs w:val="28"/>
        </w:rPr>
        <w:t>One of the major emerging trends is cloud forensics. As organisations move services and storage to cloud platforms, investigators need to analyse distributed cloud environments where data may exist across multiple jurisdictions [10]. Cloud forensics presents challenges related to data ownership, legal access, and the collection of volatile evidence.</w:t>
      </w:r>
      <w:r w:rsidRPr="008F2E92">
        <w:rPr>
          <w:rFonts w:ascii="Times New Roman" w:eastAsia="Times New Roman" w:hAnsi="Times New Roman" w:cs="Times New Roman"/>
          <w:sz w:val="28"/>
          <w:szCs w:val="28"/>
        </w:rPr>
        <w:br/>
      </w:r>
      <w:r w:rsidRPr="0030590C">
        <w:rPr>
          <w:rFonts w:ascii="Times New Roman" w:eastAsia="Times New Roman" w:hAnsi="Times New Roman" w:cs="Times New Roman"/>
          <w:sz w:val="28"/>
          <w:szCs w:val="28"/>
        </w:rPr>
        <w:br/>
        <w:t>Artificial intelligence (AI) and machine learning are also changing digital forensic investigations. AI-based systems can automate large scale log analysis, detect anomalies, classify malicious activities, and speed up evidence processing [11]. This enhances investigation efficiency, especially when dealing with massive datasets.</w:t>
      </w:r>
      <w:r w:rsidRPr="008F2E92">
        <w:rPr>
          <w:rFonts w:ascii="Times New Roman" w:eastAsia="Times New Roman" w:hAnsi="Times New Roman" w:cs="Times New Roman"/>
          <w:sz w:val="28"/>
          <w:szCs w:val="28"/>
        </w:rPr>
        <w:br/>
      </w:r>
      <w:r w:rsidRPr="0030590C">
        <w:rPr>
          <w:rFonts w:ascii="Times New Roman" w:eastAsia="Times New Roman" w:hAnsi="Times New Roman" w:cs="Times New Roman"/>
          <w:sz w:val="28"/>
          <w:szCs w:val="28"/>
        </w:rPr>
        <w:br/>
        <w:t>Another important trend is mobile and IoT forensics. Smartphones, smart watches, smart home devices, and connected vehicles now hold valuable digital evidence. Increasingly, investigators analyse application artefacts, GPS locations, browser histories and cloud-synchronised data from these devices [12].</w:t>
      </w:r>
      <w:r w:rsidRPr="008F2E92">
        <w:rPr>
          <w:rFonts w:ascii="Times New Roman" w:eastAsia="Times New Roman" w:hAnsi="Times New Roman" w:cs="Times New Roman"/>
          <w:sz w:val="28"/>
          <w:szCs w:val="28"/>
        </w:rPr>
        <w:br/>
      </w:r>
      <w:r w:rsidRPr="0030590C">
        <w:rPr>
          <w:rFonts w:ascii="Times New Roman" w:eastAsia="Times New Roman" w:hAnsi="Times New Roman" w:cs="Times New Roman"/>
          <w:sz w:val="28"/>
          <w:szCs w:val="28"/>
        </w:rPr>
        <w:br/>
        <w:t>Crypto currency related crimes like ransomware payments, fraud, and money laundering have also led to the rise of block chain forensics. Investigators use block chain analysis tools to follow the trail of crypto currency transactions and identify suspicious wallet activities.</w:t>
      </w:r>
      <w:r w:rsidRPr="008F2E92">
        <w:rPr>
          <w:rFonts w:ascii="Times New Roman" w:eastAsia="Times New Roman" w:hAnsi="Times New Roman" w:cs="Times New Roman"/>
          <w:sz w:val="28"/>
          <w:szCs w:val="28"/>
        </w:rPr>
        <w:br/>
      </w:r>
      <w:r w:rsidRPr="0030590C">
        <w:rPr>
          <w:rFonts w:ascii="Times New Roman" w:eastAsia="Times New Roman" w:hAnsi="Times New Roman" w:cs="Times New Roman"/>
          <w:sz w:val="28"/>
          <w:szCs w:val="28"/>
        </w:rPr>
        <w:br/>
        <w:t>Finally, remote and live forensics are growing in importance as companies need to acquire evidence without interrupting operational systems. Remote forensic acquisition and live memory analysis enable investigators to gather volatile evidence while systems are still running.</w:t>
      </w:r>
    </w:p>
    <w:p w:rsidR="008A0C24" w:rsidRPr="008F2E92" w:rsidRDefault="00BE0A9A">
      <w:pPr>
        <w:pStyle w:val="BodyText"/>
      </w:pPr>
      <w:r w:rsidRPr="008F2E92">
        <w:lastRenderedPageBreak/>
        <w:br/>
      </w:r>
      <w:r w:rsidRPr="008F2E92">
        <w:br/>
      </w:r>
      <w:r w:rsidRPr="008F2E92">
        <w:br/>
      </w:r>
    </w:p>
    <w:p w:rsidR="008A0C24" w:rsidRPr="008F2E92" w:rsidRDefault="009A3EC8">
      <w:pPr>
        <w:pStyle w:val="Heading2"/>
        <w:rPr>
          <w:sz w:val="36"/>
          <w:szCs w:val="36"/>
        </w:rPr>
      </w:pPr>
      <w:bookmarkStart w:id="12" w:name="_Toc231248762"/>
      <w:bookmarkStart w:id="13" w:name="key-challenges-in-digital-forensics"/>
      <w:bookmarkEnd w:id="11"/>
      <w:r w:rsidRPr="008F2E92">
        <w:rPr>
          <w:sz w:val="36"/>
          <w:szCs w:val="36"/>
        </w:rPr>
        <w:t>4. Key Challenges in Digital Forensics</w:t>
      </w:r>
      <w:bookmarkEnd w:id="12"/>
      <w:r w:rsidR="0030590C" w:rsidRPr="008F2E92">
        <w:rPr>
          <w:sz w:val="36"/>
          <w:szCs w:val="36"/>
        </w:rPr>
        <w:br/>
      </w:r>
    </w:p>
    <w:p w:rsidR="0030590C" w:rsidRPr="0030590C" w:rsidRDefault="0030590C" w:rsidP="0030590C">
      <w:pPr>
        <w:spacing w:after="0"/>
        <w:rPr>
          <w:rFonts w:ascii="Times New Roman" w:eastAsia="Times New Roman" w:hAnsi="Times New Roman" w:cs="Times New Roman"/>
          <w:sz w:val="28"/>
          <w:szCs w:val="28"/>
        </w:rPr>
      </w:pPr>
      <w:r w:rsidRPr="0030590C">
        <w:rPr>
          <w:rFonts w:ascii="Times New Roman" w:eastAsia="Times New Roman" w:hAnsi="Times New Roman" w:cs="Times New Roman"/>
          <w:sz w:val="28"/>
          <w:szCs w:val="28"/>
        </w:rPr>
        <w:t>Technological advances have not eliminated a number of key challenges in digital forensics. One major problem is the explosive growth of data size and complexity. Analysis of the evidence can be time consuming and resource intensive [13] as investigators are often faced with terabytes of evidence across multiple devices.</w:t>
      </w:r>
      <w:r w:rsidRPr="008F2E92">
        <w:rPr>
          <w:rFonts w:ascii="Times New Roman" w:eastAsia="Times New Roman" w:hAnsi="Times New Roman" w:cs="Times New Roman"/>
          <w:sz w:val="28"/>
          <w:szCs w:val="28"/>
        </w:rPr>
        <w:br/>
      </w:r>
      <w:r w:rsidRPr="0030590C">
        <w:rPr>
          <w:rFonts w:ascii="Times New Roman" w:eastAsia="Times New Roman" w:hAnsi="Times New Roman" w:cs="Times New Roman"/>
          <w:sz w:val="28"/>
          <w:szCs w:val="28"/>
        </w:rPr>
        <w:br/>
        <w:t>Encryption and anti-forensic techniques also pose significant challenges. Criminals are increasingly employing encrypted communication platforms, secure deletion tools, steganography and anonymous networks to hide evidence and avoid detection [14].</w:t>
      </w:r>
      <w:r w:rsidRPr="008F2E92">
        <w:rPr>
          <w:rFonts w:ascii="Times New Roman" w:eastAsia="Times New Roman" w:hAnsi="Times New Roman" w:cs="Times New Roman"/>
          <w:sz w:val="28"/>
          <w:szCs w:val="28"/>
        </w:rPr>
        <w:br/>
      </w:r>
      <w:r w:rsidRPr="0030590C">
        <w:rPr>
          <w:rFonts w:ascii="Times New Roman" w:eastAsia="Times New Roman" w:hAnsi="Times New Roman" w:cs="Times New Roman"/>
          <w:sz w:val="28"/>
          <w:szCs w:val="28"/>
        </w:rPr>
        <w:br/>
        <w:t>Another challenge is the fragility and volatility of digital evidences. Improper handling can change the evidence and make it inadmissible in court. Therefore, investigators need to follow rigorous forensic procedures and keep accurate documentation and chain-of-custody documentation.</w:t>
      </w:r>
      <w:r w:rsidRPr="008F2E92">
        <w:rPr>
          <w:rFonts w:ascii="Times New Roman" w:eastAsia="Times New Roman" w:hAnsi="Times New Roman" w:cs="Times New Roman"/>
          <w:sz w:val="28"/>
          <w:szCs w:val="28"/>
        </w:rPr>
        <w:br/>
      </w:r>
      <w:r w:rsidRPr="0030590C">
        <w:rPr>
          <w:rFonts w:ascii="Times New Roman" w:eastAsia="Times New Roman" w:hAnsi="Times New Roman" w:cs="Times New Roman"/>
          <w:sz w:val="28"/>
          <w:szCs w:val="28"/>
        </w:rPr>
        <w:br/>
        <w:t>Legal/jurisdictional issues also complicate investigations, especially in international cybercrime cases. Different countries have different privacy laws, surveillance rules and evidence handling requirements [15]. As such, investigators need to be aware of the legal frameworks such as GDPR, the UK Computer Misuse Act, and RIPA.</w:t>
      </w:r>
      <w:r w:rsidRPr="008F2E92">
        <w:rPr>
          <w:rFonts w:ascii="Times New Roman" w:eastAsia="Times New Roman" w:hAnsi="Times New Roman" w:cs="Times New Roman"/>
          <w:sz w:val="28"/>
          <w:szCs w:val="28"/>
        </w:rPr>
        <w:br/>
      </w:r>
      <w:r w:rsidRPr="0030590C">
        <w:rPr>
          <w:rFonts w:ascii="Times New Roman" w:eastAsia="Times New Roman" w:hAnsi="Times New Roman" w:cs="Times New Roman"/>
          <w:sz w:val="28"/>
          <w:szCs w:val="28"/>
        </w:rPr>
        <w:br/>
        <w:t>Finally, the lack of skilled forensic professionals is a global concern. The rapidly changing technology landscape requires ongoing professional training and technical adaptation.</w:t>
      </w:r>
    </w:p>
    <w:p w:rsidR="008A0C24" w:rsidRPr="008F2E92" w:rsidRDefault="00BE0A9A">
      <w:pPr>
        <w:pStyle w:val="BodyText"/>
      </w:pPr>
      <w:r w:rsidRPr="008F2E92">
        <w:br/>
      </w:r>
      <w:r w:rsidRPr="008F2E92">
        <w:br/>
      </w:r>
      <w:r w:rsidRPr="008F2E92">
        <w:br/>
      </w:r>
      <w:r w:rsidRPr="008F2E92">
        <w:br/>
      </w:r>
    </w:p>
    <w:p w:rsidR="008A0C24" w:rsidRPr="008F2E92" w:rsidRDefault="009A3EC8">
      <w:pPr>
        <w:pStyle w:val="Heading2"/>
        <w:rPr>
          <w:sz w:val="36"/>
          <w:szCs w:val="36"/>
        </w:rPr>
      </w:pPr>
      <w:bookmarkStart w:id="14" w:name="_Toc231248763"/>
      <w:bookmarkStart w:id="15" w:name="national-and-international-job-market"/>
      <w:bookmarkEnd w:id="13"/>
      <w:r w:rsidRPr="008F2E92">
        <w:rPr>
          <w:sz w:val="36"/>
          <w:szCs w:val="36"/>
        </w:rPr>
        <w:lastRenderedPageBreak/>
        <w:t>5. National and International Job Market</w:t>
      </w:r>
      <w:bookmarkEnd w:id="14"/>
      <w:r w:rsidR="0030590C" w:rsidRPr="008F2E92">
        <w:rPr>
          <w:sz w:val="36"/>
          <w:szCs w:val="36"/>
        </w:rPr>
        <w:br/>
      </w:r>
    </w:p>
    <w:p w:rsidR="0030590C" w:rsidRPr="0030590C" w:rsidRDefault="0030590C" w:rsidP="0030590C">
      <w:pPr>
        <w:spacing w:after="0"/>
        <w:rPr>
          <w:rFonts w:ascii="Times New Roman" w:eastAsia="Times New Roman" w:hAnsi="Times New Roman" w:cs="Times New Roman"/>
          <w:sz w:val="28"/>
          <w:szCs w:val="28"/>
        </w:rPr>
      </w:pPr>
      <w:r w:rsidRPr="0030590C">
        <w:rPr>
          <w:rFonts w:ascii="Times New Roman" w:eastAsia="Times New Roman" w:hAnsi="Times New Roman" w:cs="Times New Roman"/>
          <w:sz w:val="28"/>
          <w:szCs w:val="28"/>
        </w:rPr>
        <w:t>The rise in cybercrime rates, regulatory requirements, and data breach investigations have substantially increased the demand for digital forensic professionals. In the UK, there are active recruitment efforts for digital forensic analysts and incident response specialists by organisations like government agencies, police departments, cyber security companies, financial institutions, and multinational corporations [16].</w:t>
      </w:r>
      <w:r w:rsidRPr="008F2E92">
        <w:rPr>
          <w:rFonts w:ascii="Times New Roman" w:eastAsia="Times New Roman" w:hAnsi="Times New Roman" w:cs="Times New Roman"/>
          <w:sz w:val="28"/>
          <w:szCs w:val="28"/>
        </w:rPr>
        <w:br/>
      </w:r>
      <w:r w:rsidRPr="0030590C">
        <w:rPr>
          <w:rFonts w:ascii="Times New Roman" w:eastAsia="Times New Roman" w:hAnsi="Times New Roman" w:cs="Times New Roman"/>
          <w:sz w:val="28"/>
          <w:szCs w:val="28"/>
        </w:rPr>
        <w:br/>
        <w:t>Internationally, countries such as the United States, Canada, Australia, Germany and Singapore also state increasing demand for forensic investigators, malware analysts and cybercrime specialists. Some common roles of jobs are Digital Forensic Analyst, Incident Responder, SOC Analyst, Malware Investigator and Cybercrime Investigator.</w:t>
      </w:r>
      <w:r w:rsidRPr="008F2E92">
        <w:rPr>
          <w:rFonts w:ascii="Times New Roman" w:eastAsia="Times New Roman" w:hAnsi="Times New Roman" w:cs="Times New Roman"/>
          <w:sz w:val="28"/>
          <w:szCs w:val="28"/>
        </w:rPr>
        <w:br/>
      </w:r>
      <w:r w:rsidRPr="0030590C">
        <w:rPr>
          <w:rFonts w:ascii="Times New Roman" w:eastAsia="Times New Roman" w:hAnsi="Times New Roman" w:cs="Times New Roman"/>
          <w:sz w:val="28"/>
          <w:szCs w:val="28"/>
        </w:rPr>
        <w:br/>
        <w:t>Professional certifications like CHFI, GCFA, EnCE and Cellebrite certifications enhance employability and prove specialized forensic expertise. Cyber security job reports show more and more employers seeking professionals with hands-on experience in Autopsy, FTK, Cellebrite, Wireshark, Volatility, and SIEM platforms [17].</w:t>
      </w:r>
      <w:r w:rsidRPr="008F2E92">
        <w:rPr>
          <w:rFonts w:ascii="Times New Roman" w:eastAsia="Times New Roman" w:hAnsi="Times New Roman" w:cs="Times New Roman"/>
          <w:sz w:val="28"/>
          <w:szCs w:val="28"/>
        </w:rPr>
        <w:br/>
      </w:r>
      <w:r w:rsidRPr="0030590C">
        <w:rPr>
          <w:rFonts w:ascii="Times New Roman" w:eastAsia="Times New Roman" w:hAnsi="Times New Roman" w:cs="Times New Roman"/>
          <w:sz w:val="28"/>
          <w:szCs w:val="28"/>
        </w:rPr>
        <w:br/>
        <w:t>The increasing mixing of cyber security and digital forensics means that jobs in this field will continue to be in demand around the world for the next decade or so.</w:t>
      </w:r>
    </w:p>
    <w:p w:rsidR="008A0C24" w:rsidRPr="008F2E92" w:rsidRDefault="00BE0A9A">
      <w:pPr>
        <w:pStyle w:val="BodyText"/>
      </w:pPr>
      <w:r w:rsidRPr="008F2E92">
        <w:br/>
      </w:r>
      <w:r w:rsidRPr="008F2E92">
        <w:br/>
      </w:r>
      <w:r w:rsidRPr="008F2E92">
        <w:br/>
      </w:r>
      <w:r w:rsidRPr="008F2E92">
        <w:br/>
      </w:r>
    </w:p>
    <w:p w:rsidR="008A0C24" w:rsidRPr="008F2E92" w:rsidRDefault="009A3EC8">
      <w:pPr>
        <w:pStyle w:val="Heading2"/>
        <w:rPr>
          <w:sz w:val="36"/>
          <w:szCs w:val="36"/>
        </w:rPr>
      </w:pPr>
      <w:bookmarkStart w:id="16" w:name="_Toc231248764"/>
      <w:bookmarkStart w:id="17" w:name="conclusion"/>
      <w:bookmarkEnd w:id="15"/>
      <w:r w:rsidRPr="008F2E92">
        <w:rPr>
          <w:sz w:val="36"/>
          <w:szCs w:val="36"/>
        </w:rPr>
        <w:t>Conclusion</w:t>
      </w:r>
      <w:bookmarkEnd w:id="16"/>
      <w:r w:rsidR="0030590C" w:rsidRPr="008F2E92">
        <w:rPr>
          <w:sz w:val="36"/>
          <w:szCs w:val="36"/>
        </w:rPr>
        <w:br/>
      </w:r>
    </w:p>
    <w:p w:rsidR="004D211F" w:rsidRPr="004D211F" w:rsidRDefault="004D211F" w:rsidP="004D211F">
      <w:pPr>
        <w:spacing w:after="0"/>
        <w:rPr>
          <w:rFonts w:ascii="Times New Roman" w:eastAsia="Times New Roman" w:hAnsi="Times New Roman" w:cs="Times New Roman"/>
          <w:sz w:val="28"/>
          <w:szCs w:val="28"/>
        </w:rPr>
      </w:pPr>
      <w:r w:rsidRPr="004D211F">
        <w:rPr>
          <w:rFonts w:ascii="Times New Roman" w:eastAsia="Times New Roman" w:hAnsi="Times New Roman" w:cs="Times New Roman"/>
          <w:sz w:val="28"/>
          <w:szCs w:val="28"/>
        </w:rPr>
        <w:t xml:space="preserve">Digital forensics has become a crucial discipline in modern cyber security operations. Progress in forensic tools, cloud technologies, AI and mobile systems has changed investigative capabilities, but also created new challenges. Cyber security and digital forensics are closely related, and the importance of forensic readiness, incident response and evidence preservation in protecting organisations against cyber threats is highlighted. The field is moving rapidly, despite obstacles like encryption, legal complexities and data volume. In addition, the national and </w:t>
      </w:r>
      <w:r w:rsidRPr="004D211F">
        <w:rPr>
          <w:rFonts w:ascii="Times New Roman" w:eastAsia="Times New Roman" w:hAnsi="Times New Roman" w:cs="Times New Roman"/>
          <w:sz w:val="28"/>
          <w:szCs w:val="28"/>
        </w:rPr>
        <w:lastRenderedPageBreak/>
        <w:t>international job market for digital forensic professionals remains very promising due to the demand for cyber investigation expertise.</w:t>
      </w:r>
    </w:p>
    <w:p w:rsidR="008A0C24" w:rsidRPr="008F2E92" w:rsidRDefault="00BE0A9A">
      <w:pPr>
        <w:pStyle w:val="FirstParagraph"/>
      </w:pPr>
      <w:r w:rsidRPr="008F2E92">
        <w:br/>
      </w:r>
      <w:r w:rsidRPr="008F2E92">
        <w:br/>
      </w:r>
      <w:r w:rsidRPr="008F2E92">
        <w:br/>
      </w:r>
      <w:r w:rsidRPr="008F2E92">
        <w:br/>
      </w:r>
    </w:p>
    <w:p w:rsidR="008A0C24" w:rsidRPr="008F2E92" w:rsidRDefault="009A3EC8">
      <w:pPr>
        <w:pStyle w:val="Heading2"/>
        <w:rPr>
          <w:sz w:val="36"/>
          <w:szCs w:val="36"/>
        </w:rPr>
      </w:pPr>
      <w:bookmarkStart w:id="18" w:name="_Toc231248765"/>
      <w:bookmarkStart w:id="19" w:name="references"/>
      <w:bookmarkEnd w:id="17"/>
      <w:r w:rsidRPr="008F2E92">
        <w:rPr>
          <w:sz w:val="36"/>
          <w:szCs w:val="36"/>
        </w:rPr>
        <w:t>References</w:t>
      </w:r>
      <w:bookmarkEnd w:id="18"/>
      <w:r w:rsidR="008F2E92">
        <w:rPr>
          <w:sz w:val="36"/>
          <w:szCs w:val="36"/>
        </w:rPr>
        <w:br/>
      </w:r>
      <w:r w:rsidR="008F2E92">
        <w:rPr>
          <w:sz w:val="36"/>
          <w:szCs w:val="36"/>
        </w:rPr>
        <w:br/>
      </w:r>
    </w:p>
    <w:p w:rsidR="008A0C24" w:rsidRPr="008F2E92" w:rsidRDefault="009A3EC8">
      <w:pPr>
        <w:pStyle w:val="FirstParagraph"/>
      </w:pPr>
      <w:r w:rsidRPr="008F2E92">
        <w:t xml:space="preserve">[1] E. Casey, </w:t>
      </w:r>
      <w:r w:rsidRPr="008F2E92">
        <w:rPr>
          <w:i/>
          <w:iCs/>
        </w:rPr>
        <w:t>Digital Evidence and Computer Crime</w:t>
      </w:r>
      <w:r w:rsidRPr="008F2E92">
        <w:t>, 3rd ed. Amsterdam, Netherlands: Elsevier, 2011.</w:t>
      </w:r>
      <w:r w:rsidR="008F2E92">
        <w:br/>
      </w:r>
    </w:p>
    <w:p w:rsidR="008A0C24" w:rsidRPr="008F2E92" w:rsidRDefault="009A3EC8">
      <w:pPr>
        <w:pStyle w:val="BodyText"/>
      </w:pPr>
      <w:r w:rsidRPr="008F2E92">
        <w:t>[2] K. Kent, S. Chevalier, T. Grance, and H. Dang, “Guide to Integrating Forensic Techniques into Incident Response,” National Institute of Standards and Technology (NIST), Gaithersburg, MD, USA, Special Publication 800-86, 2006.</w:t>
      </w:r>
      <w:r w:rsidR="008F2E92">
        <w:br/>
      </w:r>
    </w:p>
    <w:p w:rsidR="008A0C24" w:rsidRPr="008F2E92" w:rsidRDefault="009A3EC8">
      <w:pPr>
        <w:pStyle w:val="BodyText"/>
      </w:pPr>
      <w:r w:rsidRPr="008F2E92">
        <w:t>[3] AccessData, “FTK Imager Product Overview,” AccessData Whitepaper, 2024.</w:t>
      </w:r>
      <w:r w:rsidR="008F2E92">
        <w:br/>
      </w:r>
    </w:p>
    <w:p w:rsidR="008A0C24" w:rsidRPr="008F2E92" w:rsidRDefault="009A3EC8">
      <w:pPr>
        <w:pStyle w:val="BodyText"/>
      </w:pPr>
      <w:r w:rsidRPr="008F2E92">
        <w:t>[4] Cellebrite, “Mobile Forensic Solutions and Capabilities,” Cellebrite Industry Report, 2025.</w:t>
      </w:r>
      <w:r w:rsidR="008F2E92">
        <w:br/>
      </w:r>
    </w:p>
    <w:p w:rsidR="008A0C24" w:rsidRPr="008F2E92" w:rsidRDefault="009A3EC8">
      <w:pPr>
        <w:pStyle w:val="BodyText"/>
      </w:pPr>
      <w:r w:rsidRPr="008F2E92">
        <w:t xml:space="preserve">[5] E. Casey, </w:t>
      </w:r>
      <w:r w:rsidRPr="008F2E92">
        <w:rPr>
          <w:i/>
          <w:iCs/>
        </w:rPr>
        <w:t>Handbook of Digital Forensics and Investigation</w:t>
      </w:r>
      <w:r w:rsidRPr="008F2E92">
        <w:t>. Academic Press, 2010.</w:t>
      </w:r>
      <w:r w:rsidR="008F2E92">
        <w:br/>
      </w:r>
    </w:p>
    <w:p w:rsidR="008A0C24" w:rsidRPr="008F2E92" w:rsidRDefault="009A3EC8">
      <w:pPr>
        <w:pStyle w:val="BodyText"/>
      </w:pPr>
      <w:r w:rsidRPr="008F2E92">
        <w:t>[6] SWGDE, “Best Practices for Computer Forensics,” Scientific Working Group on Digital Evidence, 2024.</w:t>
      </w:r>
      <w:r w:rsidR="008F2E92">
        <w:br/>
      </w:r>
    </w:p>
    <w:p w:rsidR="008A0C24" w:rsidRPr="008F2E92" w:rsidRDefault="009A3EC8">
      <w:pPr>
        <w:pStyle w:val="BodyText"/>
      </w:pPr>
      <w:r w:rsidRPr="008F2E92">
        <w:t>[7] IBM Security, “Cost of a Data Breach Report 2025,” IBM Corporation, 2025.</w:t>
      </w:r>
      <w:r w:rsidR="008F2E92">
        <w:br/>
      </w:r>
    </w:p>
    <w:p w:rsidR="008A0C24" w:rsidRPr="008F2E92" w:rsidRDefault="009A3EC8">
      <w:pPr>
        <w:pStyle w:val="BodyText"/>
      </w:pPr>
      <w:r w:rsidRPr="008F2E92">
        <w:t>[8] DF Lecture Notes, Digital Forensics Analysis (ACCA7031), University Lecture Materials, 2026.</w:t>
      </w:r>
      <w:r w:rsidR="008F2E92">
        <w:br/>
      </w:r>
    </w:p>
    <w:p w:rsidR="008A0C24" w:rsidRPr="008F2E92" w:rsidRDefault="009A3EC8">
      <w:pPr>
        <w:pStyle w:val="BodyText"/>
      </w:pPr>
      <w:r w:rsidRPr="008F2E92">
        <w:t xml:space="preserve">[9] J. R. Vacca, </w:t>
      </w:r>
      <w:r w:rsidRPr="008F2E92">
        <w:rPr>
          <w:i/>
          <w:iCs/>
        </w:rPr>
        <w:t>Computer Forensics: Computer Crime Scene Investigation</w:t>
      </w:r>
      <w:r w:rsidRPr="008F2E92">
        <w:t>, 3rd ed. Boston, MA, USA: Cengage Learning, 2021.</w:t>
      </w:r>
      <w:r w:rsidR="008F2E92">
        <w:br/>
      </w:r>
    </w:p>
    <w:p w:rsidR="008A0C24" w:rsidRPr="008F2E92" w:rsidRDefault="009A3EC8">
      <w:pPr>
        <w:pStyle w:val="BodyText"/>
      </w:pPr>
      <w:r w:rsidRPr="008F2E92">
        <w:t xml:space="preserve">[10] S. Simou et al., “Cloud Forensics Challenges and Opportunities,” </w:t>
      </w:r>
      <w:r w:rsidRPr="008F2E92">
        <w:rPr>
          <w:i/>
          <w:iCs/>
        </w:rPr>
        <w:t>IEEE Access</w:t>
      </w:r>
      <w:r w:rsidRPr="008F2E92">
        <w:t>, vol. 11, pp. 55120–55136, 2024.</w:t>
      </w:r>
    </w:p>
    <w:p w:rsidR="008A0C24" w:rsidRPr="008F2E92" w:rsidRDefault="009A3EC8">
      <w:pPr>
        <w:pStyle w:val="BodyText"/>
      </w:pPr>
      <w:r w:rsidRPr="008F2E92">
        <w:lastRenderedPageBreak/>
        <w:t>[11] Deloitte, “Artificial Intelligence in Cybersecurity and Digital Forensics,” Deloitte Insights Report, 2025.</w:t>
      </w:r>
      <w:r w:rsidR="008F2E92">
        <w:br/>
      </w:r>
    </w:p>
    <w:p w:rsidR="008A0C24" w:rsidRPr="008F2E92" w:rsidRDefault="009A3EC8">
      <w:pPr>
        <w:pStyle w:val="BodyText"/>
      </w:pPr>
      <w:r w:rsidRPr="008F2E92">
        <w:t xml:space="preserve">[12] M. Rogers and M. Seigfried, “The Future of Mobile Device Forensics,” </w:t>
      </w:r>
      <w:r w:rsidRPr="008F2E92">
        <w:rPr>
          <w:i/>
          <w:iCs/>
        </w:rPr>
        <w:t>Digital Investigation</w:t>
      </w:r>
      <w:r w:rsidRPr="008F2E92">
        <w:t>, vol. 46, 2025.</w:t>
      </w:r>
      <w:r w:rsidR="008F2E92">
        <w:br/>
      </w:r>
    </w:p>
    <w:p w:rsidR="008A0C24" w:rsidRPr="008F2E92" w:rsidRDefault="009A3EC8">
      <w:pPr>
        <w:pStyle w:val="BodyText"/>
      </w:pPr>
      <w:r w:rsidRPr="008F2E92">
        <w:t>[13] Europol, “Internet Organised Crime Threat Assessment,” Europol Report, 2025.</w:t>
      </w:r>
      <w:r w:rsidR="008F2E92">
        <w:br/>
      </w:r>
    </w:p>
    <w:p w:rsidR="008A0C24" w:rsidRPr="008F2E92" w:rsidRDefault="009A3EC8">
      <w:pPr>
        <w:pStyle w:val="BodyText"/>
      </w:pPr>
      <w:r w:rsidRPr="008F2E92">
        <w:t>[14] Interpol, “Global Cybercrime Trends Report,” Interpol, 2025.</w:t>
      </w:r>
      <w:r w:rsidR="008F2E92">
        <w:br/>
      </w:r>
    </w:p>
    <w:p w:rsidR="008A0C24" w:rsidRPr="008F2E92" w:rsidRDefault="009A3EC8">
      <w:pPr>
        <w:pStyle w:val="BodyText"/>
      </w:pPr>
      <w:r w:rsidRPr="008F2E92">
        <w:t>[15] ICO, “Guide to UK GDPR,” Information Commissioner’s Office, UK, 2025.</w:t>
      </w:r>
      <w:r w:rsidR="008F2E92">
        <w:br/>
      </w:r>
    </w:p>
    <w:p w:rsidR="008A0C24" w:rsidRPr="008F2E92" w:rsidRDefault="009A3EC8">
      <w:pPr>
        <w:pStyle w:val="BodyText"/>
      </w:pPr>
      <w:r w:rsidRPr="008F2E92">
        <w:t>[16] UK Government Cyber Security Skills Report, Department for Science, Innovation and Technology, 2025.</w:t>
      </w:r>
      <w:r w:rsidR="008F2E92">
        <w:br/>
      </w:r>
    </w:p>
    <w:p w:rsidR="008A0C24" w:rsidRPr="008F2E92" w:rsidRDefault="009A3EC8">
      <w:pPr>
        <w:pStyle w:val="BodyText"/>
      </w:pPr>
      <w:r w:rsidRPr="008F2E92">
        <w:t>[17] ISC2, “Cybersecurity Workforce Study,” ISC2 Report, 2025.</w:t>
      </w:r>
      <w:bookmarkEnd w:id="0"/>
      <w:bookmarkEnd w:id="19"/>
    </w:p>
    <w:sectPr w:rsidR="008A0C24" w:rsidRPr="008F2E92" w:rsidSect="009A3EC8">
      <w:footnotePr>
        <w:numRestart w:val="eachSect"/>
      </w:footnotePr>
      <w:pgSz w:w="12240" w:h="15840"/>
      <w:pgMar w:top="1440" w:right="1440" w:bottom="1440" w:left="1440" w:header="720" w:footer="720" w:gutter="0"/>
      <w:pgNumType w:start="0"/>
      <w:cols w:space="720"/>
      <w:titlePg/>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ptos">
    <w:altName w:val="Arial"/>
    <w:charset w:val="00"/>
    <w:family w:val="swiss"/>
    <w:pitch w:val="variable"/>
    <w:sig w:usb0="00000001"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A990"/>
    <w:multiLevelType w:val="multilevel"/>
    <w:tmpl w:val="C22E15F6"/>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stylePaneFormatFilter w:val="0004" w:allStyles="0" w:customStyles="0" w:latentStyles="1" w:stylesInUse="0" w:headingStyles="0" w:numberingStyles="0" w:tableStyles="0" w:directFormattingOnRuns="0" w:directFormattingOnParagraphs="0" w:directFormattingOnNumbering="0" w:directFormattingOnTables="0" w:clearFormatting="0" w:top3HeadingStyles="0" w:visibleStyles="0" w:alternateStyleNames="0"/>
  <w:defaultTabStop w:val="720"/>
  <w:drawingGridHorizontalSpacing w:val="360"/>
  <w:drawingGridVerticalSpacing w:val="360"/>
  <w:displayHorizontalDrawingGridEvery w:val="0"/>
  <w:displayVerticalDrawingGridEvery w:val="0"/>
  <w:characterSpacingControl w:val="doNotCompress"/>
  <w:footnotePr>
    <w:numRestart w:val="eachSect"/>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A0C24"/>
    <w:rsid w:val="001821E7"/>
    <w:rsid w:val="0030590C"/>
    <w:rsid w:val="003D60C1"/>
    <w:rsid w:val="004D211F"/>
    <w:rsid w:val="008A0C24"/>
    <w:rsid w:val="008F2E92"/>
    <w:rsid w:val="009A2138"/>
    <w:rsid w:val="009A3EC8"/>
    <w:rsid w:val="00A843F4"/>
    <w:rsid w:val="00BE0A9A"/>
    <w:rsid w:val="00F627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2525F49-2B40-422F-8051-F37BD95C49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pPr>
        <w:spacing w:after="200"/>
      </w:pPr>
    </w:pPrDefault>
  </w:docDefaults>
  <w:latentStyles w:defLockedState="0" w:defUIPriority="0" w:defSemiHidden="0" w:defUnhideWhenUsed="0" w:defQFormat="0" w:count="371">
    <w:lsdException w:name="index 1"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3" w:semiHidden="1" w:unhideWhenUsed="1"/>
    <w:lsdException w:name="List Number 4"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Hyperlink" w:uiPriority="99"/>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Bibliography" w:semiHidden="1"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BodyText"/>
    <w:link w:val="Heading1Char"/>
    <w:uiPriority w:val="9"/>
    <w:qFormat/>
    <w:rsid w:val="00A10F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BodyText"/>
    <w:link w:val="Heading2Char"/>
    <w:uiPriority w:val="9"/>
    <w:semiHidden/>
    <w:unhideWhenUsed/>
    <w:qFormat/>
    <w:rsid w:val="00A10F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BodyText"/>
    <w:link w:val="Heading3Char"/>
    <w:uiPriority w:val="9"/>
    <w:semiHidden/>
    <w:unhideWhenUsed/>
    <w:qFormat/>
    <w:rsid w:val="00A10F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BodyText"/>
    <w:link w:val="Heading4Char"/>
    <w:uiPriority w:val="9"/>
    <w:semiHidden/>
    <w:unhideWhenUsed/>
    <w:qFormat/>
    <w:rsid w:val="00A10F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BodyText"/>
    <w:link w:val="Heading5Char"/>
    <w:uiPriority w:val="9"/>
    <w:semiHidden/>
    <w:unhideWhenUsed/>
    <w:qFormat/>
    <w:rsid w:val="00A10F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BodyText"/>
    <w:link w:val="Heading6Char"/>
    <w:uiPriority w:val="9"/>
    <w:semiHidden/>
    <w:unhideWhenUsed/>
    <w:qFormat/>
    <w:rsid w:val="00A10F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BodyText"/>
    <w:link w:val="Heading7Char"/>
    <w:uiPriority w:val="9"/>
    <w:semiHidden/>
    <w:unhideWhenUsed/>
    <w:qFormat/>
    <w:rsid w:val="00A10F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BodyText"/>
    <w:link w:val="Heading8Char"/>
    <w:uiPriority w:val="9"/>
    <w:semiHidden/>
    <w:unhideWhenUsed/>
    <w:qFormat/>
    <w:rsid w:val="00A10F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BodyText"/>
    <w:link w:val="Heading9Char"/>
    <w:uiPriority w:val="9"/>
    <w:semiHidden/>
    <w:unhideWhenUsed/>
    <w:qFormat/>
    <w:rsid w:val="00A10F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qFormat/>
    <w:pPr>
      <w:spacing w:before="180" w:after="180"/>
    </w:pPr>
  </w:style>
  <w:style w:type="paragraph" w:customStyle="1" w:styleId="FirstParagraph">
    <w:name w:val="First Paragraph"/>
    <w:basedOn w:val="BodyText"/>
    <w:next w:val="BodyText"/>
    <w:qFormat/>
  </w:style>
  <w:style w:type="paragraph" w:customStyle="1" w:styleId="Compact">
    <w:name w:val="Compact"/>
    <w:basedOn w:val="BodyText"/>
    <w:qFormat/>
    <w:pPr>
      <w:spacing w:before="36" w:after="36"/>
    </w:pPr>
  </w:style>
  <w:style w:type="paragraph" w:styleId="Title">
    <w:name w:val="Title"/>
    <w:basedOn w:val="Normal"/>
    <w:next w:val="BodyText"/>
    <w:link w:val="TitleChar"/>
    <w:uiPriority w:val="10"/>
    <w:qFormat/>
    <w:rsid w:val="00A10FD9"/>
    <w:pPr>
      <w:spacing w:after="80"/>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0FD9"/>
    <w:rPr>
      <w:rFonts w:asciiTheme="majorHAnsi" w:eastAsiaTheme="majorEastAsia" w:hAnsiTheme="majorHAnsi" w:cstheme="majorBidi"/>
      <w:spacing w:val="-10"/>
      <w:kern w:val="28"/>
      <w:sz w:val="56"/>
      <w:szCs w:val="56"/>
    </w:rPr>
  </w:style>
  <w:style w:type="paragraph" w:styleId="Subtitle">
    <w:name w:val="Subtitle"/>
    <w:basedOn w:val="Title"/>
    <w:next w:val="BodyText"/>
    <w:link w:val="SubtitleChar"/>
    <w:uiPriority w:val="11"/>
    <w:qFormat/>
    <w:rsid w:val="00A10FD9"/>
    <w:pPr>
      <w:numPr>
        <w:ilvl w:val="1"/>
      </w:numPr>
    </w:pPr>
    <w:rPr>
      <w:spacing w:val="15"/>
      <w:sz w:val="28"/>
      <w:szCs w:val="28"/>
    </w:rPr>
  </w:style>
  <w:style w:type="character" w:customStyle="1" w:styleId="SubtitleChar">
    <w:name w:val="Subtitle Char"/>
    <w:basedOn w:val="DefaultParagraphFont"/>
    <w:link w:val="Subtitle"/>
    <w:uiPriority w:val="11"/>
    <w:rsid w:val="00A10FD9"/>
    <w:rPr>
      <w:rFonts w:eastAsiaTheme="majorEastAsia" w:cstheme="majorBidi"/>
      <w:color w:val="595959" w:themeColor="text1" w:themeTint="A6"/>
      <w:spacing w:val="15"/>
      <w:sz w:val="28"/>
      <w:szCs w:val="28"/>
    </w:rPr>
  </w:style>
  <w:style w:type="paragraph" w:customStyle="1" w:styleId="Author">
    <w:name w:val="Author"/>
    <w:next w:val="BodyText"/>
    <w:qFormat/>
    <w:pPr>
      <w:keepNext/>
      <w:keepLines/>
      <w:jc w:val="center"/>
    </w:pPr>
  </w:style>
  <w:style w:type="paragraph" w:styleId="Date">
    <w:name w:val="Date"/>
    <w:next w:val="BodyText"/>
    <w:qFormat/>
    <w:pPr>
      <w:keepNext/>
      <w:keepLines/>
      <w:jc w:val="center"/>
    </w:pPr>
  </w:style>
  <w:style w:type="paragraph" w:customStyle="1" w:styleId="AbstractTitle">
    <w:name w:val="Abstract Title"/>
    <w:basedOn w:val="Normal"/>
    <w:next w:val="Abstract"/>
    <w:qFormat/>
    <w:pPr>
      <w:keepNext/>
      <w:keepLines/>
      <w:spacing w:before="300" w:after="0"/>
      <w:jc w:val="center"/>
    </w:pPr>
    <w:rPr>
      <w:b/>
      <w:sz w:val="20"/>
      <w:szCs w:val="20"/>
    </w:rPr>
  </w:style>
  <w:style w:type="paragraph" w:customStyle="1" w:styleId="Abstract">
    <w:name w:val="Abstract"/>
    <w:basedOn w:val="Normal"/>
    <w:next w:val="BodyText"/>
    <w:qFormat/>
    <w:pPr>
      <w:keepNext/>
      <w:keepLines/>
      <w:spacing w:before="100" w:after="300"/>
    </w:pPr>
    <w:rPr>
      <w:sz w:val="20"/>
      <w:szCs w:val="20"/>
    </w:rPr>
  </w:style>
  <w:style w:type="paragraph" w:styleId="Bibliography">
    <w:name w:val="Bibliography"/>
    <w:basedOn w:val="Normal"/>
    <w:qFormat/>
  </w:style>
  <w:style w:type="character" w:customStyle="1" w:styleId="Heading1Char">
    <w:name w:val="Heading 1 Char"/>
    <w:basedOn w:val="DefaultParagraphFont"/>
    <w:link w:val="Heading1"/>
    <w:uiPriority w:val="9"/>
    <w:rsid w:val="00A10F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0F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0F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0F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0F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0F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0F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0F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0FD9"/>
    <w:rPr>
      <w:rFonts w:eastAsiaTheme="majorEastAsia" w:cstheme="majorBidi"/>
      <w:color w:val="272727" w:themeColor="text1" w:themeTint="D8"/>
    </w:rPr>
  </w:style>
  <w:style w:type="paragraph" w:styleId="BlockText">
    <w:name w:val="Block Text"/>
    <w:basedOn w:val="BodyText"/>
    <w:next w:val="BodyText"/>
    <w:uiPriority w:val="9"/>
    <w:unhideWhenUsed/>
    <w:qFormat/>
    <w:pPr>
      <w:spacing w:before="100" w:after="100"/>
      <w:ind w:left="480" w:right="480"/>
    </w:pPr>
  </w:style>
  <w:style w:type="paragraph" w:styleId="FootnoteText">
    <w:name w:val="footnote text"/>
    <w:basedOn w:val="Normal"/>
    <w:uiPriority w:val="9"/>
    <w:unhideWhenUsed/>
    <w:qFormat/>
  </w:style>
  <w:style w:type="paragraph" w:customStyle="1" w:styleId="FootnoteBlockText">
    <w:name w:val="Footnote Block Text"/>
    <w:basedOn w:val="FootnoteText"/>
    <w:next w:val="FootnoteText"/>
    <w:uiPriority w:val="9"/>
    <w:unhideWhenUsed/>
    <w:qFormat/>
    <w:pPr>
      <w:spacing w:before="100" w:after="100"/>
      <w:ind w:left="480" w:right="480"/>
    </w:pPr>
  </w:style>
  <w:style w:type="table" w:customStyle="1" w:styleId="Table">
    <w:name w:val="Table"/>
    <w:semiHidden/>
    <w:unhideWhenUsed/>
    <w:qFormat/>
    <w:tblPr>
      <w:tblInd w:w="0" w:type="dxa"/>
      <w:tblCellMar>
        <w:top w:w="0" w:type="dxa"/>
        <w:left w:w="108" w:type="dxa"/>
        <w:bottom w:w="0" w:type="dxa"/>
        <w:right w:w="108" w:type="dxa"/>
      </w:tblCellMar>
    </w:tblPr>
    <w:tblStylePr w:type="firstRow">
      <w:tblPr>
        <w:jc w:val="left"/>
      </w:tblPr>
      <w:trPr>
        <w:jc w:val="left"/>
      </w:trPr>
      <w:tcPr>
        <w:tcBorders>
          <w:bottom w:val="single" w:sz="0" w:space="0" w:color="auto"/>
        </w:tcBorders>
        <w:vAlign w:val="bottom"/>
      </w:tcPr>
    </w:tblStylePr>
  </w:style>
  <w:style w:type="paragraph" w:customStyle="1" w:styleId="DefinitionTerm">
    <w:name w:val="Definition Term"/>
    <w:basedOn w:val="Normal"/>
    <w:next w:val="Definition"/>
    <w:pPr>
      <w:keepNext/>
      <w:keepLines/>
      <w:spacing w:after="0"/>
    </w:pPr>
    <w:rPr>
      <w:b/>
    </w:rPr>
  </w:style>
  <w:style w:type="paragraph" w:customStyle="1" w:styleId="Definition">
    <w:name w:val="Definition"/>
    <w:basedOn w:val="Normal"/>
  </w:style>
  <w:style w:type="paragraph" w:styleId="Caption">
    <w:name w:val="caption"/>
    <w:basedOn w:val="Normal"/>
    <w:link w:val="CaptionChar"/>
    <w:pPr>
      <w:spacing w:after="120"/>
    </w:pPr>
    <w:rPr>
      <w:i/>
    </w:rPr>
  </w:style>
  <w:style w:type="paragraph" w:customStyle="1" w:styleId="TableCaption">
    <w:name w:val="Table Caption"/>
    <w:basedOn w:val="Caption"/>
    <w:pPr>
      <w:keepNext/>
    </w:pPr>
  </w:style>
  <w:style w:type="paragraph" w:customStyle="1" w:styleId="ImageCaption">
    <w:name w:val="Image Caption"/>
    <w:basedOn w:val="Caption"/>
  </w:style>
  <w:style w:type="paragraph" w:customStyle="1" w:styleId="Figure">
    <w:name w:val="Figure"/>
    <w:basedOn w:val="Normal"/>
  </w:style>
  <w:style w:type="paragraph" w:customStyle="1" w:styleId="CaptionedFigure">
    <w:name w:val="Captioned Figure"/>
    <w:basedOn w:val="Figure"/>
    <w:pPr>
      <w:keepNext/>
    </w:pPr>
  </w:style>
  <w:style w:type="character" w:customStyle="1" w:styleId="CaptionChar">
    <w:name w:val="Caption Char"/>
    <w:basedOn w:val="DefaultParagraphFont"/>
    <w:link w:val="Caption"/>
  </w:style>
  <w:style w:type="character" w:customStyle="1" w:styleId="VerbatimChar">
    <w:name w:val="Verbatim Char"/>
    <w:basedOn w:val="CaptionChar"/>
    <w:link w:val="SourceCode"/>
    <w:rPr>
      <w:rFonts w:ascii="Consolas" w:hAnsi="Consolas"/>
      <w:sz w:val="22"/>
    </w:rPr>
  </w:style>
  <w:style w:type="character" w:customStyle="1" w:styleId="SectionNumber">
    <w:name w:val="Section Number"/>
    <w:basedOn w:val="CaptionChar"/>
  </w:style>
  <w:style w:type="character" w:styleId="FootnoteReference">
    <w:name w:val="footnote reference"/>
    <w:basedOn w:val="CaptionChar"/>
    <w:rPr>
      <w:vertAlign w:val="superscript"/>
    </w:rPr>
  </w:style>
  <w:style w:type="character" w:styleId="Hyperlink">
    <w:name w:val="Hyperlink"/>
    <w:basedOn w:val="CaptionChar"/>
    <w:uiPriority w:val="99"/>
    <w:rPr>
      <w:color w:val="156082" w:themeColor="accent1"/>
    </w:rPr>
  </w:style>
  <w:style w:type="paragraph" w:styleId="TOCHeading">
    <w:name w:val="TOC Heading"/>
    <w:basedOn w:val="Heading1"/>
    <w:next w:val="BodyText"/>
    <w:uiPriority w:val="39"/>
    <w:unhideWhenUsed/>
    <w:qFormat/>
    <w:pPr>
      <w:spacing w:before="240" w:line="259" w:lineRule="auto"/>
      <w:outlineLvl w:val="9"/>
    </w:pPr>
  </w:style>
  <w:style w:type="paragraph" w:customStyle="1" w:styleId="SourceCode">
    <w:name w:val="Source Code"/>
    <w:basedOn w:val="Normal"/>
    <w:link w:val="VerbatimChar"/>
    <w:pPr>
      <w:wordWrap w:val="0"/>
    </w:pPr>
  </w:style>
  <w:style w:type="character" w:customStyle="1" w:styleId="KeywordTok">
    <w:name w:val="KeywordTok"/>
    <w:basedOn w:val="VerbatimChar"/>
    <w:rPr>
      <w:rFonts w:ascii="Consolas" w:hAnsi="Consolas"/>
      <w:b/>
      <w:color w:val="007020"/>
      <w:sz w:val="22"/>
    </w:rPr>
  </w:style>
  <w:style w:type="character" w:customStyle="1" w:styleId="DataTypeTok">
    <w:name w:val="DataTypeTok"/>
    <w:basedOn w:val="VerbatimChar"/>
    <w:rPr>
      <w:rFonts w:ascii="Consolas" w:hAnsi="Consolas"/>
      <w:color w:val="902000"/>
      <w:sz w:val="22"/>
    </w:rPr>
  </w:style>
  <w:style w:type="character" w:customStyle="1" w:styleId="DecValTok">
    <w:name w:val="DecValTok"/>
    <w:basedOn w:val="VerbatimChar"/>
    <w:rPr>
      <w:rFonts w:ascii="Consolas" w:hAnsi="Consolas"/>
      <w:color w:val="40A070"/>
      <w:sz w:val="22"/>
    </w:rPr>
  </w:style>
  <w:style w:type="character" w:customStyle="1" w:styleId="BaseNTok">
    <w:name w:val="BaseNTok"/>
    <w:basedOn w:val="VerbatimChar"/>
    <w:rPr>
      <w:rFonts w:ascii="Consolas" w:hAnsi="Consolas"/>
      <w:color w:val="40A070"/>
      <w:sz w:val="22"/>
    </w:rPr>
  </w:style>
  <w:style w:type="character" w:customStyle="1" w:styleId="FloatTok">
    <w:name w:val="FloatTok"/>
    <w:basedOn w:val="VerbatimChar"/>
    <w:rPr>
      <w:rFonts w:ascii="Consolas" w:hAnsi="Consolas"/>
      <w:color w:val="40A070"/>
      <w:sz w:val="22"/>
    </w:rPr>
  </w:style>
  <w:style w:type="character" w:customStyle="1" w:styleId="ConstantTok">
    <w:name w:val="ConstantTok"/>
    <w:basedOn w:val="VerbatimChar"/>
    <w:rPr>
      <w:rFonts w:ascii="Consolas" w:hAnsi="Consolas"/>
      <w:color w:val="880000"/>
      <w:sz w:val="22"/>
    </w:rPr>
  </w:style>
  <w:style w:type="character" w:customStyle="1" w:styleId="CharTok">
    <w:name w:val="CharTok"/>
    <w:basedOn w:val="VerbatimChar"/>
    <w:rPr>
      <w:rFonts w:ascii="Consolas" w:hAnsi="Consolas"/>
      <w:color w:val="4070A0"/>
      <w:sz w:val="22"/>
    </w:rPr>
  </w:style>
  <w:style w:type="character" w:customStyle="1" w:styleId="SpecialCharTok">
    <w:name w:val="SpecialCharTok"/>
    <w:basedOn w:val="VerbatimChar"/>
    <w:rPr>
      <w:rFonts w:ascii="Consolas" w:hAnsi="Consolas"/>
      <w:color w:val="4070A0"/>
      <w:sz w:val="22"/>
    </w:rPr>
  </w:style>
  <w:style w:type="character" w:customStyle="1" w:styleId="StringTok">
    <w:name w:val="StringTok"/>
    <w:basedOn w:val="VerbatimChar"/>
    <w:rPr>
      <w:rFonts w:ascii="Consolas" w:hAnsi="Consolas"/>
      <w:color w:val="4070A0"/>
      <w:sz w:val="22"/>
    </w:rPr>
  </w:style>
  <w:style w:type="character" w:customStyle="1" w:styleId="VerbatimStringTok">
    <w:name w:val="VerbatimStringTok"/>
    <w:basedOn w:val="VerbatimChar"/>
    <w:rPr>
      <w:rFonts w:ascii="Consolas" w:hAnsi="Consolas"/>
      <w:color w:val="4070A0"/>
      <w:sz w:val="22"/>
    </w:rPr>
  </w:style>
  <w:style w:type="character" w:customStyle="1" w:styleId="SpecialStringTok">
    <w:name w:val="SpecialStringTok"/>
    <w:basedOn w:val="VerbatimChar"/>
    <w:rPr>
      <w:rFonts w:ascii="Consolas" w:hAnsi="Consolas"/>
      <w:color w:val="BB6688"/>
      <w:sz w:val="22"/>
    </w:rPr>
  </w:style>
  <w:style w:type="character" w:customStyle="1" w:styleId="ImportTok">
    <w:name w:val="ImportTok"/>
    <w:basedOn w:val="VerbatimChar"/>
    <w:rPr>
      <w:rFonts w:ascii="Consolas" w:hAnsi="Consolas"/>
      <w:b/>
      <w:color w:val="008000"/>
      <w:sz w:val="22"/>
    </w:rPr>
  </w:style>
  <w:style w:type="character" w:customStyle="1" w:styleId="CommentTok">
    <w:name w:val="CommentTok"/>
    <w:basedOn w:val="VerbatimChar"/>
    <w:rPr>
      <w:rFonts w:ascii="Consolas" w:hAnsi="Consolas"/>
      <w:i/>
      <w:color w:val="60A0B0"/>
      <w:sz w:val="22"/>
    </w:rPr>
  </w:style>
  <w:style w:type="character" w:customStyle="1" w:styleId="DocumentationTok">
    <w:name w:val="DocumentationTok"/>
    <w:basedOn w:val="VerbatimChar"/>
    <w:rPr>
      <w:rFonts w:ascii="Consolas" w:hAnsi="Consolas"/>
      <w:i/>
      <w:color w:val="BA2121"/>
      <w:sz w:val="22"/>
    </w:rPr>
  </w:style>
  <w:style w:type="character" w:customStyle="1" w:styleId="AnnotationTok">
    <w:name w:val="AnnotationTok"/>
    <w:basedOn w:val="VerbatimChar"/>
    <w:rPr>
      <w:rFonts w:ascii="Consolas" w:hAnsi="Consolas"/>
      <w:b/>
      <w:i/>
      <w:color w:val="60A0B0"/>
      <w:sz w:val="22"/>
    </w:rPr>
  </w:style>
  <w:style w:type="character" w:customStyle="1" w:styleId="CommentVarTok">
    <w:name w:val="CommentVarTok"/>
    <w:basedOn w:val="VerbatimChar"/>
    <w:rPr>
      <w:rFonts w:ascii="Consolas" w:hAnsi="Consolas"/>
      <w:b/>
      <w:i/>
      <w:color w:val="60A0B0"/>
      <w:sz w:val="22"/>
    </w:rPr>
  </w:style>
  <w:style w:type="character" w:customStyle="1" w:styleId="OtherTok">
    <w:name w:val="OtherTok"/>
    <w:basedOn w:val="VerbatimChar"/>
    <w:rPr>
      <w:rFonts w:ascii="Consolas" w:hAnsi="Consolas"/>
      <w:color w:val="007020"/>
      <w:sz w:val="22"/>
    </w:rPr>
  </w:style>
  <w:style w:type="character" w:customStyle="1" w:styleId="FunctionTok">
    <w:name w:val="FunctionTok"/>
    <w:basedOn w:val="VerbatimChar"/>
    <w:rPr>
      <w:rFonts w:ascii="Consolas" w:hAnsi="Consolas"/>
      <w:color w:val="06287E"/>
      <w:sz w:val="22"/>
    </w:rPr>
  </w:style>
  <w:style w:type="character" w:customStyle="1" w:styleId="VariableTok">
    <w:name w:val="VariableTok"/>
    <w:basedOn w:val="VerbatimChar"/>
    <w:rPr>
      <w:rFonts w:ascii="Consolas" w:hAnsi="Consolas"/>
      <w:color w:val="19177C"/>
      <w:sz w:val="22"/>
    </w:rPr>
  </w:style>
  <w:style w:type="character" w:customStyle="1" w:styleId="ControlFlowTok">
    <w:name w:val="ControlFlowTok"/>
    <w:basedOn w:val="VerbatimChar"/>
    <w:rPr>
      <w:rFonts w:ascii="Consolas" w:hAnsi="Consolas"/>
      <w:b/>
      <w:color w:val="007020"/>
      <w:sz w:val="22"/>
    </w:rPr>
  </w:style>
  <w:style w:type="character" w:customStyle="1" w:styleId="OperatorTok">
    <w:name w:val="OperatorTok"/>
    <w:basedOn w:val="VerbatimChar"/>
    <w:rPr>
      <w:rFonts w:ascii="Consolas" w:hAnsi="Consolas"/>
      <w:color w:val="666666"/>
      <w:sz w:val="22"/>
    </w:rPr>
  </w:style>
  <w:style w:type="character" w:customStyle="1" w:styleId="BuiltInTok">
    <w:name w:val="BuiltInTok"/>
    <w:basedOn w:val="VerbatimChar"/>
    <w:rPr>
      <w:rFonts w:ascii="Consolas" w:hAnsi="Consolas"/>
      <w:color w:val="008000"/>
      <w:sz w:val="22"/>
    </w:rPr>
  </w:style>
  <w:style w:type="character" w:customStyle="1" w:styleId="ExtensionTok">
    <w:name w:val="ExtensionTok"/>
    <w:basedOn w:val="VerbatimChar"/>
    <w:rPr>
      <w:rFonts w:ascii="Consolas" w:hAnsi="Consolas"/>
      <w:sz w:val="22"/>
    </w:rPr>
  </w:style>
  <w:style w:type="character" w:customStyle="1" w:styleId="PreprocessorTok">
    <w:name w:val="PreprocessorTok"/>
    <w:basedOn w:val="VerbatimChar"/>
    <w:rPr>
      <w:rFonts w:ascii="Consolas" w:hAnsi="Consolas"/>
      <w:color w:val="BC7A00"/>
      <w:sz w:val="22"/>
    </w:rPr>
  </w:style>
  <w:style w:type="character" w:customStyle="1" w:styleId="AttributeTok">
    <w:name w:val="AttributeTok"/>
    <w:basedOn w:val="VerbatimChar"/>
    <w:rPr>
      <w:rFonts w:ascii="Consolas" w:hAnsi="Consolas"/>
      <w:color w:val="7D9029"/>
      <w:sz w:val="22"/>
    </w:rPr>
  </w:style>
  <w:style w:type="character" w:customStyle="1" w:styleId="RegionMarkerTok">
    <w:name w:val="RegionMarkerTok"/>
    <w:basedOn w:val="VerbatimChar"/>
    <w:rPr>
      <w:rFonts w:ascii="Consolas" w:hAnsi="Consolas"/>
      <w:sz w:val="22"/>
    </w:rPr>
  </w:style>
  <w:style w:type="character" w:customStyle="1" w:styleId="InformationTok">
    <w:name w:val="InformationTok"/>
    <w:basedOn w:val="VerbatimChar"/>
    <w:rPr>
      <w:rFonts w:ascii="Consolas" w:hAnsi="Consolas"/>
      <w:b/>
      <w:i/>
      <w:color w:val="60A0B0"/>
      <w:sz w:val="22"/>
    </w:rPr>
  </w:style>
  <w:style w:type="character" w:customStyle="1" w:styleId="WarningTok">
    <w:name w:val="WarningTok"/>
    <w:basedOn w:val="VerbatimChar"/>
    <w:rPr>
      <w:rFonts w:ascii="Consolas" w:hAnsi="Consolas"/>
      <w:b/>
      <w:i/>
      <w:color w:val="60A0B0"/>
      <w:sz w:val="22"/>
    </w:rPr>
  </w:style>
  <w:style w:type="character" w:customStyle="1" w:styleId="AlertTok">
    <w:name w:val="AlertTok"/>
    <w:basedOn w:val="VerbatimChar"/>
    <w:rPr>
      <w:rFonts w:ascii="Consolas" w:hAnsi="Consolas"/>
      <w:b/>
      <w:color w:val="FF0000"/>
      <w:sz w:val="22"/>
    </w:rPr>
  </w:style>
  <w:style w:type="character" w:customStyle="1" w:styleId="ErrorTok">
    <w:name w:val="ErrorTok"/>
    <w:basedOn w:val="VerbatimChar"/>
    <w:rPr>
      <w:rFonts w:ascii="Consolas" w:hAnsi="Consolas"/>
      <w:b/>
      <w:color w:val="FF0000"/>
      <w:sz w:val="22"/>
    </w:rPr>
  </w:style>
  <w:style w:type="character" w:customStyle="1" w:styleId="NormalTok">
    <w:name w:val="NormalTok"/>
    <w:basedOn w:val="VerbatimChar"/>
    <w:rPr>
      <w:rFonts w:ascii="Consolas" w:hAnsi="Consolas"/>
      <w:sz w:val="22"/>
    </w:rPr>
  </w:style>
  <w:style w:type="paragraph" w:styleId="TOC1">
    <w:name w:val="toc 1"/>
    <w:basedOn w:val="Normal"/>
    <w:next w:val="Normal"/>
    <w:autoRedefine/>
    <w:uiPriority w:val="39"/>
    <w:unhideWhenUsed/>
    <w:rsid w:val="009A2138"/>
    <w:pPr>
      <w:spacing w:after="100"/>
    </w:pPr>
  </w:style>
  <w:style w:type="paragraph" w:styleId="TOC2">
    <w:name w:val="toc 2"/>
    <w:basedOn w:val="Normal"/>
    <w:next w:val="Normal"/>
    <w:autoRedefine/>
    <w:uiPriority w:val="39"/>
    <w:unhideWhenUsed/>
    <w:rsid w:val="009A2138"/>
    <w:pPr>
      <w:spacing w:after="100"/>
      <w:ind w:left="240"/>
    </w:pPr>
  </w:style>
  <w:style w:type="paragraph" w:styleId="NoSpacing">
    <w:name w:val="No Spacing"/>
    <w:link w:val="NoSpacingChar"/>
    <w:uiPriority w:val="1"/>
    <w:qFormat/>
    <w:rsid w:val="009A3EC8"/>
    <w:pPr>
      <w:spacing w:after="0"/>
    </w:pPr>
    <w:rPr>
      <w:rFonts w:eastAsiaTheme="minorEastAsia"/>
      <w:sz w:val="22"/>
      <w:szCs w:val="22"/>
    </w:rPr>
  </w:style>
  <w:style w:type="character" w:customStyle="1" w:styleId="NoSpacingChar">
    <w:name w:val="No Spacing Char"/>
    <w:basedOn w:val="DefaultParagraphFont"/>
    <w:link w:val="NoSpacing"/>
    <w:uiPriority w:val="1"/>
    <w:rsid w:val="009A3EC8"/>
    <w:rPr>
      <w:rFonts w:eastAsiaTheme="minorEastAsia"/>
      <w:sz w:val="22"/>
      <w:szCs w:val="22"/>
    </w:rPr>
  </w:style>
  <w:style w:type="table" w:styleId="TableGrid">
    <w:name w:val="Table Grid"/>
    <w:basedOn w:val="TableNormal"/>
    <w:uiPriority w:val="39"/>
    <w:rsid w:val="00A843F4"/>
    <w:pPr>
      <w:spacing w:after="0"/>
    </w:pPr>
    <w:rPr>
      <w:rFonts w:eastAsiaTheme="minorEastAsia"/>
      <w:sz w:val="20"/>
      <w:szCs w:val="20"/>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3677182">
      <w:bodyDiv w:val="1"/>
      <w:marLeft w:val="0"/>
      <w:marRight w:val="0"/>
      <w:marTop w:val="0"/>
      <w:marBottom w:val="0"/>
      <w:divBdr>
        <w:top w:val="none" w:sz="0" w:space="0" w:color="auto"/>
        <w:left w:val="none" w:sz="0" w:space="0" w:color="auto"/>
        <w:bottom w:val="none" w:sz="0" w:space="0" w:color="auto"/>
        <w:right w:val="none" w:sz="0" w:space="0" w:color="auto"/>
      </w:divBdr>
    </w:div>
    <w:div w:id="78412626">
      <w:bodyDiv w:val="1"/>
      <w:marLeft w:val="0"/>
      <w:marRight w:val="0"/>
      <w:marTop w:val="0"/>
      <w:marBottom w:val="0"/>
      <w:divBdr>
        <w:top w:val="none" w:sz="0" w:space="0" w:color="auto"/>
        <w:left w:val="none" w:sz="0" w:space="0" w:color="auto"/>
        <w:bottom w:val="none" w:sz="0" w:space="0" w:color="auto"/>
        <w:right w:val="none" w:sz="0" w:space="0" w:color="auto"/>
      </w:divBdr>
    </w:div>
    <w:div w:id="183449464">
      <w:bodyDiv w:val="1"/>
      <w:marLeft w:val="0"/>
      <w:marRight w:val="0"/>
      <w:marTop w:val="0"/>
      <w:marBottom w:val="0"/>
      <w:divBdr>
        <w:top w:val="none" w:sz="0" w:space="0" w:color="auto"/>
        <w:left w:val="none" w:sz="0" w:space="0" w:color="auto"/>
        <w:bottom w:val="none" w:sz="0" w:space="0" w:color="auto"/>
        <w:right w:val="none" w:sz="0" w:space="0" w:color="auto"/>
      </w:divBdr>
    </w:div>
    <w:div w:id="188564569">
      <w:bodyDiv w:val="1"/>
      <w:marLeft w:val="0"/>
      <w:marRight w:val="0"/>
      <w:marTop w:val="0"/>
      <w:marBottom w:val="0"/>
      <w:divBdr>
        <w:top w:val="none" w:sz="0" w:space="0" w:color="auto"/>
        <w:left w:val="none" w:sz="0" w:space="0" w:color="auto"/>
        <w:bottom w:val="none" w:sz="0" w:space="0" w:color="auto"/>
        <w:right w:val="none" w:sz="0" w:space="0" w:color="auto"/>
      </w:divBdr>
    </w:div>
    <w:div w:id="433211656">
      <w:bodyDiv w:val="1"/>
      <w:marLeft w:val="0"/>
      <w:marRight w:val="0"/>
      <w:marTop w:val="0"/>
      <w:marBottom w:val="0"/>
      <w:divBdr>
        <w:top w:val="none" w:sz="0" w:space="0" w:color="auto"/>
        <w:left w:val="none" w:sz="0" w:space="0" w:color="auto"/>
        <w:bottom w:val="none" w:sz="0" w:space="0" w:color="auto"/>
        <w:right w:val="none" w:sz="0" w:space="0" w:color="auto"/>
      </w:divBdr>
    </w:div>
    <w:div w:id="1477259817">
      <w:bodyDiv w:val="1"/>
      <w:marLeft w:val="0"/>
      <w:marRight w:val="0"/>
      <w:marTop w:val="0"/>
      <w:marBottom w:val="0"/>
      <w:divBdr>
        <w:top w:val="none" w:sz="0" w:space="0" w:color="auto"/>
        <w:left w:val="none" w:sz="0" w:space="0" w:color="auto"/>
        <w:bottom w:val="none" w:sz="0" w:space="0" w:color="auto"/>
        <w:right w:val="none" w:sz="0" w:space="0" w:color="auto"/>
      </w:divBdr>
    </w:div>
    <w:div w:id="1620407489">
      <w:bodyDiv w:val="1"/>
      <w:marLeft w:val="0"/>
      <w:marRight w:val="0"/>
      <w:marTop w:val="0"/>
      <w:marBottom w:val="0"/>
      <w:divBdr>
        <w:top w:val="none" w:sz="0" w:space="0" w:color="auto"/>
        <w:left w:val="none" w:sz="0" w:space="0" w:color="auto"/>
        <w:bottom w:val="none" w:sz="0" w:space="0" w:color="auto"/>
        <w:right w:val="none" w:sz="0" w:space="0" w:color="auto"/>
      </w:divBdr>
    </w:div>
    <w:div w:id="1629124393">
      <w:bodyDiv w:val="1"/>
      <w:marLeft w:val="0"/>
      <w:marRight w:val="0"/>
      <w:marTop w:val="0"/>
      <w:marBottom w:val="0"/>
      <w:divBdr>
        <w:top w:val="none" w:sz="0" w:space="0" w:color="auto"/>
        <w:left w:val="none" w:sz="0" w:space="0" w:color="auto"/>
        <w:bottom w:val="none" w:sz="0" w:space="0" w:color="auto"/>
        <w:right w:val="none" w:sz="0" w:space="0" w:color="auto"/>
      </w:divBdr>
    </w:div>
    <w:div w:id="1857227466">
      <w:bodyDiv w:val="1"/>
      <w:marLeft w:val="0"/>
      <w:marRight w:val="0"/>
      <w:marTop w:val="0"/>
      <w:marBottom w:val="0"/>
      <w:divBdr>
        <w:top w:val="none" w:sz="0" w:space="0" w:color="auto"/>
        <w:left w:val="none" w:sz="0" w:space="0" w:color="auto"/>
        <w:bottom w:val="none" w:sz="0" w:space="0" w:color="auto"/>
        <w:right w:val="none" w:sz="0" w:space="0" w:color="auto"/>
      </w:divBdr>
    </w:div>
    <w:div w:id="186582971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412BC3-55E2-46A2-8824-A62841406A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1741</Words>
  <Characters>9928</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ASUS</dc:creator>
  <cp:keywords/>
  <cp:lastModifiedBy>ASUS</cp:lastModifiedBy>
  <cp:revision>2</cp:revision>
  <dcterms:created xsi:type="dcterms:W3CDTF">2026-07-07T09:39:00Z</dcterms:created>
  <dcterms:modified xsi:type="dcterms:W3CDTF">2026-07-07T09:39:00Z</dcterms:modified>
</cp:coreProperties>
</file>