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592C89" w:rsidR="00305F35" w:rsidP="00300D47" w:rsidRDefault="000D1B34" w14:paraId="08B0B7FB" w14:textId="4926D8A1">
      <w:pPr>
        <w:spacing w:line="360" w:lineRule="auto"/>
        <w:jc w:val="both"/>
        <w:rPr>
          <w:rFonts w:ascii="Times New Roman" w:hAnsi="Times New Roman" w:cs="Times New Roman"/>
          <w:b/>
          <w:bCs/>
          <w:sz w:val="24"/>
          <w:szCs w:val="24"/>
          <w:u w:val="single"/>
        </w:rPr>
      </w:pPr>
      <w:bookmarkStart w:name="_GoBack" w:id="0"/>
      <w:r w:rsidRPr="00592C89">
        <w:rPr>
          <w:rFonts w:ascii="Times New Roman" w:hAnsi="Times New Roman" w:cs="Times New Roman"/>
          <w:b/>
          <w:bCs/>
          <w:sz w:val="24"/>
          <w:szCs w:val="24"/>
          <w:u w:val="single"/>
        </w:rPr>
        <w:t xml:space="preserve">1. </w:t>
      </w:r>
      <w:r w:rsidRPr="00592C89" w:rsidR="00CD0BE7">
        <w:rPr>
          <w:rFonts w:ascii="Times New Roman" w:hAnsi="Times New Roman" w:cs="Times New Roman"/>
          <w:b/>
          <w:bCs/>
          <w:sz w:val="24"/>
          <w:szCs w:val="24"/>
          <w:u w:val="single"/>
        </w:rPr>
        <w:t>Paraphrasing a section from a selected book chapter</w:t>
      </w:r>
    </w:p>
    <w:p w:rsidRPr="00775E97" w:rsidR="00BF1A7D" w:rsidP="00300D47" w:rsidRDefault="002F06B3" w14:paraId="357F86FB" w14:textId="5D0917F6">
      <w:pPr>
        <w:spacing w:line="360" w:lineRule="auto"/>
        <w:jc w:val="both"/>
        <w:rPr>
          <w:rFonts w:ascii="Times New Roman" w:hAnsi="Times New Roman" w:cs="Times New Roman"/>
          <w:sz w:val="24"/>
          <w:szCs w:val="24"/>
        </w:rPr>
      </w:pPr>
      <w:r w:rsidRPr="002F06B3">
        <w:rPr>
          <w:rFonts w:ascii="Times New Roman" w:hAnsi="Times New Roman" w:cs="Times New Roman"/>
          <w:sz w:val="24"/>
          <w:szCs w:val="24"/>
        </w:rPr>
        <w:t>Gross, R (2010)</w:t>
      </w:r>
      <w:r w:rsidR="007442EE">
        <w:rPr>
          <w:rFonts w:ascii="Times New Roman" w:hAnsi="Times New Roman" w:cs="Times New Roman"/>
          <w:sz w:val="24"/>
          <w:szCs w:val="24"/>
        </w:rPr>
        <w:t xml:space="preserve"> </w:t>
      </w:r>
      <w:r w:rsidR="00341C97">
        <w:rPr>
          <w:rFonts w:ascii="Times New Roman" w:hAnsi="Times New Roman" w:cs="Times New Roman"/>
          <w:sz w:val="24"/>
          <w:szCs w:val="24"/>
        </w:rPr>
        <w:t>discuss</w:t>
      </w:r>
      <w:r w:rsidR="007442EE">
        <w:rPr>
          <w:rFonts w:ascii="Times New Roman" w:hAnsi="Times New Roman" w:cs="Times New Roman"/>
          <w:sz w:val="24"/>
          <w:szCs w:val="24"/>
        </w:rPr>
        <w:t xml:space="preserve"> Eating Disorders in </w:t>
      </w:r>
      <w:r w:rsidR="0060198B">
        <w:rPr>
          <w:rFonts w:ascii="Times New Roman" w:hAnsi="Times New Roman" w:cs="Times New Roman"/>
          <w:sz w:val="24"/>
          <w:szCs w:val="24"/>
        </w:rPr>
        <w:t xml:space="preserve">the </w:t>
      </w:r>
      <w:r w:rsidR="007442EE">
        <w:rPr>
          <w:rFonts w:ascii="Times New Roman" w:hAnsi="Times New Roman" w:cs="Times New Roman"/>
          <w:sz w:val="24"/>
          <w:szCs w:val="24"/>
        </w:rPr>
        <w:t xml:space="preserve">Western </w:t>
      </w:r>
      <w:r w:rsidR="0060198B">
        <w:rPr>
          <w:rFonts w:ascii="Times New Roman" w:hAnsi="Times New Roman" w:cs="Times New Roman"/>
          <w:sz w:val="24"/>
          <w:szCs w:val="24"/>
        </w:rPr>
        <w:t>hemisphere</w:t>
      </w:r>
      <w:r w:rsidR="007442EE">
        <w:rPr>
          <w:rFonts w:ascii="Times New Roman" w:hAnsi="Times New Roman" w:cs="Times New Roman"/>
          <w:sz w:val="24"/>
          <w:szCs w:val="24"/>
        </w:rPr>
        <w:t xml:space="preserve">. </w:t>
      </w:r>
      <w:r w:rsidR="00AF099E">
        <w:rPr>
          <w:rFonts w:ascii="Times New Roman" w:hAnsi="Times New Roman" w:cs="Times New Roman"/>
          <w:sz w:val="24"/>
          <w:szCs w:val="24"/>
        </w:rPr>
        <w:t>Two specific</w:t>
      </w:r>
      <w:r w:rsidR="007442EE">
        <w:rPr>
          <w:rFonts w:ascii="Times New Roman" w:hAnsi="Times New Roman" w:cs="Times New Roman"/>
          <w:sz w:val="24"/>
          <w:szCs w:val="24"/>
        </w:rPr>
        <w:t xml:space="preserve"> disorders</w:t>
      </w:r>
      <w:r w:rsidR="00305F35">
        <w:rPr>
          <w:rFonts w:ascii="Times New Roman" w:hAnsi="Times New Roman" w:cs="Times New Roman"/>
          <w:sz w:val="24"/>
          <w:szCs w:val="24"/>
        </w:rPr>
        <w:t xml:space="preserve"> are discussed </w:t>
      </w:r>
      <w:r w:rsidR="00AF099E">
        <w:rPr>
          <w:rFonts w:ascii="Times New Roman" w:hAnsi="Times New Roman" w:cs="Times New Roman"/>
          <w:sz w:val="24"/>
          <w:szCs w:val="24"/>
        </w:rPr>
        <w:t xml:space="preserve">including </w:t>
      </w:r>
      <w:r w:rsidR="00305F35">
        <w:rPr>
          <w:rFonts w:ascii="Times New Roman" w:hAnsi="Times New Roman" w:cs="Times New Roman"/>
          <w:sz w:val="24"/>
          <w:szCs w:val="24"/>
        </w:rPr>
        <w:t>statistics to show how the</w:t>
      </w:r>
      <w:r w:rsidR="00AF099E">
        <w:rPr>
          <w:rFonts w:ascii="Times New Roman" w:hAnsi="Times New Roman" w:cs="Times New Roman"/>
          <w:sz w:val="24"/>
          <w:szCs w:val="24"/>
        </w:rPr>
        <w:t>y may be caused</w:t>
      </w:r>
      <w:r w:rsidR="002E752A">
        <w:rPr>
          <w:rFonts w:ascii="Times New Roman" w:hAnsi="Times New Roman" w:cs="Times New Roman"/>
          <w:sz w:val="24"/>
          <w:szCs w:val="24"/>
        </w:rPr>
        <w:t>.</w:t>
      </w:r>
    </w:p>
    <w:p w:rsidRPr="00775E97" w:rsidR="006A4B6C" w:rsidP="00300D47" w:rsidRDefault="006A4B6C" w14:paraId="75AB85A4" w14:textId="1A9078C2">
      <w:pPr>
        <w:spacing w:line="360" w:lineRule="auto"/>
        <w:jc w:val="both"/>
        <w:rPr>
          <w:rFonts w:ascii="Times New Roman" w:hAnsi="Times New Roman" w:cs="Times New Roman"/>
          <w:sz w:val="24"/>
          <w:szCs w:val="24"/>
        </w:rPr>
      </w:pPr>
      <w:r w:rsidRPr="00775E97">
        <w:rPr>
          <w:rFonts w:ascii="Times New Roman" w:hAnsi="Times New Roman" w:cs="Times New Roman"/>
          <w:sz w:val="24"/>
          <w:szCs w:val="24"/>
        </w:rPr>
        <w:t xml:space="preserve">In western </w:t>
      </w:r>
      <w:r w:rsidR="00341C97">
        <w:rPr>
          <w:rFonts w:ascii="Times New Roman" w:hAnsi="Times New Roman" w:cs="Times New Roman"/>
          <w:sz w:val="24"/>
          <w:szCs w:val="24"/>
        </w:rPr>
        <w:t>society</w:t>
      </w:r>
      <w:r w:rsidRPr="00775E97">
        <w:rPr>
          <w:rFonts w:ascii="Times New Roman" w:hAnsi="Times New Roman" w:cs="Times New Roman"/>
          <w:sz w:val="24"/>
          <w:szCs w:val="24"/>
        </w:rPr>
        <w:t xml:space="preserve">, eating disorders have become more prolific in the last thirty years. This could be explained by the heavy influence of food </w:t>
      </w:r>
      <w:r w:rsidR="00341C97">
        <w:rPr>
          <w:rFonts w:ascii="Times New Roman" w:hAnsi="Times New Roman" w:cs="Times New Roman"/>
          <w:sz w:val="24"/>
          <w:szCs w:val="24"/>
        </w:rPr>
        <w:t>in society</w:t>
      </w:r>
      <w:r w:rsidRPr="00775E97">
        <w:rPr>
          <w:rFonts w:ascii="Times New Roman" w:hAnsi="Times New Roman" w:cs="Times New Roman"/>
          <w:sz w:val="24"/>
          <w:szCs w:val="24"/>
        </w:rPr>
        <w:t xml:space="preserve"> or alternatively the assumption that to be attractive, people must look a certain way (APA</w:t>
      </w:r>
      <w:r w:rsidR="0060198B">
        <w:rPr>
          <w:rFonts w:ascii="Times New Roman" w:hAnsi="Times New Roman" w:cs="Times New Roman"/>
          <w:sz w:val="24"/>
          <w:szCs w:val="24"/>
        </w:rPr>
        <w:t>,</w:t>
      </w:r>
      <w:r w:rsidRPr="00775E97">
        <w:rPr>
          <w:rFonts w:ascii="Times New Roman" w:hAnsi="Times New Roman" w:cs="Times New Roman"/>
          <w:sz w:val="24"/>
          <w:szCs w:val="24"/>
        </w:rPr>
        <w:t xml:space="preserve"> 1994). Scientific </w:t>
      </w:r>
      <w:r w:rsidRPr="00775E97" w:rsidR="0060198B">
        <w:rPr>
          <w:rFonts w:ascii="Times New Roman" w:hAnsi="Times New Roman" w:cs="Times New Roman"/>
          <w:sz w:val="24"/>
          <w:szCs w:val="24"/>
        </w:rPr>
        <w:t>hypothes</w:t>
      </w:r>
      <w:r w:rsidR="0060198B">
        <w:rPr>
          <w:rFonts w:ascii="Times New Roman" w:hAnsi="Times New Roman" w:cs="Times New Roman"/>
          <w:sz w:val="24"/>
          <w:szCs w:val="24"/>
        </w:rPr>
        <w:t>ises</w:t>
      </w:r>
      <w:r w:rsidRPr="00775E97">
        <w:rPr>
          <w:rFonts w:ascii="Times New Roman" w:hAnsi="Times New Roman" w:cs="Times New Roman"/>
          <w:sz w:val="24"/>
          <w:szCs w:val="24"/>
        </w:rPr>
        <w:t xml:space="preserve"> suggests the obsession of people wishing to be thin and excessive dieting in western society is the main cause of eating disorders. </w:t>
      </w:r>
    </w:p>
    <w:p w:rsidRPr="00775E97" w:rsidR="006A4B6C" w:rsidP="00300D47" w:rsidRDefault="006A4B6C" w14:paraId="08CDF6D1" w14:textId="65D386C4">
      <w:pPr>
        <w:spacing w:line="360" w:lineRule="auto"/>
        <w:jc w:val="both"/>
        <w:rPr>
          <w:rFonts w:ascii="Times New Roman" w:hAnsi="Times New Roman" w:cs="Times New Roman"/>
          <w:sz w:val="24"/>
          <w:szCs w:val="24"/>
        </w:rPr>
      </w:pPr>
      <w:r w:rsidRPr="00775E97">
        <w:rPr>
          <w:rFonts w:ascii="Times New Roman" w:hAnsi="Times New Roman" w:cs="Times New Roman"/>
          <w:sz w:val="24"/>
          <w:szCs w:val="24"/>
        </w:rPr>
        <w:t>Federoff and McFarlane (1998) disagree</w:t>
      </w:r>
      <w:r w:rsidR="0060198B">
        <w:rPr>
          <w:rFonts w:ascii="Times New Roman" w:hAnsi="Times New Roman" w:cs="Times New Roman"/>
          <w:sz w:val="24"/>
          <w:szCs w:val="24"/>
        </w:rPr>
        <w:t>,</w:t>
      </w:r>
      <w:r w:rsidRPr="00775E97">
        <w:rPr>
          <w:rFonts w:ascii="Times New Roman" w:hAnsi="Times New Roman" w:cs="Times New Roman"/>
          <w:sz w:val="24"/>
          <w:szCs w:val="24"/>
        </w:rPr>
        <w:t xml:space="preserve"> </w:t>
      </w:r>
      <w:r w:rsidR="0060198B">
        <w:rPr>
          <w:rFonts w:ascii="Times New Roman" w:hAnsi="Times New Roman" w:cs="Times New Roman"/>
          <w:sz w:val="24"/>
          <w:szCs w:val="24"/>
        </w:rPr>
        <w:t>they comment that</w:t>
      </w:r>
      <w:r w:rsidRPr="00775E97">
        <w:rPr>
          <w:rFonts w:ascii="Times New Roman" w:hAnsi="Times New Roman" w:cs="Times New Roman"/>
          <w:sz w:val="24"/>
          <w:szCs w:val="24"/>
        </w:rPr>
        <w:t xml:space="preserve"> culture is the cause of eating disorders. Their belief is there are many factors contribute to eating disorders which in turn can impact on individuals and can develop in to eating disorders, not just cultural influences. They believe that </w:t>
      </w:r>
      <w:r w:rsidR="0060198B">
        <w:rPr>
          <w:rFonts w:ascii="Times New Roman" w:hAnsi="Times New Roman" w:cs="Times New Roman"/>
          <w:sz w:val="24"/>
          <w:szCs w:val="24"/>
        </w:rPr>
        <w:t>“</w:t>
      </w:r>
      <w:r w:rsidRPr="00775E97">
        <w:rPr>
          <w:rFonts w:ascii="Times New Roman" w:hAnsi="Times New Roman" w:cs="Times New Roman"/>
          <w:sz w:val="24"/>
          <w:szCs w:val="24"/>
        </w:rPr>
        <w:t>a culture cannot cause a disorder</w:t>
      </w:r>
      <w:r w:rsidR="0060198B">
        <w:rPr>
          <w:rFonts w:ascii="Times New Roman" w:hAnsi="Times New Roman" w:cs="Times New Roman"/>
          <w:sz w:val="24"/>
          <w:szCs w:val="24"/>
        </w:rPr>
        <w:t>”</w:t>
      </w:r>
      <w:r w:rsidRPr="00775E97">
        <w:rPr>
          <w:rFonts w:ascii="Times New Roman" w:hAnsi="Times New Roman" w:cs="Times New Roman"/>
          <w:sz w:val="24"/>
          <w:szCs w:val="24"/>
        </w:rPr>
        <w:t xml:space="preserve"> as societal factors are only identified when interacting with an individual’s mind and natural science. </w:t>
      </w:r>
    </w:p>
    <w:p w:rsidRPr="00775E97" w:rsidR="00F62F6A" w:rsidP="00300D47" w:rsidRDefault="006A4B6C" w14:paraId="63238EBB" w14:textId="4E6723C1">
      <w:pPr>
        <w:spacing w:line="360" w:lineRule="auto"/>
        <w:jc w:val="both"/>
        <w:rPr>
          <w:rFonts w:ascii="Times New Roman" w:hAnsi="Times New Roman" w:cs="Times New Roman"/>
          <w:sz w:val="24"/>
          <w:szCs w:val="24"/>
        </w:rPr>
      </w:pPr>
      <w:r w:rsidRPr="00775E97">
        <w:rPr>
          <w:rFonts w:ascii="Times New Roman" w:hAnsi="Times New Roman" w:cs="Times New Roman"/>
          <w:sz w:val="24"/>
          <w:szCs w:val="24"/>
        </w:rPr>
        <w:t xml:space="preserve">In contrast, Claridge and Davis (2003) suggest eating disorders are looked at </w:t>
      </w:r>
      <w:r w:rsidR="0060198B">
        <w:rPr>
          <w:rFonts w:ascii="Times New Roman" w:hAnsi="Times New Roman" w:cs="Times New Roman"/>
          <w:sz w:val="24"/>
          <w:szCs w:val="24"/>
        </w:rPr>
        <w:t>“</w:t>
      </w:r>
      <w:r w:rsidRPr="00775E97">
        <w:rPr>
          <w:rFonts w:ascii="Times New Roman" w:hAnsi="Times New Roman" w:cs="Times New Roman"/>
          <w:sz w:val="24"/>
          <w:szCs w:val="24"/>
        </w:rPr>
        <w:t>even in mainstream psychiatry</w:t>
      </w:r>
      <w:r w:rsidR="0060198B">
        <w:rPr>
          <w:rFonts w:ascii="Times New Roman" w:hAnsi="Times New Roman" w:cs="Times New Roman"/>
          <w:sz w:val="24"/>
          <w:szCs w:val="24"/>
        </w:rPr>
        <w:t>”</w:t>
      </w:r>
      <w:r w:rsidR="00341C97">
        <w:rPr>
          <w:rFonts w:ascii="Times New Roman" w:hAnsi="Times New Roman" w:cs="Times New Roman"/>
          <w:sz w:val="24"/>
          <w:szCs w:val="24"/>
        </w:rPr>
        <w:t>, this</w:t>
      </w:r>
      <w:r w:rsidRPr="00775E97">
        <w:rPr>
          <w:rFonts w:ascii="Times New Roman" w:hAnsi="Times New Roman" w:cs="Times New Roman"/>
          <w:sz w:val="24"/>
          <w:szCs w:val="24"/>
        </w:rPr>
        <w:t xml:space="preserve"> can be referred to as </w:t>
      </w:r>
      <w:r w:rsidR="0060198B">
        <w:rPr>
          <w:rFonts w:ascii="Times New Roman" w:hAnsi="Times New Roman" w:cs="Times New Roman"/>
          <w:sz w:val="24"/>
          <w:szCs w:val="24"/>
        </w:rPr>
        <w:t>“</w:t>
      </w:r>
      <w:r w:rsidRPr="00775E97">
        <w:rPr>
          <w:rFonts w:ascii="Times New Roman" w:hAnsi="Times New Roman" w:cs="Times New Roman"/>
          <w:sz w:val="24"/>
          <w:szCs w:val="24"/>
        </w:rPr>
        <w:t>a spectrum of pathology and not categorised as any kind of disease</w:t>
      </w:r>
      <w:r w:rsidR="0060198B">
        <w:rPr>
          <w:rFonts w:ascii="Times New Roman" w:hAnsi="Times New Roman" w:cs="Times New Roman"/>
          <w:sz w:val="24"/>
          <w:szCs w:val="24"/>
        </w:rPr>
        <w:t>”</w:t>
      </w:r>
      <w:r w:rsidRPr="00775E97" w:rsidR="00F62F6A">
        <w:rPr>
          <w:rFonts w:ascii="Times New Roman" w:hAnsi="Times New Roman" w:cs="Times New Roman"/>
          <w:sz w:val="24"/>
          <w:szCs w:val="24"/>
        </w:rPr>
        <w:t xml:space="preserve">. They use the term </w:t>
      </w:r>
      <w:r w:rsidR="0060198B">
        <w:rPr>
          <w:rFonts w:ascii="Times New Roman" w:hAnsi="Times New Roman" w:cs="Times New Roman"/>
          <w:sz w:val="24"/>
          <w:szCs w:val="24"/>
        </w:rPr>
        <w:t>“</w:t>
      </w:r>
      <w:r w:rsidRPr="00775E97" w:rsidR="00F62F6A">
        <w:rPr>
          <w:rFonts w:ascii="Times New Roman" w:hAnsi="Times New Roman" w:cs="Times New Roman"/>
          <w:sz w:val="24"/>
          <w:szCs w:val="24"/>
        </w:rPr>
        <w:t>a spectrum of pathology</w:t>
      </w:r>
      <w:r w:rsidR="0060198B">
        <w:rPr>
          <w:rFonts w:ascii="Times New Roman" w:hAnsi="Times New Roman" w:cs="Times New Roman"/>
          <w:sz w:val="24"/>
          <w:szCs w:val="24"/>
        </w:rPr>
        <w:t>”</w:t>
      </w:r>
      <w:r w:rsidRPr="00775E97" w:rsidR="00F62F6A">
        <w:rPr>
          <w:rFonts w:ascii="Times New Roman" w:hAnsi="Times New Roman" w:cs="Times New Roman"/>
          <w:sz w:val="24"/>
          <w:szCs w:val="24"/>
        </w:rPr>
        <w:t xml:space="preserve"> to explain how eating disorders develop from a regular diet to extreme worry regarding weight. This can develop into a serious eating disorder when other factors or medical conditions contribute and heighten a person’s concerns about eating. An extreme eating disorder</w:t>
      </w:r>
      <w:r w:rsidRPr="00775E97" w:rsidR="00BF1A7D">
        <w:rPr>
          <w:rFonts w:ascii="Times New Roman" w:hAnsi="Times New Roman" w:cs="Times New Roman"/>
          <w:sz w:val="24"/>
          <w:szCs w:val="24"/>
        </w:rPr>
        <w:t xml:space="preserve"> </w:t>
      </w:r>
      <w:r w:rsidRPr="00775E97" w:rsidR="00F62F6A">
        <w:rPr>
          <w:rFonts w:ascii="Times New Roman" w:hAnsi="Times New Roman" w:cs="Times New Roman"/>
          <w:sz w:val="24"/>
          <w:szCs w:val="24"/>
        </w:rPr>
        <w:t xml:space="preserve">develops from an extreme worry about weight, medical conditions and finally the development of a serious pathological illness. </w:t>
      </w:r>
    </w:p>
    <w:p w:rsidRPr="00775E97" w:rsidR="006A4B6C" w:rsidP="00300D47" w:rsidRDefault="00F62F6A" w14:paraId="0451C1EC" w14:textId="0D85B70A">
      <w:pPr>
        <w:spacing w:line="360" w:lineRule="auto"/>
        <w:jc w:val="both"/>
        <w:rPr>
          <w:rFonts w:ascii="Times New Roman" w:hAnsi="Times New Roman" w:cs="Times New Roman"/>
          <w:sz w:val="24"/>
          <w:szCs w:val="24"/>
        </w:rPr>
      </w:pPr>
      <w:r w:rsidRPr="00775E97">
        <w:rPr>
          <w:rFonts w:ascii="Times New Roman" w:hAnsi="Times New Roman" w:cs="Times New Roman"/>
          <w:sz w:val="24"/>
          <w:szCs w:val="24"/>
        </w:rPr>
        <w:t>Anorexia Nervosa (A</w:t>
      </w:r>
      <w:r w:rsidRPr="00775E97" w:rsidR="00512E91">
        <w:rPr>
          <w:rFonts w:ascii="Times New Roman" w:hAnsi="Times New Roman" w:cs="Times New Roman"/>
          <w:sz w:val="24"/>
          <w:szCs w:val="24"/>
        </w:rPr>
        <w:t>N)</w:t>
      </w:r>
      <w:r w:rsidRPr="00775E97">
        <w:rPr>
          <w:rFonts w:ascii="Times New Roman" w:hAnsi="Times New Roman" w:cs="Times New Roman"/>
          <w:sz w:val="24"/>
          <w:szCs w:val="24"/>
        </w:rPr>
        <w:t xml:space="preserve"> </w:t>
      </w:r>
      <w:r w:rsidR="0060198B">
        <w:rPr>
          <w:rFonts w:ascii="Times New Roman" w:hAnsi="Times New Roman" w:cs="Times New Roman"/>
          <w:sz w:val="24"/>
          <w:szCs w:val="24"/>
        </w:rPr>
        <w:t>“</w:t>
      </w:r>
      <w:r w:rsidRPr="00775E97">
        <w:rPr>
          <w:rFonts w:ascii="Times New Roman" w:hAnsi="Times New Roman" w:cs="Times New Roman"/>
          <w:sz w:val="24"/>
          <w:szCs w:val="24"/>
        </w:rPr>
        <w:t>nervous lack of appetite</w:t>
      </w:r>
      <w:r w:rsidR="0060198B">
        <w:rPr>
          <w:rFonts w:ascii="Times New Roman" w:hAnsi="Times New Roman" w:cs="Times New Roman"/>
          <w:sz w:val="24"/>
          <w:szCs w:val="24"/>
        </w:rPr>
        <w:t>”</w:t>
      </w:r>
      <w:r w:rsidRPr="00775E97">
        <w:rPr>
          <w:rFonts w:ascii="Times New Roman" w:hAnsi="Times New Roman" w:cs="Times New Roman"/>
          <w:sz w:val="24"/>
          <w:szCs w:val="24"/>
        </w:rPr>
        <w:t xml:space="preserve"> occurs predominately in adolescences of sixteen to </w:t>
      </w:r>
      <w:r w:rsidRPr="00775E97" w:rsidR="00B03B84">
        <w:rPr>
          <w:rFonts w:ascii="Times New Roman" w:hAnsi="Times New Roman" w:cs="Times New Roman"/>
          <w:sz w:val="24"/>
          <w:szCs w:val="24"/>
        </w:rPr>
        <w:t>seventeen-year</w:t>
      </w:r>
      <w:r w:rsidRPr="00775E97">
        <w:rPr>
          <w:rFonts w:ascii="Times New Roman" w:hAnsi="Times New Roman" w:cs="Times New Roman"/>
          <w:sz w:val="24"/>
          <w:szCs w:val="24"/>
        </w:rPr>
        <w:t xml:space="preserve"> olds, of which</w:t>
      </w:r>
      <w:r w:rsidRPr="00775E97" w:rsidR="00B03B84">
        <w:rPr>
          <w:rFonts w:ascii="Times New Roman" w:hAnsi="Times New Roman" w:cs="Times New Roman"/>
          <w:sz w:val="24"/>
          <w:szCs w:val="24"/>
        </w:rPr>
        <w:t xml:space="preserve"> around </w:t>
      </w:r>
      <w:r w:rsidRPr="00775E97" w:rsidR="0060198B">
        <w:rPr>
          <w:rFonts w:ascii="Times New Roman" w:hAnsi="Times New Roman" w:cs="Times New Roman"/>
          <w:sz w:val="24"/>
          <w:szCs w:val="24"/>
        </w:rPr>
        <w:t>ninety percent</w:t>
      </w:r>
      <w:r w:rsidRPr="00775E97" w:rsidR="00B03B84">
        <w:rPr>
          <w:rFonts w:ascii="Times New Roman" w:hAnsi="Times New Roman" w:cs="Times New Roman"/>
          <w:sz w:val="24"/>
          <w:szCs w:val="24"/>
        </w:rPr>
        <w:t xml:space="preserve"> are females who become obsessed about </w:t>
      </w:r>
      <w:r w:rsidR="0060198B">
        <w:rPr>
          <w:rFonts w:ascii="Times New Roman" w:hAnsi="Times New Roman" w:cs="Times New Roman"/>
          <w:sz w:val="24"/>
          <w:szCs w:val="24"/>
        </w:rPr>
        <w:t>“</w:t>
      </w:r>
      <w:r w:rsidRPr="00775E97" w:rsidR="00B03B84">
        <w:rPr>
          <w:rFonts w:ascii="Times New Roman" w:hAnsi="Times New Roman" w:cs="Times New Roman"/>
          <w:sz w:val="24"/>
          <w:szCs w:val="24"/>
        </w:rPr>
        <w:t>puppy fat</w:t>
      </w:r>
      <w:r w:rsidR="0060198B">
        <w:rPr>
          <w:rFonts w:ascii="Times New Roman" w:hAnsi="Times New Roman" w:cs="Times New Roman"/>
          <w:sz w:val="24"/>
          <w:szCs w:val="24"/>
        </w:rPr>
        <w:t>”</w:t>
      </w:r>
      <w:r w:rsidRPr="00775E97" w:rsidR="00B03B84">
        <w:rPr>
          <w:rFonts w:ascii="Times New Roman" w:hAnsi="Times New Roman" w:cs="Times New Roman"/>
          <w:sz w:val="24"/>
          <w:szCs w:val="24"/>
        </w:rPr>
        <w:t xml:space="preserve"> and begin dieting. Often compared as ‘’vegetarianism’’</w:t>
      </w:r>
      <w:r w:rsidRPr="00775E97" w:rsidR="002C1238">
        <w:rPr>
          <w:rFonts w:ascii="Times New Roman" w:hAnsi="Times New Roman" w:cs="Times New Roman"/>
          <w:sz w:val="24"/>
          <w:szCs w:val="24"/>
        </w:rPr>
        <w:t xml:space="preserve"> </w:t>
      </w:r>
      <w:r w:rsidRPr="00775E97" w:rsidR="00B03B84">
        <w:rPr>
          <w:rFonts w:ascii="Times New Roman" w:hAnsi="Times New Roman" w:cs="Times New Roman"/>
          <w:sz w:val="24"/>
          <w:szCs w:val="24"/>
        </w:rPr>
        <w:t xml:space="preserve">(Lipsedge, 1997) and is how a person obsesses with the need to achieve an abnormally low body weight. Claridge &amp; Davis </w:t>
      </w:r>
      <w:r w:rsidR="0060198B">
        <w:rPr>
          <w:rFonts w:ascii="Times New Roman" w:hAnsi="Times New Roman" w:cs="Times New Roman"/>
          <w:sz w:val="24"/>
          <w:szCs w:val="24"/>
        </w:rPr>
        <w:t xml:space="preserve">(2003) </w:t>
      </w:r>
      <w:r w:rsidRPr="00775E97" w:rsidR="00B03B84">
        <w:rPr>
          <w:rFonts w:ascii="Times New Roman" w:hAnsi="Times New Roman" w:cs="Times New Roman"/>
          <w:sz w:val="24"/>
          <w:szCs w:val="24"/>
        </w:rPr>
        <w:t>suggest this affects approximately one percent of adolescence</w:t>
      </w:r>
      <w:r w:rsidRPr="00775E97" w:rsidR="00E07EA7">
        <w:rPr>
          <w:rFonts w:ascii="Times New Roman" w:hAnsi="Times New Roman" w:cs="Times New Roman"/>
          <w:sz w:val="24"/>
          <w:szCs w:val="24"/>
        </w:rPr>
        <w:t xml:space="preserve"> and young women. One third also suffer episodes of binge eating (bulimia nervosa)</w:t>
      </w:r>
      <w:r w:rsidR="0060198B">
        <w:rPr>
          <w:rFonts w:ascii="Times New Roman" w:hAnsi="Times New Roman" w:cs="Times New Roman"/>
          <w:sz w:val="24"/>
          <w:szCs w:val="24"/>
        </w:rPr>
        <w:t>.</w:t>
      </w:r>
    </w:p>
    <w:p w:rsidRPr="00775E97" w:rsidR="00B03B84" w:rsidP="00300D47" w:rsidRDefault="00E07EA7" w14:paraId="685669B1" w14:textId="365E38A6">
      <w:pPr>
        <w:spacing w:line="360" w:lineRule="auto"/>
        <w:jc w:val="both"/>
        <w:rPr>
          <w:rFonts w:ascii="Times New Roman" w:hAnsi="Times New Roman" w:cs="Times New Roman"/>
          <w:sz w:val="24"/>
          <w:szCs w:val="24"/>
        </w:rPr>
      </w:pPr>
      <w:r w:rsidRPr="00775E97">
        <w:rPr>
          <w:rFonts w:ascii="Times New Roman" w:hAnsi="Times New Roman" w:cs="Times New Roman"/>
          <w:sz w:val="24"/>
          <w:szCs w:val="24"/>
        </w:rPr>
        <w:t xml:space="preserve">Frude, </w:t>
      </w:r>
      <w:r w:rsidR="0060198B">
        <w:rPr>
          <w:rFonts w:ascii="Times New Roman" w:hAnsi="Times New Roman" w:cs="Times New Roman"/>
          <w:sz w:val="24"/>
          <w:szCs w:val="24"/>
        </w:rPr>
        <w:t>(</w:t>
      </w:r>
      <w:r w:rsidRPr="00775E97">
        <w:rPr>
          <w:rFonts w:ascii="Times New Roman" w:hAnsi="Times New Roman" w:cs="Times New Roman"/>
          <w:sz w:val="24"/>
          <w:szCs w:val="24"/>
        </w:rPr>
        <w:t xml:space="preserve">1998) </w:t>
      </w:r>
      <w:r w:rsidRPr="00775E97" w:rsidR="00506B49">
        <w:rPr>
          <w:rFonts w:ascii="Times New Roman" w:hAnsi="Times New Roman" w:cs="Times New Roman"/>
          <w:sz w:val="24"/>
          <w:szCs w:val="24"/>
        </w:rPr>
        <w:t xml:space="preserve">says </w:t>
      </w:r>
      <w:r w:rsidRPr="00775E97" w:rsidR="00086489">
        <w:rPr>
          <w:rFonts w:ascii="Times New Roman" w:hAnsi="Times New Roman" w:cs="Times New Roman"/>
          <w:sz w:val="24"/>
          <w:szCs w:val="24"/>
        </w:rPr>
        <w:t>when</w:t>
      </w:r>
      <w:r w:rsidRPr="00775E97" w:rsidR="00D65667">
        <w:rPr>
          <w:rFonts w:ascii="Times New Roman" w:hAnsi="Times New Roman" w:cs="Times New Roman"/>
          <w:sz w:val="24"/>
          <w:szCs w:val="24"/>
        </w:rPr>
        <w:t xml:space="preserve"> </w:t>
      </w:r>
      <w:r w:rsidRPr="00775E97" w:rsidR="00F84128">
        <w:rPr>
          <w:rFonts w:ascii="Times New Roman" w:hAnsi="Times New Roman" w:cs="Times New Roman"/>
          <w:sz w:val="24"/>
          <w:szCs w:val="24"/>
        </w:rPr>
        <w:t>anorexia occurs</w:t>
      </w:r>
      <w:r w:rsidRPr="00775E97" w:rsidR="00393C8C">
        <w:rPr>
          <w:rFonts w:ascii="Times New Roman" w:hAnsi="Times New Roman" w:cs="Times New Roman"/>
          <w:sz w:val="24"/>
          <w:szCs w:val="24"/>
        </w:rPr>
        <w:t xml:space="preserve"> between ages eight and fourteen</w:t>
      </w:r>
      <w:r w:rsidRPr="00775E97" w:rsidR="004A33A8">
        <w:rPr>
          <w:rFonts w:ascii="Times New Roman" w:hAnsi="Times New Roman" w:cs="Times New Roman"/>
          <w:sz w:val="24"/>
          <w:szCs w:val="24"/>
        </w:rPr>
        <w:t xml:space="preserve"> years old</w:t>
      </w:r>
      <w:r w:rsidRPr="00775E97" w:rsidR="00393C8C">
        <w:rPr>
          <w:rFonts w:ascii="Times New Roman" w:hAnsi="Times New Roman" w:cs="Times New Roman"/>
          <w:sz w:val="24"/>
          <w:szCs w:val="24"/>
        </w:rPr>
        <w:t>, twenty</w:t>
      </w:r>
      <w:r w:rsidR="00FA56D8">
        <w:rPr>
          <w:rFonts w:ascii="Times New Roman" w:hAnsi="Times New Roman" w:cs="Times New Roman"/>
          <w:sz w:val="24"/>
          <w:szCs w:val="24"/>
        </w:rPr>
        <w:t xml:space="preserve"> </w:t>
      </w:r>
      <w:r w:rsidRPr="00775E97" w:rsidR="00393C8C">
        <w:rPr>
          <w:rFonts w:ascii="Times New Roman" w:hAnsi="Times New Roman" w:cs="Times New Roman"/>
          <w:sz w:val="24"/>
          <w:szCs w:val="24"/>
        </w:rPr>
        <w:t xml:space="preserve">five percent are </w:t>
      </w:r>
      <w:r w:rsidRPr="00775E97" w:rsidR="00306C54">
        <w:rPr>
          <w:rFonts w:ascii="Times New Roman" w:hAnsi="Times New Roman" w:cs="Times New Roman"/>
          <w:sz w:val="24"/>
          <w:szCs w:val="24"/>
        </w:rPr>
        <w:t xml:space="preserve">male. </w:t>
      </w:r>
      <w:r w:rsidRPr="00775E97" w:rsidR="0070560F">
        <w:rPr>
          <w:rFonts w:ascii="Times New Roman" w:hAnsi="Times New Roman" w:cs="Times New Roman"/>
          <w:sz w:val="24"/>
          <w:szCs w:val="24"/>
        </w:rPr>
        <w:t xml:space="preserve">The quantity and quality of food </w:t>
      </w:r>
      <w:r w:rsidRPr="00775E97" w:rsidR="00C136BB">
        <w:rPr>
          <w:rFonts w:ascii="Times New Roman" w:hAnsi="Times New Roman" w:cs="Times New Roman"/>
          <w:sz w:val="24"/>
          <w:szCs w:val="24"/>
        </w:rPr>
        <w:t xml:space="preserve">is gradually reduced overtime resulting in a state </w:t>
      </w:r>
      <w:r w:rsidRPr="00775E97" w:rsidR="00BF3F85">
        <w:rPr>
          <w:rFonts w:ascii="Times New Roman" w:hAnsi="Times New Roman" w:cs="Times New Roman"/>
          <w:sz w:val="24"/>
          <w:szCs w:val="24"/>
        </w:rPr>
        <w:t>of malnutrition and a lack of energy</w:t>
      </w:r>
      <w:r w:rsidRPr="00775E97" w:rsidR="0071370D">
        <w:rPr>
          <w:rFonts w:ascii="Times New Roman" w:hAnsi="Times New Roman" w:cs="Times New Roman"/>
          <w:sz w:val="24"/>
          <w:szCs w:val="24"/>
        </w:rPr>
        <w:t>.</w:t>
      </w:r>
    </w:p>
    <w:p w:rsidRPr="00775E97" w:rsidR="007B71AE" w:rsidP="00300D47" w:rsidRDefault="0071370D" w14:paraId="446DC680" w14:textId="57B018A0">
      <w:pPr>
        <w:spacing w:line="360" w:lineRule="auto"/>
        <w:jc w:val="both"/>
        <w:rPr>
          <w:rFonts w:ascii="Times New Roman" w:hAnsi="Times New Roman" w:cs="Times New Roman"/>
          <w:sz w:val="24"/>
          <w:szCs w:val="24"/>
        </w:rPr>
      </w:pPr>
      <w:r w:rsidRPr="00775E97">
        <w:rPr>
          <w:rFonts w:ascii="Times New Roman" w:hAnsi="Times New Roman" w:cs="Times New Roman"/>
          <w:sz w:val="24"/>
          <w:szCs w:val="24"/>
        </w:rPr>
        <w:t xml:space="preserve">Claridge </w:t>
      </w:r>
      <w:r w:rsidRPr="00775E97" w:rsidR="00E169C9">
        <w:rPr>
          <w:rFonts w:ascii="Times New Roman" w:hAnsi="Times New Roman" w:cs="Times New Roman"/>
          <w:sz w:val="24"/>
          <w:szCs w:val="24"/>
        </w:rPr>
        <w:t>&amp; Davis</w:t>
      </w:r>
      <w:r w:rsidR="0060198B">
        <w:rPr>
          <w:rFonts w:ascii="Times New Roman" w:hAnsi="Times New Roman" w:cs="Times New Roman"/>
          <w:sz w:val="24"/>
          <w:szCs w:val="24"/>
        </w:rPr>
        <w:t xml:space="preserve"> (2003)</w:t>
      </w:r>
      <w:r w:rsidRPr="00775E97" w:rsidR="00E169C9">
        <w:rPr>
          <w:rFonts w:ascii="Times New Roman" w:hAnsi="Times New Roman" w:cs="Times New Roman"/>
          <w:sz w:val="24"/>
          <w:szCs w:val="24"/>
        </w:rPr>
        <w:t xml:space="preserve"> observations suggest that </w:t>
      </w:r>
      <w:r w:rsidRPr="00775E97" w:rsidR="000632B1">
        <w:rPr>
          <w:rFonts w:ascii="Times New Roman" w:hAnsi="Times New Roman" w:cs="Times New Roman"/>
          <w:sz w:val="24"/>
          <w:szCs w:val="24"/>
        </w:rPr>
        <w:t xml:space="preserve">binge eating is more identifiable to bulimia nervosa </w:t>
      </w:r>
      <w:r w:rsidRPr="00775E97" w:rsidR="00BF6DDA">
        <w:rPr>
          <w:rFonts w:ascii="Times New Roman" w:hAnsi="Times New Roman" w:cs="Times New Roman"/>
          <w:sz w:val="24"/>
          <w:szCs w:val="24"/>
        </w:rPr>
        <w:t xml:space="preserve">as apposed to the restriction </w:t>
      </w:r>
      <w:r w:rsidRPr="00775E97" w:rsidR="001F4315">
        <w:rPr>
          <w:rFonts w:ascii="Times New Roman" w:hAnsi="Times New Roman" w:cs="Times New Roman"/>
          <w:sz w:val="24"/>
          <w:szCs w:val="24"/>
        </w:rPr>
        <w:t xml:space="preserve">top of anorexia. </w:t>
      </w:r>
      <w:r w:rsidRPr="00775E97" w:rsidR="00A65FF6">
        <w:rPr>
          <w:rFonts w:ascii="Times New Roman" w:hAnsi="Times New Roman" w:cs="Times New Roman"/>
          <w:sz w:val="24"/>
          <w:szCs w:val="24"/>
        </w:rPr>
        <w:t>Suggest</w:t>
      </w:r>
      <w:r w:rsidRPr="00775E97" w:rsidR="00157427">
        <w:rPr>
          <w:rFonts w:ascii="Times New Roman" w:hAnsi="Times New Roman" w:cs="Times New Roman"/>
          <w:sz w:val="24"/>
          <w:szCs w:val="24"/>
        </w:rPr>
        <w:t xml:space="preserve">ed </w:t>
      </w:r>
      <w:r w:rsidRPr="00775E97" w:rsidR="00A65FF6">
        <w:rPr>
          <w:rFonts w:ascii="Times New Roman" w:hAnsi="Times New Roman" w:cs="Times New Roman"/>
          <w:sz w:val="24"/>
          <w:szCs w:val="24"/>
        </w:rPr>
        <w:t xml:space="preserve">by some researchers </w:t>
      </w:r>
      <w:r w:rsidRPr="00775E97" w:rsidR="00157427">
        <w:rPr>
          <w:rFonts w:ascii="Times New Roman" w:hAnsi="Times New Roman" w:cs="Times New Roman"/>
          <w:sz w:val="24"/>
          <w:szCs w:val="24"/>
        </w:rPr>
        <w:t>that</w:t>
      </w:r>
      <w:r w:rsidRPr="00775E97" w:rsidR="008D7C36">
        <w:rPr>
          <w:rFonts w:ascii="Times New Roman" w:hAnsi="Times New Roman" w:cs="Times New Roman"/>
          <w:sz w:val="24"/>
          <w:szCs w:val="24"/>
        </w:rPr>
        <w:t xml:space="preserve"> these </w:t>
      </w:r>
      <w:r w:rsidRPr="00775E97" w:rsidR="008D7C36">
        <w:rPr>
          <w:rFonts w:ascii="Times New Roman" w:hAnsi="Times New Roman" w:cs="Times New Roman"/>
          <w:sz w:val="24"/>
          <w:szCs w:val="24"/>
        </w:rPr>
        <w:lastRenderedPageBreak/>
        <w:t>are in fact two different disorders (Mitchell &amp; McCarthy, 2000)</w:t>
      </w:r>
      <w:r w:rsidRPr="00775E97" w:rsidR="007B71AE">
        <w:rPr>
          <w:rFonts w:ascii="Times New Roman" w:hAnsi="Times New Roman" w:cs="Times New Roman"/>
          <w:sz w:val="24"/>
          <w:szCs w:val="24"/>
        </w:rPr>
        <w:t xml:space="preserve">. </w:t>
      </w:r>
      <w:r w:rsidRPr="00775E97" w:rsidR="00111A74">
        <w:rPr>
          <w:rFonts w:ascii="Times New Roman" w:hAnsi="Times New Roman" w:cs="Times New Roman"/>
          <w:sz w:val="24"/>
          <w:szCs w:val="24"/>
        </w:rPr>
        <w:t>Bulimia</w:t>
      </w:r>
      <w:r w:rsidRPr="00775E97" w:rsidR="007B71AE">
        <w:rPr>
          <w:rFonts w:ascii="Times New Roman" w:hAnsi="Times New Roman" w:cs="Times New Roman"/>
          <w:sz w:val="24"/>
          <w:szCs w:val="24"/>
        </w:rPr>
        <w:t xml:space="preserve"> has only been recognised since the 1970</w:t>
      </w:r>
      <w:r w:rsidRPr="00775E97" w:rsidR="00D46CAB">
        <w:rPr>
          <w:rFonts w:ascii="Times New Roman" w:hAnsi="Times New Roman" w:cs="Times New Roman"/>
          <w:sz w:val="24"/>
          <w:szCs w:val="24"/>
        </w:rPr>
        <w:t xml:space="preserve">’s </w:t>
      </w:r>
      <w:r w:rsidRPr="00775E97" w:rsidR="004A1487">
        <w:rPr>
          <w:rFonts w:ascii="Times New Roman" w:hAnsi="Times New Roman" w:cs="Times New Roman"/>
          <w:sz w:val="24"/>
          <w:szCs w:val="24"/>
        </w:rPr>
        <w:t>and</w:t>
      </w:r>
      <w:r w:rsidRPr="00775E97" w:rsidR="0090071B">
        <w:rPr>
          <w:rFonts w:ascii="Times New Roman" w:hAnsi="Times New Roman" w:cs="Times New Roman"/>
          <w:sz w:val="24"/>
          <w:szCs w:val="24"/>
        </w:rPr>
        <w:t xml:space="preserve"> by the 1980’s it </w:t>
      </w:r>
      <w:r w:rsidRPr="00775E97" w:rsidR="00C30E62">
        <w:rPr>
          <w:rFonts w:ascii="Times New Roman" w:hAnsi="Times New Roman" w:cs="Times New Roman"/>
          <w:sz w:val="24"/>
          <w:szCs w:val="24"/>
        </w:rPr>
        <w:t>is</w:t>
      </w:r>
      <w:r w:rsidRPr="00775E97" w:rsidR="0090071B">
        <w:rPr>
          <w:rFonts w:ascii="Times New Roman" w:hAnsi="Times New Roman" w:cs="Times New Roman"/>
          <w:sz w:val="24"/>
          <w:szCs w:val="24"/>
        </w:rPr>
        <w:t xml:space="preserve"> </w:t>
      </w:r>
      <w:r w:rsidRPr="00775E97" w:rsidR="00C30E62">
        <w:rPr>
          <w:rFonts w:ascii="Times New Roman" w:hAnsi="Times New Roman" w:cs="Times New Roman"/>
          <w:sz w:val="24"/>
          <w:szCs w:val="24"/>
        </w:rPr>
        <w:t xml:space="preserve">more common than </w:t>
      </w:r>
      <w:r w:rsidRPr="00775E97" w:rsidR="007C1DFC">
        <w:rPr>
          <w:rFonts w:ascii="Times New Roman" w:hAnsi="Times New Roman" w:cs="Times New Roman"/>
          <w:sz w:val="24"/>
          <w:szCs w:val="24"/>
        </w:rPr>
        <w:t>anorexia</w:t>
      </w:r>
      <w:r w:rsidRPr="00775E97" w:rsidR="000E7D66">
        <w:rPr>
          <w:rFonts w:ascii="Times New Roman" w:hAnsi="Times New Roman" w:cs="Times New Roman"/>
          <w:sz w:val="24"/>
          <w:szCs w:val="24"/>
        </w:rPr>
        <w:t xml:space="preserve"> </w:t>
      </w:r>
      <w:r w:rsidRPr="00775E97" w:rsidR="00431AB1">
        <w:rPr>
          <w:rFonts w:ascii="Times New Roman" w:hAnsi="Times New Roman" w:cs="Times New Roman"/>
          <w:sz w:val="24"/>
          <w:szCs w:val="24"/>
        </w:rPr>
        <w:t>(</w:t>
      </w:r>
      <w:r w:rsidRPr="00775E97" w:rsidR="000E7D66">
        <w:rPr>
          <w:rFonts w:ascii="Times New Roman" w:hAnsi="Times New Roman" w:cs="Times New Roman"/>
          <w:sz w:val="24"/>
          <w:szCs w:val="24"/>
        </w:rPr>
        <w:t>Gordon</w:t>
      </w:r>
      <w:r w:rsidRPr="00775E97" w:rsidR="00725CCD">
        <w:rPr>
          <w:rFonts w:ascii="Times New Roman" w:hAnsi="Times New Roman" w:cs="Times New Roman"/>
          <w:sz w:val="24"/>
          <w:szCs w:val="24"/>
        </w:rPr>
        <w:t>,</w:t>
      </w:r>
      <w:r w:rsidRPr="00775E97" w:rsidR="000E7D66">
        <w:rPr>
          <w:rFonts w:ascii="Times New Roman" w:hAnsi="Times New Roman" w:cs="Times New Roman"/>
          <w:sz w:val="24"/>
          <w:szCs w:val="24"/>
        </w:rPr>
        <w:t xml:space="preserve"> </w:t>
      </w:r>
      <w:r w:rsidRPr="00775E97" w:rsidR="00725CCD">
        <w:rPr>
          <w:rFonts w:ascii="Times New Roman" w:hAnsi="Times New Roman" w:cs="Times New Roman"/>
          <w:sz w:val="24"/>
          <w:szCs w:val="24"/>
        </w:rPr>
        <w:t>2001)</w:t>
      </w:r>
      <w:r w:rsidRPr="00775E97" w:rsidR="00431AB1">
        <w:rPr>
          <w:rFonts w:ascii="Times New Roman" w:hAnsi="Times New Roman" w:cs="Times New Roman"/>
          <w:sz w:val="24"/>
          <w:szCs w:val="24"/>
        </w:rPr>
        <w:t xml:space="preserve">. </w:t>
      </w:r>
      <w:r w:rsidRPr="00775E97" w:rsidR="00111A74">
        <w:rPr>
          <w:rFonts w:ascii="Times New Roman" w:hAnsi="Times New Roman" w:cs="Times New Roman"/>
          <w:sz w:val="24"/>
          <w:szCs w:val="24"/>
        </w:rPr>
        <w:t>Bulimia</w:t>
      </w:r>
      <w:r w:rsidRPr="00775E97" w:rsidR="002C4CA4">
        <w:rPr>
          <w:rFonts w:ascii="Times New Roman" w:hAnsi="Times New Roman" w:cs="Times New Roman"/>
          <w:sz w:val="24"/>
          <w:szCs w:val="24"/>
        </w:rPr>
        <w:t xml:space="preserve"> </w:t>
      </w:r>
      <w:r w:rsidRPr="00775E97" w:rsidR="00111A74">
        <w:rPr>
          <w:rFonts w:ascii="Times New Roman" w:hAnsi="Times New Roman" w:cs="Times New Roman"/>
          <w:sz w:val="24"/>
          <w:szCs w:val="24"/>
        </w:rPr>
        <w:t>sufferers</w:t>
      </w:r>
      <w:r w:rsidRPr="00775E97" w:rsidR="002C4CA4">
        <w:rPr>
          <w:rFonts w:ascii="Times New Roman" w:hAnsi="Times New Roman" w:cs="Times New Roman"/>
          <w:sz w:val="24"/>
          <w:szCs w:val="24"/>
        </w:rPr>
        <w:t xml:space="preserve"> tend be older</w:t>
      </w:r>
      <w:r w:rsidRPr="00775E97" w:rsidR="00B73F55">
        <w:rPr>
          <w:rFonts w:ascii="Times New Roman" w:hAnsi="Times New Roman" w:cs="Times New Roman"/>
          <w:sz w:val="24"/>
          <w:szCs w:val="24"/>
        </w:rPr>
        <w:t xml:space="preserve">. </w:t>
      </w:r>
      <w:r w:rsidRPr="00775E97" w:rsidR="008A106F">
        <w:rPr>
          <w:rFonts w:ascii="Times New Roman" w:hAnsi="Times New Roman" w:cs="Times New Roman"/>
          <w:sz w:val="24"/>
          <w:szCs w:val="24"/>
        </w:rPr>
        <w:t>T</w:t>
      </w:r>
      <w:r w:rsidRPr="00775E97" w:rsidR="00B73F55">
        <w:rPr>
          <w:rFonts w:ascii="Times New Roman" w:hAnsi="Times New Roman" w:cs="Times New Roman"/>
          <w:sz w:val="24"/>
          <w:szCs w:val="24"/>
        </w:rPr>
        <w:t>hey</w:t>
      </w:r>
      <w:r w:rsidRPr="00775E97" w:rsidR="008A106F">
        <w:rPr>
          <w:rFonts w:ascii="Times New Roman" w:hAnsi="Times New Roman" w:cs="Times New Roman"/>
          <w:sz w:val="24"/>
          <w:szCs w:val="24"/>
        </w:rPr>
        <w:t xml:space="preserve"> do not tend to come from any specific </w:t>
      </w:r>
      <w:r w:rsidRPr="00775E97" w:rsidR="009C38FA">
        <w:rPr>
          <w:rFonts w:ascii="Times New Roman" w:hAnsi="Times New Roman" w:cs="Times New Roman"/>
          <w:sz w:val="24"/>
          <w:szCs w:val="24"/>
        </w:rPr>
        <w:t xml:space="preserve">class, </w:t>
      </w:r>
      <w:r w:rsidRPr="00775E97" w:rsidR="00111A74">
        <w:rPr>
          <w:rFonts w:ascii="Times New Roman" w:hAnsi="Times New Roman" w:cs="Times New Roman"/>
          <w:sz w:val="24"/>
          <w:szCs w:val="24"/>
        </w:rPr>
        <w:t>i.e.</w:t>
      </w:r>
      <w:r w:rsidRPr="00775E97" w:rsidR="00E32188">
        <w:rPr>
          <w:rFonts w:ascii="Times New Roman" w:hAnsi="Times New Roman" w:cs="Times New Roman"/>
          <w:sz w:val="24"/>
          <w:szCs w:val="24"/>
        </w:rPr>
        <w:t xml:space="preserve"> middle or upper class</w:t>
      </w:r>
      <w:r w:rsidRPr="00775E97" w:rsidR="00863BDB">
        <w:rPr>
          <w:rFonts w:ascii="Times New Roman" w:hAnsi="Times New Roman" w:cs="Times New Roman"/>
          <w:sz w:val="24"/>
          <w:szCs w:val="24"/>
        </w:rPr>
        <w:t xml:space="preserve"> but are </w:t>
      </w:r>
      <w:r w:rsidRPr="00775E97" w:rsidR="002D76A8">
        <w:rPr>
          <w:rFonts w:ascii="Times New Roman" w:hAnsi="Times New Roman" w:cs="Times New Roman"/>
          <w:sz w:val="24"/>
          <w:szCs w:val="24"/>
        </w:rPr>
        <w:t xml:space="preserve">likely to have suffered weight issues </w:t>
      </w:r>
      <w:r w:rsidRPr="00775E97" w:rsidR="00AF353B">
        <w:rPr>
          <w:rFonts w:ascii="Times New Roman" w:hAnsi="Times New Roman" w:cs="Times New Roman"/>
          <w:sz w:val="24"/>
          <w:szCs w:val="24"/>
        </w:rPr>
        <w:t>leading to self-destructive behaviours</w:t>
      </w:r>
      <w:r w:rsidRPr="00775E97" w:rsidR="003A1FFB">
        <w:rPr>
          <w:rFonts w:ascii="Times New Roman" w:hAnsi="Times New Roman" w:cs="Times New Roman"/>
          <w:sz w:val="24"/>
          <w:szCs w:val="24"/>
        </w:rPr>
        <w:t>, such as; shop lifting, self-harm and even drug abuse.</w:t>
      </w:r>
    </w:p>
    <w:p w:rsidR="00A17CA2" w:rsidP="00300D47" w:rsidRDefault="00D31A72" w14:paraId="5F99BA85" w14:textId="1BE48C96">
      <w:pPr>
        <w:spacing w:line="360" w:lineRule="auto"/>
        <w:jc w:val="both"/>
        <w:rPr>
          <w:rFonts w:ascii="Times New Roman" w:hAnsi="Times New Roman" w:cs="Times New Roman"/>
          <w:sz w:val="24"/>
          <w:szCs w:val="24"/>
        </w:rPr>
      </w:pPr>
      <w:r w:rsidRPr="00775E97">
        <w:rPr>
          <w:rFonts w:ascii="Times New Roman" w:hAnsi="Times New Roman" w:cs="Times New Roman"/>
          <w:sz w:val="24"/>
          <w:szCs w:val="24"/>
        </w:rPr>
        <w:t xml:space="preserve">Russell (1979) states that </w:t>
      </w:r>
      <w:r w:rsidRPr="00775E97" w:rsidR="005927BE">
        <w:rPr>
          <w:rFonts w:ascii="Times New Roman" w:hAnsi="Times New Roman" w:cs="Times New Roman"/>
          <w:sz w:val="24"/>
          <w:szCs w:val="24"/>
        </w:rPr>
        <w:t>bulimia</w:t>
      </w:r>
      <w:r w:rsidRPr="00775E97" w:rsidR="00A049F5">
        <w:rPr>
          <w:rFonts w:ascii="Times New Roman" w:hAnsi="Times New Roman" w:cs="Times New Roman"/>
          <w:sz w:val="24"/>
          <w:szCs w:val="24"/>
        </w:rPr>
        <w:t xml:space="preserve"> nervosa</w:t>
      </w:r>
      <w:r w:rsidRPr="00775E97">
        <w:rPr>
          <w:rFonts w:ascii="Times New Roman" w:hAnsi="Times New Roman" w:cs="Times New Roman"/>
          <w:sz w:val="24"/>
          <w:szCs w:val="24"/>
        </w:rPr>
        <w:t xml:space="preserve"> </w:t>
      </w:r>
      <w:r w:rsidRPr="00775E97" w:rsidR="001B449F">
        <w:rPr>
          <w:rFonts w:ascii="Times New Roman" w:hAnsi="Times New Roman" w:cs="Times New Roman"/>
          <w:sz w:val="24"/>
          <w:szCs w:val="24"/>
        </w:rPr>
        <w:t xml:space="preserve">is more difficult to treat and </w:t>
      </w:r>
      <w:r w:rsidRPr="00775E97" w:rsidR="005927BE">
        <w:rPr>
          <w:rFonts w:ascii="Times New Roman" w:hAnsi="Times New Roman" w:cs="Times New Roman"/>
          <w:sz w:val="24"/>
          <w:szCs w:val="24"/>
        </w:rPr>
        <w:t xml:space="preserve">has poor prognosis. It affects 2.3% of adolescence and young women. </w:t>
      </w:r>
    </w:p>
    <w:p w:rsidR="00FA56D8" w:rsidP="00FA56D8" w:rsidRDefault="00FA56D8" w14:paraId="29F21416" w14:textId="77777777">
      <w:pPr>
        <w:spacing w:after="0" w:line="360" w:lineRule="auto"/>
        <w:jc w:val="both"/>
        <w:rPr>
          <w:rFonts w:ascii="Times New Roman" w:hAnsi="Times New Roman" w:cs="Times New Roman"/>
          <w:sz w:val="24"/>
          <w:szCs w:val="24"/>
        </w:rPr>
      </w:pPr>
    </w:p>
    <w:p w:rsidRPr="00A17CA2" w:rsidR="00237750" w:rsidP="00300D47" w:rsidRDefault="00237750" w14:paraId="49B564AE" w14:textId="04229EEC">
      <w:pPr>
        <w:spacing w:line="360" w:lineRule="auto"/>
        <w:jc w:val="both"/>
        <w:rPr>
          <w:rFonts w:ascii="Times New Roman" w:hAnsi="Times New Roman" w:cs="Times New Roman"/>
          <w:sz w:val="24"/>
          <w:szCs w:val="24"/>
        </w:rPr>
      </w:pPr>
      <w:r w:rsidRPr="00592C89">
        <w:rPr>
          <w:rFonts w:ascii="Times New Roman" w:hAnsi="Times New Roman" w:cs="Times New Roman"/>
          <w:b/>
          <w:bCs/>
          <w:sz w:val="24"/>
          <w:szCs w:val="24"/>
          <w:u w:val="single"/>
        </w:rPr>
        <w:t>2) Summarising three journal articles into abstracts</w:t>
      </w:r>
      <w:r w:rsidRPr="00592C89" w:rsidR="00592C89">
        <w:rPr>
          <w:rFonts w:ascii="Times New Roman" w:hAnsi="Times New Roman" w:cs="Times New Roman"/>
          <w:b/>
          <w:bCs/>
          <w:sz w:val="24"/>
          <w:szCs w:val="24"/>
          <w:u w:val="single"/>
        </w:rPr>
        <w:t>:</w:t>
      </w:r>
      <w:r w:rsidRPr="00592C89" w:rsidR="00A17CA2">
        <w:rPr>
          <w:rFonts w:ascii="Times New Roman" w:hAnsi="Times New Roman" w:cs="Times New Roman"/>
          <w:b/>
          <w:bCs/>
          <w:sz w:val="24"/>
          <w:szCs w:val="24"/>
          <w:u w:val="single"/>
        </w:rPr>
        <w:t xml:space="preserve"> </w:t>
      </w:r>
    </w:p>
    <w:p w:rsidR="00341C97" w:rsidP="00300D47" w:rsidRDefault="00192F49" w14:paraId="5835FC21" w14:textId="77777777">
      <w:pPr>
        <w:spacing w:line="360" w:lineRule="auto"/>
        <w:jc w:val="both"/>
        <w:rPr>
          <w:rFonts w:ascii="Times New Roman" w:hAnsi="Times New Roman" w:cs="Times New Roman"/>
          <w:b/>
          <w:bCs/>
          <w:sz w:val="24"/>
          <w:szCs w:val="24"/>
        </w:rPr>
      </w:pPr>
      <w:r w:rsidRPr="00A17CA2">
        <w:rPr>
          <w:rFonts w:ascii="Times New Roman" w:hAnsi="Times New Roman" w:cs="Times New Roman"/>
          <w:b/>
          <w:bCs/>
          <w:sz w:val="24"/>
          <w:szCs w:val="24"/>
        </w:rPr>
        <w:t>Article 1 - Is gambling an emerging public health issue for Wales, UK?</w:t>
      </w:r>
      <w:r w:rsidR="00300D47">
        <w:rPr>
          <w:rFonts w:ascii="Times New Roman" w:hAnsi="Times New Roman" w:cs="Times New Roman"/>
          <w:b/>
          <w:bCs/>
          <w:sz w:val="24"/>
          <w:szCs w:val="24"/>
        </w:rPr>
        <w:t xml:space="preserve"> </w:t>
      </w:r>
    </w:p>
    <w:p w:rsidRPr="00A17CA2" w:rsidR="00192F49" w:rsidP="00300D47" w:rsidRDefault="000D1B34" w14:paraId="1BC0CA86" w14:textId="46EFD963">
      <w:pPr>
        <w:spacing w:line="360" w:lineRule="auto"/>
        <w:jc w:val="both"/>
        <w:rPr>
          <w:rFonts w:ascii="Times New Roman" w:hAnsi="Times New Roman" w:cs="Times New Roman"/>
          <w:b/>
          <w:bCs/>
          <w:sz w:val="24"/>
          <w:szCs w:val="24"/>
        </w:rPr>
      </w:pPr>
      <w:r w:rsidRPr="00A17CA2">
        <w:rPr>
          <w:rFonts w:ascii="Times New Roman" w:hAnsi="Times New Roman" w:cs="Times New Roman"/>
          <w:color w:val="000000"/>
          <w:sz w:val="24"/>
          <w:szCs w:val="24"/>
        </w:rPr>
        <w:t xml:space="preserve">Gambling disproportionally affects men, and those in low income households spending the highest proportion of their income on gambling, with most gambling machines in deprived areas. In Wales 63% of men, 59% of women have gambled in the last 12 months, 3.8% of people are at risk of problem gambling, </w:t>
      </w:r>
      <w:r w:rsidR="00341C97">
        <w:rPr>
          <w:rFonts w:ascii="Times New Roman" w:hAnsi="Times New Roman" w:cs="Times New Roman"/>
          <w:color w:val="000000"/>
          <w:sz w:val="24"/>
          <w:szCs w:val="24"/>
        </w:rPr>
        <w:t>the</w:t>
      </w:r>
      <w:r w:rsidRPr="00A17CA2">
        <w:rPr>
          <w:rFonts w:ascii="Times New Roman" w:hAnsi="Times New Roman" w:cs="Times New Roman"/>
          <w:color w:val="000000"/>
          <w:sz w:val="24"/>
          <w:szCs w:val="24"/>
        </w:rPr>
        <w:t xml:space="preserve"> rate for men is 1.9% and 0.2% for women. Only a small amount of people experiences high levels of harm from gambling, with online being the most damaging. The annual cost of gambling in Wales is £40-£70 million. Gambling is socially acceptable, the wider effects of gambling are felt throughout society through money issues, fraud, theft, loss of productivity, neglect and violence towards partners/children and can lead to homelessness. The paper analysed 62 journals and found gambling is an emerging public health issue in Wales. Some argue that gambling addiction should be treated by the NHS like any addiction.</w:t>
      </w:r>
    </w:p>
    <w:p w:rsidR="00592C89" w:rsidP="00FA56D8" w:rsidRDefault="00592C89" w14:paraId="175E38E4" w14:textId="77777777">
      <w:pPr>
        <w:spacing w:after="0" w:line="360" w:lineRule="auto"/>
        <w:jc w:val="both"/>
        <w:rPr>
          <w:rFonts w:ascii="Times New Roman" w:hAnsi="Times New Roman" w:cs="Times New Roman"/>
          <w:b/>
          <w:bCs/>
          <w:sz w:val="24"/>
          <w:szCs w:val="24"/>
        </w:rPr>
      </w:pPr>
    </w:p>
    <w:p w:rsidRPr="00A17CA2" w:rsidR="00775E97" w:rsidP="00300D47" w:rsidRDefault="00775E97" w14:paraId="4CB5E500" w14:textId="11236ECC">
      <w:pPr>
        <w:spacing w:line="360" w:lineRule="auto"/>
        <w:jc w:val="both"/>
        <w:rPr>
          <w:rFonts w:ascii="Times New Roman" w:hAnsi="Times New Roman" w:cs="Times New Roman"/>
          <w:b/>
          <w:sz w:val="24"/>
          <w:szCs w:val="24"/>
        </w:rPr>
      </w:pPr>
      <w:r w:rsidRPr="00A17CA2">
        <w:rPr>
          <w:rFonts w:ascii="Times New Roman" w:hAnsi="Times New Roman" w:cs="Times New Roman"/>
          <w:b/>
          <w:sz w:val="24"/>
          <w:szCs w:val="24"/>
        </w:rPr>
        <w:t xml:space="preserve">Article 2 </w:t>
      </w:r>
      <w:r w:rsidRPr="00A17CA2" w:rsidR="00192F49">
        <w:rPr>
          <w:rFonts w:ascii="Times New Roman" w:hAnsi="Times New Roman" w:cs="Times New Roman"/>
          <w:b/>
          <w:sz w:val="24"/>
          <w:szCs w:val="24"/>
        </w:rPr>
        <w:t xml:space="preserve">- </w:t>
      </w:r>
      <w:r w:rsidRPr="00A17CA2">
        <w:rPr>
          <w:rFonts w:ascii="Times New Roman" w:hAnsi="Times New Roman" w:cs="Times New Roman"/>
          <w:b/>
          <w:sz w:val="24"/>
          <w:szCs w:val="24"/>
        </w:rPr>
        <w:t>The Price of Sexy: Viewer’s Perceptions of a Sexualized Versus Non-sexualized Facebook Profile Photograph</w:t>
      </w:r>
      <w:r w:rsidRPr="00A17CA2" w:rsidR="00192F49">
        <w:rPr>
          <w:rFonts w:ascii="Times New Roman" w:hAnsi="Times New Roman" w:cs="Times New Roman"/>
          <w:b/>
          <w:sz w:val="24"/>
          <w:szCs w:val="24"/>
        </w:rPr>
        <w:t xml:space="preserve"> </w:t>
      </w:r>
    </w:p>
    <w:p w:rsidR="00192F49" w:rsidP="00592C89" w:rsidRDefault="00C03462" w14:paraId="09627174" w14:textId="6EA06235">
      <w:pPr>
        <w:spacing w:after="0" w:line="360" w:lineRule="auto"/>
        <w:jc w:val="both"/>
        <w:rPr>
          <w:rFonts w:ascii="Times New Roman" w:hAnsi="Times New Roman" w:cs="Times New Roman"/>
          <w:bCs/>
          <w:sz w:val="24"/>
          <w:szCs w:val="24"/>
        </w:rPr>
      </w:pPr>
      <w:r w:rsidRPr="00A17CA2">
        <w:rPr>
          <w:rFonts w:ascii="Times New Roman" w:hAnsi="Times New Roman" w:cs="Times New Roman"/>
          <w:bCs/>
          <w:sz w:val="24"/>
          <w:szCs w:val="24"/>
        </w:rPr>
        <w:t xml:space="preserve">A recent study took place using a methodical experimental approach, where a number of teenage girls and young adults were questioned about their thoughts of a peer who shared a photograph online through Facebook. Following this, the individuals additionally gave their opinion on whether they thought that the photograph was erotic or non-erotic, after analysing the peer’s profile as whole. Involved in this study were fifty-eight teenage girls and sixty young adult women where </w:t>
      </w:r>
      <w:r w:rsidRPr="00A17CA2" w:rsidR="00D16F16">
        <w:rPr>
          <w:rFonts w:ascii="Times New Roman" w:hAnsi="Times New Roman" w:cs="Times New Roman"/>
          <w:bCs/>
          <w:sz w:val="24"/>
          <w:szCs w:val="24"/>
        </w:rPr>
        <w:t>many of</w:t>
      </w:r>
      <w:r w:rsidRPr="00A17CA2">
        <w:rPr>
          <w:rFonts w:ascii="Times New Roman" w:hAnsi="Times New Roman" w:cs="Times New Roman"/>
          <w:bCs/>
          <w:sz w:val="24"/>
          <w:szCs w:val="24"/>
        </w:rPr>
        <w:t xml:space="preserve"> them suggested that the profile owner portrayed herself in an erotic manner. This led them to believe that the peer was viewed as less attractive, both </w:t>
      </w:r>
      <w:r w:rsidRPr="00A17CA2">
        <w:rPr>
          <w:rFonts w:ascii="Times New Roman" w:hAnsi="Times New Roman" w:cs="Times New Roman"/>
          <w:bCs/>
          <w:sz w:val="24"/>
          <w:szCs w:val="24"/>
        </w:rPr>
        <w:lastRenderedPageBreak/>
        <w:t xml:space="preserve">physically and socially as well as being less versatile. The differentiation of age between the females impacted on their view of the young girl’s profile.  The results suggest that the way a photograph and/or profile is conveyed impacts the way an individual is </w:t>
      </w:r>
      <w:r w:rsidRPr="00A17CA2" w:rsidR="00192F49">
        <w:rPr>
          <w:rFonts w:ascii="Times New Roman" w:hAnsi="Times New Roman" w:cs="Times New Roman"/>
          <w:bCs/>
          <w:sz w:val="24"/>
          <w:szCs w:val="24"/>
        </w:rPr>
        <w:t>viewed</w:t>
      </w:r>
      <w:r w:rsidRPr="00A17CA2">
        <w:rPr>
          <w:rFonts w:ascii="Times New Roman" w:hAnsi="Times New Roman" w:cs="Times New Roman"/>
          <w:bCs/>
          <w:sz w:val="24"/>
          <w:szCs w:val="24"/>
        </w:rPr>
        <w:t xml:space="preserve">. </w:t>
      </w:r>
    </w:p>
    <w:p w:rsidR="00592C89" w:rsidP="00592C89" w:rsidRDefault="00592C89" w14:paraId="614EEA54" w14:textId="77777777">
      <w:pPr>
        <w:spacing w:after="0" w:line="360" w:lineRule="auto"/>
        <w:jc w:val="both"/>
        <w:rPr>
          <w:rFonts w:ascii="Times New Roman" w:hAnsi="Times New Roman" w:cs="Times New Roman"/>
          <w:bCs/>
          <w:sz w:val="24"/>
          <w:szCs w:val="24"/>
        </w:rPr>
      </w:pPr>
    </w:p>
    <w:p w:rsidRPr="00A17CA2" w:rsidR="00192F49" w:rsidP="00300D47" w:rsidRDefault="00192F49" w14:paraId="1A373B13" w14:textId="59B07394">
      <w:pPr>
        <w:spacing w:line="360" w:lineRule="auto"/>
        <w:jc w:val="both"/>
        <w:rPr>
          <w:rFonts w:ascii="Times New Roman" w:hAnsi="Times New Roman" w:cs="Times New Roman"/>
          <w:b/>
          <w:sz w:val="24"/>
          <w:szCs w:val="24"/>
        </w:rPr>
      </w:pPr>
      <w:r w:rsidRPr="00A17CA2">
        <w:rPr>
          <w:rFonts w:ascii="Times New Roman" w:hAnsi="Times New Roman" w:cs="Times New Roman"/>
          <w:b/>
          <w:sz w:val="24"/>
          <w:szCs w:val="24"/>
        </w:rPr>
        <w:t xml:space="preserve">Article 3 - The role of narcissism in health-risk and health-protective behaviours </w:t>
      </w:r>
    </w:p>
    <w:p w:rsidR="00192F49" w:rsidP="00300D47" w:rsidRDefault="00192F49" w14:paraId="136842F0" w14:textId="60877D9E">
      <w:pPr>
        <w:spacing w:line="360" w:lineRule="auto"/>
        <w:jc w:val="both"/>
        <w:rPr>
          <w:rFonts w:ascii="Times New Roman" w:hAnsi="Times New Roman" w:cs="Times New Roman"/>
          <w:sz w:val="24"/>
          <w:szCs w:val="24"/>
        </w:rPr>
      </w:pPr>
      <w:r w:rsidRPr="00A17CA2">
        <w:rPr>
          <w:rFonts w:ascii="Times New Roman" w:hAnsi="Times New Roman" w:cs="Times New Roman"/>
          <w:sz w:val="24"/>
          <w:szCs w:val="24"/>
        </w:rPr>
        <w:t>Using a regression analysis method, this study looked at the aspect of narcissism and its association with health-risk and health protective behaviours. A group of undergraduate students of one</w:t>
      </w:r>
      <w:r w:rsidR="00D16F16">
        <w:rPr>
          <w:rFonts w:ascii="Times New Roman" w:hAnsi="Times New Roman" w:cs="Times New Roman"/>
          <w:sz w:val="24"/>
          <w:szCs w:val="24"/>
        </w:rPr>
        <w:t>-</w:t>
      </w:r>
      <w:r w:rsidRPr="00A17CA2" w:rsidR="00D16F16">
        <w:rPr>
          <w:rFonts w:ascii="Times New Roman" w:hAnsi="Times New Roman" w:cs="Times New Roman"/>
          <w:sz w:val="24"/>
          <w:szCs w:val="24"/>
        </w:rPr>
        <w:t>hundre</w:t>
      </w:r>
      <w:r w:rsidR="00D16F16">
        <w:rPr>
          <w:rFonts w:ascii="Times New Roman" w:hAnsi="Times New Roman" w:cs="Times New Roman"/>
          <w:sz w:val="24"/>
          <w:szCs w:val="24"/>
        </w:rPr>
        <w:t xml:space="preserve">d </w:t>
      </w:r>
      <w:r w:rsidRPr="00A17CA2">
        <w:rPr>
          <w:rFonts w:ascii="Times New Roman" w:hAnsi="Times New Roman" w:cs="Times New Roman"/>
          <w:sz w:val="24"/>
          <w:szCs w:val="24"/>
        </w:rPr>
        <w:t xml:space="preserve">and twenty-nine males and two hundred and thirty-six females were examined. Results had shown that narcissism was the consequence of habit-forming behaviours including; risky driving behaviours, weekday and weekend alcohol consumption, marijuana use and further drug use potentially causing psychological health factors through these behaviours. Beneficial and health protective behaviours are also discussed which include; a suitable and balanced diet, including a healthy amount of fruit and vegetables, exercise and safe sex behaviours </w:t>
      </w:r>
      <w:r w:rsidRPr="00A17CA2" w:rsidR="000D1B34">
        <w:rPr>
          <w:rFonts w:ascii="Times New Roman" w:hAnsi="Times New Roman" w:cs="Times New Roman"/>
          <w:sz w:val="24"/>
          <w:szCs w:val="24"/>
        </w:rPr>
        <w:t xml:space="preserve">which can </w:t>
      </w:r>
      <w:r w:rsidRPr="00A17CA2">
        <w:rPr>
          <w:rFonts w:ascii="Times New Roman" w:hAnsi="Times New Roman" w:cs="Times New Roman"/>
          <w:sz w:val="24"/>
          <w:szCs w:val="24"/>
        </w:rPr>
        <w:t xml:space="preserve">encourages positive psychological health. </w:t>
      </w:r>
    </w:p>
    <w:p w:rsidR="00237750" w:rsidP="004B64D3" w:rsidRDefault="00237750" w14:paraId="0BFD2906" w14:textId="7C59FB75">
      <w:pPr>
        <w:jc w:val="both"/>
        <w:rPr>
          <w:rFonts w:ascii="Times New Roman" w:hAnsi="Times New Roman" w:cs="Times New Roman"/>
          <w:sz w:val="24"/>
          <w:szCs w:val="24"/>
        </w:rPr>
      </w:pPr>
    </w:p>
    <w:p w:rsidR="00FA56D8" w:rsidP="004B64D3" w:rsidRDefault="00FA56D8" w14:paraId="2310BEAD" w14:textId="38822D40">
      <w:pPr>
        <w:jc w:val="both"/>
        <w:rPr>
          <w:rFonts w:ascii="Times New Roman" w:hAnsi="Times New Roman" w:cs="Times New Roman"/>
          <w:b/>
          <w:bCs/>
          <w:sz w:val="24"/>
          <w:szCs w:val="24"/>
        </w:rPr>
      </w:pPr>
      <w:r w:rsidRPr="6F773B6E" w:rsidR="6F773B6E">
        <w:rPr>
          <w:rFonts w:ascii="Times New Roman" w:hAnsi="Times New Roman" w:cs="Times New Roman"/>
          <w:b w:val="1"/>
          <w:bCs w:val="1"/>
          <w:sz w:val="24"/>
          <w:szCs w:val="24"/>
        </w:rPr>
        <w:t>3) Creating a reference list into APA form and alphabetical order</w:t>
      </w:r>
    </w:p>
    <w:p w:rsidR="6F773B6E" w:rsidP="6F773B6E" w:rsidRDefault="6F773B6E" w14:paraId="409241E1" w14:textId="70770B5C">
      <w:pPr>
        <w:spacing w:line="257" w:lineRule="auto"/>
        <w:jc w:val="both"/>
      </w:pPr>
      <w:r w:rsidRPr="6F773B6E" w:rsidR="6F773B6E">
        <w:rPr>
          <w:rFonts w:ascii="Calibri" w:hAnsi="Calibri" w:eastAsia="Calibri" w:cs="Calibri"/>
          <w:b w:val="1"/>
          <w:bCs w:val="1"/>
          <w:noProof w:val="0"/>
          <w:sz w:val="24"/>
          <w:szCs w:val="24"/>
          <w:u w:val="single"/>
          <w:lang w:val="en-GB"/>
        </w:rPr>
        <w:t>Reference list</w:t>
      </w:r>
    </w:p>
    <w:p w:rsidR="6F773B6E" w:rsidP="6F773B6E" w:rsidRDefault="6F773B6E" w14:paraId="441C7B7F" w14:textId="50405635">
      <w:pPr>
        <w:jc w:val="both"/>
      </w:pPr>
      <w:r w:rsidRPr="6F773B6E" w:rsidR="6F773B6E">
        <w:rPr>
          <w:rFonts w:ascii="Times New Roman" w:hAnsi="Times New Roman" w:eastAsia="Times New Roman" w:cs="Times New Roman"/>
          <w:noProof w:val="0"/>
          <w:color w:val="262626" w:themeColor="text1" w:themeTint="D9" w:themeShade="FF"/>
          <w:sz w:val="24"/>
          <w:szCs w:val="24"/>
          <w:lang w:val="en-GB"/>
        </w:rPr>
        <w:t xml:space="preserve"> </w:t>
      </w:r>
    </w:p>
    <w:p w:rsidR="6F773B6E" w:rsidP="6F773B6E" w:rsidRDefault="6F773B6E" w14:paraId="714EC693" w14:textId="564D19CA">
      <w:pPr>
        <w:spacing w:line="480" w:lineRule="auto"/>
        <w:ind w:left="360" w:hanging="360"/>
        <w:jc w:val="both"/>
      </w:pPr>
      <w:r w:rsidRPr="6F773B6E" w:rsidR="6F773B6E">
        <w:rPr>
          <w:rFonts w:ascii="Times New Roman" w:hAnsi="Times New Roman" w:eastAsia="Times New Roman" w:cs="Times New Roman"/>
          <w:noProof w:val="0"/>
          <w:color w:val="262626" w:themeColor="text1" w:themeTint="D9" w:themeShade="FF"/>
          <w:sz w:val="24"/>
          <w:szCs w:val="24"/>
          <w:lang w:val="en-GB"/>
        </w:rPr>
        <w:t>1.</w:t>
      </w:r>
      <w:r w:rsidRPr="6F773B6E" w:rsidR="6F773B6E">
        <w:rPr>
          <w:rFonts w:ascii="Times New Roman" w:hAnsi="Times New Roman" w:eastAsia="Times New Roman" w:cs="Times New Roman"/>
          <w:noProof w:val="0"/>
          <w:color w:val="262626" w:themeColor="text1" w:themeTint="D9" w:themeShade="FF"/>
          <w:sz w:val="14"/>
          <w:szCs w:val="14"/>
          <w:lang w:val="en-GB"/>
        </w:rPr>
        <w:t xml:space="preserve">      </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Bennett, P. (2011).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Abnormal and clinical psychology: An introductory textbook</w:t>
      </w:r>
      <w:r w:rsidRPr="6F773B6E" w:rsidR="6F773B6E">
        <w:rPr>
          <w:rFonts w:ascii="Times New Roman" w:hAnsi="Times New Roman" w:eastAsia="Times New Roman" w:cs="Times New Roman"/>
          <w:noProof w:val="0"/>
          <w:color w:val="262626" w:themeColor="text1" w:themeTint="D9" w:themeShade="FF"/>
          <w:sz w:val="24"/>
          <w:szCs w:val="24"/>
          <w:lang w:val="en-GB"/>
        </w:rPr>
        <w:t>. (3</w:t>
      </w:r>
      <w:r w:rsidRPr="6F773B6E" w:rsidR="6F773B6E">
        <w:rPr>
          <w:rFonts w:ascii="Times New Roman" w:hAnsi="Times New Roman" w:eastAsia="Times New Roman" w:cs="Times New Roman"/>
          <w:noProof w:val="0"/>
          <w:color w:val="262626" w:themeColor="text1" w:themeTint="D9" w:themeShade="FF"/>
          <w:sz w:val="24"/>
          <w:szCs w:val="24"/>
          <w:vertAlign w:val="superscript"/>
          <w:lang w:val="en-GB"/>
        </w:rPr>
        <w:t xml:space="preserve">rd </w:t>
      </w:r>
      <w:r w:rsidRPr="6F773B6E" w:rsidR="6F773B6E">
        <w:rPr>
          <w:rFonts w:ascii="Times New Roman" w:hAnsi="Times New Roman" w:eastAsia="Times New Roman" w:cs="Times New Roman"/>
          <w:noProof w:val="0"/>
          <w:color w:val="262626" w:themeColor="text1" w:themeTint="D9" w:themeShade="FF"/>
          <w:sz w:val="24"/>
          <w:szCs w:val="24"/>
          <w:lang w:val="en-GB"/>
        </w:rPr>
        <w:t>ed.)      Open university press: Berkshire.</w:t>
      </w:r>
    </w:p>
    <w:p w:rsidR="6F773B6E" w:rsidP="6F773B6E" w:rsidRDefault="6F773B6E" w14:paraId="0B822A89" w14:textId="18C970C9">
      <w:pPr>
        <w:spacing w:line="480" w:lineRule="auto"/>
        <w:jc w:val="both"/>
      </w:pPr>
      <w:r w:rsidRPr="6F773B6E" w:rsidR="6F773B6E">
        <w:rPr>
          <w:rFonts w:ascii="Times New Roman" w:hAnsi="Times New Roman" w:eastAsia="Times New Roman" w:cs="Times New Roman"/>
          <w:noProof w:val="0"/>
          <w:sz w:val="24"/>
          <w:szCs w:val="24"/>
          <w:lang w:val="en-GB"/>
        </w:rPr>
        <w:t xml:space="preserve"> </w:t>
      </w:r>
    </w:p>
    <w:p w:rsidR="6F773B6E" w:rsidP="6F773B6E" w:rsidRDefault="6F773B6E" w14:paraId="7DD1B3FF" w14:textId="67D8B76E">
      <w:pPr>
        <w:spacing w:line="480" w:lineRule="auto"/>
        <w:ind w:left="360" w:hanging="360"/>
        <w:jc w:val="both"/>
      </w:pPr>
      <w:r w:rsidRPr="6F773B6E" w:rsidR="6F773B6E">
        <w:rPr>
          <w:rFonts w:ascii="Times New Roman" w:hAnsi="Times New Roman" w:eastAsia="Times New Roman" w:cs="Times New Roman"/>
          <w:noProof w:val="0"/>
          <w:sz w:val="24"/>
          <w:szCs w:val="24"/>
          <w:lang w:val="en-GB"/>
        </w:rPr>
        <w:t>2.</w:t>
      </w:r>
      <w:r w:rsidRPr="6F773B6E" w:rsidR="6F773B6E">
        <w:rPr>
          <w:rFonts w:ascii="Times New Roman" w:hAnsi="Times New Roman" w:eastAsia="Times New Roman" w:cs="Times New Roman"/>
          <w:noProof w:val="0"/>
          <w:sz w:val="14"/>
          <w:szCs w:val="14"/>
          <w:lang w:val="en-GB"/>
        </w:rPr>
        <w:t xml:space="preserve">      </w:t>
      </w:r>
      <w:r w:rsidRPr="6F773B6E" w:rsidR="6F773B6E">
        <w:rPr>
          <w:rFonts w:ascii="Times New Roman" w:hAnsi="Times New Roman" w:eastAsia="Times New Roman" w:cs="Times New Roman"/>
          <w:noProof w:val="0"/>
          <w:sz w:val="24"/>
          <w:szCs w:val="24"/>
          <w:lang w:val="en-GB"/>
        </w:rPr>
        <w:t xml:space="preserve">Mazzetti, G., Schaufeli, W. and Guglielmi, D. (2014). Are workaholics born or made? Relations of workaholism with person characteristics and overwork climate: </w:t>
      </w:r>
      <w:r w:rsidRPr="6F773B6E" w:rsidR="6F773B6E">
        <w:rPr>
          <w:rFonts w:ascii="Times New Roman" w:hAnsi="Times New Roman" w:eastAsia="Times New Roman" w:cs="Times New Roman"/>
          <w:i w:val="1"/>
          <w:iCs w:val="1"/>
          <w:noProof w:val="0"/>
          <w:sz w:val="24"/>
          <w:szCs w:val="24"/>
          <w:lang w:val="en-GB"/>
        </w:rPr>
        <w:t>International Journal of Stress Management</w:t>
      </w:r>
      <w:r w:rsidRPr="6F773B6E" w:rsidR="6F773B6E">
        <w:rPr>
          <w:rFonts w:ascii="Times New Roman" w:hAnsi="Times New Roman" w:eastAsia="Times New Roman" w:cs="Times New Roman"/>
          <w:noProof w:val="0"/>
          <w:sz w:val="24"/>
          <w:szCs w:val="24"/>
          <w:lang w:val="en-GB"/>
        </w:rPr>
        <w:t xml:space="preserve">, </w:t>
      </w:r>
      <w:r w:rsidRPr="6F773B6E" w:rsidR="6F773B6E">
        <w:rPr>
          <w:rFonts w:ascii="Times New Roman" w:hAnsi="Times New Roman" w:eastAsia="Times New Roman" w:cs="Times New Roman"/>
          <w:i w:val="1"/>
          <w:iCs w:val="1"/>
          <w:noProof w:val="0"/>
          <w:sz w:val="24"/>
          <w:szCs w:val="24"/>
          <w:lang w:val="en-GB"/>
        </w:rPr>
        <w:t>21</w:t>
      </w:r>
      <w:r w:rsidRPr="6F773B6E" w:rsidR="6F773B6E">
        <w:rPr>
          <w:rFonts w:ascii="Times New Roman" w:hAnsi="Times New Roman" w:eastAsia="Times New Roman" w:cs="Times New Roman"/>
          <w:noProof w:val="0"/>
          <w:sz w:val="24"/>
          <w:szCs w:val="24"/>
          <w:lang w:val="en-GB"/>
        </w:rPr>
        <w:t>(3), pp.227-254.</w:t>
      </w:r>
    </w:p>
    <w:p w:rsidR="6F773B6E" w:rsidP="6F773B6E" w:rsidRDefault="6F773B6E" w14:paraId="4CFE0387" w14:textId="3BFA69BD">
      <w:pPr>
        <w:spacing w:line="480" w:lineRule="auto"/>
        <w:jc w:val="both"/>
      </w:pPr>
      <w:r w:rsidRPr="6F773B6E" w:rsidR="6F773B6E">
        <w:rPr>
          <w:rFonts w:ascii="Times New Roman" w:hAnsi="Times New Roman" w:eastAsia="Times New Roman" w:cs="Times New Roman"/>
          <w:noProof w:val="0"/>
          <w:sz w:val="24"/>
          <w:szCs w:val="24"/>
          <w:lang w:val="en-GB"/>
        </w:rPr>
        <w:t xml:space="preserve"> </w:t>
      </w:r>
    </w:p>
    <w:p w:rsidR="6F773B6E" w:rsidP="6F773B6E" w:rsidRDefault="6F773B6E" w14:paraId="47C4467A" w14:textId="27891503">
      <w:pPr>
        <w:spacing w:line="480" w:lineRule="auto"/>
        <w:ind w:left="360" w:hanging="360"/>
        <w:jc w:val="both"/>
      </w:pPr>
      <w:r w:rsidRPr="6F773B6E" w:rsidR="6F773B6E">
        <w:rPr>
          <w:rFonts w:ascii="Times New Roman" w:hAnsi="Times New Roman" w:eastAsia="Times New Roman" w:cs="Times New Roman"/>
          <w:noProof w:val="0"/>
          <w:color w:val="262626" w:themeColor="text1" w:themeTint="D9" w:themeShade="FF"/>
          <w:sz w:val="24"/>
          <w:szCs w:val="24"/>
          <w:lang w:val="en-GB"/>
        </w:rPr>
        <w:t>3.</w:t>
      </w:r>
      <w:r w:rsidRPr="6F773B6E" w:rsidR="6F773B6E">
        <w:rPr>
          <w:rFonts w:ascii="Times New Roman" w:hAnsi="Times New Roman" w:eastAsia="Times New Roman" w:cs="Times New Roman"/>
          <w:noProof w:val="0"/>
          <w:color w:val="262626" w:themeColor="text1" w:themeTint="D9" w:themeShade="FF"/>
          <w:sz w:val="14"/>
          <w:szCs w:val="14"/>
          <w:lang w:val="en-GB"/>
        </w:rPr>
        <w:t xml:space="preserve">      </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Hefferon, K., &amp; Boniwell, I. (2011).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Positive psychology: Theory, research and applications</w:t>
      </w:r>
      <w:r w:rsidRPr="6F773B6E" w:rsidR="6F773B6E">
        <w:rPr>
          <w:rFonts w:ascii="Times New Roman" w:hAnsi="Times New Roman" w:eastAsia="Times New Roman" w:cs="Times New Roman"/>
          <w:noProof w:val="0"/>
          <w:color w:val="262626" w:themeColor="text1" w:themeTint="D9" w:themeShade="FF"/>
          <w:sz w:val="24"/>
          <w:szCs w:val="24"/>
          <w:lang w:val="en-GB"/>
        </w:rPr>
        <w:t>. New York, (NY)</w:t>
      </w:r>
    </w:p>
    <w:p w:rsidR="6F773B6E" w:rsidP="6F773B6E" w:rsidRDefault="6F773B6E" w14:paraId="083FC582" w14:textId="289B9FAC">
      <w:pPr>
        <w:spacing w:line="480" w:lineRule="auto"/>
        <w:jc w:val="both"/>
      </w:pPr>
      <w:r w:rsidRPr="6F773B6E" w:rsidR="6F773B6E">
        <w:rPr>
          <w:rFonts w:ascii="Times New Roman" w:hAnsi="Times New Roman" w:eastAsia="Times New Roman" w:cs="Times New Roman"/>
          <w:noProof w:val="0"/>
          <w:sz w:val="24"/>
          <w:szCs w:val="24"/>
          <w:lang w:val="en-GB"/>
        </w:rPr>
        <w:t xml:space="preserve"> </w:t>
      </w:r>
    </w:p>
    <w:p w:rsidR="6F773B6E" w:rsidP="6F773B6E" w:rsidRDefault="6F773B6E" w14:paraId="476B4E0C" w14:textId="4AED5603">
      <w:pPr>
        <w:spacing w:line="480" w:lineRule="auto"/>
        <w:ind w:left="360" w:hanging="360"/>
        <w:jc w:val="both"/>
      </w:pPr>
      <w:r w:rsidRPr="6F773B6E" w:rsidR="6F773B6E">
        <w:rPr>
          <w:rFonts w:ascii="Times New Roman" w:hAnsi="Times New Roman" w:eastAsia="Times New Roman" w:cs="Times New Roman"/>
          <w:noProof w:val="0"/>
          <w:color w:val="262626" w:themeColor="text1" w:themeTint="D9" w:themeShade="FF"/>
          <w:sz w:val="24"/>
          <w:szCs w:val="24"/>
          <w:lang w:val="en-GB"/>
        </w:rPr>
        <w:t>4.</w:t>
      </w:r>
      <w:r w:rsidRPr="6F773B6E" w:rsidR="6F773B6E">
        <w:rPr>
          <w:rFonts w:ascii="Times New Roman" w:hAnsi="Times New Roman" w:eastAsia="Times New Roman" w:cs="Times New Roman"/>
          <w:noProof w:val="0"/>
          <w:color w:val="262626" w:themeColor="text1" w:themeTint="D9" w:themeShade="FF"/>
          <w:sz w:val="14"/>
          <w:szCs w:val="14"/>
          <w:lang w:val="en-GB"/>
        </w:rPr>
        <w:t xml:space="preserve">      </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Office for National Statistics (2005-2016)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Adult drinking habits in Great Britain.</w:t>
      </w:r>
    </w:p>
    <w:p w:rsidR="6F773B6E" w:rsidP="6F773B6E" w:rsidRDefault="6F773B6E" w14:paraId="332C6D46" w14:textId="1BB31141">
      <w:pPr>
        <w:spacing w:line="480" w:lineRule="auto"/>
        <w:jc w:val="both"/>
      </w:pPr>
      <w:r w:rsidRPr="6F773B6E" w:rsidR="6F773B6E">
        <w:rPr>
          <w:rFonts w:ascii="Times New Roman" w:hAnsi="Times New Roman" w:eastAsia="Times New Roman" w:cs="Times New Roman"/>
          <w:noProof w:val="0"/>
          <w:color w:val="262626" w:themeColor="text1" w:themeTint="D9" w:themeShade="FF"/>
          <w:sz w:val="24"/>
          <w:szCs w:val="24"/>
          <w:lang w:val="en-GB"/>
        </w:rPr>
        <w:t xml:space="preserve">Retrievedfrom </w:t>
      </w:r>
      <w:hyperlink r:id="Rd7ddc80f965c414c">
        <w:r w:rsidRPr="6F773B6E" w:rsidR="6F773B6E">
          <w:rPr>
            <w:rStyle w:val="Hyperlink"/>
            <w:rFonts w:ascii="Times New Roman" w:hAnsi="Times New Roman" w:eastAsia="Times New Roman" w:cs="Times New Roman"/>
            <w:noProof w:val="0"/>
            <w:color w:val="0000FF"/>
            <w:sz w:val="24"/>
            <w:szCs w:val="24"/>
            <w:u w:val="single"/>
            <w:lang w:val="en-GB"/>
          </w:rPr>
          <w:t>https://www.ons.gov.uk/peoplepopulationandcommunity/healthandsocialcare/drugusealcoholandsmoking/bulletins/opinionsandlifestylesurveyadultdrinkinghabitsingreatbritain/2005to2016</w:t>
        </w:r>
      </w:hyperlink>
    </w:p>
    <w:p w:rsidR="6F773B6E" w:rsidP="6F773B6E" w:rsidRDefault="6F773B6E" w14:paraId="782D1C92" w14:textId="5EF8C86F">
      <w:pPr>
        <w:spacing w:line="480" w:lineRule="auto"/>
        <w:jc w:val="both"/>
      </w:pPr>
      <w:r w:rsidRPr="6F773B6E" w:rsidR="6F773B6E">
        <w:rPr>
          <w:rFonts w:ascii="Times New Roman" w:hAnsi="Times New Roman" w:eastAsia="Times New Roman" w:cs="Times New Roman"/>
          <w:noProof w:val="0"/>
          <w:sz w:val="24"/>
          <w:szCs w:val="24"/>
          <w:lang w:val="en-GB"/>
        </w:rPr>
        <w:t xml:space="preserve"> </w:t>
      </w:r>
    </w:p>
    <w:p w:rsidR="6F773B6E" w:rsidP="6F773B6E" w:rsidRDefault="6F773B6E" w14:paraId="0B1B2D9A" w14:textId="1BB0C7F7">
      <w:pPr>
        <w:spacing w:line="480" w:lineRule="auto"/>
        <w:ind w:left="360" w:hanging="360"/>
        <w:jc w:val="both"/>
      </w:pPr>
      <w:r w:rsidRPr="6F773B6E" w:rsidR="6F773B6E">
        <w:rPr>
          <w:rFonts w:ascii="Times New Roman" w:hAnsi="Times New Roman" w:eastAsia="Times New Roman" w:cs="Times New Roman"/>
          <w:noProof w:val="0"/>
          <w:color w:val="262626" w:themeColor="text1" w:themeTint="D9" w:themeShade="FF"/>
          <w:sz w:val="24"/>
          <w:szCs w:val="24"/>
          <w:lang w:val="en-GB"/>
        </w:rPr>
        <w:t>5.</w:t>
      </w:r>
      <w:r w:rsidRPr="6F773B6E" w:rsidR="6F773B6E">
        <w:rPr>
          <w:rFonts w:ascii="Times New Roman" w:hAnsi="Times New Roman" w:eastAsia="Times New Roman" w:cs="Times New Roman"/>
          <w:noProof w:val="0"/>
          <w:color w:val="262626" w:themeColor="text1" w:themeTint="D9" w:themeShade="FF"/>
          <w:sz w:val="14"/>
          <w:szCs w:val="14"/>
          <w:lang w:val="en-GB"/>
        </w:rPr>
        <w:t xml:space="preserve">      </w:t>
      </w:r>
      <w:r w:rsidRPr="6F773B6E" w:rsidR="6F773B6E">
        <w:rPr>
          <w:rFonts w:ascii="Times New Roman" w:hAnsi="Times New Roman" w:eastAsia="Times New Roman" w:cs="Times New Roman"/>
          <w:noProof w:val="0"/>
          <w:color w:val="262626" w:themeColor="text1" w:themeTint="D9" w:themeShade="FF"/>
          <w:sz w:val="24"/>
          <w:szCs w:val="24"/>
          <w:lang w:val="en-GB"/>
        </w:rPr>
        <w:t>Evans, L., Mitchell, I., &amp; Jones, S. (2006).</w:t>
      </w:r>
    </w:p>
    <w:p w:rsidR="6F773B6E" w:rsidP="6F773B6E" w:rsidRDefault="6F773B6E" w14:paraId="38388FFC" w14:textId="1C7A33C6">
      <w:pPr>
        <w:spacing w:line="480" w:lineRule="auto"/>
        <w:jc w:val="both"/>
      </w:pPr>
      <w:r w:rsidRPr="6F773B6E" w:rsidR="6F773B6E">
        <w:rPr>
          <w:rFonts w:ascii="Times New Roman" w:hAnsi="Times New Roman" w:eastAsia="Times New Roman" w:cs="Times New Roman"/>
          <w:noProof w:val="0"/>
          <w:color w:val="262626" w:themeColor="text1" w:themeTint="D9" w:themeShade="FF"/>
          <w:sz w:val="24"/>
          <w:szCs w:val="24"/>
          <w:lang w:val="en-GB"/>
        </w:rPr>
        <w:t xml:space="preserve">Psychological responses to sport injury: A review of current research.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Literature reviews in sport      psychology</w:t>
      </w:r>
      <w:r w:rsidRPr="6F773B6E" w:rsidR="6F773B6E">
        <w:rPr>
          <w:rFonts w:ascii="Times New Roman" w:hAnsi="Times New Roman" w:eastAsia="Times New Roman" w:cs="Times New Roman"/>
          <w:noProof w:val="0"/>
          <w:color w:val="262626" w:themeColor="text1" w:themeTint="D9" w:themeShade="FF"/>
          <w:sz w:val="24"/>
          <w:szCs w:val="24"/>
          <w:lang w:val="en-GB"/>
        </w:rPr>
        <w:t>, 289-319.</w:t>
      </w:r>
    </w:p>
    <w:p w:rsidR="6F773B6E" w:rsidP="6F773B6E" w:rsidRDefault="6F773B6E" w14:paraId="30BEE38D" w14:textId="43272D42">
      <w:pPr>
        <w:spacing w:line="480" w:lineRule="auto"/>
        <w:jc w:val="both"/>
      </w:pPr>
      <w:r w:rsidRPr="6F773B6E" w:rsidR="6F773B6E">
        <w:rPr>
          <w:rFonts w:ascii="Times New Roman" w:hAnsi="Times New Roman" w:eastAsia="Times New Roman" w:cs="Times New Roman"/>
          <w:noProof w:val="0"/>
          <w:sz w:val="24"/>
          <w:szCs w:val="24"/>
          <w:lang w:val="en-GB"/>
        </w:rPr>
        <w:t xml:space="preserve"> </w:t>
      </w:r>
    </w:p>
    <w:p w:rsidR="6F773B6E" w:rsidP="6F773B6E" w:rsidRDefault="6F773B6E" w14:paraId="108A3433" w14:textId="15416C6B">
      <w:pPr>
        <w:spacing w:line="480" w:lineRule="auto"/>
        <w:ind w:left="360" w:hanging="360"/>
        <w:jc w:val="both"/>
      </w:pPr>
      <w:r w:rsidRPr="6F773B6E" w:rsidR="6F773B6E">
        <w:rPr>
          <w:rFonts w:ascii="Times New Roman" w:hAnsi="Times New Roman" w:eastAsia="Times New Roman" w:cs="Times New Roman"/>
          <w:noProof w:val="0"/>
          <w:sz w:val="24"/>
          <w:szCs w:val="24"/>
          <w:lang w:val="en-GB"/>
        </w:rPr>
        <w:t>6.</w:t>
      </w:r>
      <w:r w:rsidRPr="6F773B6E" w:rsidR="6F773B6E">
        <w:rPr>
          <w:rFonts w:ascii="Times New Roman" w:hAnsi="Times New Roman" w:eastAsia="Times New Roman" w:cs="Times New Roman"/>
          <w:noProof w:val="0"/>
          <w:sz w:val="14"/>
          <w:szCs w:val="14"/>
          <w:lang w:val="en-GB"/>
        </w:rPr>
        <w:t xml:space="preserve">      </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Phelps, C., Minou, M., Baker, A., Hughes, C., French, H., Hawkins, W., ... &amp; Hutchings, P. B. (2017). Necessary but not sufficient? Engaging young people in the development of people affected by their own or a family member's cancer diagnosis.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Health Expectations</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20</w:t>
      </w:r>
      <w:r w:rsidRPr="6F773B6E" w:rsidR="6F773B6E">
        <w:rPr>
          <w:rFonts w:ascii="Times New Roman" w:hAnsi="Times New Roman" w:eastAsia="Times New Roman" w:cs="Times New Roman"/>
          <w:noProof w:val="0"/>
          <w:color w:val="262626" w:themeColor="text1" w:themeTint="D9" w:themeShade="FF"/>
          <w:sz w:val="24"/>
          <w:szCs w:val="24"/>
          <w:lang w:val="en-GB"/>
        </w:rPr>
        <w:t>(3), 459-470.</w:t>
      </w:r>
    </w:p>
    <w:p w:rsidR="6F773B6E" w:rsidP="6F773B6E" w:rsidRDefault="6F773B6E" w14:paraId="79D36EA2" w14:textId="26C67216">
      <w:pPr>
        <w:spacing w:line="480" w:lineRule="auto"/>
        <w:ind w:left="360" w:hanging="360"/>
        <w:jc w:val="both"/>
      </w:pPr>
      <w:r w:rsidRPr="6F773B6E" w:rsidR="6F773B6E">
        <w:rPr>
          <w:rFonts w:ascii="Times New Roman" w:hAnsi="Times New Roman" w:eastAsia="Times New Roman" w:cs="Times New Roman"/>
          <w:noProof w:val="0"/>
          <w:sz w:val="24"/>
          <w:szCs w:val="24"/>
          <w:lang w:val="en-GB"/>
        </w:rPr>
        <w:t>7.</w:t>
      </w:r>
      <w:r w:rsidRPr="6F773B6E" w:rsidR="6F773B6E">
        <w:rPr>
          <w:rFonts w:ascii="Times New Roman" w:hAnsi="Times New Roman" w:eastAsia="Times New Roman" w:cs="Times New Roman"/>
          <w:noProof w:val="0"/>
          <w:sz w:val="14"/>
          <w:szCs w:val="14"/>
          <w:lang w:val="en-GB"/>
        </w:rPr>
        <w:t xml:space="preserve">      </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Davey, G. (2014). Psychopathology: Research.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Assessment and Treatment in Clinical Psychology</w:t>
      </w:r>
      <w:r w:rsidRPr="6F773B6E" w:rsidR="6F773B6E">
        <w:rPr>
          <w:rFonts w:ascii="Times New Roman" w:hAnsi="Times New Roman" w:eastAsia="Times New Roman" w:cs="Times New Roman"/>
          <w:noProof w:val="0"/>
          <w:color w:val="262626" w:themeColor="text1" w:themeTint="D9" w:themeShade="FF"/>
          <w:sz w:val="24"/>
          <w:szCs w:val="24"/>
          <w:lang w:val="en-GB"/>
        </w:rPr>
        <w:t>. (2</w:t>
      </w:r>
      <w:r w:rsidRPr="6F773B6E" w:rsidR="6F773B6E">
        <w:rPr>
          <w:rFonts w:ascii="Times New Roman" w:hAnsi="Times New Roman" w:eastAsia="Times New Roman" w:cs="Times New Roman"/>
          <w:noProof w:val="0"/>
          <w:color w:val="262626" w:themeColor="text1" w:themeTint="D9" w:themeShade="FF"/>
          <w:sz w:val="24"/>
          <w:szCs w:val="24"/>
          <w:vertAlign w:val="superscript"/>
          <w:lang w:val="en-GB"/>
        </w:rPr>
        <w:t>nd</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 ed.). Oxford, Blackwell</w:t>
      </w:r>
    </w:p>
    <w:p w:rsidR="6F773B6E" w:rsidP="6F773B6E" w:rsidRDefault="6F773B6E" w14:paraId="5DA3D298" w14:textId="222DEE6D">
      <w:pPr>
        <w:spacing w:line="480" w:lineRule="auto"/>
        <w:jc w:val="both"/>
      </w:pPr>
      <w:r w:rsidRPr="6F773B6E" w:rsidR="6F773B6E">
        <w:rPr>
          <w:rFonts w:ascii="Times New Roman" w:hAnsi="Times New Roman" w:eastAsia="Times New Roman" w:cs="Times New Roman"/>
          <w:noProof w:val="0"/>
          <w:sz w:val="24"/>
          <w:szCs w:val="24"/>
          <w:lang w:val="en-GB"/>
        </w:rPr>
        <w:t xml:space="preserve"> </w:t>
      </w:r>
    </w:p>
    <w:p w:rsidR="6F773B6E" w:rsidP="6F773B6E" w:rsidRDefault="6F773B6E" w14:paraId="639B739A" w14:textId="6B2BDCEE">
      <w:pPr>
        <w:spacing w:line="480" w:lineRule="auto"/>
        <w:ind w:left="360" w:hanging="360"/>
        <w:jc w:val="both"/>
        <w:rPr>
          <w:rFonts w:ascii="Times New Roman" w:hAnsi="Times New Roman" w:eastAsia="Times New Roman" w:cs="Times New Roman"/>
          <w:noProof w:val="0"/>
          <w:color w:val="262626" w:themeColor="text1" w:themeTint="D9" w:themeShade="FF"/>
          <w:sz w:val="24"/>
          <w:szCs w:val="24"/>
          <w:lang w:val="en-GB"/>
        </w:rPr>
      </w:pPr>
      <w:r w:rsidRPr="6F773B6E" w:rsidR="6F773B6E">
        <w:rPr>
          <w:rFonts w:ascii="Times New Roman" w:hAnsi="Times New Roman" w:eastAsia="Times New Roman" w:cs="Times New Roman"/>
          <w:noProof w:val="0"/>
          <w:color w:val="262626" w:themeColor="text1" w:themeTint="D9" w:themeShade="FF"/>
          <w:sz w:val="24"/>
          <w:szCs w:val="24"/>
          <w:lang w:val="en-GB"/>
        </w:rPr>
        <w:t>8.</w:t>
      </w:r>
      <w:r w:rsidRPr="6F773B6E" w:rsidR="6F773B6E">
        <w:rPr>
          <w:rFonts w:ascii="Times New Roman" w:hAnsi="Times New Roman" w:eastAsia="Times New Roman" w:cs="Times New Roman"/>
          <w:noProof w:val="0"/>
          <w:color w:val="262626" w:themeColor="text1" w:themeTint="D9" w:themeShade="FF"/>
          <w:sz w:val="14"/>
          <w:szCs w:val="14"/>
          <w:lang w:val="en-GB"/>
        </w:rPr>
        <w:t xml:space="preserve">      </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Geekie, J., &amp; Read, J. (2009).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The International Society for the Psychological Treatments of the Schizophrenias and Other Psychoses book series</w:t>
      </w:r>
      <w:r w:rsidRPr="6F773B6E" w:rsidR="6F773B6E">
        <w:rPr>
          <w:rFonts w:ascii="Times New Roman" w:hAnsi="Times New Roman" w:eastAsia="Times New Roman" w:cs="Times New Roman"/>
          <w:noProof w:val="0"/>
          <w:color w:val="262626" w:themeColor="text1" w:themeTint="D9" w:themeShade="FF"/>
          <w:sz w:val="24"/>
          <w:szCs w:val="24"/>
          <w:lang w:val="en-GB"/>
        </w:rPr>
        <w:t>. London: Making sense of madness: Contesting the meaning of schizophrenia. DOI: 10.4324/9780203878422</w:t>
      </w:r>
      <w:r>
        <w:br/>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 </w:t>
      </w:r>
      <w:r>
        <w:br/>
      </w:r>
    </w:p>
    <w:p w:rsidR="6F773B6E" w:rsidP="6F773B6E" w:rsidRDefault="6F773B6E" w14:paraId="4BFFC40B" w14:textId="5223CEB4">
      <w:pPr>
        <w:spacing w:line="480" w:lineRule="auto"/>
        <w:ind w:left="360" w:hanging="360"/>
        <w:jc w:val="both"/>
      </w:pPr>
      <w:r w:rsidRPr="6F773B6E" w:rsidR="6F773B6E">
        <w:rPr>
          <w:rFonts w:ascii="Times New Roman" w:hAnsi="Times New Roman" w:eastAsia="Times New Roman" w:cs="Times New Roman"/>
          <w:noProof w:val="0"/>
          <w:color w:val="262626" w:themeColor="text1" w:themeTint="D9" w:themeShade="FF"/>
          <w:sz w:val="24"/>
          <w:szCs w:val="24"/>
          <w:lang w:val="en-GB"/>
        </w:rPr>
        <w:t>9.</w:t>
      </w:r>
      <w:r w:rsidRPr="6F773B6E" w:rsidR="6F773B6E">
        <w:rPr>
          <w:rFonts w:ascii="Times New Roman" w:hAnsi="Times New Roman" w:eastAsia="Times New Roman" w:cs="Times New Roman"/>
          <w:noProof w:val="0"/>
          <w:color w:val="262626" w:themeColor="text1" w:themeTint="D9" w:themeShade="FF"/>
          <w:sz w:val="14"/>
          <w:szCs w:val="14"/>
          <w:lang w:val="en-GB"/>
        </w:rPr>
        <w:t xml:space="preserve">      </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Vartanian, L. R., Trewartha, T., &amp; Vanman, E. J. (2016). Disgust predicts prejudice and discrimination toward individuals with obesity: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Journal of Applied Social Psychology, 46</w:t>
      </w:r>
      <w:r w:rsidRPr="6F773B6E" w:rsidR="6F773B6E">
        <w:rPr>
          <w:rFonts w:ascii="Times New Roman" w:hAnsi="Times New Roman" w:eastAsia="Times New Roman" w:cs="Times New Roman"/>
          <w:noProof w:val="0"/>
          <w:color w:val="262626" w:themeColor="text1" w:themeTint="D9" w:themeShade="FF"/>
          <w:sz w:val="24"/>
          <w:szCs w:val="24"/>
          <w:lang w:val="en-GB"/>
        </w:rPr>
        <w:t>(6), 369-375.</w:t>
      </w:r>
    </w:p>
    <w:p w:rsidR="6F773B6E" w:rsidP="6F773B6E" w:rsidRDefault="6F773B6E" w14:paraId="7FC27048" w14:textId="25D6995F">
      <w:pPr>
        <w:spacing w:line="480" w:lineRule="auto"/>
        <w:jc w:val="both"/>
      </w:pPr>
      <w:r w:rsidRPr="6F773B6E" w:rsidR="6F773B6E">
        <w:rPr>
          <w:rFonts w:ascii="Times New Roman" w:hAnsi="Times New Roman" w:eastAsia="Times New Roman" w:cs="Times New Roman"/>
          <w:noProof w:val="0"/>
          <w:sz w:val="24"/>
          <w:szCs w:val="24"/>
          <w:lang w:val="en-GB"/>
        </w:rPr>
        <w:t xml:space="preserve"> </w:t>
      </w:r>
    </w:p>
    <w:p w:rsidR="6F773B6E" w:rsidP="6F773B6E" w:rsidRDefault="6F773B6E" w14:paraId="4A57EC94" w14:textId="259440EF">
      <w:pPr>
        <w:spacing w:line="480" w:lineRule="auto"/>
        <w:ind w:left="360" w:hanging="360"/>
        <w:jc w:val="both"/>
      </w:pPr>
      <w:r w:rsidRPr="6F773B6E" w:rsidR="6F773B6E">
        <w:rPr>
          <w:rFonts w:ascii="Times New Roman" w:hAnsi="Times New Roman" w:eastAsia="Times New Roman" w:cs="Times New Roman"/>
          <w:noProof w:val="0"/>
          <w:color w:val="262626" w:themeColor="text1" w:themeTint="D9" w:themeShade="FF"/>
          <w:sz w:val="24"/>
          <w:szCs w:val="24"/>
          <w:lang w:val="en-GB"/>
        </w:rPr>
        <w:t>10.</w:t>
      </w:r>
      <w:r w:rsidRPr="6F773B6E" w:rsidR="6F773B6E">
        <w:rPr>
          <w:rFonts w:ascii="Times New Roman" w:hAnsi="Times New Roman" w:eastAsia="Times New Roman" w:cs="Times New Roman"/>
          <w:noProof w:val="0"/>
          <w:color w:val="262626" w:themeColor="text1" w:themeTint="D9" w:themeShade="FF"/>
          <w:sz w:val="14"/>
          <w:szCs w:val="14"/>
          <w:lang w:val="en-GB"/>
        </w:rPr>
        <w:t xml:space="preserve">  </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Williamson, H. (2016, October, 12-14).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Supporting adolescents struggling with appearance-altering conditions: the feasibility of using an online psychosocial intervention (YP Face IT) in primary care. In supporting adolescents struggling with appearance-altering conditions:</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 Centre for the Appearance Research at the Annual Primary Care Conference, University of the West England.</w:t>
      </w:r>
    </w:p>
    <w:p w:rsidR="6F773B6E" w:rsidP="6F773B6E" w:rsidRDefault="6F773B6E" w14:paraId="0C180792" w14:textId="2003E2CF">
      <w:pPr>
        <w:spacing w:line="480" w:lineRule="auto"/>
        <w:jc w:val="both"/>
      </w:pPr>
      <w:r w:rsidRPr="6F773B6E" w:rsidR="6F773B6E">
        <w:rPr>
          <w:rFonts w:ascii="Times New Roman" w:hAnsi="Times New Roman" w:eastAsia="Times New Roman" w:cs="Times New Roman"/>
          <w:noProof w:val="0"/>
          <w:color w:val="262626" w:themeColor="text1" w:themeTint="D9" w:themeShade="FF"/>
          <w:sz w:val="24"/>
          <w:szCs w:val="24"/>
          <w:lang w:val="en-GB"/>
        </w:rPr>
        <w:t xml:space="preserve"> </w:t>
      </w:r>
    </w:p>
    <w:p w:rsidR="6F773B6E" w:rsidP="6F773B6E" w:rsidRDefault="6F773B6E" w14:paraId="1A2DF3D1" w14:textId="35B024DC">
      <w:pPr>
        <w:spacing w:line="480" w:lineRule="auto"/>
        <w:ind w:left="360" w:hanging="360"/>
        <w:jc w:val="both"/>
      </w:pPr>
      <w:r w:rsidRPr="6F773B6E" w:rsidR="6F773B6E">
        <w:rPr>
          <w:rFonts w:ascii="Times New Roman" w:hAnsi="Times New Roman" w:eastAsia="Times New Roman" w:cs="Times New Roman"/>
          <w:noProof w:val="0"/>
          <w:color w:val="262626" w:themeColor="text1" w:themeTint="D9" w:themeShade="FF"/>
          <w:sz w:val="24"/>
          <w:szCs w:val="24"/>
          <w:lang w:val="en-GB"/>
        </w:rPr>
        <w:t>11.</w:t>
      </w:r>
      <w:r w:rsidRPr="6F773B6E" w:rsidR="6F773B6E">
        <w:rPr>
          <w:rFonts w:ascii="Times New Roman" w:hAnsi="Times New Roman" w:eastAsia="Times New Roman" w:cs="Times New Roman"/>
          <w:noProof w:val="0"/>
          <w:color w:val="262626" w:themeColor="text1" w:themeTint="D9" w:themeShade="FF"/>
          <w:sz w:val="14"/>
          <w:szCs w:val="14"/>
          <w:lang w:val="en-GB"/>
        </w:rPr>
        <w:t xml:space="preserve">  </w:t>
      </w:r>
      <w:r w:rsidRPr="6F773B6E" w:rsidR="6F773B6E">
        <w:rPr>
          <w:rFonts w:ascii="Times New Roman" w:hAnsi="Times New Roman" w:eastAsia="Times New Roman" w:cs="Times New Roman"/>
          <w:i w:val="1"/>
          <w:iCs w:val="1"/>
          <w:noProof w:val="0"/>
          <w:sz w:val="24"/>
          <w:szCs w:val="24"/>
          <w:lang w:val="en-GB"/>
        </w:rPr>
        <w:t>Day, S (2016). Families experience of poverty stigma in education</w:t>
      </w:r>
      <w:r w:rsidRPr="6F773B6E" w:rsidR="6F773B6E">
        <w:rPr>
          <w:rFonts w:ascii="Times New Roman" w:hAnsi="Times New Roman" w:eastAsia="Times New Roman" w:cs="Times New Roman"/>
          <w:noProof w:val="0"/>
          <w:sz w:val="24"/>
          <w:szCs w:val="24"/>
          <w:lang w:val="en-GB"/>
        </w:rPr>
        <w:t>:</w:t>
      </w:r>
      <w:r w:rsidRPr="6F773B6E" w:rsidR="6F773B6E">
        <w:rPr>
          <w:rFonts w:ascii="Times New Roman" w:hAnsi="Times New Roman" w:eastAsia="Times New Roman" w:cs="Times New Roman"/>
          <w:i w:val="1"/>
          <w:iCs w:val="1"/>
          <w:noProof w:val="0"/>
          <w:sz w:val="24"/>
          <w:szCs w:val="24"/>
          <w:lang w:val="en-GB"/>
        </w:rPr>
        <w:t xml:space="preserve"> </w:t>
      </w:r>
      <w:r w:rsidRPr="6F773B6E" w:rsidR="6F773B6E">
        <w:rPr>
          <w:rFonts w:ascii="Times New Roman" w:hAnsi="Times New Roman" w:eastAsia="Times New Roman" w:cs="Times New Roman"/>
          <w:noProof w:val="0"/>
          <w:sz w:val="24"/>
          <w:szCs w:val="24"/>
          <w:lang w:val="en-GB"/>
        </w:rPr>
        <w:t>British psychological society, developmental psychological section, 46(6) 369-375. Original work broadcast (September 9-11, 2015)</w:t>
      </w:r>
      <w:r w:rsidRPr="6F773B6E" w:rsidR="6F773B6E">
        <w:rPr>
          <w:rFonts w:ascii="Times New Roman" w:hAnsi="Times New Roman" w:eastAsia="Times New Roman" w:cs="Times New Roman"/>
          <w:noProof w:val="0"/>
          <w:color w:val="262626" w:themeColor="text1" w:themeTint="D9" w:themeShade="FF"/>
          <w:sz w:val="24"/>
          <w:szCs w:val="24"/>
          <w:lang w:val="en-GB"/>
        </w:rPr>
        <w:t>. University of Central Lancashire</w:t>
      </w:r>
    </w:p>
    <w:p w:rsidR="6F773B6E" w:rsidP="6F773B6E" w:rsidRDefault="6F773B6E" w14:paraId="2FF50C88" w14:textId="1C7888C3">
      <w:pPr>
        <w:spacing w:line="480" w:lineRule="auto"/>
        <w:jc w:val="both"/>
      </w:pPr>
      <w:r w:rsidRPr="6F773B6E" w:rsidR="6F773B6E">
        <w:rPr>
          <w:rFonts w:ascii="Times New Roman" w:hAnsi="Times New Roman" w:eastAsia="Times New Roman" w:cs="Times New Roman"/>
          <w:noProof w:val="0"/>
          <w:color w:val="262626" w:themeColor="text1" w:themeTint="D9" w:themeShade="FF"/>
          <w:sz w:val="24"/>
          <w:szCs w:val="24"/>
          <w:lang w:val="en-GB"/>
        </w:rPr>
        <w:t xml:space="preserve"> </w:t>
      </w:r>
    </w:p>
    <w:p w:rsidR="6F773B6E" w:rsidP="6F773B6E" w:rsidRDefault="6F773B6E" w14:paraId="037ED0D9" w14:textId="7C7354BF">
      <w:pPr>
        <w:spacing w:line="480" w:lineRule="auto"/>
        <w:ind w:left="360" w:hanging="360"/>
        <w:jc w:val="both"/>
      </w:pPr>
      <w:r w:rsidRPr="6F773B6E" w:rsidR="6F773B6E">
        <w:rPr>
          <w:rFonts w:ascii="Times New Roman" w:hAnsi="Times New Roman" w:eastAsia="Times New Roman" w:cs="Times New Roman"/>
          <w:noProof w:val="0"/>
          <w:color w:val="262626" w:themeColor="text1" w:themeTint="D9" w:themeShade="FF"/>
          <w:sz w:val="24"/>
          <w:szCs w:val="24"/>
          <w:lang w:val="en-GB"/>
        </w:rPr>
        <w:t>12.</w:t>
      </w:r>
      <w:r w:rsidRPr="6F773B6E" w:rsidR="6F773B6E">
        <w:rPr>
          <w:rFonts w:ascii="Times New Roman" w:hAnsi="Times New Roman" w:eastAsia="Times New Roman" w:cs="Times New Roman"/>
          <w:noProof w:val="0"/>
          <w:color w:val="262626" w:themeColor="text1" w:themeTint="D9" w:themeShade="FF"/>
          <w:sz w:val="14"/>
          <w:szCs w:val="14"/>
          <w:lang w:val="en-GB"/>
        </w:rPr>
        <w:t xml:space="preserve">  </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Young, E. (2017)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 xml:space="preserve">Women know better than men what other women are thinking and feeling, research digest. </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The British psychological society. Retrieved from </w:t>
      </w:r>
      <w:hyperlink r:id="R7166eff354544930">
        <w:r w:rsidRPr="6F773B6E" w:rsidR="6F773B6E">
          <w:rPr>
            <w:rStyle w:val="Hyperlink"/>
            <w:rFonts w:ascii="Times New Roman" w:hAnsi="Times New Roman" w:eastAsia="Times New Roman" w:cs="Times New Roman"/>
            <w:noProof w:val="0"/>
            <w:color w:val="2626FF"/>
            <w:sz w:val="24"/>
            <w:szCs w:val="24"/>
            <w:u w:val="single"/>
            <w:lang w:val="en-GB"/>
          </w:rPr>
          <w:t>https://digest.bps.org.uk/2017/09/18/women-know-better-than-men-what-other-women-are-thinking-and-feeling/</w:t>
        </w:r>
      </w:hyperlink>
    </w:p>
    <w:p w:rsidR="6F773B6E" w:rsidP="6F773B6E" w:rsidRDefault="6F773B6E" w14:paraId="633FD995" w14:textId="307FBE1F">
      <w:pPr>
        <w:spacing w:line="480" w:lineRule="auto"/>
        <w:jc w:val="both"/>
      </w:pPr>
      <w:r w:rsidRPr="6F773B6E" w:rsidR="6F773B6E">
        <w:rPr>
          <w:rFonts w:ascii="Times New Roman" w:hAnsi="Times New Roman" w:eastAsia="Times New Roman" w:cs="Times New Roman"/>
          <w:noProof w:val="0"/>
          <w:color w:val="262626" w:themeColor="text1" w:themeTint="D9" w:themeShade="FF"/>
          <w:sz w:val="24"/>
          <w:szCs w:val="24"/>
          <w:lang w:val="en-GB"/>
        </w:rPr>
        <w:t xml:space="preserve"> </w:t>
      </w:r>
    </w:p>
    <w:p w:rsidR="6F773B6E" w:rsidP="6F773B6E" w:rsidRDefault="6F773B6E" w14:paraId="2646A737" w14:textId="4D7D7F30">
      <w:pPr>
        <w:spacing w:line="480" w:lineRule="auto"/>
        <w:ind w:left="360" w:hanging="360"/>
        <w:jc w:val="both"/>
      </w:pPr>
      <w:r w:rsidRPr="6F773B6E" w:rsidR="6F773B6E">
        <w:rPr>
          <w:rFonts w:ascii="Times New Roman" w:hAnsi="Times New Roman" w:eastAsia="Times New Roman" w:cs="Times New Roman"/>
          <w:noProof w:val="0"/>
          <w:color w:val="262626" w:themeColor="text1" w:themeTint="D9" w:themeShade="FF"/>
          <w:sz w:val="24"/>
          <w:szCs w:val="24"/>
          <w:lang w:val="en-GB"/>
        </w:rPr>
        <w:t>13.</w:t>
      </w:r>
      <w:r w:rsidRPr="6F773B6E" w:rsidR="6F773B6E">
        <w:rPr>
          <w:rFonts w:ascii="Times New Roman" w:hAnsi="Times New Roman" w:eastAsia="Times New Roman" w:cs="Times New Roman"/>
          <w:noProof w:val="0"/>
          <w:color w:val="262626" w:themeColor="text1" w:themeTint="D9" w:themeShade="FF"/>
          <w:sz w:val="14"/>
          <w:szCs w:val="14"/>
          <w:lang w:val="en-GB"/>
        </w:rPr>
        <w:t xml:space="preserve">  </w:t>
      </w:r>
      <w:r w:rsidRPr="6F773B6E" w:rsidR="6F773B6E">
        <w:rPr>
          <w:rFonts w:ascii="Times New Roman" w:hAnsi="Times New Roman" w:eastAsia="Times New Roman" w:cs="Times New Roman"/>
          <w:noProof w:val="0"/>
          <w:color w:val="262626" w:themeColor="text1" w:themeTint="D9" w:themeShade="FF"/>
          <w:sz w:val="24"/>
          <w:szCs w:val="24"/>
          <w:lang w:val="en-GB"/>
        </w:rPr>
        <w:t>Voigt, D. C., Dillard, J. P., Braddock, K. H., Anderson, J. W., Sopory, P., &amp; Stephenson, M. T</w:t>
      </w:r>
      <w:r w:rsidRPr="6F773B6E" w:rsidR="6F773B6E">
        <w:rPr>
          <w:rFonts w:ascii="Times New Roman" w:hAnsi="Times New Roman" w:eastAsia="Times New Roman" w:cs="Times New Roman"/>
          <w:noProof w:val="0"/>
          <w:color w:val="222222"/>
          <w:sz w:val="24"/>
          <w:szCs w:val="24"/>
          <w:lang w:val="en-GB"/>
        </w:rPr>
        <w:t xml:space="preserve"> (2009). BIS/BAS scales and their relationship to risky health behaviours. </w:t>
      </w:r>
      <w:r w:rsidRPr="6F773B6E" w:rsidR="6F773B6E">
        <w:rPr>
          <w:rFonts w:ascii="Times New Roman" w:hAnsi="Times New Roman" w:eastAsia="Times New Roman" w:cs="Times New Roman"/>
          <w:i w:val="1"/>
          <w:iCs w:val="1"/>
          <w:noProof w:val="0"/>
          <w:sz w:val="24"/>
          <w:szCs w:val="24"/>
          <w:lang w:val="en-GB"/>
        </w:rPr>
        <w:t>Personality and Individual Differences</w:t>
      </w:r>
      <w:r w:rsidRPr="6F773B6E" w:rsidR="6F773B6E">
        <w:rPr>
          <w:rFonts w:ascii="Times New Roman" w:hAnsi="Times New Roman" w:eastAsia="Times New Roman" w:cs="Times New Roman"/>
          <w:noProof w:val="0"/>
          <w:sz w:val="24"/>
          <w:szCs w:val="24"/>
          <w:lang w:val="en-GB"/>
        </w:rPr>
        <w:t xml:space="preserve">, </w:t>
      </w:r>
      <w:r w:rsidRPr="6F773B6E" w:rsidR="6F773B6E">
        <w:rPr>
          <w:rFonts w:ascii="Times New Roman" w:hAnsi="Times New Roman" w:eastAsia="Times New Roman" w:cs="Times New Roman"/>
          <w:i w:val="1"/>
          <w:iCs w:val="1"/>
          <w:noProof w:val="0"/>
          <w:sz w:val="24"/>
          <w:szCs w:val="24"/>
          <w:lang w:val="en-GB"/>
        </w:rPr>
        <w:t>47</w:t>
      </w:r>
      <w:r w:rsidRPr="6F773B6E" w:rsidR="6F773B6E">
        <w:rPr>
          <w:rFonts w:ascii="Times New Roman" w:hAnsi="Times New Roman" w:eastAsia="Times New Roman" w:cs="Times New Roman"/>
          <w:noProof w:val="0"/>
          <w:sz w:val="24"/>
          <w:szCs w:val="24"/>
          <w:lang w:val="en-GB"/>
        </w:rPr>
        <w:t>(2), 89-93.</w:t>
      </w:r>
    </w:p>
    <w:p w:rsidR="6F773B6E" w:rsidP="6F773B6E" w:rsidRDefault="6F773B6E" w14:paraId="76694B24" w14:textId="76C8B0D1">
      <w:pPr>
        <w:spacing w:line="480" w:lineRule="auto"/>
        <w:jc w:val="both"/>
      </w:pPr>
      <w:r w:rsidRPr="6F773B6E" w:rsidR="6F773B6E">
        <w:rPr>
          <w:rFonts w:ascii="Times New Roman" w:hAnsi="Times New Roman" w:eastAsia="Times New Roman" w:cs="Times New Roman"/>
          <w:noProof w:val="0"/>
          <w:color w:val="262626" w:themeColor="text1" w:themeTint="D9" w:themeShade="FF"/>
          <w:sz w:val="24"/>
          <w:szCs w:val="24"/>
          <w:lang w:val="en-GB"/>
        </w:rPr>
        <w:t xml:space="preserve"> </w:t>
      </w:r>
    </w:p>
    <w:p w:rsidR="6F773B6E" w:rsidP="6F773B6E" w:rsidRDefault="6F773B6E" w14:paraId="11E15DA1" w14:textId="2A53EB1D">
      <w:pPr>
        <w:spacing w:line="480" w:lineRule="auto"/>
        <w:ind w:left="360" w:hanging="360"/>
        <w:jc w:val="both"/>
      </w:pPr>
      <w:r w:rsidRPr="6F773B6E" w:rsidR="6F773B6E">
        <w:rPr>
          <w:rFonts w:ascii="Times New Roman" w:hAnsi="Times New Roman" w:eastAsia="Times New Roman" w:cs="Times New Roman"/>
          <w:noProof w:val="0"/>
          <w:color w:val="262626" w:themeColor="text1" w:themeTint="D9" w:themeShade="FF"/>
          <w:sz w:val="24"/>
          <w:szCs w:val="24"/>
          <w:lang w:val="en-GB"/>
        </w:rPr>
        <w:t>14.</w:t>
      </w:r>
      <w:r w:rsidRPr="6F773B6E" w:rsidR="6F773B6E">
        <w:rPr>
          <w:rFonts w:ascii="Times New Roman" w:hAnsi="Times New Roman" w:eastAsia="Times New Roman" w:cs="Times New Roman"/>
          <w:noProof w:val="0"/>
          <w:color w:val="262626" w:themeColor="text1" w:themeTint="D9" w:themeShade="FF"/>
          <w:sz w:val="14"/>
          <w:szCs w:val="14"/>
          <w:lang w:val="en-GB"/>
        </w:rPr>
        <w:t xml:space="preserve">  </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Tarrier, N., Liversidge, T., &amp; Gregg, L. (2006). The acceptability and preference for the psychological treatment of PTSD: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Behaviour Research and Therapy. (</w:t>
      </w:r>
      <w:r w:rsidRPr="6F773B6E" w:rsidR="6F773B6E">
        <w:rPr>
          <w:rFonts w:ascii="Times New Roman" w:hAnsi="Times New Roman" w:eastAsia="Times New Roman" w:cs="Times New Roman"/>
          <w:noProof w:val="0"/>
          <w:color w:val="262626" w:themeColor="text1" w:themeTint="D9" w:themeShade="FF"/>
          <w:sz w:val="24"/>
          <w:szCs w:val="24"/>
          <w:lang w:val="en-GB"/>
        </w:rPr>
        <w:t>44) 1643-1656.</w:t>
      </w:r>
    </w:p>
    <w:p w:rsidR="6F773B6E" w:rsidP="6F773B6E" w:rsidRDefault="6F773B6E" w14:paraId="72AE5F72" w14:textId="55799EAF">
      <w:pPr>
        <w:spacing w:line="480" w:lineRule="auto"/>
        <w:jc w:val="both"/>
      </w:pPr>
      <w:r w:rsidRPr="6F773B6E" w:rsidR="6F773B6E">
        <w:rPr>
          <w:rFonts w:ascii="Times New Roman" w:hAnsi="Times New Roman" w:eastAsia="Times New Roman" w:cs="Times New Roman"/>
          <w:noProof w:val="0"/>
          <w:color w:val="262626" w:themeColor="text1" w:themeTint="D9" w:themeShade="FF"/>
          <w:sz w:val="24"/>
          <w:szCs w:val="24"/>
          <w:lang w:val="en-GB"/>
        </w:rPr>
        <w:t xml:space="preserve"> </w:t>
      </w:r>
    </w:p>
    <w:p w:rsidR="6F773B6E" w:rsidP="6F773B6E" w:rsidRDefault="6F773B6E" w14:paraId="663E9EE7" w14:textId="32697F82">
      <w:pPr>
        <w:spacing w:line="480" w:lineRule="auto"/>
        <w:ind w:left="360" w:hanging="360"/>
        <w:jc w:val="both"/>
      </w:pPr>
      <w:r w:rsidRPr="6F773B6E" w:rsidR="6F773B6E">
        <w:rPr>
          <w:rFonts w:ascii="Times New Roman" w:hAnsi="Times New Roman" w:eastAsia="Times New Roman" w:cs="Times New Roman"/>
          <w:noProof w:val="0"/>
          <w:color w:val="262626" w:themeColor="text1" w:themeTint="D9" w:themeShade="FF"/>
          <w:sz w:val="24"/>
          <w:szCs w:val="24"/>
          <w:lang w:val="en-GB"/>
        </w:rPr>
        <w:t>15.</w:t>
      </w:r>
      <w:r w:rsidRPr="6F773B6E" w:rsidR="6F773B6E">
        <w:rPr>
          <w:rFonts w:ascii="Times New Roman" w:hAnsi="Times New Roman" w:eastAsia="Times New Roman" w:cs="Times New Roman"/>
          <w:noProof w:val="0"/>
          <w:color w:val="262626" w:themeColor="text1" w:themeTint="D9" w:themeShade="FF"/>
          <w:sz w:val="14"/>
          <w:szCs w:val="14"/>
          <w:lang w:val="en-GB"/>
        </w:rPr>
        <w:t xml:space="preserve">  </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Hill, E. M. (2015). The role of narcissism in health-risk and health-protective behaviours: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Journal of health psychology</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21</w:t>
      </w:r>
      <w:r w:rsidRPr="6F773B6E" w:rsidR="6F773B6E">
        <w:rPr>
          <w:rFonts w:ascii="Times New Roman" w:hAnsi="Times New Roman" w:eastAsia="Times New Roman" w:cs="Times New Roman"/>
          <w:noProof w:val="0"/>
          <w:color w:val="262626" w:themeColor="text1" w:themeTint="D9" w:themeShade="FF"/>
          <w:sz w:val="24"/>
          <w:szCs w:val="24"/>
          <w:lang w:val="en-GB"/>
        </w:rPr>
        <w:t>(9), 2021-2032. doi:</w:t>
      </w:r>
      <w:r w:rsidRPr="6F773B6E" w:rsidR="6F773B6E">
        <w:rPr>
          <w:rFonts w:ascii="Times New Roman" w:hAnsi="Times New Roman" w:eastAsia="Times New Roman" w:cs="Times New Roman"/>
          <w:noProof w:val="0"/>
          <w:sz w:val="24"/>
          <w:szCs w:val="24"/>
          <w:lang w:val="en-GB"/>
        </w:rPr>
        <w:t xml:space="preserve"> </w:t>
      </w:r>
      <w:r w:rsidRPr="6F773B6E" w:rsidR="6F773B6E">
        <w:rPr>
          <w:rFonts w:ascii="Times New Roman" w:hAnsi="Times New Roman" w:eastAsia="Times New Roman" w:cs="Times New Roman"/>
          <w:noProof w:val="0"/>
          <w:color w:val="262626" w:themeColor="text1" w:themeTint="D9" w:themeShade="FF"/>
          <w:sz w:val="24"/>
          <w:szCs w:val="24"/>
          <w:lang w:val="en-GB"/>
        </w:rPr>
        <w:t>10.1177/1359105315569858</w:t>
      </w:r>
    </w:p>
    <w:p w:rsidR="6F773B6E" w:rsidP="6F773B6E" w:rsidRDefault="6F773B6E" w14:paraId="54999621" w14:textId="38EEF166">
      <w:pPr>
        <w:spacing w:line="480" w:lineRule="auto"/>
        <w:jc w:val="both"/>
      </w:pPr>
      <w:r w:rsidRPr="6F773B6E" w:rsidR="6F773B6E">
        <w:rPr>
          <w:rFonts w:ascii="Times New Roman" w:hAnsi="Times New Roman" w:eastAsia="Times New Roman" w:cs="Times New Roman"/>
          <w:noProof w:val="0"/>
          <w:color w:val="262626" w:themeColor="text1" w:themeTint="D9" w:themeShade="FF"/>
          <w:sz w:val="24"/>
          <w:szCs w:val="24"/>
          <w:lang w:val="en-GB"/>
        </w:rPr>
        <w:t xml:space="preserve"> </w:t>
      </w:r>
    </w:p>
    <w:p w:rsidR="6F773B6E" w:rsidP="6F773B6E" w:rsidRDefault="6F773B6E" w14:paraId="79245C24" w14:textId="1B3FD9F6">
      <w:pPr>
        <w:spacing w:line="480" w:lineRule="auto"/>
        <w:ind w:left="360" w:hanging="360"/>
        <w:jc w:val="both"/>
      </w:pPr>
      <w:r w:rsidRPr="6F773B6E" w:rsidR="6F773B6E">
        <w:rPr>
          <w:rFonts w:ascii="Times New Roman" w:hAnsi="Times New Roman" w:eastAsia="Times New Roman" w:cs="Times New Roman"/>
          <w:noProof w:val="0"/>
          <w:color w:val="262626" w:themeColor="text1" w:themeTint="D9" w:themeShade="FF"/>
          <w:sz w:val="24"/>
          <w:szCs w:val="24"/>
          <w:lang w:val="en-GB"/>
        </w:rPr>
        <w:t>16.</w:t>
      </w:r>
      <w:r w:rsidRPr="6F773B6E" w:rsidR="6F773B6E">
        <w:rPr>
          <w:rFonts w:ascii="Times New Roman" w:hAnsi="Times New Roman" w:eastAsia="Times New Roman" w:cs="Times New Roman"/>
          <w:noProof w:val="0"/>
          <w:color w:val="262626" w:themeColor="text1" w:themeTint="D9" w:themeShade="FF"/>
          <w:sz w:val="14"/>
          <w:szCs w:val="14"/>
          <w:lang w:val="en-GB"/>
        </w:rPr>
        <w:t xml:space="preserve">  </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Van Hasselt, V. B., Romano, S. J., &amp; Vecchi, G. M. (2008). Role playing: applications in hostage and crisis negotiation skills training: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Behaviour modification</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32</w:t>
      </w:r>
      <w:r w:rsidRPr="6F773B6E" w:rsidR="6F773B6E">
        <w:rPr>
          <w:rFonts w:ascii="Times New Roman" w:hAnsi="Times New Roman" w:eastAsia="Times New Roman" w:cs="Times New Roman"/>
          <w:noProof w:val="0"/>
          <w:color w:val="262626" w:themeColor="text1" w:themeTint="D9" w:themeShade="FF"/>
          <w:sz w:val="24"/>
          <w:szCs w:val="24"/>
          <w:lang w:val="en-GB"/>
        </w:rPr>
        <w:t>(2), 248-263. doi: 10.1177/0145445507308281</w:t>
      </w:r>
    </w:p>
    <w:p w:rsidR="6F773B6E" w:rsidP="6F773B6E" w:rsidRDefault="6F773B6E" w14:paraId="0B352820" w14:textId="66C4915B">
      <w:pPr>
        <w:spacing w:line="480" w:lineRule="auto"/>
        <w:jc w:val="both"/>
      </w:pPr>
      <w:r w:rsidRPr="6F773B6E" w:rsidR="6F773B6E">
        <w:rPr>
          <w:rFonts w:ascii="Times New Roman" w:hAnsi="Times New Roman" w:eastAsia="Times New Roman" w:cs="Times New Roman"/>
          <w:noProof w:val="0"/>
          <w:color w:val="262626" w:themeColor="text1" w:themeTint="D9" w:themeShade="FF"/>
          <w:sz w:val="24"/>
          <w:szCs w:val="24"/>
          <w:lang w:val="en-GB"/>
        </w:rPr>
        <w:t xml:space="preserve"> </w:t>
      </w:r>
    </w:p>
    <w:p w:rsidR="6F773B6E" w:rsidP="6F773B6E" w:rsidRDefault="6F773B6E" w14:paraId="2EFAE52E" w14:textId="2C716AFF">
      <w:pPr>
        <w:spacing w:line="480" w:lineRule="auto"/>
        <w:ind w:left="360" w:hanging="360"/>
        <w:jc w:val="both"/>
      </w:pPr>
      <w:r w:rsidRPr="6F773B6E" w:rsidR="6F773B6E">
        <w:rPr>
          <w:rFonts w:ascii="Times New Roman" w:hAnsi="Times New Roman" w:eastAsia="Times New Roman" w:cs="Times New Roman"/>
          <w:noProof w:val="0"/>
          <w:color w:val="262626" w:themeColor="text1" w:themeTint="D9" w:themeShade="FF"/>
          <w:sz w:val="24"/>
          <w:szCs w:val="24"/>
          <w:lang w:val="en-GB"/>
        </w:rPr>
        <w:t>17.</w:t>
      </w:r>
      <w:r w:rsidRPr="6F773B6E" w:rsidR="6F773B6E">
        <w:rPr>
          <w:rFonts w:ascii="Times New Roman" w:hAnsi="Times New Roman" w:eastAsia="Times New Roman" w:cs="Times New Roman"/>
          <w:noProof w:val="0"/>
          <w:color w:val="262626" w:themeColor="text1" w:themeTint="D9" w:themeShade="FF"/>
          <w:sz w:val="14"/>
          <w:szCs w:val="14"/>
          <w:lang w:val="en-GB"/>
        </w:rPr>
        <w:t xml:space="preserve">  </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Ulleberg, P., &amp; Rundmo, T. (2003).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Personality, attitudes and risk perception as predictors of risky driving behaviour among young drivers.</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 Safety science,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41</w:t>
      </w:r>
      <w:r w:rsidRPr="6F773B6E" w:rsidR="6F773B6E">
        <w:rPr>
          <w:rFonts w:ascii="Times New Roman" w:hAnsi="Times New Roman" w:eastAsia="Times New Roman" w:cs="Times New Roman"/>
          <w:noProof w:val="0"/>
          <w:color w:val="262626" w:themeColor="text1" w:themeTint="D9" w:themeShade="FF"/>
          <w:sz w:val="24"/>
          <w:szCs w:val="24"/>
          <w:lang w:val="en-GB"/>
        </w:rPr>
        <w:t>, 427-443.</w:t>
      </w:r>
    </w:p>
    <w:p w:rsidR="6F773B6E" w:rsidP="6F773B6E" w:rsidRDefault="6F773B6E" w14:paraId="7EE08F38" w14:textId="51641045">
      <w:pPr>
        <w:spacing w:line="480" w:lineRule="auto"/>
        <w:jc w:val="both"/>
      </w:pPr>
      <w:r w:rsidRPr="6F773B6E" w:rsidR="6F773B6E">
        <w:rPr>
          <w:rFonts w:ascii="Times New Roman" w:hAnsi="Times New Roman" w:eastAsia="Times New Roman" w:cs="Times New Roman"/>
          <w:noProof w:val="0"/>
          <w:color w:val="262626" w:themeColor="text1" w:themeTint="D9" w:themeShade="FF"/>
          <w:sz w:val="24"/>
          <w:szCs w:val="24"/>
          <w:lang w:val="en-GB"/>
        </w:rPr>
        <w:t xml:space="preserve"> </w:t>
      </w:r>
    </w:p>
    <w:p w:rsidR="6F773B6E" w:rsidP="6F773B6E" w:rsidRDefault="6F773B6E" w14:paraId="32B7D2F5" w14:textId="5CFC2770">
      <w:pPr>
        <w:spacing w:line="480" w:lineRule="auto"/>
        <w:ind w:left="360" w:hanging="360"/>
        <w:jc w:val="both"/>
      </w:pPr>
      <w:r w:rsidRPr="6F773B6E" w:rsidR="6F773B6E">
        <w:rPr>
          <w:rFonts w:ascii="Times New Roman" w:hAnsi="Times New Roman" w:eastAsia="Times New Roman" w:cs="Times New Roman"/>
          <w:noProof w:val="0"/>
          <w:color w:val="262626" w:themeColor="text1" w:themeTint="D9" w:themeShade="FF"/>
          <w:sz w:val="24"/>
          <w:szCs w:val="24"/>
          <w:lang w:val="en-GB"/>
        </w:rPr>
        <w:t>18.</w:t>
      </w:r>
      <w:r w:rsidRPr="6F773B6E" w:rsidR="6F773B6E">
        <w:rPr>
          <w:rFonts w:ascii="Times New Roman" w:hAnsi="Times New Roman" w:eastAsia="Times New Roman" w:cs="Times New Roman"/>
          <w:noProof w:val="0"/>
          <w:color w:val="262626" w:themeColor="text1" w:themeTint="D9" w:themeShade="FF"/>
          <w:sz w:val="14"/>
          <w:szCs w:val="14"/>
          <w:lang w:val="en-GB"/>
        </w:rPr>
        <w:t xml:space="preserve">  </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Mental health foundation (2017, September),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Computerised cognitive behavioural psychology</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 [Audio podcast]. Retrieved from </w:t>
      </w:r>
      <w:hyperlink r:id="R73ff54be56a843ca">
        <w:r w:rsidRPr="6F773B6E" w:rsidR="6F773B6E">
          <w:rPr>
            <w:rStyle w:val="Hyperlink"/>
            <w:rFonts w:ascii="Times New Roman" w:hAnsi="Times New Roman" w:eastAsia="Times New Roman" w:cs="Times New Roman"/>
            <w:noProof w:val="0"/>
            <w:color w:val="2626FF"/>
            <w:sz w:val="24"/>
            <w:szCs w:val="24"/>
            <w:u w:val="single"/>
            <w:lang w:val="en-GB"/>
          </w:rPr>
          <w:t>https://www.mentalhealth.org.uk/podcasts-and-videos/computerised-cognitive-behavioural-therapy</w:t>
        </w:r>
      </w:hyperlink>
    </w:p>
    <w:p w:rsidR="6F773B6E" w:rsidP="6F773B6E" w:rsidRDefault="6F773B6E" w14:paraId="0EDEED8C" w14:textId="1428C0FE">
      <w:pPr>
        <w:spacing w:line="480" w:lineRule="auto"/>
        <w:jc w:val="both"/>
      </w:pPr>
      <w:r w:rsidRPr="6F773B6E" w:rsidR="6F773B6E">
        <w:rPr>
          <w:rFonts w:ascii="Times New Roman" w:hAnsi="Times New Roman" w:eastAsia="Times New Roman" w:cs="Times New Roman"/>
          <w:noProof w:val="0"/>
          <w:color w:val="262626" w:themeColor="text1" w:themeTint="D9" w:themeShade="FF"/>
          <w:sz w:val="32"/>
          <w:szCs w:val="32"/>
          <w:lang w:val="en-GB"/>
        </w:rPr>
        <w:t xml:space="preserve"> </w:t>
      </w:r>
    </w:p>
    <w:p w:rsidR="6F773B6E" w:rsidP="6F773B6E" w:rsidRDefault="6F773B6E" w14:paraId="1367D41E" w14:textId="6E67A646">
      <w:pPr>
        <w:spacing w:line="480" w:lineRule="auto"/>
        <w:ind w:left="360" w:hanging="360"/>
        <w:jc w:val="both"/>
      </w:pPr>
      <w:r w:rsidRPr="6F773B6E" w:rsidR="6F773B6E">
        <w:rPr>
          <w:rFonts w:ascii="Times New Roman" w:hAnsi="Times New Roman" w:eastAsia="Times New Roman" w:cs="Times New Roman"/>
          <w:noProof w:val="0"/>
          <w:color w:val="262626" w:themeColor="text1" w:themeTint="D9" w:themeShade="FF"/>
          <w:sz w:val="20"/>
          <w:szCs w:val="20"/>
          <w:lang w:val="en-GB"/>
        </w:rPr>
        <w:t>19.</w:t>
      </w:r>
      <w:r w:rsidRPr="6F773B6E" w:rsidR="6F773B6E">
        <w:rPr>
          <w:rFonts w:ascii="Times New Roman" w:hAnsi="Times New Roman" w:eastAsia="Times New Roman" w:cs="Times New Roman"/>
          <w:noProof w:val="0"/>
          <w:color w:val="262626" w:themeColor="text1" w:themeTint="D9" w:themeShade="FF"/>
          <w:sz w:val="14"/>
          <w:szCs w:val="14"/>
          <w:lang w:val="en-GB"/>
        </w:rPr>
        <w:t xml:space="preserve">    </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Mohamed, S. (2011). </w:t>
      </w:r>
      <w:r w:rsidRPr="6F773B6E" w:rsidR="6F773B6E">
        <w:rPr>
          <w:rFonts w:ascii="Times New Roman" w:hAnsi="Times New Roman" w:eastAsia="Times New Roman" w:cs="Times New Roman"/>
          <w:i w:val="1"/>
          <w:iCs w:val="1"/>
          <w:noProof w:val="0"/>
          <w:color w:val="262626" w:themeColor="text1" w:themeTint="D9" w:themeShade="FF"/>
          <w:sz w:val="24"/>
          <w:szCs w:val="24"/>
          <w:lang w:val="en-GB"/>
        </w:rPr>
        <w:t>Stigma and mental illness: are there cultural differences?</w:t>
      </w:r>
      <w:r w:rsidRPr="6F773B6E" w:rsidR="6F773B6E">
        <w:rPr>
          <w:rFonts w:ascii="Times New Roman" w:hAnsi="Times New Roman" w:eastAsia="Times New Roman" w:cs="Times New Roman"/>
          <w:noProof w:val="0"/>
          <w:color w:val="262626" w:themeColor="text1" w:themeTint="D9" w:themeShade="FF"/>
          <w:sz w:val="24"/>
          <w:szCs w:val="24"/>
          <w:lang w:val="en-GB"/>
        </w:rPr>
        <w:t xml:space="preserve"> (Doctoral dissertation) University of East Anglia. Retrieved from EThOS. (573771).</w:t>
      </w:r>
    </w:p>
    <w:p w:rsidR="6F773B6E" w:rsidP="6F773B6E" w:rsidRDefault="6F773B6E" w14:paraId="07CDC131" w14:textId="42A4F60E">
      <w:pPr>
        <w:spacing w:line="480" w:lineRule="auto"/>
        <w:jc w:val="both"/>
      </w:pPr>
      <w:r w:rsidRPr="6F773B6E" w:rsidR="6F773B6E">
        <w:rPr>
          <w:rFonts w:ascii="Times New Roman" w:hAnsi="Times New Roman" w:eastAsia="Times New Roman" w:cs="Times New Roman"/>
          <w:noProof w:val="0"/>
          <w:color w:val="262626" w:themeColor="text1" w:themeTint="D9" w:themeShade="FF"/>
          <w:sz w:val="20"/>
          <w:szCs w:val="20"/>
          <w:lang w:val="en-GB"/>
        </w:rPr>
        <w:t xml:space="preserve"> </w:t>
      </w:r>
    </w:p>
    <w:p w:rsidR="6F773B6E" w:rsidP="6F773B6E" w:rsidRDefault="6F773B6E" w14:paraId="433719D1" w14:textId="58504214">
      <w:pPr>
        <w:spacing w:line="480" w:lineRule="auto"/>
        <w:ind w:left="360" w:hanging="360"/>
        <w:jc w:val="both"/>
      </w:pPr>
      <w:r w:rsidRPr="6F773B6E" w:rsidR="6F773B6E">
        <w:rPr>
          <w:rFonts w:ascii="Times New Roman" w:hAnsi="Times New Roman" w:eastAsia="Times New Roman" w:cs="Times New Roman"/>
          <w:noProof w:val="0"/>
          <w:color w:val="262626" w:themeColor="text1" w:themeTint="D9" w:themeShade="FF"/>
          <w:sz w:val="24"/>
          <w:szCs w:val="24"/>
          <w:lang w:val="en-GB"/>
        </w:rPr>
        <w:t>20.</w:t>
      </w:r>
      <w:r w:rsidRPr="6F773B6E" w:rsidR="6F773B6E">
        <w:rPr>
          <w:rFonts w:ascii="Times New Roman" w:hAnsi="Times New Roman" w:eastAsia="Times New Roman" w:cs="Times New Roman"/>
          <w:noProof w:val="0"/>
          <w:color w:val="262626" w:themeColor="text1" w:themeTint="D9" w:themeShade="FF"/>
          <w:sz w:val="14"/>
          <w:szCs w:val="14"/>
          <w:lang w:val="en-GB"/>
        </w:rPr>
        <w:t xml:space="preserve">  </w:t>
      </w:r>
      <w:r w:rsidRPr="6F773B6E" w:rsidR="6F773B6E">
        <w:rPr>
          <w:rFonts w:ascii="Times New Roman" w:hAnsi="Times New Roman" w:eastAsia="Times New Roman" w:cs="Times New Roman"/>
          <w:noProof w:val="0"/>
          <w:color w:val="262626" w:themeColor="text1" w:themeTint="D9" w:themeShade="FF"/>
          <w:sz w:val="24"/>
          <w:szCs w:val="24"/>
          <w:lang w:val="en-GB"/>
        </w:rPr>
        <w:t>Welsh government. (2015) Well being of future generations (Wales) Act. United Kingdom: The Office Stationary Limited.</w:t>
      </w:r>
    </w:p>
    <w:p w:rsidR="6F773B6E" w:rsidP="6F773B6E" w:rsidRDefault="6F773B6E" w14:paraId="6F3DD98E" w14:textId="5F311C6B">
      <w:pPr>
        <w:pStyle w:val="Normal"/>
        <w:jc w:val="both"/>
        <w:rPr>
          <w:rFonts w:ascii="Times New Roman" w:hAnsi="Times New Roman" w:cs="Times New Roman"/>
          <w:b w:val="1"/>
          <w:bCs w:val="1"/>
          <w:sz w:val="24"/>
          <w:szCs w:val="24"/>
        </w:rPr>
      </w:pPr>
    </w:p>
    <w:p w:rsidR="00E326E9" w:rsidP="004B64D3" w:rsidRDefault="00E326E9" w14:paraId="77C051B1" w14:textId="280AF23B">
      <w:pPr>
        <w:jc w:val="both"/>
        <w:rPr>
          <w:rFonts w:ascii="Times New Roman" w:hAnsi="Times New Roman" w:cs="Times New Roman"/>
          <w:b/>
          <w:bCs/>
          <w:sz w:val="24"/>
          <w:szCs w:val="24"/>
          <w:u w:val="single"/>
        </w:rPr>
      </w:pPr>
    </w:p>
    <w:p w:rsidR="00E326E9" w:rsidP="004B64D3" w:rsidRDefault="00E326E9" w14:paraId="46FB8FE2" w14:textId="3BCBB1C2">
      <w:pPr>
        <w:jc w:val="both"/>
        <w:rPr>
          <w:rFonts w:ascii="Times New Roman" w:hAnsi="Times New Roman" w:cs="Times New Roman"/>
          <w:b/>
          <w:bCs/>
          <w:sz w:val="24"/>
          <w:szCs w:val="24"/>
          <w:u w:val="single"/>
        </w:rPr>
      </w:pPr>
    </w:p>
    <w:bookmarkEnd w:id="0"/>
    <w:p w:rsidR="00E326E9" w:rsidP="004B64D3" w:rsidRDefault="00E326E9" w14:paraId="106F4575" w14:textId="17C85526">
      <w:pPr>
        <w:jc w:val="both"/>
        <w:rPr>
          <w:rFonts w:ascii="Times New Roman" w:hAnsi="Times New Roman" w:cs="Times New Roman"/>
          <w:b/>
          <w:bCs/>
          <w:sz w:val="24"/>
          <w:szCs w:val="24"/>
          <w:u w:val="single"/>
        </w:rPr>
      </w:pPr>
    </w:p>
    <w:p w:rsidR="00E326E9" w:rsidP="004B64D3" w:rsidRDefault="00E326E9" w14:paraId="7B775CC1" w14:textId="2D2E6308">
      <w:pPr>
        <w:jc w:val="both"/>
        <w:rPr>
          <w:rFonts w:ascii="Times New Roman" w:hAnsi="Times New Roman" w:cs="Times New Roman"/>
          <w:b/>
          <w:bCs/>
          <w:sz w:val="24"/>
          <w:szCs w:val="24"/>
          <w:u w:val="single"/>
        </w:rPr>
      </w:pPr>
    </w:p>
    <w:p w:rsidR="00E326E9" w:rsidP="004B64D3" w:rsidRDefault="00E326E9" w14:paraId="6799FAC0" w14:textId="19359795">
      <w:pPr>
        <w:jc w:val="both"/>
        <w:rPr>
          <w:rFonts w:ascii="Times New Roman" w:hAnsi="Times New Roman" w:cs="Times New Roman"/>
          <w:b/>
          <w:bCs/>
          <w:sz w:val="24"/>
          <w:szCs w:val="24"/>
          <w:u w:val="single"/>
        </w:rPr>
      </w:pPr>
    </w:p>
    <w:p w:rsidR="00E326E9" w:rsidP="004B64D3" w:rsidRDefault="00E326E9" w14:paraId="3804DDF6" w14:textId="2DC3EE00">
      <w:pPr>
        <w:jc w:val="both"/>
        <w:rPr>
          <w:rFonts w:ascii="Times New Roman" w:hAnsi="Times New Roman" w:cs="Times New Roman"/>
          <w:b/>
          <w:bCs/>
          <w:sz w:val="24"/>
          <w:szCs w:val="24"/>
          <w:u w:val="single"/>
        </w:rPr>
      </w:pPr>
    </w:p>
    <w:p w:rsidR="00E326E9" w:rsidP="004B64D3" w:rsidRDefault="00E326E9" w14:paraId="508E425A" w14:textId="7C94540D">
      <w:pPr>
        <w:jc w:val="both"/>
        <w:rPr>
          <w:rFonts w:ascii="Times New Roman" w:hAnsi="Times New Roman" w:cs="Times New Roman"/>
          <w:b/>
          <w:bCs/>
          <w:sz w:val="24"/>
          <w:szCs w:val="24"/>
          <w:u w:val="single"/>
        </w:rPr>
      </w:pPr>
    </w:p>
    <w:p w:rsidR="00E326E9" w:rsidP="004B64D3" w:rsidRDefault="00E326E9" w14:paraId="6169835D" w14:textId="27E15E61">
      <w:pPr>
        <w:jc w:val="both"/>
        <w:rPr>
          <w:rFonts w:ascii="Times New Roman" w:hAnsi="Times New Roman" w:cs="Times New Roman"/>
          <w:b/>
          <w:bCs/>
          <w:sz w:val="24"/>
          <w:szCs w:val="24"/>
          <w:u w:val="single"/>
        </w:rPr>
      </w:pPr>
    </w:p>
    <w:p w:rsidR="00E326E9" w:rsidP="004B64D3" w:rsidRDefault="00E326E9" w14:paraId="0BEE6FAE" w14:textId="553F21C7">
      <w:pPr>
        <w:jc w:val="both"/>
        <w:rPr>
          <w:rFonts w:ascii="Times New Roman" w:hAnsi="Times New Roman" w:cs="Times New Roman"/>
          <w:b/>
          <w:bCs/>
          <w:sz w:val="24"/>
          <w:szCs w:val="24"/>
          <w:u w:val="single"/>
        </w:rPr>
      </w:pPr>
    </w:p>
    <w:p w:rsidR="00E326E9" w:rsidP="004B64D3" w:rsidRDefault="00E326E9" w14:paraId="71FFB8A4" w14:textId="7A5B5440">
      <w:pPr>
        <w:jc w:val="both"/>
        <w:rPr>
          <w:rFonts w:ascii="Times New Roman" w:hAnsi="Times New Roman" w:cs="Times New Roman"/>
          <w:b/>
          <w:bCs/>
          <w:sz w:val="24"/>
          <w:szCs w:val="24"/>
          <w:u w:val="single"/>
        </w:rPr>
      </w:pPr>
    </w:p>
    <w:p w:rsidR="00E326E9" w:rsidP="004B64D3" w:rsidRDefault="00E326E9" w14:paraId="1CBC1204" w14:textId="760BD32E">
      <w:pPr>
        <w:jc w:val="both"/>
        <w:rPr>
          <w:rFonts w:ascii="Times New Roman" w:hAnsi="Times New Roman" w:cs="Times New Roman"/>
          <w:b/>
          <w:bCs/>
          <w:sz w:val="24"/>
          <w:szCs w:val="24"/>
          <w:u w:val="single"/>
        </w:rPr>
      </w:pPr>
    </w:p>
    <w:p w:rsidR="00E326E9" w:rsidP="004B64D3" w:rsidRDefault="00E326E9" w14:paraId="3EB18099" w14:textId="3A9F5535">
      <w:pPr>
        <w:jc w:val="both"/>
        <w:rPr>
          <w:rFonts w:ascii="Times New Roman" w:hAnsi="Times New Roman" w:cs="Times New Roman"/>
          <w:b/>
          <w:bCs/>
          <w:sz w:val="24"/>
          <w:szCs w:val="24"/>
          <w:u w:val="single"/>
        </w:rPr>
      </w:pPr>
    </w:p>
    <w:p w:rsidR="00E326E9" w:rsidP="004B64D3" w:rsidRDefault="00E326E9" w14:paraId="0D94B41D" w14:textId="1CCE788E">
      <w:pPr>
        <w:jc w:val="both"/>
        <w:rPr>
          <w:rFonts w:ascii="Times New Roman" w:hAnsi="Times New Roman" w:cs="Times New Roman"/>
          <w:b/>
          <w:bCs/>
          <w:sz w:val="24"/>
          <w:szCs w:val="24"/>
          <w:u w:val="single"/>
        </w:rPr>
      </w:pPr>
    </w:p>
    <w:p w:rsidR="00E326E9" w:rsidP="004B64D3" w:rsidRDefault="00E326E9" w14:paraId="37F3A605" w14:textId="1934DDC5">
      <w:pPr>
        <w:jc w:val="both"/>
        <w:rPr>
          <w:rFonts w:ascii="Times New Roman" w:hAnsi="Times New Roman" w:cs="Times New Roman"/>
          <w:b/>
          <w:bCs/>
          <w:sz w:val="24"/>
          <w:szCs w:val="24"/>
          <w:u w:val="single"/>
        </w:rPr>
      </w:pPr>
    </w:p>
    <w:p w:rsidR="00E326E9" w:rsidP="004B64D3" w:rsidRDefault="00E326E9" w14:paraId="454FA71E" w14:textId="1EFCB13E">
      <w:pPr>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Bibliography </w:t>
      </w:r>
    </w:p>
    <w:p w:rsidR="00E326E9" w:rsidP="004B64D3" w:rsidRDefault="00E326E9" w14:paraId="5F28514B" w14:textId="28C385CF">
      <w:pPr>
        <w:jc w:val="both"/>
        <w:rPr>
          <w:rFonts w:ascii="Times New Roman" w:hAnsi="Times New Roman" w:cs="Times New Roman"/>
          <w:b/>
          <w:bCs/>
          <w:sz w:val="24"/>
          <w:szCs w:val="24"/>
          <w:u w:val="single"/>
        </w:rPr>
      </w:pPr>
    </w:p>
    <w:p w:rsidRPr="00232F33" w:rsidR="00E326E9" w:rsidP="00E326E9" w:rsidRDefault="00E326E9" w14:paraId="129903A3" w14:textId="77777777">
      <w:pPr>
        <w:rPr>
          <w:sz w:val="24"/>
        </w:rPr>
      </w:pPr>
      <w:r w:rsidRPr="00232F33">
        <w:rPr>
          <w:sz w:val="24"/>
        </w:rPr>
        <w:t>Daniels, E. and Zurbriggen, E. (2016). The price of sexy: Viewers’ perceptions of a sexualized versus non-sexualized Facebook profile photograph. Psychology of Popular Media Culture, 5(1), pp.2-14.</w:t>
      </w:r>
    </w:p>
    <w:p w:rsidRPr="00FA56D8" w:rsidR="00E326E9" w:rsidP="004B64D3" w:rsidRDefault="00E326E9" w14:paraId="6FF12EB0" w14:textId="77777777">
      <w:pPr>
        <w:jc w:val="both"/>
        <w:rPr>
          <w:rFonts w:ascii="Times New Roman" w:hAnsi="Times New Roman" w:cs="Times New Roman"/>
          <w:b/>
          <w:bCs/>
          <w:sz w:val="24"/>
          <w:szCs w:val="24"/>
          <w:u w:val="single"/>
        </w:rPr>
      </w:pPr>
    </w:p>
    <w:sectPr w:rsidRPr="00FA56D8" w:rsidR="00E326E9">
      <w:headerReference w:type="default" r:id="rId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3BCD" w:rsidP="00A37756" w:rsidRDefault="003D3BCD" w14:paraId="7FD2E41F" w14:textId="77777777">
      <w:pPr>
        <w:spacing w:after="0" w:line="240" w:lineRule="auto"/>
      </w:pPr>
      <w:r>
        <w:separator/>
      </w:r>
    </w:p>
  </w:endnote>
  <w:endnote w:type="continuationSeparator" w:id="0">
    <w:p w:rsidR="003D3BCD" w:rsidP="00A37756" w:rsidRDefault="003D3BCD" w14:paraId="3C1F22D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3BCD" w:rsidP="00A37756" w:rsidRDefault="003D3BCD" w14:paraId="6D5F9C30" w14:textId="77777777">
      <w:pPr>
        <w:spacing w:after="0" w:line="240" w:lineRule="auto"/>
      </w:pPr>
      <w:r>
        <w:separator/>
      </w:r>
    </w:p>
  </w:footnote>
  <w:footnote w:type="continuationSeparator" w:id="0">
    <w:p w:rsidR="003D3BCD" w:rsidP="00A37756" w:rsidRDefault="003D3BCD" w14:paraId="4641A4E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7756" w:rsidRDefault="007E2585" w14:paraId="483AE065" w14:textId="383F091E">
    <w:pPr>
      <w:pStyle w:val="Header"/>
    </w:pPr>
    <w:r w:rsidRPr="007E2585">
      <w:t>ECGE4001R</w:t>
    </w:r>
    <w:r>
      <w:t xml:space="preserve"> </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C1A94"/>
    <w:multiLevelType w:val="hybridMultilevel"/>
    <w:tmpl w:val="874E1D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02BA3"/>
    <w:multiLevelType w:val="hybridMultilevel"/>
    <w:tmpl w:val="23CCAB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F48AA"/>
    <w:multiLevelType w:val="hybridMultilevel"/>
    <w:tmpl w:val="8152B2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3A29C9"/>
    <w:multiLevelType w:val="hybridMultilevel"/>
    <w:tmpl w:val="E40AF0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1C0B9D"/>
    <w:multiLevelType w:val="hybridMultilevel"/>
    <w:tmpl w:val="3A0C3EB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9F24E7"/>
    <w:multiLevelType w:val="hybridMultilevel"/>
    <w:tmpl w:val="F2EAB6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14569"/>
    <w:multiLevelType w:val="hybridMultilevel"/>
    <w:tmpl w:val="875E8C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E60945"/>
    <w:multiLevelType w:val="hybridMultilevel"/>
    <w:tmpl w:val="DF9613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81437D"/>
    <w:multiLevelType w:val="hybridMultilevel"/>
    <w:tmpl w:val="889896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590046"/>
    <w:multiLevelType w:val="hybridMultilevel"/>
    <w:tmpl w:val="204C6EC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7"/>
  </w:num>
  <w:num w:numId="5">
    <w:abstractNumId w:val="0"/>
  </w:num>
  <w:num w:numId="6">
    <w:abstractNumId w:val="6"/>
  </w:num>
  <w:num w:numId="7">
    <w:abstractNumId w:val="2"/>
  </w:num>
  <w:num w:numId="8">
    <w:abstractNumId w:val="5"/>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B6C"/>
    <w:rsid w:val="000632B1"/>
    <w:rsid w:val="00086489"/>
    <w:rsid w:val="000B5AA5"/>
    <w:rsid w:val="000C346C"/>
    <w:rsid w:val="000D1B34"/>
    <w:rsid w:val="000E7D66"/>
    <w:rsid w:val="00110B65"/>
    <w:rsid w:val="00111A74"/>
    <w:rsid w:val="001458EE"/>
    <w:rsid w:val="00157427"/>
    <w:rsid w:val="00192F49"/>
    <w:rsid w:val="001B449F"/>
    <w:rsid w:val="001F4315"/>
    <w:rsid w:val="00235875"/>
    <w:rsid w:val="00237750"/>
    <w:rsid w:val="002750DF"/>
    <w:rsid w:val="002920CA"/>
    <w:rsid w:val="002C1238"/>
    <w:rsid w:val="002C4CA4"/>
    <w:rsid w:val="002D76A8"/>
    <w:rsid w:val="002E752A"/>
    <w:rsid w:val="002F06B3"/>
    <w:rsid w:val="00300825"/>
    <w:rsid w:val="00300D47"/>
    <w:rsid w:val="00305F35"/>
    <w:rsid w:val="00306C54"/>
    <w:rsid w:val="00341C97"/>
    <w:rsid w:val="00393C8C"/>
    <w:rsid w:val="0039561A"/>
    <w:rsid w:val="003A1FFB"/>
    <w:rsid w:val="003D3BCD"/>
    <w:rsid w:val="00431AB1"/>
    <w:rsid w:val="004329FC"/>
    <w:rsid w:val="00496ECC"/>
    <w:rsid w:val="004A1487"/>
    <w:rsid w:val="004A33A8"/>
    <w:rsid w:val="004B64D3"/>
    <w:rsid w:val="00506B49"/>
    <w:rsid w:val="00512E91"/>
    <w:rsid w:val="00544CB9"/>
    <w:rsid w:val="0054770A"/>
    <w:rsid w:val="005927BE"/>
    <w:rsid w:val="00592C89"/>
    <w:rsid w:val="005F13DA"/>
    <w:rsid w:val="005F21F6"/>
    <w:rsid w:val="0060198B"/>
    <w:rsid w:val="006A4B6C"/>
    <w:rsid w:val="006A4DC5"/>
    <w:rsid w:val="006B1300"/>
    <w:rsid w:val="006D5A85"/>
    <w:rsid w:val="006F001E"/>
    <w:rsid w:val="0070560F"/>
    <w:rsid w:val="0071370D"/>
    <w:rsid w:val="00725CCD"/>
    <w:rsid w:val="007442EE"/>
    <w:rsid w:val="00775E97"/>
    <w:rsid w:val="007B04F1"/>
    <w:rsid w:val="007B71AE"/>
    <w:rsid w:val="007C1DFC"/>
    <w:rsid w:val="007E2585"/>
    <w:rsid w:val="007E5FBF"/>
    <w:rsid w:val="00863BDB"/>
    <w:rsid w:val="008667DD"/>
    <w:rsid w:val="008A106F"/>
    <w:rsid w:val="008A3A5B"/>
    <w:rsid w:val="008B48B0"/>
    <w:rsid w:val="008D7C36"/>
    <w:rsid w:val="0090071B"/>
    <w:rsid w:val="009059FE"/>
    <w:rsid w:val="00915FC8"/>
    <w:rsid w:val="0095084A"/>
    <w:rsid w:val="00955CCC"/>
    <w:rsid w:val="009B17F0"/>
    <w:rsid w:val="009C38FA"/>
    <w:rsid w:val="009F3240"/>
    <w:rsid w:val="00A049F5"/>
    <w:rsid w:val="00A076AF"/>
    <w:rsid w:val="00A17CA2"/>
    <w:rsid w:val="00A37756"/>
    <w:rsid w:val="00A65FF6"/>
    <w:rsid w:val="00AF099E"/>
    <w:rsid w:val="00AF353B"/>
    <w:rsid w:val="00B02CE8"/>
    <w:rsid w:val="00B03B84"/>
    <w:rsid w:val="00B175D5"/>
    <w:rsid w:val="00B359A5"/>
    <w:rsid w:val="00B71183"/>
    <w:rsid w:val="00B73F55"/>
    <w:rsid w:val="00BF1A7D"/>
    <w:rsid w:val="00BF3F85"/>
    <w:rsid w:val="00BF6DDA"/>
    <w:rsid w:val="00C03462"/>
    <w:rsid w:val="00C136BB"/>
    <w:rsid w:val="00C30E62"/>
    <w:rsid w:val="00CA694E"/>
    <w:rsid w:val="00CD0BE7"/>
    <w:rsid w:val="00D16F16"/>
    <w:rsid w:val="00D21906"/>
    <w:rsid w:val="00D31A72"/>
    <w:rsid w:val="00D46CAB"/>
    <w:rsid w:val="00D65667"/>
    <w:rsid w:val="00DC5484"/>
    <w:rsid w:val="00E07EA7"/>
    <w:rsid w:val="00E169C9"/>
    <w:rsid w:val="00E30982"/>
    <w:rsid w:val="00E32188"/>
    <w:rsid w:val="00E326E9"/>
    <w:rsid w:val="00E60577"/>
    <w:rsid w:val="00F50BF0"/>
    <w:rsid w:val="00F62F6A"/>
    <w:rsid w:val="00F84128"/>
    <w:rsid w:val="00FA56D8"/>
    <w:rsid w:val="6F773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D0F7B"/>
  <w15:chartTrackingRefBased/>
  <w15:docId w15:val="{600F7967-EC92-432B-AC36-80106BCA9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A37756"/>
    <w:pPr>
      <w:tabs>
        <w:tab w:val="center" w:pos="4513"/>
        <w:tab w:val="right" w:pos="9026"/>
      </w:tabs>
      <w:spacing w:after="0" w:line="240" w:lineRule="auto"/>
    </w:pPr>
  </w:style>
  <w:style w:type="character" w:styleId="HeaderChar" w:customStyle="1">
    <w:name w:val="Header Char"/>
    <w:basedOn w:val="DefaultParagraphFont"/>
    <w:link w:val="Header"/>
    <w:uiPriority w:val="99"/>
    <w:rsid w:val="00A37756"/>
  </w:style>
  <w:style w:type="paragraph" w:styleId="Footer">
    <w:name w:val="footer"/>
    <w:basedOn w:val="Normal"/>
    <w:link w:val="FooterChar"/>
    <w:uiPriority w:val="99"/>
    <w:unhideWhenUsed/>
    <w:rsid w:val="00A37756"/>
    <w:pPr>
      <w:tabs>
        <w:tab w:val="center" w:pos="4513"/>
        <w:tab w:val="right" w:pos="9026"/>
      </w:tabs>
      <w:spacing w:after="0" w:line="240" w:lineRule="auto"/>
    </w:pPr>
  </w:style>
  <w:style w:type="character" w:styleId="FooterChar" w:customStyle="1">
    <w:name w:val="Footer Char"/>
    <w:basedOn w:val="DefaultParagraphFont"/>
    <w:link w:val="Footer"/>
    <w:uiPriority w:val="99"/>
    <w:rsid w:val="00A37756"/>
  </w:style>
  <w:style w:type="paragraph" w:styleId="ListParagraph">
    <w:name w:val="List Paragraph"/>
    <w:basedOn w:val="Normal"/>
    <w:uiPriority w:val="34"/>
    <w:qFormat/>
    <w:rsid w:val="0039561A"/>
    <w:pPr>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www.ons.gov.uk/peoplepopulationandcommunity/healthandsocialcare/drugusealcoholandsmoking/bulletins/opinionsandlifestylesurveyadultdrinkinghabitsingreatbritain/2005to2016" TargetMode="External" Id="Rd7ddc80f965c414c" /><Relationship Type="http://schemas.openxmlformats.org/officeDocument/2006/relationships/hyperlink" Target="https://digest.bps.org.uk/2017/09/18/women-know-better-than-men-what-other-women-are-thinking-and-feeling/" TargetMode="External" Id="R7166eff354544930" /><Relationship Type="http://schemas.openxmlformats.org/officeDocument/2006/relationships/hyperlink" Target="https://www.mentalhealth.org.uk/podcasts-and-videos/computerised-cognitive-behavioural-therapy" TargetMode="External" Id="R73ff54be56a843c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Sasha Holmes</dc:creator>
  <keywords/>
  <dc:description/>
  <lastModifiedBy>Sasha Holmes (1904027)</lastModifiedBy>
  <revision>10</revision>
  <dcterms:created xsi:type="dcterms:W3CDTF">2019-11-03T00:06:00.0000000Z</dcterms:created>
  <dcterms:modified xsi:type="dcterms:W3CDTF">2019-11-06T22:53:22.6638897Z</dcterms:modified>
</coreProperties>
</file>