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CFBF56" w14:textId="77777777" w:rsidR="00006675" w:rsidRPr="00006675" w:rsidRDefault="00006675" w:rsidP="00006675">
      <w:pPr>
        <w:pStyle w:val="Title"/>
        <w:rPr>
          <w:rFonts w:eastAsia="Times New Roman"/>
        </w:rPr>
      </w:pPr>
      <w:r w:rsidRPr="00006675">
        <w:rPr>
          <w:rFonts w:eastAsia="Times New Roman"/>
        </w:rPr>
        <w:t>Margaret Thatcher's Attitude on the Falklands War</w:t>
      </w:r>
    </w:p>
    <w:p w14:paraId="7FEC027B" w14:textId="77777777" w:rsidR="00006675" w:rsidRDefault="00006675">
      <w:pPr>
        <w:spacing w:line="276" w:lineRule="auto"/>
        <w:rPr>
          <w:rFonts w:eastAsia="Times New Roman" w:cs="Times New Roman"/>
          <w:b/>
          <w:bCs/>
          <w:szCs w:val="24"/>
        </w:rPr>
      </w:pPr>
      <w:r>
        <w:rPr>
          <w:rFonts w:eastAsia="Times New Roman" w:cs="Times New Roman"/>
          <w:b/>
          <w:bCs/>
          <w:szCs w:val="24"/>
        </w:rPr>
        <w:br w:type="page"/>
      </w:r>
    </w:p>
    <w:p w14:paraId="1C282A63" w14:textId="77777777" w:rsidR="00006675" w:rsidRPr="00373846" w:rsidRDefault="00006675" w:rsidP="00373846">
      <w:pPr>
        <w:pStyle w:val="Heading1"/>
        <w:rPr>
          <w:rFonts w:eastAsia="Times New Roman" w:cs="Times New Roman"/>
          <w:szCs w:val="24"/>
        </w:rPr>
      </w:pPr>
      <w:r w:rsidRPr="00006675">
        <w:rPr>
          <w:rFonts w:eastAsia="Times New Roman"/>
        </w:rPr>
        <w:lastRenderedPageBreak/>
        <w:t>Introduction</w:t>
      </w:r>
    </w:p>
    <w:p w14:paraId="4BEEDBA0" w14:textId="77777777" w:rsidR="00006675" w:rsidRPr="00006675" w:rsidRDefault="00006675" w:rsidP="00006675">
      <w:r w:rsidRPr="00006675">
        <w:t>Thatcher is engraved in the UNHCR's history as the first female Prime Minister of the United Kingdom because of her general audacious and rigid approaches to politics, economic liberalization, and national sovereignty. Arguably, the most significant event of her premiership was the Falklands War of 1982, which not only forms the core of her political retrospect but also reveals aspects of her larger political agenda. The way Thatcher managed the war proved that she was fully aware of British needs and her ability to decisively influence the destiny of the nation's frontier and politics. Argentina had laid a claim on the Falklands, an archipelago situated far away in the South Atlantic, and its military takeover threatened Britain's territories</w:t>
      </w:r>
      <w:r w:rsidR="00406F8C">
        <w:t xml:space="preserve"> (</w:t>
      </w:r>
      <w:proofErr w:type="spellStart"/>
      <w:r w:rsidR="00406F8C">
        <w:t>Levie</w:t>
      </w:r>
      <w:proofErr w:type="spellEnd"/>
      <w:r w:rsidR="00406F8C">
        <w:t>, 2021)</w:t>
      </w:r>
      <w:r w:rsidRPr="00006675">
        <w:t xml:space="preserve">. Thatcher's first reaction to the situation was to dispatch a naval aircraft carrier group to seize the islands, demonstrating that she was ready to defend Great Britain against outside aggression, whatever the cost. </w:t>
      </w:r>
    </w:p>
    <w:p w14:paraId="256C63CA" w14:textId="77777777" w:rsidR="00006675" w:rsidRPr="00006675" w:rsidRDefault="00006675" w:rsidP="00006675">
      <w:r w:rsidRPr="00006675">
        <w:t>This work is dedicated to analyzing Thatcher's attitude towards the Falklands War and how her approach to this conflict corresponded to her political and strategic beliefs and vision of Great Britain as a global player. It will look at her personality, particularly her leadership style and the tenacity that got her the Iron Lady nickname. The essay also evaluates the outcome of her decisions during the war regarding both the military achievement and the aftermath. It analyzes how the Falklands War redrew Thatcher's image and altered the future course of British politics.</w:t>
      </w:r>
    </w:p>
    <w:p w14:paraId="4A3D0DFB" w14:textId="77777777" w:rsidR="00006675" w:rsidRDefault="00406F8C" w:rsidP="00006675">
      <w:pPr>
        <w:pStyle w:val="Heading1"/>
        <w:rPr>
          <w:rFonts w:eastAsia="Times New Roman"/>
        </w:rPr>
      </w:pPr>
      <w:r>
        <w:rPr>
          <w:rFonts w:eastAsia="Times New Roman"/>
        </w:rPr>
        <w:t>Thatcher’s Attitude t</w:t>
      </w:r>
      <w:r w:rsidR="00006675" w:rsidRPr="00006675">
        <w:rPr>
          <w:rFonts w:eastAsia="Times New Roman"/>
        </w:rPr>
        <w:t>owards the Falklands War</w:t>
      </w:r>
    </w:p>
    <w:p w14:paraId="234E289B" w14:textId="77777777" w:rsidR="008431A5" w:rsidRDefault="008431A5" w:rsidP="00406F8C">
      <w:r>
        <w:t xml:space="preserve">Margaret Thatcher's reaction to the Argentinean invasion of the Falklands in April 1982 was equally firm and swift and built up from the principles of her right-wing politics. Right from that time, Thatcher portrayed the issue as a question of national pride and sovereignty of Britain. Her </w:t>
      </w:r>
      <w:r w:rsidR="00406F8C">
        <w:lastRenderedPageBreak/>
        <w:t xml:space="preserve">stance was clear: </w:t>
      </w:r>
      <w:r>
        <w:t>the United Kingdom would not allow aggression, irrespective of how peripheral the territory in question may be. For her, the Falklands was not just a question of who owned what piece of land but of Britain's absolute right to have a say in the world's affairs</w:t>
      </w:r>
      <w:r w:rsidR="00406F8C">
        <w:t xml:space="preserve"> (Coll, 2021)</w:t>
      </w:r>
      <w:r>
        <w:t xml:space="preserve">. Her decision to </w:t>
      </w:r>
      <w:proofErr w:type="spellStart"/>
      <w:r>
        <w:t>despatch</w:t>
      </w:r>
      <w:proofErr w:type="spellEnd"/>
      <w:r>
        <w:t xml:space="preserve"> a military task force to the South Atlantic followed the swift process of thinking that any aggression to British territory should be repudiated immediately.</w:t>
      </w:r>
    </w:p>
    <w:p w14:paraId="087894A9" w14:textId="77777777" w:rsidR="008431A5" w:rsidRDefault="008431A5" w:rsidP="008431A5">
      <w:r>
        <w:t>The hard-line Thatcher also correlates with her beliefs that the policy of foreign policy should be to regain the former status of Great Britain after a failure during the post-war period. In the 1970s, Britain experienced an economic decline and faced significant issues regarding imperialism. Mrs. Thatcher, who came to power 1979 as head of a Conservative government, believed Britain's lack of confidence, economic strength, and international influence required urgent correction</w:t>
      </w:r>
      <w:r w:rsidR="00406F8C">
        <w:t xml:space="preserve"> (Whisker, 2020)</w:t>
      </w:r>
      <w:r>
        <w:t>. The Falklands was, therefore, not just about the defense of a small group of islands but was also a reminder that Britain was still a world power, capable of projecting power and standing its ground in its principles. In this context, Thatcher's reaction to the Argentine invasion was based not only on the defense of the British's geographical rights but also on its essential identity.</w:t>
      </w:r>
    </w:p>
    <w:p w14:paraId="14EBBC69" w14:textId="77777777" w:rsidR="008431A5" w:rsidRDefault="008431A5" w:rsidP="008431A5">
      <w:r>
        <w:t xml:space="preserve">Further, Thatcher put special emphasis on the </w:t>
      </w:r>
      <w:proofErr w:type="spellStart"/>
      <w:r>
        <w:t>Britain'sBritain's</w:t>
      </w:r>
      <w:proofErr w:type="spellEnd"/>
      <w:r>
        <w:t xml:space="preserve"> overseas interests and its power projection across the world. More to the point, her stance on the Falklands was related to her larger political agenda, which originated in the principles of neoliberalism, sovereignty, and strength. Margaret </w:t>
      </w:r>
      <w:proofErr w:type="spellStart"/>
      <w:r>
        <w:t>Thatcher'sThatcher's</w:t>
      </w:r>
      <w:proofErr w:type="spellEnd"/>
      <w:r>
        <w:t xml:space="preserve"> administration, which rose to power with a plan of rejuvenating the economic position of Great Britain with the help of neo-liberal treaties, understood that the reoccupation of the Falklands would help increase self-identification and express the political power's competence effectively. During the war, she led with the belief that </w:t>
      </w:r>
      <w:r>
        <w:lastRenderedPageBreak/>
        <w:t xml:space="preserve">she firmly had about Great Britain: that the nation should not be viewed as powerless or reluctant to defend its sovereignty. </w:t>
      </w:r>
    </w:p>
    <w:p w14:paraId="32A7D7A5" w14:textId="77777777" w:rsidR="008431A5" w:rsidRDefault="008431A5" w:rsidP="008431A5">
      <w:r>
        <w:t xml:space="preserve">However, it is not only the decisive actions and uncompromising position on the question of the Falklands' independence that characteristic of Thatcher; her military actions during the conflict were rather pragmatic and hands-on at the same time. Unlike what is expected of her as a Prime Minister, she was not a leader who delegated important tasks; she was involved in military planning, too. While leading Britain during the war, she was a vigorous, responsible decision-maker who collaborated with her military consultants and authorities, including the Ministry of Defense and senior British officers, to achieve the British goals. </w:t>
      </w:r>
    </w:p>
    <w:p w14:paraId="6C08A410" w14:textId="77777777" w:rsidR="008431A5" w:rsidRDefault="008431A5" w:rsidP="008431A5">
      <w:r>
        <w:t xml:space="preserve">One of </w:t>
      </w:r>
      <w:proofErr w:type="spellStart"/>
      <w:r>
        <w:t>Thatcher'sThatcher's</w:t>
      </w:r>
      <w:proofErr w:type="spellEnd"/>
      <w:r>
        <w:t xml:space="preserve"> key successful attributes is the ability to mobilize British forces. The response task force sent to the South Atlantic was well over one hundred vessels, thousands of staff, and several aircraft that needed to travel over eight thousand miles of sea to reach the Falklands. The latter secured logistical assistance from Thatcher from the United States, which was incredibly instrumental in accomplishing the mission. With the support of the United States, the UK could sustain operations in the South Atlantic despite the distance and the need to support a supply line. </w:t>
      </w:r>
    </w:p>
    <w:p w14:paraId="228AF2D3" w14:textId="77777777" w:rsidR="008431A5" w:rsidRDefault="008431A5" w:rsidP="008431A5">
      <w:r>
        <w:t>Thatcher's military plan utilized perhaps the most significant way the United Kingdom could fight a war – the Royal Navy, everybody's shield, and Geffen's spear in liberating both islands. The primary type of equipment that the British put into their campaign included aircraft carriers, destroying submarines, and many others. The British fleet was strategically positioned to form a round the Falklands and dominion over the air space. The event that the Navy participated in depicted Thatcher's confidence in using force to protect global order and national integrity.</w:t>
      </w:r>
    </w:p>
    <w:p w14:paraId="4792499D" w14:textId="77777777" w:rsidR="00006675" w:rsidRPr="00006675" w:rsidRDefault="008431A5" w:rsidP="008431A5">
      <w:r>
        <w:lastRenderedPageBreak/>
        <w:t>The determination to go for a military solution despite high costs proved beyond doubt her ironclad conviction that Britain must protect its sovereignty</w:t>
      </w:r>
      <w:r w:rsidR="00406F8C">
        <w:t xml:space="preserve"> (English, 2021)</w:t>
      </w:r>
      <w:r>
        <w:t>. The triumph of the army campaign, a British expedition to the Falklands, also confirmed the effectiveness of Thatcher's approach and strengthened her position. To reiterate, the kind of war that might have pitted independence for secession and inland for adjournment delivered an outstanding political and military triumph to Britain. Thatcher's management of the war increased her popularity, further entrenched her within the Conservative Party, and single-handedly turned her into something universally celebrated in Britain: the infamous "Iron Lady".</w:t>
      </w:r>
    </w:p>
    <w:p w14:paraId="521EF861" w14:textId="77777777" w:rsidR="00006675" w:rsidRDefault="00006675" w:rsidP="008431A5">
      <w:pPr>
        <w:pStyle w:val="Heading1"/>
        <w:rPr>
          <w:rFonts w:eastAsia="Times New Roman"/>
        </w:rPr>
      </w:pPr>
      <w:r w:rsidRPr="00006675">
        <w:rPr>
          <w:rFonts w:eastAsia="Times New Roman"/>
        </w:rPr>
        <w:t>Thatcher’s Broader Political Project</w:t>
      </w:r>
    </w:p>
    <w:p w14:paraId="092B941B" w14:textId="77777777" w:rsidR="00FB2A16" w:rsidRDefault="00FB2A16" w:rsidP="00FB2A16">
      <w:r>
        <w:t>The Falklands War was more than a military adventure; it was an element in Margaret Thatcher's political agenda of ordering a renewal of Britain's national feeling and rising international profile. The uncompromising response to the Falklands crisis appealed to Thatcher, who aimed to enhance Britain's economic power and its role in the world after the complacent nineteen seventies</w:t>
      </w:r>
      <w:r w:rsidR="00406F8C">
        <w:t xml:space="preserve"> (Lack, 2021)</w:t>
      </w:r>
      <w:r>
        <w:t>. For Thatcher, more than responding to Argentine aggression, the decision to remain firm on the Falklands was also about the future that she wanted for the country that had only recently seen economic stagnation, high inflation rates, and labor unrest. Thus, when defending the Falklands, Thatcher mapped the embodiment of her British political resolve onto a program of neoliberal economic reform.</w:t>
      </w:r>
    </w:p>
    <w:p w14:paraId="67DD94BE" w14:textId="77777777" w:rsidR="00FB2A16" w:rsidRDefault="00FB2A16" w:rsidP="00FB2A16">
      <w:r>
        <w:t>Through her beliefs, Thatcher was willing to support the Falkland Islanders and her broader internationalist ideology, which was based on domestic and global sovereignty, force, and strength. Being a staunch neoliberal, Thatcher regarded the post-war downturn in Britain, or the decline in its power, as reactionary to economic stasis and, more broadly, economic liberalization</w:t>
      </w:r>
      <w:r w:rsidR="00406F8C">
        <w:t xml:space="preserve"> </w:t>
      </w:r>
      <w:r w:rsidR="00406F8C">
        <w:lastRenderedPageBreak/>
        <w:t>(Tomlinson, 2021)</w:t>
      </w:r>
      <w:r>
        <w:t xml:space="preserve">. This, she believed, required Britain to rebuild its military force to regain the status of a world superpower. To Thatcher, military power is not just about the state's border protection but also about power projection, as Britain did. She thought the Falklands could serve </w:t>
      </w:r>
      <w:proofErr w:type="gramStart"/>
      <w:r>
        <w:t>as a way to</w:t>
      </w:r>
      <w:proofErr w:type="gramEnd"/>
      <w:r>
        <w:t xml:space="preserve"> show that Britain could fully defend itself and fight back, no matter how much the world may have changed and how small the place was. Thus, the Falklands War itself got translated into an icon of the kind of confrontational, assertive new Britain Thatcher was keen to tell the outside world.</w:t>
      </w:r>
    </w:p>
    <w:p w14:paraId="3AA01B0F" w14:textId="77777777" w:rsidR="00FB2A16" w:rsidRDefault="00FB2A16" w:rsidP="00FB2A16">
      <w:r>
        <w:t>In that regard, it was, therefore, the triumph of the Falklands War that helped Thatcher's political agenda. This war concluded on a victorious note for Britain to prove Thatcher's government's operational capabilities and resolve to decide on the British interest</w:t>
      </w:r>
      <w:r w:rsidR="00406F8C">
        <w:t xml:space="preserve"> (Sohaib, 2023)</w:t>
      </w:r>
      <w:r>
        <w:t>. The success was not only military but political too, because, after the victory, the government of Thatcher got more credit and acknowledgment as a strong and efficient powerful head. It considerably muted those voices that had earlier challenged her managerial skills at the national and international levels and offered a precise model of the improvement she had set the nation's image for. Talking about 'Punching above one's weight,' the Falklands War reassured Thatcher of Britain's ability to shape the world as she wanted.</w:t>
      </w:r>
    </w:p>
    <w:p w14:paraId="2B3AE6B7" w14:textId="77777777" w:rsidR="00FB2A16" w:rsidRDefault="00FB2A16" w:rsidP="00FB2A16">
      <w:r>
        <w:t>However, the Falklands War also offered Thatcher an excellent ve</w:t>
      </w:r>
      <w:r w:rsidR="00406F8C">
        <w:t xml:space="preserve">nue for a display of government </w:t>
      </w:r>
      <w:r>
        <w:t>highlight</w:t>
      </w:r>
      <w:r w:rsidR="00406F8C">
        <w:t>s political and militarily endothermic</w:t>
      </w:r>
      <w:r>
        <w:t xml:space="preserve">. As a result, the Falklands War gave Thatcher an additional political asset and a chance to knit NATO and reinforce her person for cease. At the beginning of the 1970s, Britain witnessed an unsettled political economy and a decline in industries, which helped to produce a climate of national uncertainties. This promised people's trust in the government institutions, which was spoiled, and the country seemed to leave positions in the international ranking. While the Falklands was a victory that took Britain to the </w:t>
      </w:r>
      <w:r>
        <w:lastRenderedPageBreak/>
        <w:t>victory point, Thatcher restored Britain's pride and supported her so much. For her, the war opened the opportunity to switch from the contexts of the 1970s and use her persona as a materialization of the new, post-industrial, invincibly powerful Britain</w:t>
      </w:r>
      <w:r w:rsidR="00406F8C">
        <w:t xml:space="preserve"> (Li, 2021)</w:t>
      </w:r>
      <w:r>
        <w:t>.</w:t>
      </w:r>
    </w:p>
    <w:p w14:paraId="0DB1D346" w14:textId="77777777" w:rsidR="00FB2A16" w:rsidRPr="00FB2A16" w:rsidRDefault="00FB2A16" w:rsidP="00FB2A16">
      <w:r>
        <w:t xml:space="preserve">Margaret Thatcher seized on more traditional Tory triumphalist themes such as patriotism, strength, and unity, which many people in Britain still felt comfortable with. The war was capable of provoking patriotism worldwide, but in Britain, people felt patriotic by hoisting the Union Jack and believing in the strength of the British Army. The incident exposed Thatcher as a leader defending the British SOCA's values, with the leadership portraying the </w:t>
      </w:r>
      <w:proofErr w:type="spellStart"/>
      <w:r>
        <w:t>Labour</w:t>
      </w:r>
      <w:proofErr w:type="spellEnd"/>
      <w:r>
        <w:t xml:space="preserve"> government as weak. The victory gained by Britain in the Falklands War provided her the leverage required to implement the policies she wanted at home: the privatization, deregulation, and emasculation of the trade unions, which went hand in hand with the political program associated with her name.</w:t>
      </w:r>
    </w:p>
    <w:p w14:paraId="7A02E145" w14:textId="77777777" w:rsidR="00006675" w:rsidRDefault="00006675" w:rsidP="00FB2A16">
      <w:pPr>
        <w:pStyle w:val="Heading1"/>
        <w:rPr>
          <w:rFonts w:eastAsia="Times New Roman"/>
        </w:rPr>
      </w:pPr>
      <w:r w:rsidRPr="00006675">
        <w:rPr>
          <w:rFonts w:eastAsia="Times New Roman"/>
        </w:rPr>
        <w:t>The Effectiveness and Impact of Thatcher’s Position</w:t>
      </w:r>
    </w:p>
    <w:p w14:paraId="5B8900C9" w14:textId="77777777" w:rsidR="007308CC" w:rsidRDefault="007308CC" w:rsidP="007308CC">
      <w:r>
        <w:t>People judge Thatcher quite positively regarding war management, especially how she managed the Falklands War from a military and managerial perspective. The victory the British enjoyed in reclaiming the Falkland from Argentina within ten weeks was a clear indication of Thatcher’s stern leadership coupled with the perspicacious efficiency of the British forces. Even in a purely military accomplishment, victory restored outstanding effectiveness. Additionally, the PQ was a political triumph that brought Thatcher soaring popularity and even more firmly cemented support for her as Prime Minister of Britain. This action supported her image as a decisive and competent leader ready to take advantage of the British.</w:t>
      </w:r>
    </w:p>
    <w:p w14:paraId="31F00E70" w14:textId="77777777" w:rsidR="007308CC" w:rsidRDefault="007308CC" w:rsidP="007308CC">
      <w:r>
        <w:lastRenderedPageBreak/>
        <w:t xml:space="preserve">The political implications of the Falklands War were as follows. In particular, it was always helpful to Thatcher in 1983 when she successfully contested the election for the fourth time. They explained that before the conflict, Thatcher, as the Prime Minister of the United Kingdom, had her Challenge domestically, where she received most of her criticism from the </w:t>
      </w:r>
      <w:proofErr w:type="spellStart"/>
      <w:r>
        <w:t>Labour</w:t>
      </w:r>
      <w:proofErr w:type="spellEnd"/>
      <w:r>
        <w:t xml:space="preserve"> Party and some of her Conservative Party colleagues</w:t>
      </w:r>
      <w:r w:rsidR="00406F8C">
        <w:t xml:space="preserve"> (</w:t>
      </w:r>
      <w:proofErr w:type="spellStart"/>
      <w:r w:rsidR="00406F8C">
        <w:t>Chahra</w:t>
      </w:r>
      <w:proofErr w:type="spellEnd"/>
      <w:r w:rsidR="00406F8C">
        <w:t>, 2023)</w:t>
      </w:r>
      <w:r>
        <w:t>. The outcome of the military campaign helped her gain approval among the voters, regaling her with the status of a decisive leader. Backing for Thatcher increased, and in the June 1983 general election, the Conservative Party recorded a very big win, thus giving Thatcher both political authority and a new mandate to pursue her domestic and economic policies. The war gave her the political leverage to carry forward her program.</w:t>
      </w:r>
    </w:p>
    <w:p w14:paraId="6166BC59" w14:textId="77777777" w:rsidR="007308CC" w:rsidRDefault="007308CC" w:rsidP="007308CC">
      <w:r>
        <w:t>Second, the Falklands War shaped Britain’s strategic vision for the future into the present time. It was shown that Britain was again prepared to defend its territories and possessions with armed force in a military expedition. Her response stressed the necessity of retaining a sufficiently powerful military capability to deter potential adversaries – a weakness of NATO exposed when the Argentine junta seized the Falklands, a South Atlantic dependency vital to Britain. The war established the theme of future wars and backed up the doctrine of Britain holding and protecting its overseas possessions, thereby maintaining Britain as a global force and staging a strong and prepared standing army.</w:t>
      </w:r>
    </w:p>
    <w:p w14:paraId="3D547E1F" w14:textId="77777777" w:rsidR="00FB2A16" w:rsidRPr="00FB2A16" w:rsidRDefault="007308CC" w:rsidP="007308CC">
      <w:r>
        <w:t>Last, the Falklands War contributed to the shifting of energetic political agenda within the 1980s. It proved that the UK still had the potential to deploy an armed force and manage its external protection interests successfully. The conflict cemented Thatcher’s vision of a robust Britain, regardless of global measures holding any power to frighten it</w:t>
      </w:r>
      <w:r w:rsidR="00406F8C">
        <w:t xml:space="preserve"> (</w:t>
      </w:r>
      <w:proofErr w:type="spellStart"/>
      <w:r w:rsidR="00406F8C">
        <w:t>Tinline</w:t>
      </w:r>
      <w:proofErr w:type="spellEnd"/>
      <w:r w:rsidR="00406F8C">
        <w:t>, 2021)</w:t>
      </w:r>
      <w:r>
        <w:t xml:space="preserve">. The victory recast </w:t>
      </w:r>
      <w:r>
        <w:lastRenderedPageBreak/>
        <w:t>Britain’s position in the Cold War world and reassured Thatcher that force was needed as the ultimate arbiter of national and international power.</w:t>
      </w:r>
    </w:p>
    <w:p w14:paraId="6D77324B" w14:textId="77777777" w:rsidR="00006675" w:rsidRPr="00006675" w:rsidRDefault="00006675" w:rsidP="00006675">
      <w:pPr>
        <w:pStyle w:val="Heading1"/>
        <w:rPr>
          <w:rFonts w:eastAsia="Times New Roman"/>
        </w:rPr>
      </w:pPr>
      <w:r w:rsidRPr="00006675">
        <w:rPr>
          <w:rFonts w:eastAsia="Times New Roman"/>
        </w:rPr>
        <w:t>Conclusion</w:t>
      </w:r>
    </w:p>
    <w:p w14:paraId="10D14895" w14:textId="77777777" w:rsidR="00006675" w:rsidRDefault="00006675" w:rsidP="00006675">
      <w:r>
        <w:t>The war was one of Thatcher’s wheels in her political career as it demonstrated her uncompromising attitude to sovereignty and brilliance in diplomacy regarding military operations. However, her major feat was reinventing Britain as a world power. We see in Thatcher’s reaction to the war deep-seated belief in the efficacy of strength, the necessity of armed intervention when confronting national interest, and decisive measures to safeguard the sovereignty of Britain. The conflict, which began with Argentina’s incursion in the Falkland Islands, was not to capture an abandoned territory but to determine the ability and willingness of Britain to respond to outside provocation. Shortly after Thatcher came to power, a British task force was dispatched in an attempt to retake the islands because, in Thatcher’s mind, Britain had to assert herself as a significant world power, it must go it alone and must be able to stand up for its territory as do other nations.</w:t>
      </w:r>
    </w:p>
    <w:p w14:paraId="47DA2DCE" w14:textId="77777777" w:rsidR="00CF247B" w:rsidRDefault="00006675" w:rsidP="00006675">
      <w:r>
        <w:t xml:space="preserve">The strategy she assumed during the war in the country greatly influenced British politics for years. The superb military operation, particularly the successful outcome of the Falklands crisis, considerably raised her standing, making her a personal political asset and securing another term as Prime Minister. The war also strengthened her position in the Conservative Party; they presented her as a strong and determined woman who would not let the situation affect her decisions. In addition, the Falklands conflict contributed to the changes made to British foreign policy in establishing the maximalist values of power in protecting national interests. At last, the conflict in the Falklands was crucial in the shaping of the key concepts of the British </w:t>
      </w:r>
      <w:r>
        <w:lastRenderedPageBreak/>
        <w:t>Conservative Party to which Thatcher belonged and served to codify the Reagan-</w:t>
      </w:r>
      <w:proofErr w:type="spellStart"/>
      <w:r>
        <w:t>esque</w:t>
      </w:r>
      <w:proofErr w:type="spellEnd"/>
      <w:r>
        <w:t xml:space="preserve"> neoliberal party line of the conservative party: a desire for and readiness to fight for what the British refer to as the ‘national interest’ which in effect reinforced Thatcher’s moniker in Britain as the ‘Iron Lady’ within the British political scene.</w:t>
      </w:r>
    </w:p>
    <w:p w14:paraId="181C2216" w14:textId="77777777" w:rsidR="00406F8C" w:rsidRDefault="00406F8C">
      <w:pPr>
        <w:spacing w:line="276" w:lineRule="auto"/>
      </w:pPr>
      <w:r>
        <w:br w:type="page"/>
      </w:r>
    </w:p>
    <w:p w14:paraId="0A546F33" w14:textId="77777777" w:rsidR="00406F8C" w:rsidRDefault="00406F8C" w:rsidP="00406F8C">
      <w:pPr>
        <w:pStyle w:val="Heading1"/>
      </w:pPr>
      <w:r>
        <w:lastRenderedPageBreak/>
        <w:t xml:space="preserve">References </w:t>
      </w:r>
    </w:p>
    <w:p w14:paraId="643ABCC2" w14:textId="77777777" w:rsidR="00406F8C" w:rsidRDefault="00406F8C" w:rsidP="00406F8C">
      <w:proofErr w:type="spellStart"/>
      <w:r>
        <w:t>Levie</w:t>
      </w:r>
      <w:proofErr w:type="spellEnd"/>
      <w:r>
        <w:t>, H.S., 2021. The Falklands Crisis and the Laws of War. In: The Falklands War. Routledge, pp. 64–78.</w:t>
      </w:r>
    </w:p>
    <w:p w14:paraId="3C685863" w14:textId="77777777" w:rsidR="00406F8C" w:rsidRDefault="00406F8C" w:rsidP="00406F8C">
      <w:r>
        <w:t>Coll, A.R., 2021. Philosophical and Legal Dimensions of the Use of Force in the Falklands War. In: The Falklands War. Routledge, pp. 34–51.</w:t>
      </w:r>
    </w:p>
    <w:p w14:paraId="0A1395C0" w14:textId="77777777" w:rsidR="00406F8C" w:rsidRDefault="00406F8C" w:rsidP="00406F8C">
      <w:r>
        <w:t xml:space="preserve">Whisker, B.L., 2020. Explaining departures from New-Right ideology in Conservative Party </w:t>
      </w:r>
      <w:proofErr w:type="gramStart"/>
      <w:r>
        <w:t>policy-making</w:t>
      </w:r>
      <w:proofErr w:type="gramEnd"/>
      <w:r>
        <w:t xml:space="preserve"> under Thatcher's leadership, 1975–1990: the role of institutional and electoral considerations. Ph.D. thesis, University of York.</w:t>
      </w:r>
    </w:p>
    <w:p w14:paraId="2C649AAD" w14:textId="77777777" w:rsidR="00406F8C" w:rsidRDefault="00406F8C" w:rsidP="00406F8C">
      <w:r>
        <w:t>English, A.R., 2021. The Laird Rams: Britain's Ironclads Built for the Confederacy, 1862–1923. McFarland.</w:t>
      </w:r>
    </w:p>
    <w:p w14:paraId="2A8EB3F8" w14:textId="77777777" w:rsidR="00406F8C" w:rsidRDefault="00406F8C" w:rsidP="00406F8C">
      <w:r>
        <w:t>Lack, E.H., 2020. ‘Opposition-Craft’: An Evaluative Framework for Official Opposition Parties in the United Kingdom. Ph.D. thesis, University of Leeds.</w:t>
      </w:r>
    </w:p>
    <w:p w14:paraId="3F9AF1C2" w14:textId="77777777" w:rsidR="00406F8C" w:rsidRDefault="00406F8C" w:rsidP="00406F8C">
      <w:r>
        <w:t>Tomlinson, J., 2021. The strange survival of ‘embedded liberalism’: National economic management and globalization in Britain from 1944. Twentieth Century British History, 32(4), pp. 483–508.</w:t>
      </w:r>
    </w:p>
    <w:p w14:paraId="36396FF3" w14:textId="77777777" w:rsidR="00406F8C" w:rsidRDefault="00406F8C" w:rsidP="00406F8C">
      <w:r>
        <w:t>Sohaib, Z.O.U.Z.O.U., 2023. The Economic and Social Effectiveness of Margaret Thatcher in United Kingdom.</w:t>
      </w:r>
    </w:p>
    <w:p w14:paraId="54889A43" w14:textId="77777777" w:rsidR="00406F8C" w:rsidRDefault="00406F8C" w:rsidP="00406F8C">
      <w:r>
        <w:t>Li, Y., 2021. Margins of The City: Urban Masculinity and Identity Politics in British Social-Realist Queer Cinema.</w:t>
      </w:r>
    </w:p>
    <w:p w14:paraId="1792E624" w14:textId="77777777" w:rsidR="00406F8C" w:rsidRDefault="00406F8C" w:rsidP="00406F8C">
      <w:proofErr w:type="spellStart"/>
      <w:r>
        <w:lastRenderedPageBreak/>
        <w:t>Chahra</w:t>
      </w:r>
      <w:proofErr w:type="spellEnd"/>
      <w:r>
        <w:t>, G., 2023. The Economic and Political Influence of Margaret Thatcher’s Legacy on Toni Blair’s Leadership (1979–2007).</w:t>
      </w:r>
    </w:p>
    <w:p w14:paraId="7993B8D5" w14:textId="77777777" w:rsidR="00406F8C" w:rsidRPr="00406F8C" w:rsidRDefault="00406F8C" w:rsidP="00406F8C">
      <w:proofErr w:type="spellStart"/>
      <w:r>
        <w:t>Tinline</w:t>
      </w:r>
      <w:proofErr w:type="spellEnd"/>
      <w:r>
        <w:t>, P., 2022. The Death of Consensus: 100 Years of British Political Nightmares. Hurst Publishers.</w:t>
      </w:r>
    </w:p>
    <w:p w14:paraId="3326C7B4" w14:textId="77777777" w:rsidR="00406F8C" w:rsidRPr="00406F8C" w:rsidRDefault="00406F8C" w:rsidP="00406F8C"/>
    <w:sectPr w:rsidR="00406F8C" w:rsidRPr="00406F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675"/>
    <w:rsid w:val="00006675"/>
    <w:rsid w:val="00236968"/>
    <w:rsid w:val="002B7CA2"/>
    <w:rsid w:val="00373846"/>
    <w:rsid w:val="003960D2"/>
    <w:rsid w:val="00406F8C"/>
    <w:rsid w:val="00697B85"/>
    <w:rsid w:val="007308CC"/>
    <w:rsid w:val="008431A5"/>
    <w:rsid w:val="00C1132E"/>
    <w:rsid w:val="00CF247B"/>
    <w:rsid w:val="00FB2A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C8498"/>
  <w15:docId w15:val="{89AC2709-FF11-AE4F-8E51-5A4E6BBAA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0D2"/>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3960D2"/>
    <w:pPr>
      <w:keepNext/>
      <w:keepLines/>
      <w:spacing w:before="480" w:after="0"/>
      <w:outlineLvl w:val="0"/>
    </w:pPr>
    <w:rPr>
      <w:rFonts w:asciiTheme="majorBidi" w:eastAsiaTheme="majorEastAsia" w:hAnsiTheme="majorBidi" w:cstheme="majorBidi"/>
      <w:b/>
      <w:bCs/>
      <w:color w:val="000000" w:themeColor="text1"/>
      <w:sz w:val="28"/>
      <w:szCs w:val="28"/>
    </w:rPr>
  </w:style>
  <w:style w:type="paragraph" w:styleId="Heading2">
    <w:name w:val="heading 2"/>
    <w:basedOn w:val="Normal"/>
    <w:next w:val="Normal"/>
    <w:link w:val="Heading2Char"/>
    <w:uiPriority w:val="9"/>
    <w:semiHidden/>
    <w:unhideWhenUsed/>
    <w:qFormat/>
    <w:rsid w:val="003960D2"/>
    <w:pPr>
      <w:keepNext/>
      <w:keepLines/>
      <w:spacing w:before="200" w:after="0"/>
      <w:outlineLvl w:val="1"/>
    </w:pPr>
    <w:rPr>
      <w:rFonts w:asciiTheme="majorBidi" w:eastAsiaTheme="majorEastAsia" w:hAnsiTheme="majorBidi" w:cstheme="majorBidi"/>
      <w:b/>
      <w:bCs/>
      <w:color w:val="000000" w:themeColor="text1"/>
      <w:sz w:val="26"/>
      <w:szCs w:val="26"/>
    </w:rPr>
  </w:style>
  <w:style w:type="paragraph" w:styleId="Heading3">
    <w:name w:val="heading 3"/>
    <w:basedOn w:val="Normal"/>
    <w:next w:val="Normal"/>
    <w:link w:val="Heading3Char"/>
    <w:uiPriority w:val="9"/>
    <w:unhideWhenUsed/>
    <w:qFormat/>
    <w:rsid w:val="003960D2"/>
    <w:pPr>
      <w:keepNext/>
      <w:keepLines/>
      <w:spacing w:before="200" w:after="0"/>
      <w:outlineLvl w:val="2"/>
    </w:pPr>
    <w:rPr>
      <w:rFonts w:asciiTheme="majorBidi" w:eastAsiaTheme="majorEastAsia" w:hAnsiTheme="majorBidi" w:cstheme="majorBidi"/>
      <w:b/>
      <w:bCs/>
      <w:i/>
    </w:rPr>
  </w:style>
  <w:style w:type="paragraph" w:styleId="Heading4">
    <w:name w:val="heading 4"/>
    <w:basedOn w:val="Normal"/>
    <w:next w:val="Normal"/>
    <w:link w:val="Heading4Char"/>
    <w:uiPriority w:val="9"/>
    <w:unhideWhenUsed/>
    <w:qFormat/>
    <w:rsid w:val="003960D2"/>
    <w:pPr>
      <w:keepNext/>
      <w:keepLines/>
      <w:spacing w:before="200" w:after="0"/>
      <w:outlineLvl w:val="3"/>
    </w:pPr>
    <w:rPr>
      <w:rFonts w:asciiTheme="majorBidi" w:eastAsiaTheme="majorEastAsia" w:hAnsiTheme="majorBidi" w:cstheme="majorBidi"/>
      <w:b/>
      <w:bCs/>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0D2"/>
    <w:rPr>
      <w:rFonts w:asciiTheme="majorBidi" w:eastAsiaTheme="majorEastAsia" w:hAnsiTheme="majorBidi" w:cstheme="majorBidi"/>
      <w:b/>
      <w:bCs/>
      <w:color w:val="000000" w:themeColor="text1"/>
      <w:sz w:val="28"/>
      <w:szCs w:val="28"/>
    </w:rPr>
  </w:style>
  <w:style w:type="character" w:customStyle="1" w:styleId="Heading2Char">
    <w:name w:val="Heading 2 Char"/>
    <w:basedOn w:val="DefaultParagraphFont"/>
    <w:link w:val="Heading2"/>
    <w:uiPriority w:val="9"/>
    <w:semiHidden/>
    <w:rsid w:val="003960D2"/>
    <w:rPr>
      <w:rFonts w:asciiTheme="majorBidi" w:eastAsiaTheme="majorEastAsia" w:hAnsiTheme="majorBidi" w:cstheme="majorBidi"/>
      <w:b/>
      <w:bCs/>
      <w:color w:val="000000" w:themeColor="text1"/>
      <w:sz w:val="26"/>
      <w:szCs w:val="26"/>
    </w:rPr>
  </w:style>
  <w:style w:type="character" w:customStyle="1" w:styleId="Heading3Char">
    <w:name w:val="Heading 3 Char"/>
    <w:basedOn w:val="DefaultParagraphFont"/>
    <w:link w:val="Heading3"/>
    <w:uiPriority w:val="9"/>
    <w:rsid w:val="003960D2"/>
    <w:rPr>
      <w:rFonts w:asciiTheme="majorBidi" w:eastAsiaTheme="majorEastAsia" w:hAnsiTheme="majorBidi" w:cstheme="majorBidi"/>
      <w:b/>
      <w:bCs/>
      <w:i/>
      <w:sz w:val="24"/>
    </w:rPr>
  </w:style>
  <w:style w:type="character" w:customStyle="1" w:styleId="Heading4Char">
    <w:name w:val="Heading 4 Char"/>
    <w:basedOn w:val="DefaultParagraphFont"/>
    <w:link w:val="Heading4"/>
    <w:uiPriority w:val="9"/>
    <w:rsid w:val="003960D2"/>
    <w:rPr>
      <w:rFonts w:asciiTheme="majorBidi" w:eastAsiaTheme="majorEastAsia" w:hAnsiTheme="majorBidi" w:cstheme="majorBidi"/>
      <w:b/>
      <w:bCs/>
      <w:i/>
      <w:iCs/>
      <w:sz w:val="24"/>
      <w:u w:val="single"/>
    </w:rPr>
  </w:style>
  <w:style w:type="paragraph" w:styleId="Title">
    <w:name w:val="Title"/>
    <w:basedOn w:val="Normal"/>
    <w:next w:val="Normal"/>
    <w:link w:val="TitleChar"/>
    <w:uiPriority w:val="10"/>
    <w:qFormat/>
    <w:rsid w:val="00697B85"/>
    <w:pPr>
      <w:pBdr>
        <w:bottom w:val="single" w:sz="4" w:space="1" w:color="auto"/>
      </w:pBdr>
      <w:spacing w:line="240" w:lineRule="auto"/>
      <w:contextualSpacing/>
    </w:pPr>
    <w:rPr>
      <w:rFonts w:asciiTheme="majorBidi" w:eastAsiaTheme="majorEastAsia" w:hAnsiTheme="majorBidi" w:cstheme="majorBidi"/>
      <w:b/>
      <w:spacing w:val="5"/>
      <w:sz w:val="52"/>
      <w:szCs w:val="52"/>
    </w:rPr>
  </w:style>
  <w:style w:type="character" w:customStyle="1" w:styleId="TitleChar">
    <w:name w:val="Title Char"/>
    <w:basedOn w:val="DefaultParagraphFont"/>
    <w:link w:val="Title"/>
    <w:uiPriority w:val="10"/>
    <w:rsid w:val="00697B85"/>
    <w:rPr>
      <w:rFonts w:asciiTheme="majorBidi" w:eastAsiaTheme="majorEastAsia" w:hAnsiTheme="majorBidi" w:cstheme="majorBidi"/>
      <w:b/>
      <w:spacing w:val="5"/>
      <w:sz w:val="52"/>
      <w:szCs w:val="52"/>
      <w:lang w:val="en-GB"/>
    </w:rPr>
  </w:style>
  <w:style w:type="paragraph" w:styleId="NormalWeb">
    <w:name w:val="Normal (Web)"/>
    <w:basedOn w:val="Normal"/>
    <w:uiPriority w:val="99"/>
    <w:semiHidden/>
    <w:unhideWhenUsed/>
    <w:rsid w:val="00006675"/>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semiHidden/>
    <w:unhideWhenUsed/>
    <w:qFormat/>
    <w:rsid w:val="007308CC"/>
    <w:pPr>
      <w:spacing w:line="276" w:lineRule="auto"/>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7308CC"/>
    <w:pPr>
      <w:spacing w:after="100"/>
    </w:pPr>
  </w:style>
  <w:style w:type="character" w:styleId="Hyperlink">
    <w:name w:val="Hyperlink"/>
    <w:basedOn w:val="DefaultParagraphFont"/>
    <w:uiPriority w:val="99"/>
    <w:unhideWhenUsed/>
    <w:rsid w:val="007308CC"/>
    <w:rPr>
      <w:color w:val="0000FF" w:themeColor="hyperlink"/>
      <w:u w:val="single"/>
    </w:rPr>
  </w:style>
  <w:style w:type="paragraph" w:styleId="BalloonText">
    <w:name w:val="Balloon Text"/>
    <w:basedOn w:val="Normal"/>
    <w:link w:val="BalloonTextChar"/>
    <w:uiPriority w:val="99"/>
    <w:semiHidden/>
    <w:unhideWhenUsed/>
    <w:rsid w:val="0073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08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6108229">
      <w:bodyDiv w:val="1"/>
      <w:marLeft w:val="0"/>
      <w:marRight w:val="0"/>
      <w:marTop w:val="0"/>
      <w:marBottom w:val="0"/>
      <w:divBdr>
        <w:top w:val="none" w:sz="0" w:space="0" w:color="auto"/>
        <w:left w:val="none" w:sz="0" w:space="0" w:color="auto"/>
        <w:bottom w:val="none" w:sz="0" w:space="0" w:color="auto"/>
        <w:right w:val="none" w:sz="0" w:space="0" w:color="auto"/>
      </w:divBdr>
    </w:div>
    <w:div w:id="212411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63AC7F-FB06-4FA6-B427-D42EB16BC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2584</Words>
  <Characters>14734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Affan Abbasi</dc:creator>
  <cp:lastModifiedBy>Ibrahim Mohamed Mohamed Hussein Mohamed (2132801)</cp:lastModifiedBy>
  <cp:revision>2</cp:revision>
  <dcterms:created xsi:type="dcterms:W3CDTF">2024-12-12T14:36:00Z</dcterms:created>
  <dcterms:modified xsi:type="dcterms:W3CDTF">2024-12-12T14:36:00Z</dcterms:modified>
</cp:coreProperties>
</file>