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heme="majorHAnsi" w:hAnsiTheme="majorHAnsi" w:eastAsiaTheme="minorHAnsi" w:cstheme="majorBidi"/>
          <w:b/>
          <w:color w:val="5B9BD5" w:themeColor="accent1"/>
          <w:sz w:val="32"/>
          <w:szCs w:val="32"/>
          <w:lang w:val="en-GB"/>
          <w14:textFill>
            <w14:solidFill>
              <w14:schemeClr w14:val="accent1"/>
            </w14:solidFill>
          </w14:textFill>
        </w:rPr>
        <w:id w:val="-1522475554"/>
        <w:docPartObj>
          <w:docPartGallery w:val="autotext"/>
        </w:docPartObj>
      </w:sdtPr>
      <w:sdtEndPr>
        <w:rPr>
          <w:rFonts w:asciiTheme="majorHAnsi" w:hAnsiTheme="majorHAnsi" w:eastAsiaTheme="minorHAnsi" w:cstheme="majorBidi"/>
          <w:b/>
          <w:color w:val="000000" w:themeColor="text1"/>
          <w:sz w:val="32"/>
          <w:szCs w:val="32"/>
          <w:lang w:val="en-GB"/>
          <w14:textFill>
            <w14:solidFill>
              <w14:schemeClr w14:val="tx1"/>
            </w14:solidFill>
          </w14:textFill>
        </w:rPr>
      </w:sdtEndPr>
      <w:sdtContent>
        <w:p>
          <w:pPr>
            <w:pStyle w:val="12"/>
            <w:spacing w:before="1540" w:after="240"/>
            <w:jc w:val="center"/>
            <w:rPr>
              <w:color w:val="5B9BD5"/>
            </w:rPr>
          </w:pPr>
          <w:r>
            <w:rPr>
              <w:color w:val="5B9BD5"/>
            </w:rPr>
            <w:drawing>
              <wp:inline distT="0" distB="0" distL="114300" distR="114300">
                <wp:extent cx="1422400" cy="762000"/>
                <wp:effectExtent l="0" t="0" r="0" b="0"/>
                <wp:docPr id="3" name="Picture 14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Picture 143"/>
                        <pic:cNvPicPr>
                          <a:picLocks noGrp="1" noChangeAspect="1"/>
                        </pic:cNvPicPr>
                      </pic:nvPicPr>
                      <pic:blipFill>
                        <a:blip r:embed="rId6"/>
                        <a:stretch>
                          <a:fillRect/>
                        </a:stretch>
                      </pic:blipFill>
                      <pic:spPr>
                        <a:xfrm>
                          <a:off x="0" y="0"/>
                          <a:ext cx="1422400" cy="762000"/>
                        </a:xfrm>
                        <a:prstGeom prst="rect">
                          <a:avLst/>
                        </a:prstGeom>
                        <a:noFill/>
                        <a:ln>
                          <a:noFill/>
                        </a:ln>
                      </pic:spPr>
                    </pic:pic>
                  </a:graphicData>
                </a:graphic>
              </wp:inline>
            </w:drawing>
          </w:r>
        </w:p>
        <w:p>
          <w:pPr>
            <w:pStyle w:val="12"/>
            <w:pBdr>
              <w:top w:val="single" w:color="5B9BD5" w:sz="6" w:space="6"/>
              <w:bottom w:val="single" w:color="5B9BD5" w:sz="6" w:space="6"/>
            </w:pBdr>
            <w:spacing w:after="240"/>
            <w:jc w:val="center"/>
            <w:rPr>
              <w:rFonts w:ascii="Calibri Light" w:hAnsi="Calibri Light" w:cs="Times New Roman"/>
              <w:caps/>
              <w:color w:val="5B9BD5"/>
              <w:sz w:val="80"/>
              <w:szCs w:val="80"/>
            </w:rPr>
          </w:pPr>
          <w:r>
            <w:rPr>
              <w:rFonts w:ascii="Calibri Light" w:hAnsi="Calibri Light" w:cs="Times New Roman"/>
              <w:caps/>
              <w:color w:val="5B9BD5"/>
              <w:sz w:val="72"/>
              <w:szCs w:val="72"/>
            </w:rPr>
            <w:t xml:space="preserve">     </w:t>
          </w:r>
          <w:r>
            <w:rPr>
              <w:rFonts w:ascii="Times New Roman" w:hAnsi="Times New Roman" w:eastAsia="Calibri"/>
              <w:b/>
              <w:sz w:val="24"/>
              <w:szCs w:val="24"/>
              <w:lang w:val="en-GB"/>
            </w:rPr>
            <w:t xml:space="preserve"> </w:t>
          </w:r>
          <w:r>
            <w:rPr>
              <w:rFonts w:ascii="Calibri Light" w:hAnsi="Calibri Light" w:cs="Times New Roman"/>
              <w:b/>
              <w:caps/>
              <w:color w:val="5B9BD5"/>
              <w:sz w:val="72"/>
              <w:szCs w:val="72"/>
              <w:lang w:val="en-GB"/>
            </w:rPr>
            <w:t>Report on Navigating Change: A Case Study of Seesaw Coffee Adaptation to the COVID-19 Pandemic</w:t>
          </w:r>
        </w:p>
        <w:p>
          <w:pPr>
            <w:pStyle w:val="12"/>
            <w:jc w:val="center"/>
            <w:rPr>
              <w:color w:val="5B9BD5"/>
              <w:sz w:val="28"/>
              <w:szCs w:val="28"/>
            </w:rPr>
          </w:pPr>
          <w:r>
            <w:rPr>
              <w:color w:val="5B9BD5"/>
              <w:sz w:val="28"/>
              <w:szCs w:val="28"/>
            </w:rPr>
            <w:t xml:space="preserve">     </w:t>
          </w:r>
        </w:p>
        <w:p>
          <w:pPr>
            <w:spacing w:line="240" w:lineRule="auto"/>
            <w:jc w:val="center"/>
            <w:rPr>
              <w:rFonts w:cs="Calibri"/>
              <w:color w:val="5B9BD5"/>
              <w:sz w:val="28"/>
              <w:szCs w:val="24"/>
            </w:rPr>
          </w:pPr>
        </w:p>
        <w:p>
          <w:pPr>
            <w:spacing w:line="240" w:lineRule="auto"/>
            <w:jc w:val="center"/>
            <w:rPr>
              <w:rFonts w:eastAsia="宋体" w:cs="Calibri"/>
              <w:color w:val="5B9BD5"/>
              <w:sz w:val="36"/>
              <w:szCs w:val="32"/>
              <w:lang w:val="en-US" w:eastAsia="zh-CN"/>
            </w:rPr>
          </w:pPr>
          <w:r>
            <w:rPr>
              <w:rFonts w:cs="Calibri"/>
              <w:color w:val="5B9BD5"/>
              <w:sz w:val="36"/>
              <w:szCs w:val="32"/>
            </w:rPr>
            <w:t>Student:</w:t>
          </w:r>
          <w:r>
            <w:rPr>
              <w:rFonts w:eastAsia="宋体" w:cs="Calibri"/>
              <w:color w:val="5B9BD5"/>
              <w:sz w:val="36"/>
              <w:szCs w:val="32"/>
              <w:lang w:eastAsia="zh-CN"/>
            </w:rPr>
            <w:t xml:space="preserve"> Suibin Y</w:t>
          </w:r>
          <w:r>
            <w:rPr>
              <w:rFonts w:hint="eastAsia" w:eastAsia="宋体" w:cs="Calibri"/>
              <w:color w:val="5B9BD5"/>
              <w:sz w:val="36"/>
              <w:szCs w:val="32"/>
              <w:lang w:val="en-US" w:eastAsia="zh-CN"/>
            </w:rPr>
            <w:t>ANG</w:t>
          </w:r>
        </w:p>
        <w:p>
          <w:pPr>
            <w:spacing w:line="240" w:lineRule="auto"/>
            <w:jc w:val="center"/>
            <w:rPr>
              <w:rFonts w:cs="Calibri"/>
              <w:color w:val="5B9BD5"/>
              <w:sz w:val="36"/>
              <w:szCs w:val="32"/>
            </w:rPr>
          </w:pPr>
          <w:r>
            <w:rPr>
              <w:rFonts w:cs="Calibri"/>
              <w:color w:val="5B9BD5"/>
              <w:sz w:val="36"/>
              <w:szCs w:val="32"/>
            </w:rPr>
            <w:t>Student’s N</w:t>
          </w:r>
          <w:r>
            <w:rPr>
              <w:rFonts w:hint="eastAsia" w:eastAsia="宋体" w:cs="Calibri"/>
              <w:color w:val="5B9BD5"/>
              <w:sz w:val="36"/>
              <w:szCs w:val="32"/>
              <w:lang w:val="en-US" w:eastAsia="zh-CN"/>
            </w:rPr>
            <w:t>umber</w:t>
          </w:r>
          <w:r>
            <w:rPr>
              <w:rFonts w:cs="Calibri"/>
              <w:color w:val="5B9BD5"/>
              <w:sz w:val="36"/>
              <w:szCs w:val="32"/>
            </w:rPr>
            <w:t>:</w:t>
          </w:r>
          <w:r>
            <w:rPr>
              <w:rFonts w:eastAsia="宋体" w:cs="Calibri"/>
              <w:color w:val="5B9BD5"/>
              <w:sz w:val="36"/>
              <w:szCs w:val="32"/>
              <w:lang w:eastAsia="zh-CN"/>
            </w:rPr>
            <w:t>2227824</w:t>
          </w:r>
          <w:r>
            <w:rPr>
              <w:rFonts w:cs="Calibri"/>
              <w:color w:val="5B9BD5"/>
              <w:sz w:val="36"/>
              <w:szCs w:val="32"/>
              <w:lang w:eastAsia="zh-CN"/>
            </w:rPr>
            <w:fldChar w:fldCharType="begin"/>
          </w:r>
          <w:r>
            <w:rPr>
              <w:rFonts w:cs="Calibri"/>
              <w:color w:val="5B9BD5"/>
              <w:sz w:val="36"/>
              <w:szCs w:val="32"/>
              <w:lang w:eastAsia="zh-CN"/>
            </w:rPr>
            <w:instrText xml:space="preserve"> HYPERLINK "https://moodle.uwtsd.ac.uk/course/view.php?id=2703" </w:instrText>
          </w:r>
          <w:r>
            <w:rPr>
              <w:rFonts w:cs="Calibri"/>
              <w:color w:val="5B9BD5"/>
              <w:sz w:val="36"/>
              <w:szCs w:val="32"/>
              <w:lang w:eastAsia="zh-CN"/>
            </w:rPr>
            <w:fldChar w:fldCharType="separate"/>
          </w:r>
        </w:p>
        <w:p>
          <w:pPr>
            <w:spacing w:line="240" w:lineRule="auto"/>
            <w:jc w:val="center"/>
            <w:rPr>
              <w:rFonts w:cs="Calibri"/>
              <w:color w:val="5B9BD5"/>
              <w:sz w:val="36"/>
              <w:szCs w:val="32"/>
            </w:rPr>
          </w:pPr>
          <w:r>
            <w:rPr>
              <w:rFonts w:hint="eastAsia" w:eastAsia="宋体" w:cs="Calibri"/>
              <w:color w:val="5B9BD5"/>
              <w:sz w:val="36"/>
              <w:szCs w:val="32"/>
              <w:lang w:val="en-US" w:eastAsia="zh-CN"/>
            </w:rPr>
            <w:t xml:space="preserve">Module: </w:t>
          </w:r>
          <w:r>
            <w:rPr>
              <w:rFonts w:cs="Calibri"/>
              <w:color w:val="5B9BD5"/>
              <w:sz w:val="36"/>
              <w:szCs w:val="32"/>
            </w:rPr>
            <w:t>Change and Stability Management (BMMB</w:t>
          </w:r>
          <w:r>
            <w:rPr>
              <w:rFonts w:hint="eastAsia" w:eastAsia="宋体" w:cs="Calibri"/>
              <w:color w:val="5B9BD5"/>
              <w:sz w:val="36"/>
              <w:szCs w:val="32"/>
              <w:lang w:val="en-US" w:eastAsia="zh-CN"/>
            </w:rPr>
            <w:t xml:space="preserve"> </w:t>
          </w:r>
          <w:r>
            <w:rPr>
              <w:rFonts w:cs="Calibri"/>
              <w:color w:val="5B9BD5"/>
              <w:sz w:val="36"/>
              <w:szCs w:val="32"/>
            </w:rPr>
            <w:t>7000)</w:t>
          </w:r>
        </w:p>
        <w:p>
          <w:pPr>
            <w:spacing w:line="240" w:lineRule="auto"/>
            <w:jc w:val="center"/>
            <w:rPr>
              <w:rFonts w:cs="Calibri"/>
              <w:color w:val="5B9BD5"/>
              <w:sz w:val="36"/>
              <w:szCs w:val="32"/>
            </w:rPr>
          </w:pPr>
        </w:p>
        <w:p>
          <w:pPr>
            <w:spacing w:line="240" w:lineRule="auto"/>
            <w:jc w:val="center"/>
            <w:rPr>
              <w:rFonts w:eastAsia="宋体"/>
              <w:color w:val="5B9BD5"/>
              <w:lang w:val="en-US"/>
            </w:rPr>
          </w:pPr>
          <w:r>
            <w:rPr>
              <w:rFonts w:cs="Calibri"/>
              <w:color w:val="5B9BD5"/>
              <w:sz w:val="36"/>
              <w:szCs w:val="32"/>
            </w:rPr>
            <w:fldChar w:fldCharType="end"/>
          </w:r>
          <w:r>
            <w:rPr>
              <w:rFonts w:eastAsia="宋体"/>
              <w:color w:val="5B9BD5"/>
              <w:lang w:val="en-US"/>
            </w:rPr>
            <w:drawing>
              <wp:inline distT="0" distB="0" distL="114300" distR="114300">
                <wp:extent cx="762000" cy="482600"/>
                <wp:effectExtent l="0" t="0" r="0" b="0"/>
                <wp:docPr id="2" name="Picture 144"/>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Picture 144"/>
                        <pic:cNvPicPr>
                          <a:picLocks noGrp="1" noChangeAspect="1"/>
                        </pic:cNvPicPr>
                      </pic:nvPicPr>
                      <pic:blipFill>
                        <a:blip r:embed="rId7"/>
                        <a:stretch>
                          <a:fillRect/>
                        </a:stretch>
                      </pic:blipFill>
                      <pic:spPr>
                        <a:xfrm>
                          <a:off x="0" y="0"/>
                          <a:ext cx="762000" cy="482600"/>
                        </a:xfrm>
                        <a:prstGeom prst="rect">
                          <a:avLst/>
                        </a:prstGeom>
                        <a:noFill/>
                        <a:ln>
                          <a:noFill/>
                        </a:ln>
                      </pic:spPr>
                    </pic:pic>
                  </a:graphicData>
                </a:graphic>
              </wp:inline>
            </w:drawing>
          </w:r>
        </w:p>
        <w:p>
          <w:pPr>
            <w:pStyle w:val="12"/>
            <w:spacing w:before="480"/>
            <w:jc w:val="both"/>
            <w:rPr>
              <w:rFonts w:cstheme="minorHAnsi"/>
              <w:color w:val="5B9BD5" w:themeColor="accent1"/>
              <w:sz w:val="28"/>
              <w:szCs w:val="24"/>
              <w14:textFill>
                <w14:solidFill>
                  <w14:schemeClr w14:val="accent1"/>
                </w14:solidFill>
              </w14:textFill>
            </w:rPr>
          </w:pPr>
        </w:p>
        <w:p>
          <w:pPr>
            <w:pStyle w:val="12"/>
            <w:spacing w:before="480"/>
            <w:jc w:val="both"/>
            <w:rPr>
              <w:color w:val="5B9BD5" w:themeColor="accent1"/>
              <w14:textFill>
                <w14:solidFill>
                  <w14:schemeClr w14:val="accent1"/>
                </w14:solidFill>
              </w14:textFill>
            </w:rPr>
          </w:pPr>
          <w:r>
            <w:rPr>
              <w:color w:val="5B9BD5" w:themeColor="accent1"/>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603876541"/>
                                  <w:showingPlcHdr/>
                                  <w:dataBinding w:prefixMappings="xmlns:ns0='http://schemas.microsoft.com/office/2006/coverPageProps' " w:xpath="/ns0:CoverPageProperties[1]/ns0:PublishDate[1]" w:storeItemID="{55AF091B-3C7A-41E3-B477-F2FDAA23CFDA}"/>
                                  <w:date w:fullDate="2023-11-30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2"/>
                                      <w:spacing w:after="40"/>
                                      <w:jc w:val="center"/>
                                      <w:rPr>
                                        <w:caps/>
                                        <w:color w:val="5B9BD5" w:themeColor="accent1"/>
                                        <w:sz w:val="28"/>
                                        <w:szCs w:val="28"/>
                                        <w14:textFill>
                                          <w14:solidFill>
                                            <w14:schemeClr w14:val="accent1"/>
                                          </w14:solidFill>
                                        </w14:textFill>
                                      </w:rPr>
                                    </w:pPr>
                                    <w:r>
                                      <w:rPr>
                                        <w:caps/>
                                        <w:color w:val="5B9BD5" w:themeColor="accent1"/>
                                        <w:sz w:val="28"/>
                                        <w:szCs w:val="28"/>
                                        <w14:textFill>
                                          <w14:solidFill>
                                            <w14:schemeClr w14:val="accent1"/>
                                          </w14:solidFill>
                                        </w14:textFill>
                                      </w:rPr>
                                      <w:t xml:space="preserve">     </w:t>
                                    </w:r>
                                  </w:p>
                                </w:sdtContent>
                              </w:sdt>
                              <w:p>
                                <w:pPr>
                                  <w:pStyle w:val="12"/>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994331576"/>
                                    <w:showingPlcHdr/>
                                    <w: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14:textFill>
                                          <w14:solidFill>
                                            <w14:schemeClr w14:val="accent1"/>
                                          </w14:solidFill>
                                        </w14:textFill>
                                      </w:rPr>
                                      <w:t xml:space="preserve">     </w:t>
                                    </w:r>
                                  </w:sdtContent>
                                </w:sdt>
                              </w:p>
                              <w:p>
                                <w:pPr>
                                  <w:pStyle w:val="12"/>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1199591487"/>
                                    <w:showingPlcHdr/>
                                    <w: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Text Box 142" o:spid="_x0000_s1026" o:spt="202" type="#_x0000_t202" style="position:absolute;left:0pt;margin-left:72pt;margin-top:715.6pt;height:46.45pt;width:451.3pt;mso-position-horizontal-relative:page;mso-position-vertical-relative:page;z-index:251659264;v-text-anchor:bottom;mso-width-relative:margin;mso-height-relative:page;mso-width-percent:1000;" filled="f" stroked="f" coordsize="21600,21600" o:gfxdata="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JMIHEjWAAAABAEAAA8AAAAAAAAAAQAgAAAAIgAAAGRycy9kb3ducmV2LnhtbFBLAQIUABQA&#10;AAAIAIdO4kBmP0cWKwIAAGcEAAAOAAAAAAAAAAEAIAAAACUBAABkcnMvZTJvRG9jLnhtbFBLBQYA&#10;AAAABgAGAFkBAADCBQ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603876541"/>
                            <w:showingPlcHdr/>
                            <w:dataBinding w:prefixMappings="xmlns:ns0='http://schemas.microsoft.com/office/2006/coverPageProps' " w:xpath="/ns0:CoverPageProperties[1]/ns0:PublishDate[1]" w:storeItemID="{55AF091B-3C7A-41E3-B477-F2FDAA23CFDA}"/>
                            <w:date w:fullDate="2023-11-30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2"/>
                                <w:spacing w:after="40"/>
                                <w:jc w:val="center"/>
                                <w:rPr>
                                  <w:caps/>
                                  <w:color w:val="5B9BD5" w:themeColor="accent1"/>
                                  <w:sz w:val="28"/>
                                  <w:szCs w:val="28"/>
                                  <w14:textFill>
                                    <w14:solidFill>
                                      <w14:schemeClr w14:val="accent1"/>
                                    </w14:solidFill>
                                  </w14:textFill>
                                </w:rPr>
                              </w:pPr>
                              <w:r>
                                <w:rPr>
                                  <w:caps/>
                                  <w:color w:val="5B9BD5" w:themeColor="accent1"/>
                                  <w:sz w:val="28"/>
                                  <w:szCs w:val="28"/>
                                  <w14:textFill>
                                    <w14:solidFill>
                                      <w14:schemeClr w14:val="accent1"/>
                                    </w14:solidFill>
                                  </w14:textFill>
                                </w:rPr>
                                <w:t xml:space="preserve">     </w:t>
                              </w:r>
                            </w:p>
                          </w:sdtContent>
                        </w:sdt>
                        <w:p>
                          <w:pPr>
                            <w:pStyle w:val="12"/>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994331576"/>
                              <w:showingPlcHdr/>
                              <w: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14:textFill>
                                    <w14:solidFill>
                                      <w14:schemeClr w14:val="accent1"/>
                                    </w14:solidFill>
                                  </w14:textFill>
                                </w:rPr>
                                <w:t xml:space="preserve">     </w:t>
                              </w:r>
                            </w:sdtContent>
                          </w:sdt>
                        </w:p>
                        <w:p>
                          <w:pPr>
                            <w:pStyle w:val="12"/>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1199591487"/>
                              <w:showingPlcHdr/>
                              <w: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p>
        <w:p>
          <w:pPr>
            <w:pStyle w:val="2"/>
          </w:pPr>
          <w:r>
            <w:br w:type="page"/>
          </w:r>
          <w:bookmarkStart w:id="0" w:name="_Toc26007"/>
          <w:r>
            <w:t>Executive Summary</w:t>
          </w:r>
          <w:bookmarkEnd w:id="0"/>
        </w:p>
        <w:p>
          <w:pPr>
            <w:spacing w:line="480" w:lineRule="auto"/>
            <w:ind w:firstLine="240" w:firstLineChars="100"/>
            <w:jc w:val="both"/>
            <w:rPr>
              <w:rFonts w:ascii="Times New Roman" w:hAnsi="Times New Roman" w:cs="Times New Roman"/>
              <w:sz w:val="24"/>
              <w:szCs w:val="24"/>
            </w:rPr>
          </w:pPr>
          <w:r>
            <w:rPr>
              <w:rFonts w:ascii="Times New Roman" w:hAnsi="Times New Roman" w:cs="Times New Roman"/>
              <w:sz w:val="24"/>
              <w:szCs w:val="24"/>
            </w:rPr>
            <w:t>The following document presents an in-depth study of the impact of COVID-19 on Seesaw Coffee, a prominent Chinese coffee business, and how the company adapted to the crisis using various change management strategies. Acknowledging the essential role of Small and Medium-sized Enterprises (SMEs) in the global economy, this report highlights how Seesaw Coffee, despite facing significant challenges due to the pandemic, continued to serve its loyal customer base and provide high-quality coffee experiences.</w:t>
          </w:r>
        </w:p>
        <w:p>
          <w:pPr>
            <w:spacing w:line="480" w:lineRule="auto"/>
            <w:ind w:firstLine="240" w:firstLineChars="100"/>
            <w:jc w:val="both"/>
            <w:rPr>
              <w:rFonts w:ascii="Times New Roman" w:hAnsi="Times New Roman" w:cs="Times New Roman"/>
              <w:sz w:val="24"/>
              <w:szCs w:val="24"/>
            </w:rPr>
          </w:pPr>
          <w:r>
            <w:rPr>
              <w:rFonts w:ascii="Times New Roman" w:hAnsi="Times New Roman" w:cs="Times New Roman"/>
              <w:sz w:val="24"/>
              <w:szCs w:val="24"/>
            </w:rPr>
            <w:t>Recognizing the effects of the pandemic on businesses worldwide, Seesaw Coffee had to revise its business model, demonstrating flexibility and innovation. The primary focus of this study is to analyze how Seesaw Coffee navigated the changing business landscape during the pandemic and successfully implemented changes in its operations.</w:t>
          </w:r>
        </w:p>
        <w:p>
          <w:pPr>
            <w:spacing w:line="480" w:lineRule="auto"/>
            <w:ind w:firstLine="240" w:firstLineChars="100"/>
            <w:jc w:val="both"/>
          </w:pPr>
          <w:r>
            <w:rPr>
              <w:rFonts w:ascii="Times New Roman" w:hAnsi="Times New Roman" w:cs="Times New Roman"/>
              <w:sz w:val="24"/>
              <w:szCs w:val="24"/>
            </w:rPr>
            <w:t>The report also proposes a comprehensive change program and its evaluation. The program's efficacy can be measured using specific criteria, such as increased revenue, enhanced customer satisfaction, and improved employee engagement. Implementation requires a practical timeline with clear milestones, specific deadlines, and task assignments. Creating a dedicated change management team comprising members from various departments and levels within the organization is highly advisable for effective implementation.</w:t>
          </w:r>
        </w:p>
        <w:p>
          <w:pPr>
            <w:spacing w:line="480" w:lineRule="auto"/>
            <w:jc w:val="both"/>
          </w:pPr>
        </w:p>
        <w:p>
          <w:pPr>
            <w:spacing w:line="480" w:lineRule="auto"/>
            <w:jc w:val="both"/>
          </w:pPr>
        </w:p>
        <w:p>
          <w:pPr>
            <w:spacing w:line="480" w:lineRule="auto"/>
            <w:jc w:val="both"/>
          </w:pPr>
        </w:p>
        <w:p>
          <w:pPr>
            <w:spacing w:line="480" w:lineRule="auto"/>
            <w:jc w:val="both"/>
          </w:pPr>
        </w:p>
        <w:sdt>
          <w:sdtPr>
            <w:rPr>
              <w:rFonts w:asciiTheme="minorHAnsi" w:hAnsiTheme="minorHAnsi" w:eastAsiaTheme="minorHAnsi" w:cstheme="minorBidi"/>
              <w:b w:val="0"/>
              <w:color w:val="auto"/>
              <w:sz w:val="22"/>
              <w:szCs w:val="22"/>
              <w:lang w:val="en-GB"/>
            </w:rPr>
            <w:id w:val="-1297214018"/>
            <w:docPartObj>
              <w:docPartGallery w:val="Table of Contents"/>
              <w:docPartUnique/>
            </w:docPartObj>
          </w:sdtPr>
          <w:sdtEndPr>
            <w:rPr>
              <w:rFonts w:asciiTheme="minorHAnsi" w:hAnsiTheme="minorHAnsi" w:eastAsiaTheme="minorHAnsi" w:cstheme="minorBidi"/>
              <w:b w:val="0"/>
              <w:bCs/>
              <w:color w:val="auto"/>
              <w:sz w:val="22"/>
              <w:szCs w:val="22"/>
              <w:lang w:val="en-GB"/>
            </w:rPr>
          </w:sdtEndPr>
          <w:sdtContent>
            <w:p>
              <w:pPr>
                <w:pStyle w:val="15"/>
              </w:pPr>
              <w:r>
                <w:t>Table of Contents</w:t>
              </w:r>
            </w:p>
            <w:p>
              <w:pPr>
                <w:pStyle w:val="7"/>
                <w:tabs>
                  <w:tab w:val="right" w:leader="dot" w:pos="9026"/>
                </w:tabs>
              </w:pPr>
              <w:r>
                <w:fldChar w:fldCharType="begin"/>
              </w:r>
              <w:r>
                <w:instrText xml:space="preserve"> TOC \o "1-3" \h \z \u </w:instrText>
              </w:r>
              <w:r>
                <w:fldChar w:fldCharType="separate"/>
              </w:r>
              <w:r>
                <w:fldChar w:fldCharType="begin"/>
              </w:r>
              <w:r>
                <w:instrText xml:space="preserve"> HYPERLINK \l "_Toc26007" </w:instrText>
              </w:r>
              <w:r>
                <w:fldChar w:fldCharType="separate"/>
              </w:r>
              <w:r>
                <w:t>Executive Summary</w:t>
              </w:r>
              <w:r>
                <w:tab/>
              </w:r>
              <w:r>
                <w:fldChar w:fldCharType="begin"/>
              </w:r>
              <w:r>
                <w:instrText xml:space="preserve"> PAGEREF _Toc26007 \h </w:instrText>
              </w:r>
              <w:r>
                <w:fldChar w:fldCharType="separate"/>
              </w:r>
              <w:r>
                <w:t>1</w:t>
              </w:r>
              <w:r>
                <w:fldChar w:fldCharType="end"/>
              </w:r>
              <w:r>
                <w:fldChar w:fldCharType="end"/>
              </w:r>
            </w:p>
            <w:p>
              <w:pPr>
                <w:pStyle w:val="7"/>
                <w:tabs>
                  <w:tab w:val="right" w:leader="dot" w:pos="9026"/>
                </w:tabs>
              </w:pPr>
              <w:r>
                <w:fldChar w:fldCharType="begin"/>
              </w:r>
              <w:r>
                <w:instrText xml:space="preserve"> HYPERLINK \l "_Toc5857" </w:instrText>
              </w:r>
              <w:r>
                <w:fldChar w:fldCharType="separate"/>
              </w:r>
              <w:r>
                <w:t>Introduction</w:t>
              </w:r>
              <w:r>
                <w:tab/>
              </w:r>
              <w:r>
                <w:fldChar w:fldCharType="begin"/>
              </w:r>
              <w:r>
                <w:instrText xml:space="preserve"> PAGEREF _Toc5857 \h </w:instrText>
              </w:r>
              <w:r>
                <w:fldChar w:fldCharType="separate"/>
              </w:r>
              <w:r>
                <w:t>4</w:t>
              </w:r>
              <w:r>
                <w:fldChar w:fldCharType="end"/>
              </w:r>
              <w:r>
                <w:fldChar w:fldCharType="end"/>
              </w:r>
            </w:p>
            <w:p>
              <w:pPr>
                <w:pStyle w:val="8"/>
                <w:tabs>
                  <w:tab w:val="right" w:leader="dot" w:pos="9026"/>
                </w:tabs>
              </w:pPr>
              <w:r>
                <w:fldChar w:fldCharType="begin"/>
              </w:r>
              <w:r>
                <w:instrText xml:space="preserve"> HYPERLINK \l "_Toc25677" </w:instrText>
              </w:r>
              <w:r>
                <w:fldChar w:fldCharType="separate"/>
              </w:r>
              <w:r>
                <w:t>Background</w:t>
              </w:r>
              <w:r>
                <w:tab/>
              </w:r>
              <w:r>
                <w:fldChar w:fldCharType="begin"/>
              </w:r>
              <w:r>
                <w:instrText xml:space="preserve"> PAGEREF _Toc25677 \h </w:instrText>
              </w:r>
              <w:r>
                <w:fldChar w:fldCharType="separate"/>
              </w:r>
              <w:r>
                <w:t>4</w:t>
              </w:r>
              <w:r>
                <w:fldChar w:fldCharType="end"/>
              </w:r>
              <w:r>
                <w:fldChar w:fldCharType="end"/>
              </w:r>
            </w:p>
            <w:p>
              <w:pPr>
                <w:pStyle w:val="8"/>
                <w:tabs>
                  <w:tab w:val="right" w:leader="dot" w:pos="9026"/>
                </w:tabs>
              </w:pPr>
              <w:r>
                <w:fldChar w:fldCharType="begin"/>
              </w:r>
              <w:r>
                <w:instrText xml:space="preserve"> HYPERLINK \l "_Toc16092" </w:instrText>
              </w:r>
              <w:r>
                <w:fldChar w:fldCharType="separate"/>
              </w:r>
              <w:r>
                <w:t>Seesaw Coffee and Its Pandemic Response</w:t>
              </w:r>
              <w:r>
                <w:tab/>
              </w:r>
              <w:r>
                <w:fldChar w:fldCharType="begin"/>
              </w:r>
              <w:r>
                <w:instrText xml:space="preserve"> PAGEREF _Toc16092 \h </w:instrText>
              </w:r>
              <w:r>
                <w:fldChar w:fldCharType="separate"/>
              </w:r>
              <w:r>
                <w:t>4</w:t>
              </w:r>
              <w:r>
                <w:fldChar w:fldCharType="end"/>
              </w:r>
              <w:r>
                <w:fldChar w:fldCharType="end"/>
              </w:r>
            </w:p>
            <w:p>
              <w:pPr>
                <w:pStyle w:val="7"/>
                <w:tabs>
                  <w:tab w:val="right" w:leader="dot" w:pos="9026"/>
                </w:tabs>
              </w:pPr>
              <w:r>
                <w:fldChar w:fldCharType="begin"/>
              </w:r>
              <w:r>
                <w:instrText xml:space="preserve"> HYPERLINK \l "_Toc29352" </w:instrText>
              </w:r>
              <w:r>
                <w:fldChar w:fldCharType="separate"/>
              </w:r>
              <w:r>
                <w:t>Critical Evaluation of the Organisational Change</w:t>
              </w:r>
              <w:r>
                <w:tab/>
              </w:r>
              <w:r>
                <w:fldChar w:fldCharType="begin"/>
              </w:r>
              <w:r>
                <w:instrText xml:space="preserve"> PAGEREF _Toc29352 \h </w:instrText>
              </w:r>
              <w:r>
                <w:fldChar w:fldCharType="separate"/>
              </w:r>
              <w:r>
                <w:t>5</w:t>
              </w:r>
              <w:r>
                <w:fldChar w:fldCharType="end"/>
              </w:r>
              <w:r>
                <w:fldChar w:fldCharType="end"/>
              </w:r>
            </w:p>
            <w:p>
              <w:pPr>
                <w:pStyle w:val="8"/>
                <w:tabs>
                  <w:tab w:val="right" w:leader="dot" w:pos="9026"/>
                </w:tabs>
              </w:pPr>
              <w:r>
                <w:fldChar w:fldCharType="begin"/>
              </w:r>
              <w:r>
                <w:instrText xml:space="preserve"> HYPERLINK \l "_Toc10504" </w:instrText>
              </w:r>
              <w:r>
                <w:fldChar w:fldCharType="separate"/>
              </w:r>
              <w:r>
                <w:t>Organizational Change in the company</w:t>
              </w:r>
              <w:r>
                <w:tab/>
              </w:r>
              <w:r>
                <w:fldChar w:fldCharType="begin"/>
              </w:r>
              <w:r>
                <w:instrText xml:space="preserve"> PAGEREF _Toc10504 \h </w:instrText>
              </w:r>
              <w:r>
                <w:fldChar w:fldCharType="separate"/>
              </w:r>
              <w:r>
                <w:t>5</w:t>
              </w:r>
              <w:r>
                <w:fldChar w:fldCharType="end"/>
              </w:r>
              <w:r>
                <w:fldChar w:fldCharType="end"/>
              </w:r>
            </w:p>
            <w:p>
              <w:pPr>
                <w:pStyle w:val="8"/>
                <w:tabs>
                  <w:tab w:val="right" w:leader="dot" w:pos="9026"/>
                </w:tabs>
              </w:pPr>
              <w:r>
                <w:fldChar w:fldCharType="begin"/>
              </w:r>
              <w:r>
                <w:instrText xml:space="preserve"> HYPERLINK \l "_Toc31756" </w:instrText>
              </w:r>
              <w:r>
                <w:fldChar w:fldCharType="separate"/>
              </w:r>
              <w:r>
                <w:t>Impact of COVID-19 on SMEs</w:t>
              </w:r>
              <w:r>
                <w:tab/>
              </w:r>
              <w:r>
                <w:fldChar w:fldCharType="begin"/>
              </w:r>
              <w:r>
                <w:instrText xml:space="preserve"> PAGEREF _Toc31756 \h </w:instrText>
              </w:r>
              <w:r>
                <w:fldChar w:fldCharType="separate"/>
              </w:r>
              <w:r>
                <w:t>6</w:t>
              </w:r>
              <w:r>
                <w:fldChar w:fldCharType="end"/>
              </w:r>
              <w:r>
                <w:fldChar w:fldCharType="end"/>
              </w:r>
            </w:p>
            <w:p>
              <w:pPr>
                <w:pStyle w:val="8"/>
                <w:tabs>
                  <w:tab w:val="right" w:leader="dot" w:pos="9026"/>
                </w:tabs>
              </w:pPr>
              <w:r>
                <w:fldChar w:fldCharType="begin"/>
              </w:r>
              <w:r>
                <w:instrText xml:space="preserve"> HYPERLINK \l "_Toc7750" </w:instrText>
              </w:r>
              <w:r>
                <w:fldChar w:fldCharType="separate"/>
              </w:r>
              <w:r>
                <w:t>Change Management Models for SMEs</w:t>
              </w:r>
              <w:r>
                <w:tab/>
              </w:r>
              <w:r>
                <w:fldChar w:fldCharType="begin"/>
              </w:r>
              <w:r>
                <w:instrText xml:space="preserve"> PAGEREF _Toc7750 \h </w:instrText>
              </w:r>
              <w:r>
                <w:fldChar w:fldCharType="separate"/>
              </w:r>
              <w:r>
                <w:t>6</w:t>
              </w:r>
              <w:r>
                <w:fldChar w:fldCharType="end"/>
              </w:r>
              <w:r>
                <w:fldChar w:fldCharType="end"/>
              </w:r>
            </w:p>
            <w:p>
              <w:pPr>
                <w:pStyle w:val="8"/>
                <w:tabs>
                  <w:tab w:val="right" w:leader="dot" w:pos="9026"/>
                </w:tabs>
              </w:pPr>
              <w:r>
                <w:fldChar w:fldCharType="begin"/>
              </w:r>
              <w:r>
                <w:instrText xml:space="preserve"> HYPERLINK \l "_Toc11449" </w:instrText>
              </w:r>
              <w:r>
                <w:fldChar w:fldCharType="separate"/>
              </w:r>
              <w:r>
                <w:t>Factors Affecting Organizational Change in SMEs</w:t>
              </w:r>
              <w:r>
                <w:tab/>
              </w:r>
              <w:r>
                <w:fldChar w:fldCharType="begin"/>
              </w:r>
              <w:r>
                <w:instrText xml:space="preserve"> PAGEREF _Toc11449 \h </w:instrText>
              </w:r>
              <w:r>
                <w:fldChar w:fldCharType="separate"/>
              </w:r>
              <w:r>
                <w:t>7</w:t>
              </w:r>
              <w:r>
                <w:fldChar w:fldCharType="end"/>
              </w:r>
              <w:r>
                <w:fldChar w:fldCharType="end"/>
              </w:r>
            </w:p>
            <w:p>
              <w:pPr>
                <w:pStyle w:val="7"/>
                <w:tabs>
                  <w:tab w:val="right" w:leader="dot" w:pos="9026"/>
                </w:tabs>
              </w:pPr>
              <w:r>
                <w:fldChar w:fldCharType="begin"/>
              </w:r>
              <w:r>
                <w:instrText xml:space="preserve"> HYPERLINK \l "_Toc3372" </w:instrText>
              </w:r>
              <w:r>
                <w:fldChar w:fldCharType="separate"/>
              </w:r>
              <w:r>
                <w:t>Drivers of Change</w:t>
              </w:r>
              <w:r>
                <w:tab/>
              </w:r>
              <w:r>
                <w:fldChar w:fldCharType="begin"/>
              </w:r>
              <w:r>
                <w:instrText xml:space="preserve"> PAGEREF _Toc3372 \h </w:instrText>
              </w:r>
              <w:r>
                <w:fldChar w:fldCharType="separate"/>
              </w:r>
              <w:r>
                <w:t>7</w:t>
              </w:r>
              <w:r>
                <w:fldChar w:fldCharType="end"/>
              </w:r>
              <w:r>
                <w:fldChar w:fldCharType="end"/>
              </w:r>
            </w:p>
            <w:p>
              <w:pPr>
                <w:pStyle w:val="8"/>
                <w:tabs>
                  <w:tab w:val="right" w:leader="dot" w:pos="9026"/>
                </w:tabs>
              </w:pPr>
              <w:r>
                <w:fldChar w:fldCharType="begin"/>
              </w:r>
              <w:r>
                <w:instrText xml:space="preserve"> HYPERLINK \l "_Toc18142" </w:instrText>
              </w:r>
              <w:r>
                <w:fldChar w:fldCharType="separate"/>
              </w:r>
              <w:r>
                <w:t>Organizational culture</w:t>
              </w:r>
              <w:r>
                <w:tab/>
              </w:r>
              <w:r>
                <w:fldChar w:fldCharType="begin"/>
              </w:r>
              <w:r>
                <w:instrText xml:space="preserve"> PAGEREF _Toc18142 \h </w:instrText>
              </w:r>
              <w:r>
                <w:fldChar w:fldCharType="separate"/>
              </w:r>
              <w:r>
                <w:t>7</w:t>
              </w:r>
              <w:r>
                <w:fldChar w:fldCharType="end"/>
              </w:r>
              <w:r>
                <w:fldChar w:fldCharType="end"/>
              </w:r>
            </w:p>
            <w:p>
              <w:pPr>
                <w:pStyle w:val="8"/>
                <w:tabs>
                  <w:tab w:val="right" w:leader="dot" w:pos="9026"/>
                </w:tabs>
              </w:pPr>
              <w:r>
                <w:fldChar w:fldCharType="begin"/>
              </w:r>
              <w:r>
                <w:instrText xml:space="preserve"> HYPERLINK \l "_Toc19804" </w:instrText>
              </w:r>
              <w:r>
                <w:fldChar w:fldCharType="separate"/>
              </w:r>
              <w:r>
                <w:t>Leadership</w:t>
              </w:r>
              <w:r>
                <w:tab/>
              </w:r>
              <w:r>
                <w:fldChar w:fldCharType="begin"/>
              </w:r>
              <w:r>
                <w:instrText xml:space="preserve"> PAGEREF _Toc19804 \h </w:instrText>
              </w:r>
              <w:r>
                <w:fldChar w:fldCharType="separate"/>
              </w:r>
              <w:r>
                <w:t>8</w:t>
              </w:r>
              <w:r>
                <w:fldChar w:fldCharType="end"/>
              </w:r>
              <w:r>
                <w:fldChar w:fldCharType="end"/>
              </w:r>
            </w:p>
            <w:p>
              <w:pPr>
                <w:pStyle w:val="8"/>
                <w:tabs>
                  <w:tab w:val="right" w:leader="dot" w:pos="9026"/>
                </w:tabs>
              </w:pPr>
              <w:r>
                <w:fldChar w:fldCharType="begin"/>
              </w:r>
              <w:r>
                <w:instrText xml:space="preserve"> HYPERLINK \l "_Toc4375" </w:instrText>
              </w:r>
              <w:r>
                <w:fldChar w:fldCharType="separate"/>
              </w:r>
              <w:r>
                <w:t>Power dynamics</w:t>
              </w:r>
              <w:r>
                <w:tab/>
              </w:r>
              <w:r>
                <w:fldChar w:fldCharType="begin"/>
              </w:r>
              <w:r>
                <w:instrText xml:space="preserve"> PAGEREF _Toc4375 \h </w:instrText>
              </w:r>
              <w:r>
                <w:fldChar w:fldCharType="separate"/>
              </w:r>
              <w:r>
                <w:t>8</w:t>
              </w:r>
              <w:r>
                <w:fldChar w:fldCharType="end"/>
              </w:r>
              <w:r>
                <w:fldChar w:fldCharType="end"/>
              </w:r>
            </w:p>
            <w:p>
              <w:pPr>
                <w:pStyle w:val="8"/>
                <w:tabs>
                  <w:tab w:val="right" w:leader="dot" w:pos="9026"/>
                </w:tabs>
              </w:pPr>
              <w:r>
                <w:fldChar w:fldCharType="begin"/>
              </w:r>
              <w:r>
                <w:instrText xml:space="preserve"> HYPERLINK \l "_Toc10870" </w:instrText>
              </w:r>
              <w:r>
                <w:fldChar w:fldCharType="separate"/>
              </w:r>
              <w:r>
                <w:t>Digitalization</w:t>
              </w:r>
              <w:r>
                <w:tab/>
              </w:r>
              <w:r>
                <w:fldChar w:fldCharType="begin"/>
              </w:r>
              <w:r>
                <w:instrText xml:space="preserve"> PAGEREF _Toc10870 \h </w:instrText>
              </w:r>
              <w:r>
                <w:fldChar w:fldCharType="separate"/>
              </w:r>
              <w:r>
                <w:t>8</w:t>
              </w:r>
              <w:r>
                <w:fldChar w:fldCharType="end"/>
              </w:r>
              <w:r>
                <w:fldChar w:fldCharType="end"/>
              </w:r>
            </w:p>
            <w:p>
              <w:pPr>
                <w:pStyle w:val="8"/>
                <w:tabs>
                  <w:tab w:val="right" w:leader="dot" w:pos="9026"/>
                </w:tabs>
              </w:pPr>
              <w:r>
                <w:fldChar w:fldCharType="begin"/>
              </w:r>
              <w:r>
                <w:instrText xml:space="preserve"> HYPERLINK \l "_Toc12819" </w:instrText>
              </w:r>
              <w:r>
                <w:fldChar w:fldCharType="separate"/>
              </w:r>
              <w:r>
                <w:t>Competition</w:t>
              </w:r>
              <w:r>
                <w:tab/>
              </w:r>
              <w:r>
                <w:fldChar w:fldCharType="begin"/>
              </w:r>
              <w:r>
                <w:instrText xml:space="preserve"> PAGEREF _Toc12819 \h </w:instrText>
              </w:r>
              <w:r>
                <w:fldChar w:fldCharType="separate"/>
              </w:r>
              <w:r>
                <w:t>9</w:t>
              </w:r>
              <w:r>
                <w:fldChar w:fldCharType="end"/>
              </w:r>
              <w:r>
                <w:fldChar w:fldCharType="end"/>
              </w:r>
            </w:p>
            <w:p>
              <w:pPr>
                <w:pStyle w:val="7"/>
                <w:tabs>
                  <w:tab w:val="right" w:leader="dot" w:pos="9026"/>
                </w:tabs>
              </w:pPr>
              <w:r>
                <w:fldChar w:fldCharType="begin"/>
              </w:r>
              <w:r>
                <w:instrText xml:space="preserve"> HYPERLINK \l "_Toc23483" </w:instrText>
              </w:r>
              <w:r>
                <w:fldChar w:fldCharType="separate"/>
              </w:r>
              <w:r>
                <w:t>Main Findings</w:t>
              </w:r>
              <w:r>
                <w:tab/>
              </w:r>
              <w:r>
                <w:fldChar w:fldCharType="begin"/>
              </w:r>
              <w:r>
                <w:instrText xml:space="preserve"> PAGEREF _Toc23483 \h </w:instrText>
              </w:r>
              <w:r>
                <w:fldChar w:fldCharType="separate"/>
              </w:r>
              <w:r>
                <w:t>9</w:t>
              </w:r>
              <w:r>
                <w:fldChar w:fldCharType="end"/>
              </w:r>
              <w:r>
                <w:fldChar w:fldCharType="end"/>
              </w:r>
            </w:p>
            <w:p>
              <w:pPr>
                <w:pStyle w:val="8"/>
                <w:tabs>
                  <w:tab w:val="right" w:leader="dot" w:pos="9026"/>
                </w:tabs>
              </w:pPr>
              <w:r>
                <w:fldChar w:fldCharType="begin"/>
              </w:r>
              <w:r>
                <w:instrText xml:space="preserve"> HYPERLINK \l "_Toc10807" </w:instrText>
              </w:r>
              <w:r>
                <w:fldChar w:fldCharType="separate"/>
              </w:r>
              <w:r>
                <w:t>Adapting to Change and Driving Business Growth during the Pandemic</w:t>
              </w:r>
              <w:r>
                <w:tab/>
              </w:r>
              <w:r>
                <w:fldChar w:fldCharType="begin"/>
              </w:r>
              <w:r>
                <w:instrText xml:space="preserve"> PAGEREF _Toc10807 \h </w:instrText>
              </w:r>
              <w:r>
                <w:fldChar w:fldCharType="separate"/>
              </w:r>
              <w:r>
                <w:t>9</w:t>
              </w:r>
              <w:r>
                <w:fldChar w:fldCharType="end"/>
              </w:r>
              <w:r>
                <w:fldChar w:fldCharType="end"/>
              </w:r>
            </w:p>
            <w:p>
              <w:pPr>
                <w:pStyle w:val="5"/>
                <w:tabs>
                  <w:tab w:val="right" w:leader="dot" w:pos="9026"/>
                </w:tabs>
              </w:pPr>
              <w:r>
                <w:fldChar w:fldCharType="begin"/>
              </w:r>
              <w:r>
                <w:instrText xml:space="preserve"> HYPERLINK \l "_Toc30103" </w:instrText>
              </w:r>
              <w:r>
                <w:fldChar w:fldCharType="separate"/>
              </w:r>
              <w:r>
                <w:t>Embracing Digital Transformation</w:t>
              </w:r>
              <w:r>
                <w:tab/>
              </w:r>
              <w:r>
                <w:fldChar w:fldCharType="begin"/>
              </w:r>
              <w:r>
                <w:instrText xml:space="preserve"> PAGEREF _Toc30103 \h </w:instrText>
              </w:r>
              <w:r>
                <w:fldChar w:fldCharType="separate"/>
              </w:r>
              <w:r>
                <w:t>9</w:t>
              </w:r>
              <w:r>
                <w:fldChar w:fldCharType="end"/>
              </w:r>
              <w:r>
                <w:fldChar w:fldCharType="end"/>
              </w:r>
            </w:p>
            <w:p>
              <w:pPr>
                <w:pStyle w:val="5"/>
                <w:tabs>
                  <w:tab w:val="right" w:leader="dot" w:pos="9026"/>
                </w:tabs>
              </w:pPr>
              <w:r>
                <w:fldChar w:fldCharType="begin"/>
              </w:r>
              <w:r>
                <w:instrText xml:space="preserve"> HYPERLINK \l "_Toc25456" </w:instrText>
              </w:r>
              <w:r>
                <w:fldChar w:fldCharType="separate"/>
              </w:r>
              <w:r>
                <w:t>Enhancing Customer Experience</w:t>
              </w:r>
              <w:r>
                <w:tab/>
              </w:r>
              <w:r>
                <w:fldChar w:fldCharType="begin"/>
              </w:r>
              <w:r>
                <w:instrText xml:space="preserve"> PAGEREF _Toc25456 \h </w:instrText>
              </w:r>
              <w:r>
                <w:fldChar w:fldCharType="separate"/>
              </w:r>
              <w:r>
                <w:t>9</w:t>
              </w:r>
              <w:r>
                <w:fldChar w:fldCharType="end"/>
              </w:r>
              <w:r>
                <w:fldChar w:fldCharType="end"/>
              </w:r>
            </w:p>
            <w:p>
              <w:pPr>
                <w:pStyle w:val="5"/>
                <w:tabs>
                  <w:tab w:val="right" w:leader="dot" w:pos="9026"/>
                </w:tabs>
              </w:pPr>
              <w:r>
                <w:fldChar w:fldCharType="begin"/>
              </w:r>
              <w:r>
                <w:instrText xml:space="preserve"> HYPERLINK \l "_Toc3242" </w:instrText>
              </w:r>
              <w:r>
                <w:fldChar w:fldCharType="separate"/>
              </w:r>
              <w:r>
                <w:t>Adapting to Changing Consumer Preferences</w:t>
              </w:r>
              <w:r>
                <w:tab/>
              </w:r>
              <w:r>
                <w:fldChar w:fldCharType="begin"/>
              </w:r>
              <w:r>
                <w:instrText xml:space="preserve"> PAGEREF _Toc3242 \h </w:instrText>
              </w:r>
              <w:r>
                <w:fldChar w:fldCharType="separate"/>
              </w:r>
              <w:r>
                <w:t>10</w:t>
              </w:r>
              <w:r>
                <w:fldChar w:fldCharType="end"/>
              </w:r>
              <w:r>
                <w:fldChar w:fldCharType="end"/>
              </w:r>
            </w:p>
            <w:p>
              <w:pPr>
                <w:pStyle w:val="5"/>
                <w:tabs>
                  <w:tab w:val="right" w:leader="dot" w:pos="9026"/>
                </w:tabs>
              </w:pPr>
              <w:r>
                <w:fldChar w:fldCharType="begin"/>
              </w:r>
              <w:r>
                <w:instrText xml:space="preserve"> HYPERLINK \l "_Toc20636" </w:instrText>
              </w:r>
              <w:r>
                <w:fldChar w:fldCharType="separate"/>
              </w:r>
              <w:r>
                <w:t>Strengthening the Supply Chain</w:t>
              </w:r>
              <w:r>
                <w:tab/>
              </w:r>
              <w:r>
                <w:fldChar w:fldCharType="begin"/>
              </w:r>
              <w:r>
                <w:instrText xml:space="preserve"> PAGEREF _Toc20636 \h </w:instrText>
              </w:r>
              <w:r>
                <w:fldChar w:fldCharType="separate"/>
              </w:r>
              <w:r>
                <w:t>10</w:t>
              </w:r>
              <w:r>
                <w:fldChar w:fldCharType="end"/>
              </w:r>
              <w:r>
                <w:fldChar w:fldCharType="end"/>
              </w:r>
            </w:p>
            <w:p>
              <w:pPr>
                <w:pStyle w:val="5"/>
                <w:tabs>
                  <w:tab w:val="right" w:leader="dot" w:pos="9026"/>
                </w:tabs>
              </w:pPr>
              <w:r>
                <w:fldChar w:fldCharType="begin"/>
              </w:r>
              <w:r>
                <w:instrText xml:space="preserve"> HYPERLINK \l "_Toc15892" </w:instrText>
              </w:r>
              <w:r>
                <w:fldChar w:fldCharType="separate"/>
              </w:r>
              <w:r>
                <w:t>Community Engagement and Social Responsibility</w:t>
              </w:r>
              <w:r>
                <w:tab/>
              </w:r>
              <w:r>
                <w:fldChar w:fldCharType="begin"/>
              </w:r>
              <w:r>
                <w:instrText xml:space="preserve"> PAGEREF _Toc15892 \h </w:instrText>
              </w:r>
              <w:r>
                <w:fldChar w:fldCharType="separate"/>
              </w:r>
              <w:r>
                <w:t>10</w:t>
              </w:r>
              <w:r>
                <w:fldChar w:fldCharType="end"/>
              </w:r>
              <w:r>
                <w:fldChar w:fldCharType="end"/>
              </w:r>
            </w:p>
            <w:p>
              <w:pPr>
                <w:pStyle w:val="8"/>
                <w:tabs>
                  <w:tab w:val="right" w:leader="dot" w:pos="9026"/>
                </w:tabs>
              </w:pPr>
              <w:r>
                <w:fldChar w:fldCharType="begin"/>
              </w:r>
              <w:r>
                <w:instrText xml:space="preserve"> HYPERLINK \l "_Toc8495" </w:instrText>
              </w:r>
              <w:r>
                <w:fldChar w:fldCharType="separate"/>
              </w:r>
              <w:r>
                <w:t>Application of Change Management Models to the Organization</w:t>
              </w:r>
              <w:r>
                <w:tab/>
              </w:r>
              <w:r>
                <w:fldChar w:fldCharType="begin"/>
              </w:r>
              <w:r>
                <w:instrText xml:space="preserve"> PAGEREF _Toc8495 \h </w:instrText>
              </w:r>
              <w:r>
                <w:fldChar w:fldCharType="separate"/>
              </w:r>
              <w:r>
                <w:t>11</w:t>
              </w:r>
              <w:r>
                <w:fldChar w:fldCharType="end"/>
              </w:r>
              <w:r>
                <w:fldChar w:fldCharType="end"/>
              </w:r>
            </w:p>
            <w:p>
              <w:pPr>
                <w:pStyle w:val="5"/>
                <w:tabs>
                  <w:tab w:val="right" w:leader="dot" w:pos="9026"/>
                </w:tabs>
              </w:pPr>
              <w:r>
                <w:fldChar w:fldCharType="begin"/>
              </w:r>
              <w:r>
                <w:instrText xml:space="preserve"> HYPERLINK \l "_Toc12037" </w:instrText>
              </w:r>
              <w:r>
                <w:fldChar w:fldCharType="separate"/>
              </w:r>
              <w:r>
                <w:t>Selection of appropriate change management model(s)</w:t>
              </w:r>
              <w:r>
                <w:tab/>
              </w:r>
              <w:r>
                <w:fldChar w:fldCharType="begin"/>
              </w:r>
              <w:r>
                <w:instrText xml:space="preserve"> PAGEREF _Toc12037 \h </w:instrText>
              </w:r>
              <w:r>
                <w:fldChar w:fldCharType="separate"/>
              </w:r>
              <w:r>
                <w:t>11</w:t>
              </w:r>
              <w:r>
                <w:fldChar w:fldCharType="end"/>
              </w:r>
              <w:r>
                <w:fldChar w:fldCharType="end"/>
              </w:r>
            </w:p>
            <w:p>
              <w:pPr>
                <w:pStyle w:val="5"/>
                <w:tabs>
                  <w:tab w:val="right" w:leader="dot" w:pos="9026"/>
                </w:tabs>
              </w:pPr>
              <w:r>
                <w:fldChar w:fldCharType="begin"/>
              </w:r>
              <w:r>
                <w:instrText xml:space="preserve"> HYPERLINK \l "_Toc29435" </w:instrText>
              </w:r>
              <w:r>
                <w:fldChar w:fldCharType="separate"/>
              </w:r>
              <w:r>
                <w:t>Implementation plan for the change program</w:t>
              </w:r>
              <w:r>
                <w:tab/>
              </w:r>
              <w:r>
                <w:fldChar w:fldCharType="begin"/>
              </w:r>
              <w:r>
                <w:instrText xml:space="preserve"> PAGEREF _Toc29435 \h </w:instrText>
              </w:r>
              <w:r>
                <w:fldChar w:fldCharType="separate"/>
              </w:r>
              <w:r>
                <w:t>11</w:t>
              </w:r>
              <w:r>
                <w:fldChar w:fldCharType="end"/>
              </w:r>
              <w:r>
                <w:fldChar w:fldCharType="end"/>
              </w:r>
            </w:p>
            <w:p>
              <w:pPr>
                <w:pStyle w:val="8"/>
                <w:tabs>
                  <w:tab w:val="right" w:leader="dot" w:pos="9026"/>
                </w:tabs>
                <w:rPr>
                  <w:rFonts w:hint="eastAsia" w:eastAsia="宋体"/>
                  <w:lang w:val="en-US" w:eastAsia="zh-CN"/>
                </w:rPr>
              </w:pPr>
              <w:r>
                <w:fldChar w:fldCharType="begin"/>
              </w:r>
              <w:r>
                <w:instrText xml:space="preserve"> HYPERLINK \l "_Toc26081" </w:instrText>
              </w:r>
              <w:r>
                <w:fldChar w:fldCharType="separate"/>
              </w:r>
              <w:r>
                <w:t>Assessment of Change Program Effectiveness</w:t>
              </w:r>
              <w:r>
                <w:tab/>
              </w:r>
              <w:r>
                <w:rPr>
                  <w:rFonts w:hint="eastAsia" w:eastAsia="宋体"/>
                  <w:lang w:val="en-US" w:eastAsia="zh-CN"/>
                </w:rPr>
                <w:t>1</w:t>
              </w:r>
              <w:r>
                <w:fldChar w:fldCharType="end"/>
              </w:r>
              <w:r>
                <w:rPr>
                  <w:rFonts w:hint="eastAsia" w:eastAsia="宋体"/>
                  <w:lang w:val="en-US" w:eastAsia="zh-CN"/>
                </w:rPr>
                <w:t>4</w:t>
              </w:r>
            </w:p>
            <w:p>
              <w:pPr>
                <w:pStyle w:val="5"/>
                <w:tabs>
                  <w:tab w:val="right" w:leader="dot" w:pos="9026"/>
                </w:tabs>
                <w:rPr>
                  <w:rFonts w:hint="eastAsia" w:eastAsia="宋体"/>
                  <w:lang w:val="en-US" w:eastAsia="zh-CN"/>
                </w:rPr>
              </w:pPr>
              <w:r>
                <w:fldChar w:fldCharType="begin"/>
              </w:r>
              <w:r>
                <w:instrText xml:space="preserve"> HYPERLINK \l "_Toc31560" </w:instrText>
              </w:r>
              <w:r>
                <w:fldChar w:fldCharType="separate"/>
              </w:r>
              <w:r>
                <w:t>Criteria for success</w:t>
              </w:r>
              <w:r>
                <w:tab/>
              </w:r>
              <w:r>
                <w:rPr>
                  <w:rFonts w:hint="eastAsia" w:eastAsia="宋体"/>
                  <w:lang w:val="en-US" w:eastAsia="zh-CN"/>
                </w:rPr>
                <w:t>1</w:t>
              </w:r>
              <w:r>
                <w:fldChar w:fldCharType="end"/>
              </w:r>
              <w:r>
                <w:rPr>
                  <w:rFonts w:hint="eastAsia" w:eastAsia="宋体"/>
                  <w:lang w:val="en-US" w:eastAsia="zh-CN"/>
                </w:rPr>
                <w:t>4</w:t>
              </w:r>
            </w:p>
            <w:p>
              <w:pPr>
                <w:pStyle w:val="5"/>
                <w:tabs>
                  <w:tab w:val="right" w:leader="dot" w:pos="9026"/>
                </w:tabs>
                <w:rPr>
                  <w:rFonts w:hint="eastAsia" w:eastAsia="宋体"/>
                  <w:lang w:val="en-US" w:eastAsia="zh-CN"/>
                </w:rPr>
              </w:pPr>
              <w:r>
                <w:fldChar w:fldCharType="begin"/>
              </w:r>
              <w:r>
                <w:instrText xml:space="preserve"> HYPERLINK \l "_Toc12667" </w:instrText>
              </w:r>
              <w:r>
                <w:fldChar w:fldCharType="separate"/>
              </w:r>
              <w:r>
                <w:t>Methods for measuring change program effectiveness</w:t>
              </w:r>
              <w:r>
                <w:tab/>
              </w:r>
              <w:r>
                <w:rPr>
                  <w:rFonts w:hint="eastAsia" w:eastAsia="宋体"/>
                  <w:lang w:val="en-US" w:eastAsia="zh-CN"/>
                </w:rPr>
                <w:t>1</w:t>
              </w:r>
              <w:r>
                <w:fldChar w:fldCharType="end"/>
              </w:r>
              <w:r>
                <w:rPr>
                  <w:rFonts w:hint="eastAsia" w:eastAsia="宋体"/>
                  <w:lang w:val="en-US" w:eastAsia="zh-CN"/>
                </w:rPr>
                <w:t>5</w:t>
              </w:r>
            </w:p>
            <w:p>
              <w:pPr>
                <w:pStyle w:val="5"/>
                <w:tabs>
                  <w:tab w:val="right" w:leader="dot" w:pos="9026"/>
                </w:tabs>
                <w:rPr>
                  <w:rFonts w:hint="eastAsia" w:eastAsia="宋体"/>
                  <w:lang w:val="en-US" w:eastAsia="zh-CN"/>
                </w:rPr>
              </w:pPr>
              <w:r>
                <w:fldChar w:fldCharType="begin"/>
              </w:r>
              <w:r>
                <w:instrText xml:space="preserve"> HYPERLINK \l "_Toc10654" </w:instrText>
              </w:r>
              <w:r>
                <w:fldChar w:fldCharType="separate"/>
              </w:r>
              <w:r>
                <w:t>Evaluation of change program completion</w:t>
              </w:r>
              <w:r>
                <w:tab/>
              </w:r>
              <w:r>
                <w:rPr>
                  <w:rFonts w:hint="eastAsia" w:eastAsia="宋体"/>
                  <w:lang w:val="en-US" w:eastAsia="zh-CN"/>
                </w:rPr>
                <w:t>1</w:t>
              </w:r>
              <w:r>
                <w:fldChar w:fldCharType="end"/>
              </w:r>
              <w:r>
                <w:rPr>
                  <w:rFonts w:hint="eastAsia" w:eastAsia="宋体"/>
                  <w:lang w:val="en-US" w:eastAsia="zh-CN"/>
                </w:rPr>
                <w:t>6</w:t>
              </w:r>
            </w:p>
            <w:p>
              <w:pPr>
                <w:pStyle w:val="7"/>
                <w:tabs>
                  <w:tab w:val="right" w:leader="dot" w:pos="9026"/>
                </w:tabs>
                <w:rPr>
                  <w:rFonts w:hint="eastAsia" w:eastAsia="宋体"/>
                  <w:lang w:val="en-US" w:eastAsia="zh-CN"/>
                </w:rPr>
              </w:pPr>
              <w:r>
                <w:fldChar w:fldCharType="begin"/>
              </w:r>
              <w:r>
                <w:instrText xml:space="preserve"> HYPERLINK \l "_Toc14130" </w:instrText>
              </w:r>
              <w:r>
                <w:fldChar w:fldCharType="separate"/>
              </w:r>
              <w:r>
                <w:t>Conclusion</w:t>
              </w:r>
              <w:r>
                <w:tab/>
              </w:r>
              <w:r>
                <w:rPr>
                  <w:rFonts w:hint="eastAsia" w:eastAsia="宋体"/>
                  <w:lang w:val="en-US" w:eastAsia="zh-CN"/>
                </w:rPr>
                <w:t>1</w:t>
              </w:r>
              <w:r>
                <w:fldChar w:fldCharType="end"/>
              </w:r>
              <w:r>
                <w:rPr>
                  <w:rFonts w:hint="eastAsia" w:eastAsia="宋体"/>
                  <w:lang w:val="en-US" w:eastAsia="zh-CN"/>
                </w:rPr>
                <w:t>7</w:t>
              </w:r>
            </w:p>
            <w:p>
              <w:pPr>
                <w:pStyle w:val="7"/>
                <w:tabs>
                  <w:tab w:val="right" w:leader="dot" w:pos="9026"/>
                </w:tabs>
                <w:rPr>
                  <w:rFonts w:hint="eastAsia" w:eastAsia="宋体"/>
                  <w:lang w:val="en-US" w:eastAsia="zh-CN"/>
                </w:rPr>
              </w:pPr>
              <w:r>
                <w:fldChar w:fldCharType="begin"/>
              </w:r>
              <w:r>
                <w:instrText xml:space="preserve"> HYPERLINK \l "_Toc6639" </w:instrText>
              </w:r>
              <w:r>
                <w:fldChar w:fldCharType="separate"/>
              </w:r>
              <w:r>
                <w:rPr>
                  <w:rFonts w:hint="eastAsia"/>
                  <w:lang w:val="en-US" w:eastAsia="zh-CN"/>
                </w:rPr>
                <w:t>References</w:t>
              </w:r>
              <w:r>
                <w:tab/>
              </w:r>
              <w:r>
                <w:rPr>
                  <w:rFonts w:hint="eastAsia" w:eastAsia="宋体"/>
                  <w:lang w:val="en-US" w:eastAsia="zh-CN"/>
                </w:rPr>
                <w:t>1</w:t>
              </w:r>
              <w:r>
                <w:fldChar w:fldCharType="end"/>
              </w:r>
              <w:r>
                <w:rPr>
                  <w:rFonts w:hint="eastAsia" w:eastAsia="宋体"/>
                  <w:lang w:val="en-US" w:eastAsia="zh-CN"/>
                </w:rPr>
                <w:t>9</w:t>
              </w:r>
            </w:p>
            <w:p>
              <w:pPr>
                <w:spacing w:line="480" w:lineRule="auto"/>
                <w:jc w:val="both"/>
              </w:pPr>
              <w:r>
                <w:rPr>
                  <w:bCs/>
                </w:rPr>
                <w:fldChar w:fldCharType="end"/>
              </w:r>
            </w:p>
          </w:sdtContent>
        </w:sdt>
        <w:p>
          <w:pPr>
            <w:spacing w:line="480" w:lineRule="auto"/>
            <w:jc w:val="both"/>
          </w:pPr>
          <w:bookmarkStart w:id="207" w:name="_GoBack"/>
          <w:bookmarkEnd w:id="207"/>
        </w:p>
        <w:p>
          <w:pPr>
            <w:pStyle w:val="2"/>
            <w:rPr>
              <w:color w:val="auto"/>
            </w:rPr>
          </w:pPr>
          <w:bookmarkStart w:id="1" w:name="_Toc137934925"/>
          <w:bookmarkStart w:id="2" w:name="_Toc5857"/>
          <w:bookmarkStart w:id="3" w:name="_Toc149502625"/>
          <w:r>
            <w:rPr>
              <w:color w:val="auto"/>
            </w:rPr>
            <w:t>Introduction</w:t>
          </w:r>
          <w:bookmarkEnd w:id="1"/>
          <w:bookmarkEnd w:id="2"/>
          <w:bookmarkEnd w:id="3"/>
        </w:p>
        <w:p>
          <w:pPr>
            <w:pStyle w:val="3"/>
            <w:spacing w:line="480" w:lineRule="auto"/>
            <w:jc w:val="both"/>
            <w:rPr>
              <w:color w:val="auto"/>
            </w:rPr>
          </w:pPr>
          <w:bookmarkStart w:id="4" w:name="_Toc149502626"/>
          <w:bookmarkStart w:id="5" w:name="_Toc137934926"/>
          <w:bookmarkStart w:id="6" w:name="_Toc25677"/>
          <w:r>
            <w:rPr>
              <w:color w:val="auto"/>
            </w:rPr>
            <w:t>Background</w:t>
          </w:r>
          <w:bookmarkEnd w:id="4"/>
          <w:bookmarkEnd w:id="5"/>
          <w:bookmarkEnd w:id="6"/>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7" w:name="OLE_LINK158"/>
          <w:bookmarkStart w:id="8" w:name="OLE_LINK159"/>
          <w:bookmarkStart w:id="9" w:name="OLE_LINK307"/>
          <w:bookmarkStart w:id="10" w:name="OLE_LINK306"/>
          <w:r>
            <w:rPr>
              <w:rFonts w:ascii="Times New Roman" w:hAnsi="Times New Roman" w:cs="Times New Roman"/>
              <w:color w:val="000000" w:themeColor="text1"/>
              <w:sz w:val="24"/>
              <w:szCs w:val="24"/>
              <w14:textFill>
                <w14:solidFill>
                  <w14:schemeClr w14:val="tx1"/>
                </w14:solidFill>
              </w14:textFill>
            </w:rPr>
            <w:t xml:space="preserve">As a core engine of economic development and job creation globally, Small and Medium-sized Enterprises (SMEs) hold a critical position in the world's economic structure (Carracedo et al., 2021). Koirala (2019) pointed out that SMEs comprise over 90% of all businesses worldwide. Astonishingly, they are responsible for spawning 60-70% of all jobs in developing nations. </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Despite their undeniable importance, SMEs face several obstacles, including scarce resources, financial limitations, and intense market competition, often hamper their growth and overall success. However, SMEs embracing innovation and adapting to change can stand out in this challenging environment and even thrive with these attributes. At the same time, their growth can create jobs and contribute to the country's economic growth. Providing support and resources to such SMEs is therefore crucial.</w:t>
          </w:r>
          <w:bookmarkEnd w:id="7"/>
          <w:bookmarkEnd w:id="8"/>
          <w:r>
            <w:rPr>
              <w:rFonts w:ascii="Times New Roman" w:hAnsi="Times New Roman" w:cs="Times New Roman"/>
              <w:color w:val="000000" w:themeColor="text1"/>
              <w:sz w:val="24"/>
              <w:szCs w:val="24"/>
              <w14:textFill>
                <w14:solidFill>
                  <w14:schemeClr w14:val="tx1"/>
                </w14:solidFill>
              </w14:textFill>
            </w:rPr>
            <w:t xml:space="preserve"> </w:t>
          </w:r>
        </w:p>
        <w:bookmarkEnd w:id="9"/>
        <w:bookmarkEnd w:id="10"/>
        <w:p>
          <w:pPr>
            <w:pStyle w:val="3"/>
            <w:spacing w:line="480" w:lineRule="auto"/>
            <w:jc w:val="both"/>
            <w:rPr>
              <w:color w:val="auto"/>
            </w:rPr>
          </w:pPr>
          <w:bookmarkStart w:id="11" w:name="_Toc137934927"/>
          <w:bookmarkStart w:id="12" w:name="_Toc16092"/>
          <w:bookmarkStart w:id="13" w:name="_Toc149502627"/>
          <w:r>
            <w:rPr>
              <w:color w:val="auto"/>
            </w:rPr>
            <w:t>Seesaw Coffee and Its Pandemic Response</w:t>
          </w:r>
          <w:bookmarkEnd w:id="11"/>
          <w:bookmarkEnd w:id="12"/>
          <w:bookmarkEnd w:id="13"/>
        </w:p>
        <w:p>
          <w:pPr>
            <w:spacing w:line="480" w:lineRule="auto"/>
            <w:ind w:firstLine="720"/>
            <w:jc w:val="both"/>
            <w:rPr>
              <w:rFonts w:ascii="Times New Roman" w:hAnsi="Times New Roman" w:cs="Times New Roman"/>
              <w:sz w:val="24"/>
              <w:szCs w:val="24"/>
            </w:rPr>
          </w:pPr>
          <w:bookmarkStart w:id="14" w:name="OLE_LINK309"/>
          <w:bookmarkStart w:id="15" w:name="OLE_LINK308"/>
          <w:r>
            <w:rPr>
              <w:rFonts w:ascii="Times New Roman" w:hAnsi="Times New Roman" w:cs="Times New Roman"/>
              <w:sz w:val="24"/>
              <w:szCs w:val="24"/>
            </w:rPr>
            <w:t>Seesaw Coffee, an SME from China, exemplifies the spirit of SMEs. Renowned for its high-quality coffee sourced from different Chinese regions, Seesaw Coffee has cultivated a loyal customer base despite its smaller size compared to large corporations. Its unique approach to coffee culture has won it recognition and admiration. However, like most businesses, Seesaw Coffee was hit hard by the COVID-19 pandemic (Carracedo et al., 2021). For example, because of the pandemic, most of the shops had to close temporarily and practice social distancing, leading to a reduction in shop traffic and a substantial reduction in earnings (Pantano et al., 2020). Therefore, Seesaw Coffee also had to change its business model quickly to keep its customers and make money during the crisis (Booker, 2022).</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sz w:val="24"/>
              <w:szCs w:val="24"/>
            </w:rPr>
            <w:t>COVID-19 posed numerous challenges to Seesaw Coffee. Much like other SMEs worldwide, it grappled with a rapidly evolving situation. The most significant adverse impacts from the pandemic are found in business management processes, including supply chain disruption, business disruption, employee management issues, and higher production costs (Seesaw Coffee, 2022). These challenges tested Seesaw’s resilience, forcing it to innovate and adapt to continue serving its customers. However, Seesaw Coffee stood up to these challenges, demonstrating unwavering commitment to its customers. It strived to continue offering unique, exceptional coffee experiences, even amidst a global crisis (Ferreira and Ferreira, 2018).</w:t>
          </w:r>
          <w:bookmarkStart w:id="16" w:name="_Toc137934933"/>
          <w:r>
            <w:rPr>
              <w:rFonts w:ascii="Times New Roman" w:hAnsi="Times New Roman" w:cs="Times New Roman"/>
              <w:color w:val="000000" w:themeColor="text1"/>
              <w:sz w:val="24"/>
              <w:szCs w:val="24"/>
              <w14:textFill>
                <w14:solidFill>
                  <w14:schemeClr w14:val="tx1"/>
                </w14:solidFill>
              </w14:textFill>
            </w:rPr>
            <w:t xml:space="preserve"> </w:t>
          </w:r>
        </w:p>
        <w:bookmarkEnd w:id="14"/>
        <w:bookmarkEnd w:id="15"/>
        <w:p>
          <w:pPr>
            <w:pStyle w:val="2"/>
            <w:rPr>
              <w:color w:val="auto"/>
            </w:rPr>
          </w:pPr>
          <w:bookmarkStart w:id="17" w:name="_Toc29352"/>
          <w:r>
            <w:rPr>
              <w:color w:val="auto"/>
            </w:rPr>
            <w:t>Critical Evaluation of the Organisational Change</w:t>
          </w:r>
          <w:bookmarkEnd w:id="17"/>
          <w:r>
            <w:rPr>
              <w:color w:val="auto"/>
            </w:rPr>
            <w:t xml:space="preserve"> </w:t>
          </w:r>
        </w:p>
        <w:p>
          <w:pPr>
            <w:pStyle w:val="3"/>
            <w:spacing w:line="480" w:lineRule="auto"/>
            <w:jc w:val="both"/>
            <w:rPr>
              <w:color w:val="auto"/>
            </w:rPr>
          </w:pPr>
          <w:bookmarkStart w:id="18" w:name="_Toc149502630"/>
          <w:bookmarkStart w:id="19" w:name="_Toc10504"/>
          <w:r>
            <w:rPr>
              <w:color w:val="auto"/>
            </w:rPr>
            <w:t xml:space="preserve">Organizational Change in </w:t>
          </w:r>
          <w:bookmarkEnd w:id="16"/>
          <w:bookmarkEnd w:id="18"/>
          <w:r>
            <w:rPr>
              <w:color w:val="auto"/>
            </w:rPr>
            <w:t>the company</w:t>
          </w:r>
          <w:bookmarkEnd w:id="19"/>
          <w:r>
            <w:rPr>
              <w:color w:val="auto"/>
            </w:rPr>
            <w:t xml:space="preserve"> </w:t>
          </w:r>
        </w:p>
        <w:p>
          <w:pPr>
            <w:spacing w:line="480" w:lineRule="auto"/>
            <w:ind w:firstLine="720"/>
            <w:jc w:val="both"/>
            <w:rPr>
              <w:rFonts w:ascii="Times New Roman" w:hAnsi="Times New Roman" w:cs="Times New Roman"/>
              <w:sz w:val="24"/>
              <w:szCs w:val="24"/>
            </w:rPr>
          </w:pPr>
          <w:bookmarkStart w:id="20" w:name="OLE_LINK311"/>
          <w:bookmarkStart w:id="21" w:name="OLE_LINK310"/>
          <w:bookmarkStart w:id="22" w:name="OLE_LINK199"/>
          <w:bookmarkStart w:id="23" w:name="OLE_LINK200"/>
          <w:r>
            <w:rPr>
              <w:rFonts w:ascii="Times New Roman" w:hAnsi="Times New Roman" w:cs="Times New Roman"/>
              <w:color w:val="000000" w:themeColor="text1"/>
              <w:sz w:val="24"/>
              <w:szCs w:val="24"/>
              <w14:textFill>
                <w14:solidFill>
                  <w14:schemeClr w14:val="tx1"/>
                </w14:solidFill>
              </w14:textFill>
            </w:rPr>
            <w:t>Change management is a systematic approach to managing organizational transitions from the current to the desired state. It involves developing and implementing strategies and interventions to facilitate this transition (Gorjian et al., 2021). Additionally, change management encompasses managing the human aspect of change, which includes addressing values, vision, culture, beliefs, and attitudes (Min &amp; Kim, 2022). The primary objective of change management is to enhance organizational performance capability and capacity by proactively or reactively responding to internally driven or externally imposed changes. Organizational change is imperative for businesses' growth, adaptation, and survival, particularly small and medium-sized enterprises (SMEs) operating in dynamic business environments (Min &amp; Kim, 2022). Gorjian et al. (2021) underscore the significance of SMEs adapting their strategies, processes, and structures to environmental changes to maintain competitiveness. This may involve implementing innovative technologies, restructuring the organization, or redefining the organizational culture</w:t>
          </w:r>
          <w:bookmarkEnd w:id="20"/>
          <w:bookmarkEnd w:id="21"/>
          <w:r>
            <w:rPr>
              <w:rFonts w:ascii="Times New Roman" w:hAnsi="Times New Roman" w:cs="Times New Roman"/>
              <w:color w:val="000000" w:themeColor="text1"/>
              <w:sz w:val="24"/>
              <w:szCs w:val="24"/>
              <w14:textFill>
                <w14:solidFill>
                  <w14:schemeClr w14:val="tx1"/>
                </w14:solidFill>
              </w14:textFill>
            </w:rPr>
            <w:t>.</w:t>
          </w:r>
          <w:r>
            <w:rPr>
              <w:rFonts w:ascii="Times New Roman" w:hAnsi="Times New Roman" w:cs="Times New Roman"/>
              <w:sz w:val="24"/>
              <w:szCs w:val="24"/>
            </w:rPr>
            <w:t xml:space="preserve"> </w:t>
          </w:r>
        </w:p>
        <w:bookmarkEnd w:id="22"/>
        <w:bookmarkEnd w:id="23"/>
        <w:p>
          <w:pPr>
            <w:pStyle w:val="3"/>
            <w:spacing w:line="480" w:lineRule="auto"/>
            <w:jc w:val="both"/>
            <w:rPr>
              <w:color w:val="000000" w:themeColor="text1"/>
              <w14:textFill>
                <w14:solidFill>
                  <w14:schemeClr w14:val="tx1"/>
                </w14:solidFill>
              </w14:textFill>
            </w:rPr>
          </w:pPr>
          <w:bookmarkStart w:id="24" w:name="_Toc149502631"/>
          <w:bookmarkStart w:id="25" w:name="_Toc137934934"/>
          <w:bookmarkStart w:id="26" w:name="_Toc31756"/>
          <w:r>
            <w:rPr>
              <w:color w:val="000000" w:themeColor="text1"/>
              <w14:textFill>
                <w14:solidFill>
                  <w14:schemeClr w14:val="tx1"/>
                </w14:solidFill>
              </w14:textFill>
            </w:rPr>
            <w:t>Impact of COVID-19 on SMEs</w:t>
          </w:r>
          <w:bookmarkEnd w:id="24"/>
          <w:bookmarkEnd w:id="25"/>
          <w:bookmarkEnd w:id="26"/>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27" w:name="OLE_LINK208"/>
          <w:bookmarkStart w:id="28" w:name="OLE_LINK312"/>
          <w:bookmarkStart w:id="29" w:name="OLE_LINK209"/>
          <w:r>
            <w:rPr>
              <w:rFonts w:ascii="Times New Roman" w:hAnsi="Times New Roman" w:cs="Times New Roman"/>
              <w:color w:val="000000" w:themeColor="text1"/>
              <w:sz w:val="24"/>
              <w:szCs w:val="24"/>
              <w14:textFill>
                <w14:solidFill>
                  <w14:schemeClr w14:val="tx1"/>
                </w14:solidFill>
              </w14:textFill>
            </w:rPr>
            <w:t>The global COVID-19 outbreak has substantially impacted the business sector, including tiny and medium-sized enterprises (SMEs) with limited resources and flexibility (Klein &amp; Todesco, 2021). As a result, many SMEs faced closures, supply chain disruptions, and financial challenges (Kalogiannidis, 2020). In response, SMEs swiftly adapted by implementing operational changes such as remote work, new health and safety protocols, and modifying their products or services to meet changing customer demands (Rapaccini et al., 2020).</w:t>
          </w:r>
        </w:p>
        <w:bookmarkEnd w:id="27"/>
        <w:bookmarkEnd w:id="28"/>
        <w:bookmarkEnd w:id="29"/>
        <w:p>
          <w:pPr>
            <w:pStyle w:val="3"/>
            <w:spacing w:line="480" w:lineRule="auto"/>
            <w:jc w:val="both"/>
            <w:rPr>
              <w:color w:val="000000" w:themeColor="text1"/>
              <w14:textFill>
                <w14:solidFill>
                  <w14:schemeClr w14:val="tx1"/>
                </w14:solidFill>
              </w14:textFill>
            </w:rPr>
          </w:pPr>
          <w:bookmarkStart w:id="30" w:name="_Toc7750"/>
          <w:bookmarkStart w:id="31" w:name="_Toc137934935"/>
          <w:bookmarkStart w:id="32" w:name="_Toc149502632"/>
          <w:r>
            <w:rPr>
              <w:color w:val="000000" w:themeColor="text1"/>
              <w14:textFill>
                <w14:solidFill>
                  <w14:schemeClr w14:val="tx1"/>
                </w14:solidFill>
              </w14:textFill>
            </w:rPr>
            <w:t>Change Management Models for SMEs</w:t>
          </w:r>
          <w:bookmarkEnd w:id="30"/>
          <w:bookmarkEnd w:id="31"/>
          <w:r>
            <w:rPr>
              <w:color w:val="000000" w:themeColor="text1"/>
              <w14:textFill>
                <w14:solidFill>
                  <w14:schemeClr w14:val="tx1"/>
                </w14:solidFill>
              </w14:textFill>
            </w:rPr>
            <w:t xml:space="preserve"> </w:t>
          </w:r>
          <w:bookmarkEnd w:id="32"/>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33" w:name="OLE_LINK211"/>
          <w:bookmarkStart w:id="34" w:name="OLE_LINK210"/>
          <w:bookmarkStart w:id="35" w:name="OLE_LINK313"/>
          <w:bookmarkStart w:id="36" w:name="OLE_LINK314"/>
          <w:r>
            <w:rPr>
              <w:rFonts w:ascii="Times New Roman" w:hAnsi="Times New Roman" w:cs="Times New Roman"/>
              <w:color w:val="000000" w:themeColor="text1"/>
              <w:sz w:val="24"/>
              <w:szCs w:val="24"/>
              <w14:textFill>
                <w14:solidFill>
                  <w14:schemeClr w14:val="tx1"/>
                </w14:solidFill>
              </w14:textFill>
            </w:rPr>
            <w:t xml:space="preserve">SMEs can effectively manage organizational change by utilizing change management models such as Lewin's Change Management Model, Kotter's 8-Step Change Model, and the McKinsey 7S Model (Tang </w:t>
          </w:r>
          <w:r>
            <w:rPr>
              <w:rFonts w:hint="eastAsia" w:ascii="Times New Roman" w:hAnsi="Times New Roman" w:cs="Times New Roman"/>
              <w:color w:val="000000" w:themeColor="text1"/>
              <w:sz w:val="24"/>
              <w:szCs w:val="24"/>
              <w:lang w:eastAsia="zh-CN"/>
              <w14:textFill>
                <w14:solidFill>
                  <w14:schemeClr w14:val="tx1"/>
                </w14:solidFill>
              </w14:textFill>
            </w:rPr>
            <w:t>and</w:t>
          </w:r>
          <w:r>
            <w:rPr>
              <w:rFonts w:ascii="Times New Roman" w:hAnsi="Times New Roman" w:cs="Times New Roman"/>
              <w:color w:val="000000" w:themeColor="text1"/>
              <w:sz w:val="24"/>
              <w:szCs w:val="24"/>
              <w14:textFill>
                <w14:solidFill>
                  <w14:schemeClr w14:val="tx1"/>
                </w14:solidFill>
              </w14:textFill>
            </w:rPr>
            <w:t xml:space="preserve"> Tang, 2019). These models offer a structured approach to implementing change, helping organizations identify change drivers, address resistance, and successfully integrate new strategies, processes, and structures. In the case of Seesaw Coffee, Xu and Ng (2023) incorporated Lewin's Force Field Analysis Model to evaluate the change management process. This model critically analyzes the organizational situation and identifies factors driving or resisting change (Gaivoronskaya et al., 2021). Additionally, stakeholder analysis has been conducted to assess the impact and identify key stakeholders involved in the change process.</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During the COVID-19 pandemic, one of the critical challenges for the company was the disruption in its supply chain management process caused by prolonged lockdowns. Insufficient support from suppliers and inadequate strategic planning for cost management further exacerbated the issues, hindering the company's ability to maintain a seamless supply chain. Consequently, the company initiated changes in its organizational culture and supply chain management procedures to address these challenges (Hartmann et al., 2020). Additionally, the company underwent a significant change by embracing digitalization across its overall business processes to facilitate smooth business growth.</w:t>
          </w:r>
          <w:bookmarkEnd w:id="33"/>
          <w:bookmarkEnd w:id="34"/>
          <w:bookmarkStart w:id="37" w:name="OLE_LINK212"/>
          <w:bookmarkStart w:id="38" w:name="OLE_LINK213"/>
          <w:bookmarkStart w:id="39" w:name="OLE_LINK214"/>
        </w:p>
        <w:bookmarkEnd w:id="35"/>
        <w:bookmarkEnd w:id="36"/>
        <w:bookmarkEnd w:id="37"/>
        <w:bookmarkEnd w:id="38"/>
        <w:bookmarkEnd w:id="39"/>
        <w:p>
          <w:pPr>
            <w:pStyle w:val="3"/>
            <w:spacing w:line="480" w:lineRule="auto"/>
            <w:jc w:val="both"/>
            <w:rPr>
              <w:color w:val="000000" w:themeColor="text1"/>
              <w14:textFill>
                <w14:solidFill>
                  <w14:schemeClr w14:val="tx1"/>
                </w14:solidFill>
              </w14:textFill>
            </w:rPr>
          </w:pPr>
          <w:bookmarkStart w:id="40" w:name="_Toc149502633"/>
          <w:bookmarkStart w:id="41" w:name="_Toc137934936"/>
          <w:bookmarkStart w:id="42" w:name="_Toc11449"/>
          <w:r>
            <w:rPr>
              <w:color w:val="000000" w:themeColor="text1"/>
              <w14:textFill>
                <w14:solidFill>
                  <w14:schemeClr w14:val="tx1"/>
                </w14:solidFill>
              </w14:textFill>
            </w:rPr>
            <w:t>Factors Affecting Organizational Change in SMEs</w:t>
          </w:r>
          <w:bookmarkEnd w:id="40"/>
          <w:bookmarkEnd w:id="41"/>
          <w:bookmarkEnd w:id="42"/>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43" w:name="OLE_LINK215"/>
          <w:bookmarkStart w:id="44" w:name="OLE_LINK216"/>
          <w:bookmarkStart w:id="45" w:name="OLE_LINK315"/>
          <w:r>
            <w:rPr>
              <w:rFonts w:ascii="Times New Roman" w:hAnsi="Times New Roman" w:cs="Times New Roman"/>
              <w:color w:val="000000" w:themeColor="text1"/>
              <w:sz w:val="24"/>
              <w:szCs w:val="24"/>
              <w14:textFill>
                <w14:solidFill>
                  <w14:schemeClr w14:val="tx1"/>
                </w14:solidFill>
              </w14:textFill>
            </w:rPr>
            <w:t>Various factors can influence the outcomes of transformational efforts in small and medium-sized enterprises (SMEs). Leadership, organizational culture, employee engagement, and communication have been identified as significant variables by Cândido and Santos (2019). Effective management is crucial for SMEs to navigate through periods of transformation successfully. This involves developing a clear vision, defining desired outcomes, and fostering a conducive environment (Tajasom et al., 2015). The alignment between desired change outcomes and organizational culture plays a pivotal role in determining the impact of the change (Cândido &amp; Santos, 2019). Optimal employee engagement and communication are essential for the successful implementation of change, as well-informed and dedicated employees are more likely to support and participate in the process (Georgiades &amp; Georgiades et al., 2015).</w:t>
          </w:r>
        </w:p>
        <w:bookmarkEnd w:id="43"/>
        <w:bookmarkEnd w:id="44"/>
        <w:bookmarkEnd w:id="45"/>
        <w:p>
          <w:pPr>
            <w:pStyle w:val="2"/>
            <w:rPr>
              <w:color w:val="000000" w:themeColor="text1"/>
              <w14:textFill>
                <w14:solidFill>
                  <w14:schemeClr w14:val="tx1"/>
                </w14:solidFill>
              </w14:textFill>
            </w:rPr>
          </w:pPr>
          <w:bookmarkStart w:id="46" w:name="_Toc3372"/>
          <w:bookmarkStart w:id="47" w:name="_Toc149502634"/>
          <w:bookmarkStart w:id="48" w:name="_Toc137934937"/>
          <w:r>
            <w:rPr>
              <w:color w:val="000000" w:themeColor="text1"/>
              <w14:textFill>
                <w14:solidFill>
                  <w14:schemeClr w14:val="tx1"/>
                </w14:solidFill>
              </w14:textFill>
            </w:rPr>
            <w:t>Drivers of Change</w:t>
          </w:r>
          <w:bookmarkEnd w:id="46"/>
          <w:bookmarkEnd w:id="47"/>
          <w:bookmarkEnd w:id="48"/>
        </w:p>
        <w:p>
          <w:pPr>
            <w:pStyle w:val="3"/>
            <w:spacing w:line="480" w:lineRule="auto"/>
            <w:jc w:val="both"/>
            <w:rPr>
              <w:color w:val="000000" w:themeColor="text1"/>
              <w14:textFill>
                <w14:solidFill>
                  <w14:schemeClr w14:val="tx1"/>
                </w14:solidFill>
              </w14:textFill>
            </w:rPr>
          </w:pPr>
          <w:bookmarkStart w:id="49" w:name="_Toc137934938"/>
          <w:bookmarkStart w:id="50" w:name="_Toc18142"/>
          <w:bookmarkStart w:id="51" w:name="_Toc149502635"/>
          <w:r>
            <w:rPr>
              <w:color w:val="000000" w:themeColor="text1"/>
              <w14:textFill>
                <w14:solidFill>
                  <w14:schemeClr w14:val="tx1"/>
                </w14:solidFill>
              </w14:textFill>
            </w:rPr>
            <w:t>Organizational culture</w:t>
          </w:r>
          <w:bookmarkEnd w:id="49"/>
          <w:bookmarkEnd w:id="50"/>
          <w:r>
            <w:rPr>
              <w:color w:val="000000" w:themeColor="text1"/>
              <w14:textFill>
                <w14:solidFill>
                  <w14:schemeClr w14:val="tx1"/>
                </w14:solidFill>
              </w14:textFill>
            </w:rPr>
            <w:t xml:space="preserve"> </w:t>
          </w:r>
          <w:bookmarkEnd w:id="51"/>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52" w:name="OLE_LINK317"/>
          <w:bookmarkStart w:id="53" w:name="OLE_LINK316"/>
          <w:bookmarkStart w:id="54" w:name="OLE_LINK219"/>
          <w:bookmarkStart w:id="55" w:name="OLE_LINK217"/>
          <w:bookmarkStart w:id="56" w:name="OLE_LINK218"/>
          <w:r>
            <w:rPr>
              <w:rFonts w:ascii="Times New Roman" w:hAnsi="Times New Roman" w:cs="Times New Roman"/>
              <w:color w:val="000000" w:themeColor="text1"/>
              <w:sz w:val="24"/>
              <w:szCs w:val="24"/>
              <w14:textFill>
                <w14:solidFill>
                  <w14:schemeClr w14:val="tx1"/>
                </w14:solidFill>
              </w14:textFill>
            </w:rPr>
            <w:t>Seesaw Coffee's organizational culture was instrumental in facilitating change during the pandemic. The company's adaptable, innovative, and customer-centric values and beliefs facilitated a proactive response to the challenges posed by COVID-19. Seesaw Coffee's ability to adapt to the changing business environment and maintain its competitive advantage was enhanced by fostering a culture that embraced change (Chen, 2019).</w:t>
          </w:r>
        </w:p>
        <w:bookmarkEnd w:id="52"/>
        <w:bookmarkEnd w:id="53"/>
        <w:p>
          <w:pPr>
            <w:pStyle w:val="3"/>
            <w:spacing w:line="480" w:lineRule="auto"/>
            <w:jc w:val="both"/>
            <w:rPr>
              <w:color w:val="000000" w:themeColor="text1"/>
              <w14:textFill>
                <w14:solidFill>
                  <w14:schemeClr w14:val="tx1"/>
                </w14:solidFill>
              </w14:textFill>
            </w:rPr>
          </w:pPr>
          <w:bookmarkStart w:id="57" w:name="_Toc19804"/>
          <w:bookmarkStart w:id="58" w:name="_Toc149502636"/>
          <w:bookmarkStart w:id="59" w:name="_Toc137934939"/>
          <w:r>
            <w:rPr>
              <w:color w:val="000000" w:themeColor="text1"/>
              <w14:textFill>
                <w14:solidFill>
                  <w14:schemeClr w14:val="tx1"/>
                </w14:solidFill>
              </w14:textFill>
            </w:rPr>
            <w:t>Leadership</w:t>
          </w:r>
          <w:bookmarkEnd w:id="57"/>
          <w:bookmarkEnd w:id="58"/>
          <w:bookmarkEnd w:id="59"/>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60" w:name="OLE_LINK318"/>
          <w:bookmarkStart w:id="61" w:name="OLE_LINK319"/>
          <w:r>
            <w:rPr>
              <w:rFonts w:ascii="Times New Roman" w:hAnsi="Times New Roman" w:cs="Times New Roman"/>
              <w:color w:val="000000" w:themeColor="text1"/>
              <w:sz w:val="24"/>
              <w:szCs w:val="24"/>
              <w14:textFill>
                <w14:solidFill>
                  <w14:schemeClr w14:val="tx1"/>
                </w14:solidFill>
              </w14:textFill>
            </w:rPr>
            <w:t>Leadership was crucial in implementing successful changes at Seesaw Coffee during the pandemic (Cavish, 2018). The leaders of the company exhibited proficient decision-making abilities, effective communication, and perseverance in challenging circumstances (Elishaer &amp; Saad, 2022). Seesaw Coffee's leaders modelled behaviours that fostered trust and inspired employees to embrace change initiatives, ensuring the organization's ability to adapt and thrive during crises.</w:t>
          </w:r>
        </w:p>
        <w:bookmarkEnd w:id="54"/>
        <w:bookmarkEnd w:id="55"/>
        <w:bookmarkEnd w:id="56"/>
        <w:bookmarkEnd w:id="60"/>
        <w:bookmarkEnd w:id="61"/>
        <w:p>
          <w:pPr>
            <w:pStyle w:val="3"/>
            <w:spacing w:line="480" w:lineRule="auto"/>
            <w:jc w:val="both"/>
            <w:rPr>
              <w:color w:val="000000" w:themeColor="text1"/>
              <w14:textFill>
                <w14:solidFill>
                  <w14:schemeClr w14:val="tx1"/>
                </w14:solidFill>
              </w14:textFill>
            </w:rPr>
          </w:pPr>
          <w:bookmarkStart w:id="62" w:name="_Toc149502637"/>
          <w:bookmarkStart w:id="63" w:name="_Toc137934940"/>
          <w:bookmarkStart w:id="64" w:name="_Toc4375"/>
          <w:r>
            <w:rPr>
              <w:color w:val="000000" w:themeColor="text1"/>
              <w14:textFill>
                <w14:solidFill>
                  <w14:schemeClr w14:val="tx1"/>
                </w14:solidFill>
              </w14:textFill>
            </w:rPr>
            <w:t>Power dynamics</w:t>
          </w:r>
          <w:bookmarkEnd w:id="62"/>
          <w:bookmarkEnd w:id="63"/>
          <w:bookmarkEnd w:id="64"/>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65" w:name="OLE_LINK220"/>
          <w:bookmarkStart w:id="66" w:name="OLE_LINK221"/>
          <w:bookmarkStart w:id="67" w:name="OLE_LINK320"/>
          <w:r>
            <w:rPr>
              <w:rFonts w:ascii="Times New Roman" w:hAnsi="Times New Roman" w:cs="Times New Roman"/>
              <w:color w:val="000000" w:themeColor="text1"/>
              <w:sz w:val="24"/>
              <w:szCs w:val="24"/>
              <w14:textFill>
                <w14:solidFill>
                  <w14:schemeClr w14:val="tx1"/>
                </w14:solidFill>
              </w14:textFill>
            </w:rPr>
            <w:t>Power dynamics at Seesaw Coffee impacted the change process by influencing stakeholders' reactions to the proposed changes. The company's leadership prioritized stakeholder buy-in by engaging employees at all levels by soliciting input and providing opportunities for open dialogue (Roulette, 2022). Seesaw Coffee effectively managed resistance and promoted stakeholder participation in the organizational adaptation, facilitating ownership of change initiatives.</w:t>
          </w:r>
        </w:p>
        <w:bookmarkEnd w:id="65"/>
        <w:bookmarkEnd w:id="66"/>
        <w:bookmarkEnd w:id="67"/>
        <w:p>
          <w:pPr>
            <w:pStyle w:val="3"/>
            <w:spacing w:line="480" w:lineRule="auto"/>
            <w:jc w:val="both"/>
            <w:rPr>
              <w:color w:val="000000" w:themeColor="text1"/>
              <w14:textFill>
                <w14:solidFill>
                  <w14:schemeClr w14:val="tx1"/>
                </w14:solidFill>
              </w14:textFill>
            </w:rPr>
          </w:pPr>
          <w:bookmarkStart w:id="68" w:name="_Toc149502638"/>
          <w:bookmarkStart w:id="69" w:name="_Toc10870"/>
          <w:bookmarkStart w:id="70" w:name="_Toc137934941"/>
          <w:r>
            <w:rPr>
              <w:color w:val="000000" w:themeColor="text1"/>
              <w14:textFill>
                <w14:solidFill>
                  <w14:schemeClr w14:val="tx1"/>
                </w14:solidFill>
              </w14:textFill>
            </w:rPr>
            <w:t>Digitalization</w:t>
          </w:r>
          <w:bookmarkEnd w:id="68"/>
          <w:bookmarkEnd w:id="69"/>
          <w:bookmarkEnd w:id="70"/>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71" w:name="OLE_LINK224"/>
          <w:bookmarkStart w:id="72" w:name="OLE_LINK225"/>
          <w:bookmarkStart w:id="73" w:name="OLE_LINK321"/>
          <w:r>
            <w:rPr>
              <w:rFonts w:ascii="Times New Roman" w:hAnsi="Times New Roman" w:cs="Times New Roman"/>
              <w:color w:val="000000" w:themeColor="text1"/>
              <w:sz w:val="24"/>
              <w:szCs w:val="24"/>
              <w14:textFill>
                <w14:solidFill>
                  <w14:schemeClr w14:val="tx1"/>
                </w14:solidFill>
              </w14:textFill>
            </w:rPr>
            <w:t>Seesaw Coffee embraced digitalization during the pandemic, leveraging online ordering platforms, mobile apps, and contactless payment options to sustain operations and meet customer demands (Bharadwaj et al., 2013). This strategic use of digital infrastructure enabled the company to engage customers, establish new revenue streams, and gain a competitive edge.</w:t>
          </w:r>
        </w:p>
        <w:bookmarkEnd w:id="71"/>
        <w:bookmarkEnd w:id="72"/>
        <w:bookmarkEnd w:id="73"/>
        <w:p>
          <w:pPr>
            <w:pStyle w:val="3"/>
            <w:spacing w:line="480" w:lineRule="auto"/>
            <w:jc w:val="both"/>
            <w:rPr>
              <w:color w:val="000000" w:themeColor="text1"/>
              <w14:textFill>
                <w14:solidFill>
                  <w14:schemeClr w14:val="tx1"/>
                </w14:solidFill>
              </w14:textFill>
            </w:rPr>
          </w:pPr>
          <w:bookmarkStart w:id="74" w:name="_Toc149502639"/>
          <w:bookmarkStart w:id="75" w:name="_Toc12819"/>
          <w:bookmarkStart w:id="76" w:name="_Toc137934942"/>
          <w:r>
            <w:rPr>
              <w:color w:val="000000" w:themeColor="text1"/>
              <w14:textFill>
                <w14:solidFill>
                  <w14:schemeClr w14:val="tx1"/>
                </w14:solidFill>
              </w14:textFill>
            </w:rPr>
            <w:t>Competition</w:t>
          </w:r>
          <w:bookmarkEnd w:id="74"/>
          <w:bookmarkEnd w:id="75"/>
          <w:bookmarkEnd w:id="76"/>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77" w:name="OLE_LINK226"/>
          <w:bookmarkStart w:id="78" w:name="OLE_LINK227"/>
          <w:bookmarkStart w:id="79" w:name="_Toc149502640"/>
          <w:bookmarkStart w:id="80" w:name="_Toc137934943"/>
          <w:r>
            <w:rPr>
              <w:rFonts w:ascii="Times New Roman" w:hAnsi="Times New Roman" w:cs="Times New Roman"/>
              <w:color w:val="000000" w:themeColor="text1"/>
              <w:sz w:val="24"/>
              <w:szCs w:val="24"/>
              <w14:textFill>
                <w14:solidFill>
                  <w14:schemeClr w14:val="tx1"/>
                </w14:solidFill>
              </w14:textFill>
            </w:rPr>
            <w:t>Seesaw Coffee underwent changes during the pandemic in response to competitive pressures within the coffee sector. To remain competitive and attract customers, the company adjusted its strategies and offerings in line with rapidly changing market conditions (Nastasolu &amp; Vandenbosch, 2019). Seesaw Coffee demonstrated agility and adaptability by closely monitoring rival actions and swiftly responding to market trends, positioning itself as an industry leader despite unprecedented challenges.</w:t>
          </w:r>
        </w:p>
        <w:bookmarkEnd w:id="77"/>
        <w:bookmarkEnd w:id="78"/>
        <w:p>
          <w:pPr>
            <w:pStyle w:val="2"/>
            <w:rPr>
              <w:color w:val="000000" w:themeColor="text1"/>
              <w14:textFill>
                <w14:solidFill>
                  <w14:schemeClr w14:val="tx1"/>
                </w14:solidFill>
              </w14:textFill>
            </w:rPr>
          </w:pPr>
          <w:bookmarkStart w:id="81" w:name="_Toc23483"/>
          <w:r>
            <w:rPr>
              <w:color w:val="000000" w:themeColor="text1"/>
              <w14:textFill>
                <w14:solidFill>
                  <w14:schemeClr w14:val="tx1"/>
                </w14:solidFill>
              </w14:textFill>
            </w:rPr>
            <w:t>Main Findings</w:t>
          </w:r>
          <w:bookmarkEnd w:id="81"/>
          <w:r>
            <w:rPr>
              <w:color w:val="000000" w:themeColor="text1"/>
              <w14:textFill>
                <w14:solidFill>
                  <w14:schemeClr w14:val="tx1"/>
                </w14:solidFill>
              </w14:textFill>
            </w:rPr>
            <w:t xml:space="preserve"> </w:t>
          </w:r>
        </w:p>
        <w:p>
          <w:pPr>
            <w:pStyle w:val="3"/>
            <w:spacing w:line="480" w:lineRule="auto"/>
            <w:jc w:val="both"/>
            <w:rPr>
              <w:color w:val="000000" w:themeColor="text1"/>
              <w14:textFill>
                <w14:solidFill>
                  <w14:schemeClr w14:val="tx1"/>
                </w14:solidFill>
              </w14:textFill>
            </w:rPr>
          </w:pPr>
          <w:bookmarkStart w:id="82" w:name="_Toc10807"/>
          <w:r>
            <w:rPr>
              <w:color w:val="000000" w:themeColor="text1"/>
              <w14:textFill>
                <w14:solidFill>
                  <w14:schemeClr w14:val="tx1"/>
                </w14:solidFill>
              </w14:textFill>
            </w:rPr>
            <w:t>Adapting to Change and Driving Business Growth during the Pandemic</w:t>
          </w:r>
          <w:bookmarkEnd w:id="79"/>
          <w:bookmarkEnd w:id="80"/>
          <w:bookmarkEnd w:id="82"/>
        </w:p>
        <w:p>
          <w:pPr>
            <w:pStyle w:val="4"/>
            <w:spacing w:line="480" w:lineRule="auto"/>
            <w:jc w:val="both"/>
            <w:rPr>
              <w:color w:val="000000" w:themeColor="text1"/>
              <w14:textFill>
                <w14:solidFill>
                  <w14:schemeClr w14:val="tx1"/>
                </w14:solidFill>
              </w14:textFill>
            </w:rPr>
          </w:pPr>
          <w:bookmarkStart w:id="83" w:name="_Toc137934945"/>
          <w:bookmarkStart w:id="84" w:name="_Toc30103"/>
          <w:bookmarkStart w:id="85" w:name="_Toc149502641"/>
          <w:r>
            <w:rPr>
              <w:color w:val="000000" w:themeColor="text1"/>
              <w14:textFill>
                <w14:solidFill>
                  <w14:schemeClr w14:val="tx1"/>
                </w14:solidFill>
              </w14:textFill>
            </w:rPr>
            <w:t>Embracing Digital Transformation</w:t>
          </w:r>
          <w:bookmarkEnd w:id="83"/>
          <w:bookmarkEnd w:id="84"/>
          <w:bookmarkEnd w:id="85"/>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86" w:name="OLE_LINK322"/>
          <w:bookmarkStart w:id="87" w:name="OLE_LINK228"/>
          <w:bookmarkStart w:id="88" w:name="OLE_LINK229"/>
          <w:r>
            <w:rPr>
              <w:rFonts w:ascii="Times New Roman" w:hAnsi="Times New Roman" w:cs="Times New Roman"/>
              <w:color w:val="000000" w:themeColor="text1"/>
              <w:sz w:val="24"/>
              <w:szCs w:val="24"/>
              <w14:textFill>
                <w14:solidFill>
                  <w14:schemeClr w14:val="tx1"/>
                </w14:solidFill>
              </w14:textFill>
            </w:rPr>
            <w:t>Seesaw Coffee swiftly embraced digital transformation to tackle pandemic challenges. According to Hartmann et al. (2020), innovation, digital transformation, and a customer-centric approach are vital for organizational resilience and ongoing success. The company upgraded its digital infrastructure, introducing a user-friendly mobile app and online platform. Customers can conveniently place orders, make payments, and arrange delivery or pick-up through these channels. This strategy was pivotal in retaining and acquiring customers during lockdowns and social distancing measures.</w:t>
          </w:r>
        </w:p>
        <w:bookmarkEnd w:id="86"/>
        <w:bookmarkEnd w:id="87"/>
        <w:bookmarkEnd w:id="88"/>
        <w:p>
          <w:pPr>
            <w:pStyle w:val="4"/>
            <w:spacing w:line="480" w:lineRule="auto"/>
            <w:jc w:val="both"/>
            <w:rPr>
              <w:color w:val="000000" w:themeColor="text1"/>
              <w14:textFill>
                <w14:solidFill>
                  <w14:schemeClr w14:val="tx1"/>
                </w14:solidFill>
              </w14:textFill>
            </w:rPr>
          </w:pPr>
          <w:bookmarkStart w:id="89" w:name="_Toc137934946"/>
          <w:bookmarkStart w:id="90" w:name="_Toc25456"/>
          <w:bookmarkStart w:id="91" w:name="_Toc149502642"/>
          <w:r>
            <w:rPr>
              <w:color w:val="000000" w:themeColor="text1"/>
              <w14:textFill>
                <w14:solidFill>
                  <w14:schemeClr w14:val="tx1"/>
                </w14:solidFill>
              </w14:textFill>
            </w:rPr>
            <w:t>Enhancing Customer Experience</w:t>
          </w:r>
          <w:bookmarkEnd w:id="89"/>
          <w:bookmarkEnd w:id="90"/>
          <w:bookmarkEnd w:id="91"/>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92" w:name="OLE_LINK231"/>
          <w:bookmarkStart w:id="93" w:name="OLE_LINK230"/>
          <w:bookmarkStart w:id="94" w:name="OLE_LINK323"/>
          <w:bookmarkStart w:id="95" w:name="OLE_LINK232"/>
          <w:r>
            <w:rPr>
              <w:rFonts w:ascii="Times New Roman" w:hAnsi="Times New Roman" w:cs="Times New Roman"/>
              <w:color w:val="000000" w:themeColor="text1"/>
              <w:sz w:val="24"/>
              <w:szCs w:val="24"/>
              <w14:textFill>
                <w14:solidFill>
                  <w14:schemeClr w14:val="tx1"/>
                </w14:solidFill>
              </w14:textFill>
            </w:rPr>
            <w:t>Seesaw Coffee prioritized improving the customer experience amidst the pandemic. By leveraging data-driven insights and customer feedback, the company improved its digital offerings, streamlined the ordering process, and expanded its delivery services. Like other small and medium-sized enterprises, Seesaw Coffee utilized innovative social media marketing strategies to maintain customer engagement and enhance brand recognition (Dubbelink et al., 2020).</w:t>
          </w:r>
        </w:p>
        <w:bookmarkEnd w:id="92"/>
        <w:bookmarkEnd w:id="93"/>
        <w:bookmarkEnd w:id="94"/>
        <w:bookmarkEnd w:id="95"/>
        <w:p>
          <w:pPr>
            <w:pStyle w:val="4"/>
            <w:spacing w:line="480" w:lineRule="auto"/>
            <w:jc w:val="both"/>
            <w:rPr>
              <w:color w:val="000000" w:themeColor="text1"/>
              <w14:textFill>
                <w14:solidFill>
                  <w14:schemeClr w14:val="tx1"/>
                </w14:solidFill>
              </w14:textFill>
            </w:rPr>
          </w:pPr>
          <w:bookmarkStart w:id="96" w:name="_Toc149502643"/>
          <w:bookmarkStart w:id="97" w:name="_Toc137934947"/>
          <w:bookmarkStart w:id="98" w:name="_Toc3242"/>
          <w:r>
            <w:rPr>
              <w:color w:val="000000" w:themeColor="text1"/>
              <w14:textFill>
                <w14:solidFill>
                  <w14:schemeClr w14:val="tx1"/>
                </w14:solidFill>
              </w14:textFill>
            </w:rPr>
            <w:t>Adapting to Changing Consumer Preferences</w:t>
          </w:r>
          <w:bookmarkEnd w:id="96"/>
          <w:bookmarkEnd w:id="97"/>
          <w:bookmarkEnd w:id="98"/>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99" w:name="OLE_LINK236"/>
          <w:bookmarkStart w:id="100" w:name="OLE_LINK324"/>
          <w:bookmarkStart w:id="101" w:name="OLE_LINK235"/>
          <w:r>
            <w:rPr>
              <w:rFonts w:ascii="Times New Roman" w:hAnsi="Times New Roman" w:cs="Times New Roman"/>
              <w:color w:val="000000" w:themeColor="text1"/>
              <w:sz w:val="24"/>
              <w:szCs w:val="24"/>
              <w14:textFill>
                <w14:solidFill>
                  <w14:schemeClr w14:val="tx1"/>
                </w14:solidFill>
              </w14:textFill>
            </w:rPr>
            <w:t xml:space="preserve">During the pandemic, Seesaw Coffee adapted its product offerings to cater to changing consumer preferences. The company responded to the increasing consumer demand for health-conscious options during the pandemic by introducing new menu items and beverages emphasising health and well-being (Birtus </w:t>
          </w:r>
          <w:r>
            <w:rPr>
              <w:rFonts w:hint="eastAsia" w:ascii="Times New Roman" w:hAnsi="Times New Roman" w:cs="Times New Roman"/>
              <w:color w:val="000000" w:themeColor="text1"/>
              <w:sz w:val="24"/>
              <w:szCs w:val="24"/>
              <w:lang w:eastAsia="zh-CN"/>
              <w14:textFill>
                <w14:solidFill>
                  <w14:schemeClr w14:val="tx1"/>
                </w14:solidFill>
              </w14:textFill>
            </w:rPr>
            <w:t>and</w:t>
          </w:r>
          <w:r>
            <w:rPr>
              <w:rFonts w:ascii="Times New Roman" w:hAnsi="Times New Roman" w:cs="Times New Roman"/>
              <w:color w:val="000000" w:themeColor="text1"/>
              <w:sz w:val="24"/>
              <w:szCs w:val="24"/>
              <w14:textFill>
                <w14:solidFill>
                  <w14:schemeClr w14:val="tx1"/>
                </w14:solidFill>
              </w14:textFill>
            </w:rPr>
            <w:t xml:space="preserve"> Lăzăroiu, 2021).</w:t>
          </w:r>
        </w:p>
        <w:bookmarkEnd w:id="99"/>
        <w:bookmarkEnd w:id="100"/>
        <w:bookmarkEnd w:id="101"/>
        <w:p>
          <w:pPr>
            <w:pStyle w:val="4"/>
            <w:spacing w:line="480" w:lineRule="auto"/>
            <w:jc w:val="both"/>
            <w:rPr>
              <w:color w:val="000000" w:themeColor="text1"/>
              <w14:textFill>
                <w14:solidFill>
                  <w14:schemeClr w14:val="tx1"/>
                </w14:solidFill>
              </w14:textFill>
            </w:rPr>
          </w:pPr>
          <w:bookmarkStart w:id="102" w:name="_Toc137934948"/>
          <w:bookmarkStart w:id="103" w:name="_Toc149502644"/>
          <w:bookmarkStart w:id="104" w:name="_Toc20636"/>
          <w:r>
            <w:rPr>
              <w:color w:val="000000" w:themeColor="text1"/>
              <w14:textFill>
                <w14:solidFill>
                  <w14:schemeClr w14:val="tx1"/>
                </w14:solidFill>
              </w14:textFill>
            </w:rPr>
            <w:t>Strengthening the Supply Chain</w:t>
          </w:r>
          <w:bookmarkEnd w:id="102"/>
          <w:bookmarkEnd w:id="103"/>
          <w:bookmarkEnd w:id="104"/>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105" w:name="OLE_LINK238"/>
          <w:bookmarkStart w:id="106" w:name="OLE_LINK239"/>
          <w:bookmarkStart w:id="107" w:name="OLE_LINK325"/>
          <w:bookmarkStart w:id="108" w:name="OLE_LINK237"/>
          <w:r>
            <w:rPr>
              <w:rFonts w:ascii="Times New Roman" w:hAnsi="Times New Roman" w:cs="Times New Roman"/>
              <w:color w:val="000000" w:themeColor="text1"/>
              <w:sz w:val="24"/>
              <w:szCs w:val="24"/>
              <w14:textFill>
                <w14:solidFill>
                  <w14:schemeClr w14:val="tx1"/>
                </w14:solidFill>
              </w14:textFill>
            </w:rPr>
            <w:t xml:space="preserve">The COVID-19 pandemic exposed supply chain vulnerabilities in many companies, prompting them to reassess and strengthen their operations (Pujawan </w:t>
          </w:r>
          <w:r>
            <w:rPr>
              <w:rFonts w:hint="eastAsia" w:ascii="Times New Roman" w:hAnsi="Times New Roman" w:cs="Times New Roman"/>
              <w:color w:val="000000" w:themeColor="text1"/>
              <w:sz w:val="24"/>
              <w:szCs w:val="24"/>
              <w:lang w:eastAsia="zh-CN"/>
              <w14:textFill>
                <w14:solidFill>
                  <w14:schemeClr w14:val="tx1"/>
                </w14:solidFill>
              </w14:textFill>
            </w:rPr>
            <w:t>and</w:t>
          </w:r>
          <w:r>
            <w:rPr>
              <w:rFonts w:ascii="Times New Roman" w:hAnsi="Times New Roman" w:cs="Times New Roman"/>
              <w:color w:val="000000" w:themeColor="text1"/>
              <w:sz w:val="24"/>
              <w:szCs w:val="24"/>
              <w:lang w:eastAsia="zh-CN"/>
              <w14:textFill>
                <w14:solidFill>
                  <w14:schemeClr w14:val="tx1"/>
                </w14:solidFill>
              </w14:textFill>
            </w:rPr>
            <w:t xml:space="preserve"> </w:t>
          </w:r>
          <w:r>
            <w:rPr>
              <w:rFonts w:ascii="Times New Roman" w:hAnsi="Times New Roman" w:cs="Times New Roman"/>
              <w:color w:val="000000" w:themeColor="text1"/>
              <w:sz w:val="24"/>
              <w:szCs w:val="24"/>
              <w14:textFill>
                <w14:solidFill>
                  <w14:schemeClr w14:val="tx1"/>
                </w14:solidFill>
              </w14:textFill>
            </w:rPr>
            <w:t>Bah, 2022). Seesaw Coffee took proactive steps to ensure a steady supply of raw materials and ingredients during the pandemic. The company diversified its supplier base, implemented contingency plans, and built strong relationships with local suppliers, reducing reliance on international sources (Li et al., 2020). This measure not only ensured business continuity but also enhanced the company's ability to address potential supply chain disruptions in the future.</w:t>
          </w:r>
        </w:p>
        <w:bookmarkEnd w:id="105"/>
        <w:bookmarkEnd w:id="106"/>
        <w:bookmarkEnd w:id="107"/>
        <w:bookmarkEnd w:id="108"/>
        <w:p>
          <w:pPr>
            <w:pStyle w:val="4"/>
            <w:spacing w:line="480" w:lineRule="auto"/>
            <w:jc w:val="both"/>
            <w:rPr>
              <w:color w:val="000000" w:themeColor="text1"/>
              <w14:textFill>
                <w14:solidFill>
                  <w14:schemeClr w14:val="tx1"/>
                </w14:solidFill>
              </w14:textFill>
            </w:rPr>
          </w:pPr>
          <w:bookmarkStart w:id="109" w:name="_Toc15892"/>
          <w:bookmarkStart w:id="110" w:name="_Toc137934949"/>
          <w:bookmarkStart w:id="111" w:name="_Toc149502645"/>
          <w:r>
            <w:rPr>
              <w:color w:val="000000" w:themeColor="text1"/>
              <w14:textFill>
                <w14:solidFill>
                  <w14:schemeClr w14:val="tx1"/>
                </w14:solidFill>
              </w14:textFill>
            </w:rPr>
            <w:t>Community Engagement and Social Responsibility</w:t>
          </w:r>
          <w:bookmarkEnd w:id="109"/>
          <w:bookmarkEnd w:id="110"/>
          <w:bookmarkEnd w:id="111"/>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112" w:name="OLE_LINK326"/>
          <w:bookmarkStart w:id="113" w:name="OLE_LINK241"/>
          <w:bookmarkStart w:id="114" w:name="OLE_LINK240"/>
          <w:r>
            <w:rPr>
              <w:rFonts w:ascii="Times New Roman" w:hAnsi="Times New Roman" w:cs="Times New Roman"/>
              <w:color w:val="000000" w:themeColor="text1"/>
              <w:sz w:val="24"/>
              <w:szCs w:val="24"/>
              <w14:textFill>
                <w14:solidFill>
                  <w14:schemeClr w14:val="tx1"/>
                </w14:solidFill>
              </w14:textFill>
            </w:rPr>
            <w:t>Seesaw Coffee demonstrated social responsibility during the pandemic by engaging in community support initiatives. This included offering discounts to essential workers, donating some of their earnings to COVID-19 relief efforts, and partnering with local non-governmental organizations to assist vulnerable communities. Through active and responsible community participation, Seesaw Coffee enhanced its brand image and fostered customer loyalty (Xu and Ng, 2023).</w:t>
          </w:r>
        </w:p>
        <w:bookmarkEnd w:id="112"/>
        <w:bookmarkEnd w:id="113"/>
        <w:bookmarkEnd w:id="114"/>
        <w:p>
          <w:pPr>
            <w:pStyle w:val="3"/>
            <w:spacing w:line="480" w:lineRule="auto"/>
            <w:jc w:val="both"/>
            <w:rPr>
              <w:color w:val="000000" w:themeColor="text1"/>
              <w14:textFill>
                <w14:solidFill>
                  <w14:schemeClr w14:val="tx1"/>
                </w14:solidFill>
              </w14:textFill>
            </w:rPr>
          </w:pPr>
          <w:bookmarkStart w:id="115" w:name="_Toc137934951"/>
          <w:bookmarkStart w:id="116" w:name="_Toc149502647"/>
          <w:bookmarkStart w:id="117" w:name="_Toc8495"/>
          <w:r>
            <w:rPr>
              <w:color w:val="000000" w:themeColor="text1"/>
              <w14:textFill>
                <w14:solidFill>
                  <w14:schemeClr w14:val="tx1"/>
                </w14:solidFill>
              </w14:textFill>
            </w:rPr>
            <w:t>Application of Change Management Models to the Organization</w:t>
          </w:r>
          <w:bookmarkEnd w:id="115"/>
          <w:bookmarkEnd w:id="116"/>
          <w:bookmarkEnd w:id="117"/>
        </w:p>
        <w:p>
          <w:pPr>
            <w:pStyle w:val="4"/>
            <w:spacing w:line="480" w:lineRule="auto"/>
            <w:jc w:val="both"/>
            <w:rPr>
              <w:color w:val="000000" w:themeColor="text1"/>
              <w14:textFill>
                <w14:solidFill>
                  <w14:schemeClr w14:val="tx1"/>
                </w14:solidFill>
              </w14:textFill>
            </w:rPr>
          </w:pPr>
          <w:bookmarkStart w:id="118" w:name="_Toc12037"/>
          <w:bookmarkStart w:id="119" w:name="_Toc137934952"/>
          <w:bookmarkStart w:id="120" w:name="_Toc149502648"/>
          <w:r>
            <w:rPr>
              <w:color w:val="000000" w:themeColor="text1"/>
              <w14:textFill>
                <w14:solidFill>
                  <w14:schemeClr w14:val="tx1"/>
                </w14:solidFill>
              </w14:textFill>
            </w:rPr>
            <w:t>Selection of appropriate change management model(s)</w:t>
          </w:r>
          <w:bookmarkEnd w:id="118"/>
          <w:bookmarkEnd w:id="119"/>
          <w:bookmarkEnd w:id="120"/>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121" w:name="OLE_LINK244"/>
          <w:bookmarkStart w:id="122" w:name="OLE_LINK242"/>
          <w:bookmarkStart w:id="123" w:name="OLE_LINK243"/>
          <w:r>
            <w:rPr>
              <w:rFonts w:ascii="Times New Roman" w:hAnsi="Times New Roman" w:cs="Times New Roman"/>
              <w:color w:val="000000" w:themeColor="text1"/>
              <w:sz w:val="24"/>
              <w:szCs w:val="24"/>
              <w14:textFill>
                <w14:solidFill>
                  <w14:schemeClr w14:val="tx1"/>
                </w14:solidFill>
              </w14:textFill>
            </w:rPr>
            <w:t>Organizations should select suitable change management models for effective implementation of organizational changes. Kotter's 8-Step Process was chosen due to its proven effectiveness in facilitating change and organizational transformation (Tang &amp; Tang, 2019). This action-oriented model provides a clear roadmap for the change process.</w:t>
          </w:r>
        </w:p>
        <w:bookmarkEnd w:id="121"/>
        <w:bookmarkEnd w:id="122"/>
        <w:bookmarkEnd w:id="123"/>
        <w:p>
          <w:pPr>
            <w:pStyle w:val="4"/>
            <w:spacing w:line="480" w:lineRule="auto"/>
            <w:jc w:val="both"/>
            <w:rPr>
              <w:color w:val="000000" w:themeColor="text1"/>
              <w14:textFill>
                <w14:solidFill>
                  <w14:schemeClr w14:val="tx1"/>
                </w14:solidFill>
              </w14:textFill>
            </w:rPr>
          </w:pPr>
          <w:bookmarkStart w:id="124" w:name="_Toc29435"/>
          <w:bookmarkStart w:id="125" w:name="_Toc137934953"/>
          <w:bookmarkStart w:id="126" w:name="_Toc149502649"/>
          <w:r>
            <w:rPr>
              <w:color w:val="000000" w:themeColor="text1"/>
              <w14:textFill>
                <w14:solidFill>
                  <w14:schemeClr w14:val="tx1"/>
                </w14:solidFill>
              </w14:textFill>
            </w:rPr>
            <w:t>Implementation plan for the change program</w:t>
          </w:r>
          <w:bookmarkEnd w:id="124"/>
          <w:bookmarkEnd w:id="125"/>
          <w:bookmarkEnd w:id="126"/>
        </w:p>
        <w:p>
          <w:pPr>
            <w:spacing w:line="480" w:lineRule="auto"/>
            <w:jc w:val="both"/>
            <w:rPr>
              <w:rFonts w:ascii="Times New Roman" w:hAnsi="Times New Roman" w:cs="Times New Roman"/>
              <w:b/>
              <w:i/>
              <w:color w:val="000000" w:themeColor="text1"/>
              <w:sz w:val="24"/>
              <w14:textFill>
                <w14:solidFill>
                  <w14:schemeClr w14:val="tx1"/>
                </w14:solidFill>
              </w14:textFill>
            </w:rPr>
          </w:pPr>
          <w:bookmarkStart w:id="127" w:name="_Toc137934954"/>
          <w:bookmarkStart w:id="128" w:name="_Toc149502650"/>
          <w:r>
            <w:rPr>
              <w:rFonts w:ascii="Times New Roman" w:hAnsi="Times New Roman" w:cs="Times New Roman"/>
              <w:b/>
              <w:i/>
              <w:color w:val="000000" w:themeColor="text1"/>
              <w:sz w:val="24"/>
              <w14:textFill>
                <w14:solidFill>
                  <w14:schemeClr w14:val="tx1"/>
                </w14:solidFill>
              </w14:textFill>
            </w:rPr>
            <w:t>Steps</w:t>
          </w:r>
          <w:bookmarkEnd w:id="127"/>
          <w:bookmarkEnd w:id="128"/>
          <w:r>
            <w:rPr>
              <w:rFonts w:ascii="Times New Roman" w:hAnsi="Times New Roman" w:cs="Times New Roman"/>
              <w:b/>
              <w:i/>
              <w:color w:val="000000" w:themeColor="text1"/>
              <w:sz w:val="24"/>
              <w14:textFill>
                <w14:solidFill>
                  <w14:schemeClr w14:val="tx1"/>
                </w14:solidFill>
              </w14:textFill>
            </w:rPr>
            <w:t xml:space="preserve">  </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129" w:name="OLE_LINK247"/>
          <w:bookmarkStart w:id="130" w:name="OLE_LINK249"/>
          <w:bookmarkStart w:id="131" w:name="OLE_LINK245"/>
          <w:bookmarkStart w:id="132" w:name="OLE_LINK250"/>
          <w:bookmarkStart w:id="133" w:name="OLE_LINK246"/>
          <w:bookmarkStart w:id="134" w:name="OLE_LINK251"/>
          <w:bookmarkStart w:id="135" w:name="OLE_LINK252"/>
          <w:bookmarkStart w:id="136" w:name="OLE_LINK248"/>
          <w:bookmarkStart w:id="137" w:name="OLE_LINK328"/>
          <w:bookmarkStart w:id="138" w:name="OLE_LINK327"/>
          <w:r>
            <w:rPr>
              <w:rFonts w:ascii="Times New Roman" w:hAnsi="Times New Roman" w:cs="Times New Roman"/>
              <w:color w:val="000000" w:themeColor="text1"/>
              <w:sz w:val="24"/>
              <w:szCs w:val="24"/>
              <w14:textFill>
                <w14:solidFill>
                  <w14:schemeClr w14:val="tx1"/>
                </w14:solidFill>
              </w14:textFill>
            </w:rPr>
            <w:t>Change management is crucial for SMEs to remain competitive and adapt to market demands (Fabrizio et al., 2022). The COVID-19 pandemic has highlighted the importance of change management as SMEs have had to reorganize their operations and strategies. Seesaw Coffee, a Chinese SME in the speciality coffee sector, has faced pandemic-related challenges. This chapter will explore how Seesaw Coffee implemented Kotter's 8-Step Process for effective change management and resistance mitigation.</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The first step of Kotter's 8-Step Process is creating a sense of urgency. This involves raising awareness about the need for organizational change and emphasizing the consequences of inaction (Mitcheltree, 2023). Seesaw Coffee should effectively communicate the importance of the transition to its employees and stakeholders to generate momentum and commitment. The COVID-19 pandemic has prompted Seesaw Coffee to adapt its operations to changing market conditions. The company can leverage the urgency to build momentum and gain support for the change initiative.</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The next step is to establish a solid guiding coalition of influential and dedicated individuals to lead the change initiative (Tang &amp; Tang, 2019). Seesaw Coffee should form a diverse team with members from different organizational divisions and levels to ensure a comprehensive perspective. The coalition's authority and credibility are vital for the change program's success, as they must possess the skills and knowledge to address challenges that may arise during the process.</w:t>
          </w:r>
          <w:bookmarkEnd w:id="129"/>
          <w:bookmarkEnd w:id="130"/>
          <w:bookmarkEnd w:id="131"/>
          <w:bookmarkEnd w:id="132"/>
          <w:bookmarkEnd w:id="133"/>
          <w:bookmarkEnd w:id="134"/>
          <w:bookmarkEnd w:id="135"/>
          <w:bookmarkEnd w:id="136"/>
          <w:bookmarkStart w:id="139" w:name="OLE_LINK254"/>
          <w:bookmarkStart w:id="140" w:name="OLE_LINK255"/>
        </w:p>
        <w:bookmarkEnd w:id="137"/>
        <w:bookmarkEnd w:id="138"/>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141" w:name="OLE_LINK329"/>
          <w:bookmarkStart w:id="142" w:name="OLE_LINK330"/>
          <w:r>
            <w:rPr>
              <w:rFonts w:ascii="Times New Roman" w:hAnsi="Times New Roman" w:cs="Times New Roman"/>
              <w:color w:val="000000" w:themeColor="text1"/>
              <w:sz w:val="24"/>
              <w:szCs w:val="24"/>
              <w14:textFill>
                <w14:solidFill>
                  <w14:schemeClr w14:val="tx1"/>
                </w14:solidFill>
              </w14:textFill>
            </w:rPr>
            <w:t>The third step involves developing a clear vision and strategy. Seesaw Coffee must establish a distinct and inspiring vision that aligns with the company's mission and values. According to Men et al. (2020), the vision should guide and focus the change program and be regularly communicated to employees and stakeholders.</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Step four is about communicating the change vision. The guiding coalition should actively and consistently communicate the vision to stakeholders and employees (Errida &amp; Lotfi, 2021). This can be achieved through various channels, such as newsletters, meetings, and social media, to ensure understanding and support from all stakeholders. Effective communication is crucial for gaining support and overcoming resistance to the change initiative.</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The fifth step is empowering employees to action (Tang &amp; Tang, 2019). Seesaw Coffee should remove barriers to change and provide employees with the necessary resources, training, and support to drive change initiatives. Empowering employees fosters ownership and dedication, increasing the chances of success.</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The sixth step is establishing short-term victories. Seesaw Coffee should recognize and celebrate small successes that are observable, measurable, and closely tied to the change initiative (Adelman-Mullally et al., 2013). Acknowledging these victories boosts confidence and maintains momentum towards achieving the overall goals of the transformation.</w:t>
          </w:r>
          <w:bookmarkEnd w:id="139"/>
          <w:bookmarkEnd w:id="140"/>
          <w:bookmarkStart w:id="143" w:name="OLE_LINK256"/>
          <w:bookmarkStart w:id="144" w:name="OLE_LINK257"/>
        </w:p>
        <w:bookmarkEnd w:id="141"/>
        <w:bookmarkEnd w:id="142"/>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145" w:name="OLE_LINK331"/>
          <w:bookmarkStart w:id="146" w:name="OLE_LINK332"/>
          <w:r>
            <w:rPr>
              <w:rFonts w:ascii="Times New Roman" w:hAnsi="Times New Roman" w:cs="Times New Roman"/>
              <w:color w:val="000000" w:themeColor="text1"/>
              <w:sz w:val="24"/>
              <w:szCs w:val="24"/>
              <w14:textFill>
                <w14:solidFill>
                  <w14:schemeClr w14:val="tx1"/>
                </w14:solidFill>
              </w14:textFill>
            </w:rPr>
            <w:t>The seventh step is consolidating gains and generating further change. Seesaw Coffee should build on short-term successes and strive for continuous improvement. This involves leveraging the achievements by enhancing processes and exploring new opportunities for improvement (Adelman-Mullally et al., 2013). The organization should refrain from complacency and sustain momentum by identifying fresh improvement opportunities and finding innovative ways to enhance operations.</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Establishing a culture of continuous improvement is crucial for consolidating gains. Azevedo et al. (2021) suggest promoting innovation, soliciting employee feedback, and investing in training and development to achieve this. Seesaw Coffee can empower employees to drive change and contribute to the organization's success.</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Kotter's 8-step process concludes with integrating new methodologies into the existing culture. Seesaw Coffee should institutionalize new behaviours and processes within the organizational culture to sustain change. Stahl et al. (2020) propose using leadership, performance management, and employee recognition programs to reinforce new values. Seesaw Coffee ensures long-term sustainability by integrating changes into the company's culture.</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Seesaw Coffee needs a systematic approach to organizational change, following a change management framework. Kotter's 8-step process is a widely recognized framework that guides effective change management (Neto et al., 2022). This process helps Seesaw Coffee overcome resistance, align employees with a shared vision, and foster ongoing improvement. The COVID-19 pandemic presents an opportunity for the organization to strengthen resilience and chart a distinct path for the future.</w:t>
          </w:r>
          <w:bookmarkEnd w:id="143"/>
          <w:bookmarkEnd w:id="144"/>
          <w:bookmarkStart w:id="147" w:name="OLE_LINK259"/>
          <w:bookmarkStart w:id="148" w:name="OLE_LINK258"/>
        </w:p>
        <w:bookmarkEnd w:id="145"/>
        <w:bookmarkEnd w:id="146"/>
        <w:bookmarkEnd w:id="147"/>
        <w:bookmarkEnd w:id="148"/>
        <w:p>
          <w:pPr>
            <w:spacing w:line="480" w:lineRule="auto"/>
            <w:jc w:val="both"/>
            <w:rPr>
              <w:rFonts w:ascii="Times New Roman" w:hAnsi="Times New Roman" w:cs="Times New Roman"/>
              <w:b/>
              <w:i/>
              <w:color w:val="000000" w:themeColor="text1"/>
              <w:sz w:val="24"/>
              <w14:textFill>
                <w14:solidFill>
                  <w14:schemeClr w14:val="tx1"/>
                </w14:solidFill>
              </w14:textFill>
            </w:rPr>
          </w:pPr>
          <w:bookmarkStart w:id="149" w:name="_Toc149502651"/>
          <w:bookmarkStart w:id="150" w:name="_Toc137934955"/>
          <w:r>
            <w:rPr>
              <w:rFonts w:ascii="Times New Roman" w:hAnsi="Times New Roman" w:cs="Times New Roman"/>
              <w:b/>
              <w:i/>
              <w:color w:val="000000" w:themeColor="text1"/>
              <w:sz w:val="24"/>
              <w14:textFill>
                <w14:solidFill>
                  <w14:schemeClr w14:val="tx1"/>
                </w14:solidFill>
              </w14:textFill>
            </w:rPr>
            <w:t>Timelines, roles and responsibilities</w:t>
          </w:r>
          <w:bookmarkEnd w:id="149"/>
          <w:bookmarkEnd w:id="150"/>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151" w:name="OLE_LINK260"/>
          <w:bookmarkStart w:id="152" w:name="OLE_LINK261"/>
          <w:bookmarkStart w:id="153" w:name="OLE_LINK333"/>
          <w:bookmarkStart w:id="154" w:name="OLE_LINK334"/>
          <w:r>
            <w:rPr>
              <w:rFonts w:ascii="Times New Roman" w:hAnsi="Times New Roman" w:cs="Times New Roman"/>
              <w:color w:val="000000" w:themeColor="text1"/>
              <w:sz w:val="24"/>
              <w:szCs w:val="24"/>
              <w14:textFill>
                <w14:solidFill>
                  <w14:schemeClr w14:val="tx1"/>
                </w14:solidFill>
              </w14:textFill>
            </w:rPr>
            <w:t>Setting a realistic timeline with clear milestones, deadlines, and assigned tasks is crucial for a change program. It is essential to consider potential obstacles and unforeseen events during implementation. Seesaw Coffee should allocate budget, staff, and technology resources to ensure successful implementation. Establishing a dedicated change management team comprising members from various departments and levels within the organization will provide diverse perspectives. This team will oversee the implementation plan, identify and resolve issues, and make necessary adjustments to stay on track (Backstrom, 2023). Regular updates to employees and stakeholders will ensure transparency and effective communication.</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Performing a case study analysis is essential for Seesaw Coffee to evaluate the effectiveness of its change management strategy and implementation plan. The analysis should identify factors driving the change, obstacles encountered, and the effectiveness of strategies employed. Conducting a comprehensive review after completing the change program will provide valuable insights for Seesaw Coffee (Murray-Rust et al., 2023). This analysis can uncover improvement opportunities and guide the development of a more efficient change management strategy for future endeavours. Such a process is crucial for continuous learning and iterative improvement of organizational processes.</w:t>
          </w:r>
          <w:bookmarkEnd w:id="151"/>
          <w:bookmarkEnd w:id="152"/>
          <w:bookmarkStart w:id="155" w:name="OLE_LINK263"/>
          <w:bookmarkStart w:id="156" w:name="OLE_LINK262"/>
          <w:bookmarkStart w:id="157" w:name="OLE_LINK264"/>
        </w:p>
        <w:bookmarkEnd w:id="153"/>
        <w:bookmarkEnd w:id="154"/>
        <w:bookmarkEnd w:id="155"/>
        <w:bookmarkEnd w:id="156"/>
        <w:bookmarkEnd w:id="157"/>
        <w:p>
          <w:pPr>
            <w:pStyle w:val="3"/>
            <w:spacing w:line="480" w:lineRule="auto"/>
            <w:jc w:val="both"/>
            <w:rPr>
              <w:color w:val="000000" w:themeColor="text1"/>
              <w14:textFill>
                <w14:solidFill>
                  <w14:schemeClr w14:val="tx1"/>
                </w14:solidFill>
              </w14:textFill>
            </w:rPr>
          </w:pPr>
          <w:bookmarkStart w:id="158" w:name="_Toc137934956"/>
          <w:bookmarkStart w:id="159" w:name="_Toc149502652"/>
          <w:bookmarkStart w:id="160" w:name="_Toc26081"/>
          <w:r>
            <w:rPr>
              <w:color w:val="000000" w:themeColor="text1"/>
              <w14:textFill>
                <w14:solidFill>
                  <w14:schemeClr w14:val="tx1"/>
                </w14:solidFill>
              </w14:textFill>
            </w:rPr>
            <w:t>Assessment of Change Program Effectiveness</w:t>
          </w:r>
          <w:bookmarkEnd w:id="158"/>
          <w:bookmarkEnd w:id="159"/>
          <w:bookmarkEnd w:id="160"/>
        </w:p>
        <w:p>
          <w:pPr>
            <w:pStyle w:val="4"/>
            <w:spacing w:line="480" w:lineRule="auto"/>
            <w:jc w:val="both"/>
            <w:rPr>
              <w:color w:val="000000" w:themeColor="text1"/>
              <w14:textFill>
                <w14:solidFill>
                  <w14:schemeClr w14:val="tx1"/>
                </w14:solidFill>
              </w14:textFill>
            </w:rPr>
          </w:pPr>
          <w:bookmarkStart w:id="161" w:name="_Toc137934957"/>
          <w:bookmarkStart w:id="162" w:name="_Toc31560"/>
          <w:bookmarkStart w:id="163" w:name="_Toc149502653"/>
          <w:r>
            <w:rPr>
              <w:color w:val="000000" w:themeColor="text1"/>
              <w14:textFill>
                <w14:solidFill>
                  <w14:schemeClr w14:val="tx1"/>
                </w14:solidFill>
              </w14:textFill>
            </w:rPr>
            <w:t>Criteria for success</w:t>
          </w:r>
          <w:bookmarkEnd w:id="161"/>
          <w:bookmarkEnd w:id="162"/>
          <w:bookmarkEnd w:id="163"/>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164" w:name="OLE_LINK265"/>
          <w:bookmarkStart w:id="165" w:name="OLE_LINK266"/>
          <w:bookmarkStart w:id="166" w:name="OLE_LINK335"/>
          <w:bookmarkStart w:id="167" w:name="OLE_LINK336"/>
          <w:r>
            <w:rPr>
              <w:rFonts w:ascii="Times New Roman" w:hAnsi="Times New Roman" w:cs="Times New Roman"/>
              <w:color w:val="000000" w:themeColor="text1"/>
              <w:sz w:val="24"/>
              <w:szCs w:val="24"/>
              <w14:textFill>
                <w14:solidFill>
                  <w14:schemeClr w14:val="tx1"/>
                </w14:solidFill>
              </w14:textFill>
            </w:rPr>
            <w:t>Establishing precise and measurable benchmarks is crucial to evaluate the effectiveness of the Seesaw Coffee transformation initiative. These benchmarks should align with the program's objectives and follow the SMART principle: specific, measurable, achievable, relevant, and time-bound. Seesaw Coffee can assess the change program's success by setting criteria that meet these principles.</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One objective of the change program is to increase revenue. Assessing revenue growth can serve as a measure of success (Belias &amp; Trihas, 2022). Seesaw Coffee can compare revenue figures before and after implementing the change program to evaluate its effectiveness in generating revenue. This provides a simple and tangible method for assessing the change initiative's success. In addition to revenue growth, Seesaw Coffee can assess the change program's success by measuring customer satisfaction. This can be done through surveys, feedback forms, and online reviews, comparing pre- and post-implementation satisfaction levels.</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The change program also aims to enhance employee engagement. Seesaw Coffee can measure employee engagement through surveys, feedback forms, and other metrics to gauge satisfaction and dedication, comparing pre- and post-implementation levels of engagement. Furthermore, the successful execution of the change program can be evaluated based on the degree of employee resistance and the effectiveness and timeliness of the implementation process (Santos et al., 2020). By assessing these factors, Seesaw Coffee can determine the effectiveness of the change program in addressing the challenges posed by the COVID-19 pandemic.</w:t>
          </w:r>
          <w:bookmarkEnd w:id="164"/>
          <w:bookmarkEnd w:id="165"/>
          <w:bookmarkStart w:id="168" w:name="OLE_LINK267"/>
          <w:bookmarkStart w:id="169" w:name="OLE_LINK268"/>
        </w:p>
        <w:bookmarkEnd w:id="166"/>
        <w:bookmarkEnd w:id="167"/>
        <w:bookmarkEnd w:id="168"/>
        <w:bookmarkEnd w:id="169"/>
        <w:p>
          <w:pPr>
            <w:pStyle w:val="4"/>
            <w:spacing w:line="480" w:lineRule="auto"/>
            <w:jc w:val="both"/>
            <w:rPr>
              <w:color w:val="000000" w:themeColor="text1"/>
              <w14:textFill>
                <w14:solidFill>
                  <w14:schemeClr w14:val="tx1"/>
                </w14:solidFill>
              </w14:textFill>
            </w:rPr>
          </w:pPr>
          <w:bookmarkStart w:id="170" w:name="_Toc149502654"/>
          <w:bookmarkStart w:id="171" w:name="_Toc12667"/>
          <w:bookmarkStart w:id="172" w:name="_Toc137934958"/>
          <w:r>
            <w:rPr>
              <w:color w:val="000000" w:themeColor="text1"/>
              <w14:textFill>
                <w14:solidFill>
                  <w14:schemeClr w14:val="tx1"/>
                </w14:solidFill>
              </w14:textFill>
            </w:rPr>
            <w:t>Methods for measuring change program effectiveness</w:t>
          </w:r>
          <w:bookmarkEnd w:id="170"/>
          <w:bookmarkEnd w:id="171"/>
          <w:bookmarkEnd w:id="172"/>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173" w:name="OLE_LINK269"/>
          <w:bookmarkStart w:id="174" w:name="OLE_LINK337"/>
          <w:bookmarkStart w:id="175" w:name="OLE_LINK271"/>
          <w:bookmarkStart w:id="176" w:name="OLE_LINK270"/>
          <w:r>
            <w:rPr>
              <w:rFonts w:ascii="Times New Roman" w:hAnsi="Times New Roman" w:cs="Times New Roman"/>
              <w:color w:val="000000" w:themeColor="text1"/>
              <w:sz w:val="24"/>
              <w:szCs w:val="24"/>
              <w14:textFill>
                <w14:solidFill>
                  <w14:schemeClr w14:val="tx1"/>
                </w14:solidFill>
              </w14:textFill>
            </w:rPr>
            <w:t>A mixed-methods approach, combining quantitative and qualitative methods, can be used to assess the effectiveness of the change initiative at Seesaw Coffee.</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Customer surveys can be conducted to gather feedback on customer experiences before and after the change program. This quantitative data directly measures the program's success in improving customer satisfaction (Katsaros et al., 2020).</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Employee surveys can assess engagement levels before and after implementing the change program, providing insights into the program's effectiveness in enhancing employee engagement.</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Financial analysis can estimate the impact of the change program on revenue, expenditures, and profitability. This evaluation helps determine the program's success in achieving its objectives (Islam et al., 2020).</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Qualitative data can be collected through observation and interviews to understand the impact of the change program on organizational functioning. This qualitative information provides valuable insights beyond quantitative measures.</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By employing a mixed-methods approach, Seesaw Coffee can obtain a comprehensive understanding of the effectiveness of the change program, considering both quantitative metrics and qualitative perspectives.</w:t>
          </w:r>
        </w:p>
        <w:bookmarkEnd w:id="173"/>
        <w:bookmarkEnd w:id="174"/>
        <w:bookmarkEnd w:id="175"/>
        <w:bookmarkEnd w:id="176"/>
        <w:p>
          <w:pPr>
            <w:pStyle w:val="4"/>
            <w:spacing w:line="480" w:lineRule="auto"/>
            <w:jc w:val="both"/>
            <w:rPr>
              <w:color w:val="000000" w:themeColor="text1"/>
              <w14:textFill>
                <w14:solidFill>
                  <w14:schemeClr w14:val="tx1"/>
                </w14:solidFill>
              </w14:textFill>
            </w:rPr>
          </w:pPr>
          <w:bookmarkStart w:id="177" w:name="_Toc149502655"/>
          <w:bookmarkStart w:id="178" w:name="_Toc137934959"/>
          <w:bookmarkStart w:id="179" w:name="_Toc10654"/>
          <w:r>
            <w:rPr>
              <w:color w:val="000000" w:themeColor="text1"/>
              <w14:textFill>
                <w14:solidFill>
                  <w14:schemeClr w14:val="tx1"/>
                </w14:solidFill>
              </w14:textFill>
            </w:rPr>
            <w:t>Evaluation of change program completion</w:t>
          </w:r>
          <w:bookmarkEnd w:id="177"/>
          <w:bookmarkEnd w:id="178"/>
          <w:bookmarkEnd w:id="179"/>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180" w:name="OLE_LINK338"/>
          <w:bookmarkStart w:id="181" w:name="OLE_LINK272"/>
          <w:bookmarkStart w:id="182" w:name="OLE_LINK273"/>
          <w:r>
            <w:rPr>
              <w:rFonts w:ascii="Times New Roman" w:hAnsi="Times New Roman" w:cs="Times New Roman"/>
              <w:color w:val="000000" w:themeColor="text1"/>
              <w:sz w:val="24"/>
              <w:szCs w:val="24"/>
              <w14:textFill>
                <w14:solidFill>
                  <w14:schemeClr w14:val="tx1"/>
                </w14:solidFill>
              </w14:textFill>
            </w:rPr>
            <w:t xml:space="preserve">To </w:t>
          </w:r>
          <w:r>
            <w:rPr>
              <w:rFonts w:hint="eastAsia" w:ascii="Times New Roman" w:hAnsi="Times New Roman" w:cs="Times New Roman"/>
              <w:color w:val="000000" w:themeColor="text1"/>
              <w:sz w:val="24"/>
              <w:szCs w:val="24"/>
              <w:lang w:eastAsia="zh-CN"/>
              <w14:textFill>
                <w14:solidFill>
                  <w14:schemeClr w14:val="tx1"/>
                </w14:solidFill>
              </w14:textFill>
            </w:rPr>
            <w:t>measure</w:t>
          </w:r>
          <w:r>
            <w:rPr>
              <w:rFonts w:ascii="Times New Roman" w:hAnsi="Times New Roman" w:cs="Times New Roman"/>
              <w:color w:val="000000" w:themeColor="text1"/>
              <w:sz w:val="24"/>
              <w:szCs w:val="24"/>
              <w:lang w:eastAsia="zh-CN"/>
              <w14:textFill>
                <w14:solidFill>
                  <w14:schemeClr w14:val="tx1"/>
                </w14:solidFill>
              </w14:textFill>
            </w:rPr>
            <w:t xml:space="preserve"> </w:t>
          </w:r>
          <w:r>
            <w:rPr>
              <w:rFonts w:ascii="Times New Roman" w:hAnsi="Times New Roman" w:cs="Times New Roman"/>
              <w:color w:val="000000" w:themeColor="text1"/>
              <w:sz w:val="24"/>
              <w:szCs w:val="24"/>
              <w14:textFill>
                <w14:solidFill>
                  <w14:schemeClr w14:val="tx1"/>
                </w14:solidFill>
              </w14:textFill>
            </w:rPr>
            <w:t>the effectiveness of the change initiative at Seesaw Coffee, several factors can be considered:</w:t>
          </w:r>
        </w:p>
        <w:p>
          <w:pPr>
            <w:pStyle w:val="19"/>
            <w:numPr>
              <w:ilvl w:val="0"/>
              <w:numId w:val="1"/>
            </w:numPr>
            <w:spacing w:line="480" w:lineRule="auto"/>
            <w:ind w:firstLineChars="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Achievement of objectives: It is important to compare the anticipated outcomes of the change program with the actual results to determine if the program has successfully met its objectives.</w:t>
          </w:r>
        </w:p>
        <w:p>
          <w:pPr>
            <w:pStyle w:val="19"/>
            <w:numPr>
              <w:ilvl w:val="0"/>
              <w:numId w:val="1"/>
            </w:numPr>
            <w:spacing w:line="480" w:lineRule="auto"/>
            <w:ind w:firstLineChars="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Execution of the change program: Evaluate the extent to which the execution of the change program aligns with the intended plan. Assess adherence to milestones, timely completion, and adherence to budget constraints.</w:t>
          </w:r>
        </w:p>
        <w:p>
          <w:pPr>
            <w:pStyle w:val="19"/>
            <w:numPr>
              <w:ilvl w:val="0"/>
              <w:numId w:val="1"/>
            </w:numPr>
            <w:spacing w:line="480" w:lineRule="auto"/>
            <w:ind w:firstLineChars="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Analysis of deviations: Examine any deviations from the planned change program and identify their root causes. This analysis helps in implementing necessary adjustments and learnings for future change initiatives.</w:t>
          </w:r>
        </w:p>
        <w:p>
          <w:pPr>
            <w:pStyle w:val="19"/>
            <w:numPr>
              <w:ilvl w:val="0"/>
              <w:numId w:val="1"/>
            </w:numPr>
            <w:spacing w:line="480" w:lineRule="auto"/>
            <w:ind w:firstLineChars="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Impact assessment: Assess the impact of the change program on key performance metrics such as revenue, customer satisfaction, and employee engagement. Evaluate how the program has influenced the company's culture, values, and operations.</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By scrutinizing these factors, Seesaw Coffee can determine the effectiveness of the change initiative and identify areas that require improvement. This evaluation process helps understand the change program's overall impact and guides future decision-making.</w:t>
          </w:r>
        </w:p>
        <w:bookmarkEnd w:id="180"/>
        <w:bookmarkEnd w:id="181"/>
        <w:bookmarkEnd w:id="182"/>
        <w:p>
          <w:pPr>
            <w:rPr>
              <w:rFonts w:asciiTheme="majorHAnsi" w:hAnsiTheme="majorHAnsi" w:eastAsiaTheme="majorEastAsia" w:cstheme="majorBidi"/>
              <w:b/>
              <w:color w:val="000000" w:themeColor="text1"/>
              <w:sz w:val="32"/>
              <w:szCs w:val="32"/>
              <w14:textFill>
                <w14:solidFill>
                  <w14:schemeClr w14:val="tx1"/>
                </w14:solidFill>
              </w14:textFill>
            </w:rPr>
          </w:pPr>
          <w:bookmarkStart w:id="183" w:name="_Toc137934950"/>
          <w:bookmarkStart w:id="184" w:name="_Toc149502646"/>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185" w:name="_Toc14130"/>
          <w:r>
            <w:rPr>
              <w:color w:val="000000" w:themeColor="text1"/>
              <w14:textFill>
                <w14:solidFill>
                  <w14:schemeClr w14:val="tx1"/>
                </w14:solidFill>
              </w14:textFill>
            </w:rPr>
            <w:t>Conclusion</w:t>
          </w:r>
          <w:bookmarkEnd w:id="183"/>
          <w:bookmarkEnd w:id="184"/>
          <w:bookmarkEnd w:id="185"/>
        </w:p>
        <w:p>
          <w:pPr>
            <w:spacing w:line="480" w:lineRule="auto"/>
            <w:ind w:firstLine="480" w:firstLineChars="200"/>
            <w:jc w:val="both"/>
            <w:rPr>
              <w:rFonts w:ascii="Times New Roman" w:hAnsi="Times New Roman" w:cs="Times New Roman"/>
              <w:color w:val="000000" w:themeColor="text1"/>
              <w:sz w:val="24"/>
              <w:szCs w:val="24"/>
              <w14:textFill>
                <w14:solidFill>
                  <w14:schemeClr w14:val="tx1"/>
                </w14:solidFill>
              </w14:textFill>
            </w:rPr>
          </w:pPr>
          <w:bookmarkStart w:id="186" w:name="OLE_LINK274"/>
          <w:bookmarkStart w:id="187" w:name="OLE_LINK275"/>
          <w:bookmarkStart w:id="188" w:name="OLE_LINK276"/>
          <w:bookmarkStart w:id="189" w:name="OLE_LINK339"/>
          <w:bookmarkStart w:id="190" w:name="OLE_LINK340"/>
          <w:r>
            <w:rPr>
              <w:rFonts w:ascii="Times New Roman" w:hAnsi="Times New Roman" w:cs="Times New Roman"/>
              <w:color w:val="000000" w:themeColor="text1"/>
              <w:sz w:val="24"/>
              <w:szCs w:val="24"/>
              <w14:textFill>
                <w14:solidFill>
                  <w14:schemeClr w14:val="tx1"/>
                </w14:solidFill>
              </w14:textFill>
            </w:rPr>
            <w:t>Seesaw Coffee's ability to adapt and drive business growth during the COVID-19 pandemic showcases its resilience and strategic thinking. The company successfully implemented digital transformation, improved customer experience, adjusted to changing consumer preferences, strengthened the supply chain and demonstrated social responsibility. These actions have allowed Seesaw Coffee to overcome the challenges posed by the pandemic and achieve business growth.</w:t>
          </w:r>
        </w:p>
        <w:p>
          <w:pPr>
            <w:spacing w:line="480" w:lineRule="auto"/>
            <w:ind w:firstLine="480" w:firstLineChars="20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The case study of Seesaw Coffee provides valuable insights for other small and medium-sized enterprises (SMEs) looking to learn from successful organizations' experiences during crises. It highlights the importance of a well-executed change management process in reshaping the business landscape. The report emphasizes that the change program's success at Seesaw Coffee can be measured using specific criteria such as increased revenue, enhanced customer satisfaction, and improved employee engagement. Assessing revenue growth is a straightforward way to evaluate the change initiative's success, as increasing revenue is often one of the objectives of such programs.</w:t>
          </w:r>
        </w:p>
        <w:p>
          <w:pPr>
            <w:spacing w:line="480" w:lineRule="auto"/>
            <w:ind w:firstLine="480" w:firstLineChars="20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Overall, the report underscores the significance of Seesaw Coffee's change management process and the measurable outcomes, such as revenue growth, that can be used to assess the program's success. Including Lewin's Force Field Analysis Model in evaluating the change management process adopted by Seesaw Coffee is a valuable approach. This model allows for a critical analysis of the organizational situation and helps identify the factors that drive or resist organisational change.</w:t>
          </w:r>
          <w:bookmarkEnd w:id="186"/>
          <w:bookmarkEnd w:id="187"/>
          <w:bookmarkEnd w:id="188"/>
          <w:bookmarkStart w:id="191" w:name="OLE_LINK277"/>
          <w:bookmarkStart w:id="192" w:name="OLE_LINK278"/>
        </w:p>
        <w:bookmarkEnd w:id="189"/>
        <w:bookmarkEnd w:id="190"/>
        <w:p>
          <w:pPr>
            <w:spacing w:line="480" w:lineRule="auto"/>
            <w:ind w:firstLine="480" w:firstLineChars="200"/>
            <w:jc w:val="both"/>
            <w:rPr>
              <w:rFonts w:ascii="Times New Roman" w:hAnsi="Times New Roman" w:cs="Times New Roman"/>
              <w:color w:val="000000" w:themeColor="text1"/>
              <w:sz w:val="24"/>
              <w:szCs w:val="24"/>
              <w14:textFill>
                <w14:solidFill>
                  <w14:schemeClr w14:val="tx1"/>
                </w14:solidFill>
              </w14:textFill>
            </w:rPr>
          </w:pPr>
          <w:bookmarkStart w:id="193" w:name="OLE_LINK341"/>
          <w:bookmarkStart w:id="194" w:name="OLE_LINK342"/>
          <w:r>
            <w:rPr>
              <w:rFonts w:ascii="Times New Roman" w:hAnsi="Times New Roman" w:cs="Times New Roman"/>
              <w:color w:val="000000" w:themeColor="text1"/>
              <w:sz w:val="24"/>
              <w:szCs w:val="24"/>
              <w14:textFill>
                <w14:solidFill>
                  <w14:schemeClr w14:val="tx1"/>
                </w14:solidFill>
              </w14:textFill>
            </w:rPr>
            <w:t>The change management processes implemented by Seesaw Coffee can be analyzed using Lewin's model to assess the forces that facilitate or hinder the desired changes. As mentioned, the main drivers for change in the company are organizational culture, leadership management, digitalization, and market competition. By applying the model, Seesaw Coffee can identify the driving forces that propel the change efforts, such as a supportive organizational culture that embraces innovation, effective leadership that champions change, successful digitalization initiatives, and a need to stay competitive in the market.</w:t>
          </w:r>
        </w:p>
        <w:p>
          <w:pPr>
            <w:spacing w:line="480" w:lineRule="auto"/>
            <w:ind w:firstLine="480" w:firstLineChars="20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Simultaneously, the model also allows for identifying and analysing the restraining forces that resist change, such as resistance from employees due to cultural inertia, leadership challenges in implementing change, technological barriers in digitalization, or the impact of intense market competition. By understanding both the driving and restraining forces, Seesaw Coffee can develop strategies to strengthen the driving forces further and mitigate the restraining forces. This analysis provides valuable insights into managing and overcoming obstacles during the change management process.</w:t>
          </w:r>
        </w:p>
        <w:bookmarkEnd w:id="193"/>
        <w:bookmarkEnd w:id="194"/>
        <w:p>
          <w:pPr>
            <w:spacing w:line="480" w:lineRule="auto"/>
            <w:ind w:firstLine="480" w:firstLineChars="200"/>
            <w:jc w:val="both"/>
            <w:rPr>
              <w:rFonts w:ascii="Times New Roman" w:hAnsi="Times New Roman" w:cs="Times New Roman"/>
              <w:color w:val="000000" w:themeColor="text1"/>
              <w:sz w:val="24"/>
              <w:szCs w:val="24"/>
              <w14:textFill>
                <w14:solidFill>
                  <w14:schemeClr w14:val="tx1"/>
                </w14:solidFill>
              </w14:textFill>
            </w:rPr>
          </w:pPr>
          <w:bookmarkStart w:id="195" w:name="OLE_LINK343"/>
          <w:bookmarkStart w:id="196" w:name="OLE_LINK344"/>
          <w:r>
            <w:rPr>
              <w:rFonts w:ascii="Times New Roman" w:hAnsi="Times New Roman" w:cs="Times New Roman"/>
              <w:color w:val="000000" w:themeColor="text1"/>
              <w:sz w:val="24"/>
              <w:szCs w:val="24"/>
              <w14:textFill>
                <w14:solidFill>
                  <w14:schemeClr w14:val="tx1"/>
                </w14:solidFill>
              </w14:textFill>
            </w:rPr>
            <w:t xml:space="preserve">Overall, </w:t>
          </w:r>
          <w:bookmarkEnd w:id="191"/>
          <w:bookmarkEnd w:id="192"/>
          <w:bookmarkEnd w:id="195"/>
          <w:bookmarkEnd w:id="196"/>
          <w:bookmarkStart w:id="197" w:name="_Toc149502656"/>
          <w:bookmarkStart w:id="198" w:name="_Toc137934960"/>
          <w:r>
            <w:rPr>
              <w:rFonts w:hint="eastAsia" w:ascii="Times New Roman" w:hAnsi="Times New Roman" w:cs="Times New Roman"/>
              <w:color w:val="000000" w:themeColor="text1"/>
              <w:sz w:val="24"/>
              <w:szCs w:val="24"/>
              <w:lang w:eastAsia="zh-CN"/>
              <w14:textFill>
                <w14:solidFill>
                  <w14:schemeClr w14:val="tx1"/>
                </w14:solidFill>
              </w14:textFill>
            </w:rPr>
            <w:t>u</w:t>
          </w:r>
          <w:r>
            <w:rPr>
              <w:rFonts w:ascii="Times New Roman" w:hAnsi="Times New Roman" w:cs="Times New Roman"/>
              <w:color w:val="000000" w:themeColor="text1"/>
              <w:sz w:val="24"/>
              <w:szCs w:val="24"/>
              <w14:textFill>
                <w14:solidFill>
                  <w14:schemeClr w14:val="tx1"/>
                </w14:solidFill>
              </w14:textFill>
            </w:rPr>
            <w:t>tilizing Lewin's Force Field Analysis Model can assist Seesaw Coffee in evaluating the change management process and identifying the factors that influence or impede change within the organization. The change management requires a practical timeline with clear milestones, deadlines, and task assignments. Creating a dedicated change management team from different departments and levels within the organization is recommended for effective implementation. Seesaw Coffee can evaluate the change program's effectiveness in generating revenue by comparing revenue figures before and after implementation.</w:t>
          </w:r>
        </w:p>
        <w:p>
          <w:pPr>
            <w:spacing w:line="480" w:lineRule="auto"/>
            <w:ind w:firstLine="480" w:firstLineChars="200"/>
            <w:jc w:val="both"/>
            <w:rPr>
              <w:rFonts w:ascii="Times New Roman" w:hAnsi="Times New Roman" w:cs="Times New Roman"/>
              <w:color w:val="000000" w:themeColor="text1"/>
              <w:sz w:val="24"/>
              <w:szCs w:val="24"/>
              <w14:textFill>
                <w14:solidFill>
                  <w14:schemeClr w14:val="tx1"/>
                </w14:solidFill>
              </w14:textFill>
            </w:rPr>
          </w:pPr>
        </w:p>
        <w:p>
          <w:pPr>
            <w:spacing w:line="480" w:lineRule="auto"/>
            <w:ind w:firstLine="480" w:firstLineChars="200"/>
            <w:jc w:val="both"/>
            <w:rPr>
              <w:rFonts w:ascii="Times New Roman" w:hAnsi="Times New Roman" w:cs="Times New Roman"/>
              <w:color w:val="000000" w:themeColor="text1"/>
              <w:sz w:val="24"/>
              <w:szCs w:val="24"/>
              <w14:textFill>
                <w14:solidFill>
                  <w14:schemeClr w14:val="tx1"/>
                </w14:solidFill>
              </w14:textFill>
            </w:rPr>
          </w:pPr>
        </w:p>
        <w:p>
          <w:pPr>
            <w:spacing w:line="480" w:lineRule="auto"/>
            <w:jc w:val="both"/>
            <w:rPr>
              <w:rFonts w:ascii="Times New Roman" w:hAnsi="Times New Roman" w:cs="Times New Roman"/>
              <w:color w:val="000000" w:themeColor="text1"/>
              <w:sz w:val="24"/>
              <w:szCs w:val="24"/>
              <w14:textFill>
                <w14:solidFill>
                  <w14:schemeClr w14:val="tx1"/>
                </w14:solidFill>
              </w14:textFill>
            </w:rPr>
          </w:pPr>
        </w:p>
        <w:bookmarkEnd w:id="197"/>
        <w:bookmarkEnd w:id="198"/>
        <w:p>
          <w:pPr>
            <w:pStyle w:val="2"/>
            <w:jc w:val="both"/>
            <w:rPr>
              <w:rFonts w:asciiTheme="minorHAnsi" w:hAnsiTheme="minorHAnsi" w:eastAsiaTheme="minorHAnsi" w:cstheme="minorBidi"/>
              <w:color w:val="000000" w:themeColor="text1"/>
              <w:sz w:val="22"/>
              <w:szCs w:val="22"/>
              <w14:textFill>
                <w14:solidFill>
                  <w14:schemeClr w14:val="tx1"/>
                </w14:solidFill>
              </w14:textFill>
            </w:rPr>
          </w:pPr>
          <w:bookmarkStart w:id="199" w:name="_Toc6639"/>
          <w:r>
            <w:rPr>
              <w:rFonts w:hint="eastAsia"/>
              <w:color w:val="000000" w:themeColor="text1"/>
              <w:lang w:val="en-US" w:eastAsia="zh-CN"/>
              <w14:textFill>
                <w14:solidFill>
                  <w14:schemeClr w14:val="tx1"/>
                </w14:solidFill>
              </w14:textFill>
            </w:rPr>
            <w:t>References</w:t>
          </w:r>
        </w:p>
      </w:sdtContent>
    </w:sdt>
    <w:bookmarkEnd w:id="199"/>
    <w:p>
      <w:pPr>
        <w:spacing w:line="480" w:lineRule="auto"/>
        <w:ind w:left="993" w:hanging="993"/>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 xml:space="preserve">Adelman-Mullally, T., Nielsen, S., </w:t>
      </w:r>
      <w:r>
        <w:rPr>
          <w:rFonts w:hint="eastAsia" w:ascii="Times New Roman" w:hAnsi="Times New Roman" w:cs="Times New Roman"/>
          <w:color w:val="000000" w:themeColor="text1"/>
          <w:sz w:val="24"/>
          <w:szCs w:val="24"/>
          <w:shd w:val="clear" w:color="auto" w:fill="FFFFFF"/>
          <w:lang w:eastAsia="zh-CN"/>
          <w14:textFill>
            <w14:solidFill>
              <w14:schemeClr w14:val="tx1"/>
            </w14:solidFill>
          </w14:textFill>
        </w:rPr>
        <w:t>and</w:t>
      </w:r>
      <w:r>
        <w:rPr>
          <w:rFonts w:ascii="Times New Roman" w:hAnsi="Times New Roman" w:cs="Times New Roman"/>
          <w:color w:val="000000" w:themeColor="text1"/>
          <w:sz w:val="24"/>
          <w:szCs w:val="24"/>
          <w:shd w:val="clear" w:color="auto" w:fill="FFFFFF"/>
          <w:lang w:eastAsia="zh-CN"/>
          <w14:textFill>
            <w14:solidFill>
              <w14:schemeClr w14:val="tx1"/>
            </w14:solidFill>
          </w14:textFill>
        </w:rPr>
        <w:t xml:space="preserve"> </w:t>
      </w:r>
      <w:r>
        <w:rPr>
          <w:rFonts w:ascii="Times New Roman" w:hAnsi="Times New Roman" w:cs="Times New Roman"/>
          <w:color w:val="000000" w:themeColor="text1"/>
          <w:sz w:val="24"/>
          <w:szCs w:val="24"/>
          <w:shd w:val="clear" w:color="auto" w:fill="FFFFFF"/>
          <w14:textFill>
            <w14:solidFill>
              <w14:schemeClr w14:val="tx1"/>
            </w14:solidFill>
          </w14:textFill>
        </w:rPr>
        <w:t>Chung, S. Y. (2023)</w:t>
      </w:r>
      <w:r>
        <w:rPr>
          <w:rFonts w:ascii="Times New Roman" w:hAnsi="Times New Roman" w:cs="Times New Roman"/>
          <w:strike/>
          <w:color w:val="000000" w:themeColor="text1"/>
          <w:sz w:val="24"/>
          <w:szCs w:val="24"/>
          <w:shd w:val="clear" w:color="auto" w:fill="FFFFFF"/>
          <w14:textFill>
            <w14:solidFill>
              <w14:schemeClr w14:val="tx1"/>
            </w14:solidFill>
          </w14:textFill>
        </w:rPr>
        <w:t>.</w:t>
      </w:r>
      <w:r>
        <w:rPr>
          <w:rFonts w:ascii="Times New Roman" w:hAnsi="Times New Roman" w:cs="Times New Roman"/>
          <w:color w:val="000000" w:themeColor="text1"/>
          <w:sz w:val="24"/>
          <w:szCs w:val="24"/>
          <w:shd w:val="clear" w:color="auto" w:fill="FFFFFF"/>
          <w14:textFill>
            <w14:solidFill>
              <w14:schemeClr w14:val="tx1"/>
            </w14:solidFill>
          </w14:textFill>
        </w:rPr>
        <w:t xml:space="preserve"> </w:t>
      </w:r>
      <w:r>
        <w:rPr>
          <w:rFonts w:ascii="Times New Roman" w:hAnsi="Times New Roman" w:cs="Times New Roman"/>
          <w:i/>
          <w:color w:val="000000" w:themeColor="text1"/>
          <w:sz w:val="24"/>
          <w:szCs w:val="24"/>
          <w:shd w:val="clear" w:color="auto" w:fill="FFFFFF"/>
          <w14:textFill>
            <w14:solidFill>
              <w14:schemeClr w14:val="tx1"/>
            </w14:solidFill>
          </w14:textFill>
        </w:rPr>
        <w:t>Planned change in modern hierarchical organizations</w:t>
      </w:r>
      <w:r>
        <w:rPr>
          <w:rFonts w:ascii="Times New Roman" w:hAnsi="Times New Roman" w:cs="Times New Roman"/>
          <w:color w:val="000000" w:themeColor="text1"/>
          <w:sz w:val="24"/>
          <w:szCs w:val="24"/>
          <w:shd w:val="clear" w:color="auto" w:fill="FFFFFF"/>
          <w14:textFill>
            <w14:solidFill>
              <w14:schemeClr w14:val="tx1"/>
            </w14:solidFill>
          </w14:textFill>
        </w:rPr>
        <w:t>: A three-step model</w:t>
      </w:r>
      <w:r>
        <w:rPr>
          <w:rFonts w:ascii="Times New Roman" w:hAnsi="Times New Roman" w:cs="Times New Roman"/>
          <w:strike/>
          <w:color w:val="000000" w:themeColor="text1"/>
          <w:sz w:val="24"/>
          <w:szCs w:val="24"/>
          <w:shd w:val="clear" w:color="auto" w:fill="FFFFFF"/>
          <w14:textFill>
            <w14:solidFill>
              <w14:schemeClr w14:val="tx1"/>
            </w14:solidFill>
          </w14:textFill>
        </w:rPr>
        <w:t>.</w:t>
      </w:r>
      <w:r>
        <w:rPr>
          <w:rFonts w:ascii="Times New Roman" w:hAnsi="Times New Roman" w:cs="Times New Roman"/>
          <w:color w:val="000000" w:themeColor="text1"/>
          <w:sz w:val="24"/>
          <w:szCs w:val="24"/>
          <w:shd w:val="clear" w:color="auto" w:fill="FFFFFF"/>
          <w14:textFill>
            <w14:solidFill>
              <w14:schemeClr w14:val="tx1"/>
            </w14:solidFill>
          </w14:textFill>
        </w:rPr>
        <w:t>, in </w:t>
      </w:r>
      <w:r>
        <w:rPr>
          <w:rFonts w:ascii="Times New Roman" w:hAnsi="Times New Roman" w:cs="Times New Roman"/>
          <w:i/>
          <w:iCs/>
          <w:color w:val="000000" w:themeColor="text1"/>
          <w:sz w:val="24"/>
          <w:szCs w:val="24"/>
          <w:shd w:val="clear" w:color="auto" w:fill="FFFFFF"/>
          <w14:textFill>
            <w14:solidFill>
              <w14:schemeClr w14:val="tx1"/>
            </w14:solidFill>
          </w14:textFill>
        </w:rPr>
        <w:t>Journal of Professional Nursing</w:t>
      </w:r>
      <w:r>
        <w:rPr>
          <w:rFonts w:ascii="Times New Roman" w:hAnsi="Times New Roman" w:cs="Times New Roman"/>
          <w:color w:val="000000" w:themeColor="text1"/>
          <w:sz w:val="24"/>
          <w:szCs w:val="24"/>
          <w:shd w:val="clear" w:color="auto" w:fill="FFFFFF"/>
          <w14:textFill>
            <w14:solidFill>
              <w14:schemeClr w14:val="tx1"/>
            </w14:solidFill>
          </w14:textFill>
        </w:rPr>
        <w:t>, </w:t>
      </w:r>
      <w:r>
        <w:rPr>
          <w:rFonts w:ascii="Times New Roman" w:hAnsi="Times New Roman" w:cs="Times New Roman"/>
          <w:iCs/>
          <w:color w:val="000000" w:themeColor="text1"/>
          <w:sz w:val="24"/>
          <w:szCs w:val="24"/>
          <w:shd w:val="clear" w:color="auto" w:fill="FFFFFF"/>
          <w14:textFill>
            <w14:solidFill>
              <w14:schemeClr w14:val="tx1"/>
            </w14:solidFill>
          </w14:textFill>
        </w:rPr>
        <w:t>46</w:t>
      </w:r>
      <w:r>
        <w:rPr>
          <w:rFonts w:ascii="Times New Roman" w:hAnsi="Times New Roman" w:cs="Times New Roman"/>
          <w:color w:val="000000" w:themeColor="text1"/>
          <w:sz w:val="24"/>
          <w:szCs w:val="24"/>
          <w:shd w:val="clear" w:color="auto" w:fill="FFFFFF"/>
          <w14:textFill>
            <w14:solidFill>
              <w14:schemeClr w14:val="tx1"/>
            </w14:solidFill>
          </w14:textFill>
        </w:rPr>
        <w:t>, pp. 1-6.</w:t>
      </w:r>
    </w:p>
    <w:p>
      <w:pPr>
        <w:spacing w:line="480" w:lineRule="auto"/>
        <w:ind w:left="993" w:hanging="993"/>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 xml:space="preserve">Azevedo, M. C. D., Schlosser, F., </w:t>
      </w:r>
      <w:r>
        <w:rPr>
          <w:rFonts w:hint="eastAsia" w:ascii="Times New Roman" w:hAnsi="Times New Roman" w:cs="Times New Roman"/>
          <w:color w:val="000000" w:themeColor="text1"/>
          <w:sz w:val="24"/>
          <w:szCs w:val="24"/>
          <w:shd w:val="clear" w:color="auto" w:fill="FFFFFF"/>
          <w:lang w:eastAsia="zh-CN"/>
          <w14:textFill>
            <w14:solidFill>
              <w14:schemeClr w14:val="tx1"/>
            </w14:solidFill>
          </w14:textFill>
        </w:rPr>
        <w:t>and</w:t>
      </w:r>
      <w:r>
        <w:rPr>
          <w:rFonts w:ascii="Times New Roman" w:hAnsi="Times New Roman" w:cs="Times New Roman"/>
          <w:color w:val="000000" w:themeColor="text1"/>
          <w:sz w:val="24"/>
          <w:szCs w:val="24"/>
          <w:shd w:val="clear" w:color="auto" w:fill="FFFFFF"/>
          <w:lang w:eastAsia="zh-CN"/>
          <w14:textFill>
            <w14:solidFill>
              <w14:schemeClr w14:val="tx1"/>
            </w14:solidFill>
          </w14:textFill>
        </w:rPr>
        <w:t xml:space="preserve"> </w:t>
      </w:r>
      <w:r>
        <w:rPr>
          <w:rFonts w:ascii="Times New Roman" w:hAnsi="Times New Roman" w:cs="Times New Roman"/>
          <w:color w:val="000000" w:themeColor="text1"/>
          <w:sz w:val="24"/>
          <w:szCs w:val="24"/>
          <w:shd w:val="clear" w:color="auto" w:fill="FFFFFF"/>
          <w14:textFill>
            <w14:solidFill>
              <w14:schemeClr w14:val="tx1"/>
            </w14:solidFill>
          </w14:textFill>
        </w:rPr>
        <w:t xml:space="preserve">McPhee, D. (2021) </w:t>
      </w:r>
      <w:r>
        <w:rPr>
          <w:rFonts w:ascii="Times New Roman" w:hAnsi="Times New Roman" w:cs="Times New Roman"/>
          <w:i/>
          <w:color w:val="000000" w:themeColor="text1"/>
          <w:sz w:val="24"/>
          <w:szCs w:val="24"/>
          <w:shd w:val="clear" w:color="auto" w:fill="FFFFFF"/>
          <w14:textFill>
            <w14:solidFill>
              <w14:schemeClr w14:val="tx1"/>
            </w14:solidFill>
          </w14:textFill>
        </w:rPr>
        <w:t>Building organizational innovation through HRM, employee voice and engagement</w:t>
      </w:r>
      <w:r>
        <w:rPr>
          <w:rFonts w:ascii="Times New Roman" w:hAnsi="Times New Roman" w:cs="Times New Roman"/>
          <w:color w:val="000000" w:themeColor="text1"/>
          <w:sz w:val="24"/>
          <w:szCs w:val="24"/>
          <w:shd w:val="clear" w:color="auto" w:fill="FFFFFF"/>
          <w14:textFill>
            <w14:solidFill>
              <w14:schemeClr w14:val="tx1"/>
            </w14:solidFill>
          </w14:textFill>
        </w:rPr>
        <w:t>, in </w:t>
      </w:r>
      <w:r>
        <w:rPr>
          <w:rFonts w:ascii="Times New Roman" w:hAnsi="Times New Roman" w:cs="Times New Roman"/>
          <w:i/>
          <w:iCs/>
          <w:color w:val="000000" w:themeColor="text1"/>
          <w:sz w:val="24"/>
          <w:szCs w:val="24"/>
          <w:shd w:val="clear" w:color="auto" w:fill="FFFFFF"/>
          <w14:textFill>
            <w14:solidFill>
              <w14:schemeClr w14:val="tx1"/>
            </w14:solidFill>
          </w14:textFill>
        </w:rPr>
        <w:t>Personnel Review</w:t>
      </w:r>
      <w:r>
        <w:rPr>
          <w:rFonts w:ascii="Times New Roman" w:hAnsi="Times New Roman" w:cs="Times New Roman"/>
          <w:color w:val="000000" w:themeColor="text1"/>
          <w:sz w:val="24"/>
          <w:szCs w:val="24"/>
          <w:shd w:val="clear" w:color="auto" w:fill="FFFFFF"/>
          <w14:textFill>
            <w14:solidFill>
              <w14:schemeClr w14:val="tx1"/>
            </w14:solidFill>
          </w14:textFill>
        </w:rPr>
        <w:t>, </w:t>
      </w:r>
      <w:r>
        <w:rPr>
          <w:rFonts w:ascii="Times New Roman" w:hAnsi="Times New Roman" w:cs="Times New Roman"/>
          <w:iCs/>
          <w:color w:val="000000" w:themeColor="text1"/>
          <w:sz w:val="24"/>
          <w:szCs w:val="24"/>
          <w:shd w:val="clear" w:color="auto" w:fill="FFFFFF"/>
          <w14:textFill>
            <w14:solidFill>
              <w14:schemeClr w14:val="tx1"/>
            </w14:solidFill>
          </w14:textFill>
        </w:rPr>
        <w:t>50</w:t>
      </w:r>
      <w:r>
        <w:rPr>
          <w:rFonts w:ascii="Times New Roman" w:hAnsi="Times New Roman" w:cs="Times New Roman"/>
          <w:color w:val="000000" w:themeColor="text1"/>
          <w:sz w:val="24"/>
          <w:szCs w:val="24"/>
          <w:shd w:val="clear" w:color="auto" w:fill="FFFFFF"/>
          <w14:textFill>
            <w14:solidFill>
              <w14:schemeClr w14:val="tx1"/>
            </w14:solidFill>
          </w14:textFill>
        </w:rPr>
        <w:t xml:space="preserve">(2), </w:t>
      </w:r>
      <w:r>
        <w:rPr>
          <w:rFonts w:hint="eastAsia" w:ascii="Times New Roman" w:hAnsi="Times New Roman" w:cs="Times New Roman"/>
          <w:color w:val="000000" w:themeColor="text1"/>
          <w:sz w:val="24"/>
          <w:szCs w:val="24"/>
          <w:shd w:val="clear" w:color="auto" w:fill="FFFFFF"/>
          <w:lang w:eastAsia="zh-CN"/>
          <w14:textFill>
            <w14:solidFill>
              <w14:schemeClr w14:val="tx1"/>
            </w14:solidFill>
          </w14:textFill>
        </w:rPr>
        <w:t>pp</w:t>
      </w:r>
      <w:r>
        <w:rPr>
          <w:rFonts w:ascii="Times New Roman" w:hAnsi="Times New Roman" w:cs="Times New Roman"/>
          <w:color w:val="000000" w:themeColor="text1"/>
          <w:sz w:val="24"/>
          <w:szCs w:val="24"/>
          <w:shd w:val="clear" w:color="auto" w:fill="FFFFFF"/>
          <w:lang w:eastAsia="zh-CN"/>
          <w14:textFill>
            <w14:solidFill>
              <w14:schemeClr w14:val="tx1"/>
            </w14:solidFill>
          </w14:textFill>
        </w:rPr>
        <w:t xml:space="preserve">. </w:t>
      </w:r>
      <w:r>
        <w:rPr>
          <w:rFonts w:ascii="Times New Roman" w:hAnsi="Times New Roman" w:cs="Times New Roman"/>
          <w:color w:val="000000" w:themeColor="text1"/>
          <w:sz w:val="24"/>
          <w:szCs w:val="24"/>
          <w:shd w:val="clear" w:color="auto" w:fill="FFFFFF"/>
          <w14:textFill>
            <w14:solidFill>
              <w14:schemeClr w14:val="tx1"/>
            </w14:solidFill>
          </w14:textFill>
        </w:rPr>
        <w:t>751-769.</w:t>
      </w:r>
    </w:p>
    <w:p>
      <w:pPr>
        <w:spacing w:line="480" w:lineRule="auto"/>
        <w:ind w:left="993" w:hanging="993"/>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 xml:space="preserve">Backstrom, H. (2023) </w:t>
      </w:r>
      <w:r>
        <w:rPr>
          <w:rFonts w:ascii="Times New Roman" w:hAnsi="Times New Roman" w:cs="Times New Roman"/>
          <w:i/>
          <w:color w:val="000000" w:themeColor="text1"/>
          <w:sz w:val="24"/>
          <w:szCs w:val="24"/>
          <w:shd w:val="clear" w:color="auto" w:fill="FFFFFF"/>
          <w14:textFill>
            <w14:solidFill>
              <w14:schemeClr w14:val="tx1"/>
            </w14:solidFill>
          </w14:textFill>
        </w:rPr>
        <w:t>Collaborative Confidence: How women leaders can activate self-awareness, amplify their authentic talents, and accelerate workplace change</w:t>
      </w:r>
      <w:r>
        <w:rPr>
          <w:rFonts w:ascii="Times New Roman" w:hAnsi="Times New Roman" w:cs="Times New Roman"/>
          <w:color w:val="000000" w:themeColor="text1"/>
          <w:sz w:val="24"/>
          <w:szCs w:val="24"/>
          <w:shd w:val="clear" w:color="auto" w:fill="FFFFFF"/>
          <w14:textFill>
            <w14:solidFill>
              <w14:schemeClr w14:val="tx1"/>
            </w14:solidFill>
          </w14:textFill>
        </w:rPr>
        <w:t>. Bublish, Inc..</w:t>
      </w:r>
    </w:p>
    <w:p>
      <w:pPr>
        <w:spacing w:line="480" w:lineRule="auto"/>
        <w:ind w:left="993" w:hanging="993"/>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 xml:space="preserve">Belias, D. </w:t>
      </w:r>
      <w:r>
        <w:rPr>
          <w:rFonts w:hint="eastAsia" w:ascii="Times New Roman" w:hAnsi="Times New Roman" w:cs="Times New Roman"/>
          <w:color w:val="000000" w:themeColor="text1"/>
          <w:sz w:val="24"/>
          <w:szCs w:val="24"/>
          <w:shd w:val="clear" w:color="auto" w:fill="FFFFFF"/>
          <w:lang w:eastAsia="zh-CN"/>
          <w14:textFill>
            <w14:solidFill>
              <w14:schemeClr w14:val="tx1"/>
            </w14:solidFill>
          </w14:textFill>
        </w:rPr>
        <w:t>and</w:t>
      </w:r>
      <w:r>
        <w:rPr>
          <w:rFonts w:ascii="Times New Roman" w:hAnsi="Times New Roman" w:cs="Times New Roman"/>
          <w:color w:val="000000" w:themeColor="text1"/>
          <w:sz w:val="24"/>
          <w:szCs w:val="24"/>
          <w:shd w:val="clear" w:color="auto" w:fill="FFFFFF"/>
          <w:lang w:eastAsia="zh-CN"/>
          <w14:textFill>
            <w14:solidFill>
              <w14:schemeClr w14:val="tx1"/>
            </w14:solidFill>
          </w14:textFill>
        </w:rPr>
        <w:t xml:space="preserve"> </w:t>
      </w:r>
      <w:r>
        <w:rPr>
          <w:rFonts w:ascii="Times New Roman" w:hAnsi="Times New Roman" w:cs="Times New Roman"/>
          <w:color w:val="000000" w:themeColor="text1"/>
          <w:sz w:val="24"/>
          <w:szCs w:val="24"/>
          <w:shd w:val="clear" w:color="auto" w:fill="FFFFFF"/>
          <w14:textFill>
            <w14:solidFill>
              <w14:schemeClr w14:val="tx1"/>
            </w14:solidFill>
          </w14:textFill>
        </w:rPr>
        <w:t xml:space="preserve">Trihas, N. (2022, September) </w:t>
      </w:r>
      <w:r>
        <w:rPr>
          <w:rFonts w:ascii="Times New Roman" w:hAnsi="Times New Roman" w:cs="Times New Roman"/>
          <w:i/>
          <w:color w:val="000000" w:themeColor="text1"/>
          <w:sz w:val="24"/>
          <w:szCs w:val="24"/>
          <w:shd w:val="clear" w:color="auto" w:fill="FFFFFF"/>
          <w14:textFill>
            <w14:solidFill>
              <w14:schemeClr w14:val="tx1"/>
            </w14:solidFill>
          </w14:textFill>
        </w:rPr>
        <w:t>How can we measure the “Success of Change Management?” An exploratory Factor Analysis in a sample of employees in the Greek Hotel Industry</w:t>
      </w:r>
      <w:r>
        <w:rPr>
          <w:rFonts w:ascii="Times New Roman" w:hAnsi="Times New Roman" w:cs="Times New Roman"/>
          <w:color w:val="000000" w:themeColor="text1"/>
          <w:sz w:val="24"/>
          <w:szCs w:val="24"/>
          <w:shd w:val="clear" w:color="auto" w:fill="FFFFFF"/>
          <w14:textFill>
            <w14:solidFill>
              <w14:schemeClr w14:val="tx1"/>
            </w14:solidFill>
          </w14:textFill>
        </w:rPr>
        <w:t xml:space="preserve">, in </w:t>
      </w:r>
      <w:r>
        <w:rPr>
          <w:rFonts w:ascii="Times New Roman" w:hAnsi="Times New Roman" w:cs="Times New Roman"/>
          <w:i/>
          <w:color w:val="000000" w:themeColor="text1"/>
          <w:sz w:val="24"/>
          <w:szCs w:val="24"/>
          <w:shd w:val="clear" w:color="auto" w:fill="FFFFFF"/>
          <w14:textFill>
            <w14:solidFill>
              <w14:schemeClr w14:val="tx1"/>
            </w14:solidFill>
          </w14:textFill>
        </w:rPr>
        <w:t>International Conference of the International Association of Cultural and Digital Tourism</w:t>
      </w:r>
      <w:r>
        <w:rPr>
          <w:rFonts w:ascii="Times New Roman" w:hAnsi="Times New Roman" w:cs="Times New Roman"/>
          <w:color w:val="000000" w:themeColor="text1"/>
          <w:sz w:val="24"/>
          <w:szCs w:val="24"/>
          <w:shd w:val="clear" w:color="auto" w:fill="FFFFFF"/>
          <w14:textFill>
            <w14:solidFill>
              <w14:schemeClr w14:val="tx1"/>
            </w14:solidFill>
          </w14:textFill>
        </w:rPr>
        <w:t xml:space="preserve">. pp. 21-37. Cham: Springer Nature Switzerland. </w:t>
      </w:r>
    </w:p>
    <w:p>
      <w:pPr>
        <w:spacing w:line="480" w:lineRule="auto"/>
        <w:ind w:left="993" w:hanging="993"/>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Bharadwaj, A., </w:t>
      </w:r>
      <w:r>
        <w:rPr>
          <w:rFonts w:hint="eastAsia" w:ascii="Times New Roman" w:hAnsi="Times New Roman" w:cs="Times New Roman"/>
          <w:color w:val="000000" w:themeColor="text1"/>
          <w:sz w:val="24"/>
          <w:szCs w:val="24"/>
          <w:lang w:eastAsia="zh-CN"/>
          <w14:textFill>
            <w14:solidFill>
              <w14:schemeClr w14:val="tx1"/>
            </w14:solidFill>
          </w14:textFill>
        </w:rPr>
        <w:t>et</w:t>
      </w:r>
      <w:r>
        <w:rPr>
          <w:rFonts w:ascii="Times New Roman" w:hAnsi="Times New Roman" w:cs="Times New Roman"/>
          <w:color w:val="000000" w:themeColor="text1"/>
          <w:sz w:val="24"/>
          <w:szCs w:val="24"/>
          <w:lang w:eastAsia="zh-CN"/>
          <w14:textFill>
            <w14:solidFill>
              <w14:schemeClr w14:val="tx1"/>
            </w14:solidFill>
          </w14:textFill>
        </w:rPr>
        <w:t xml:space="preserve"> </w:t>
      </w:r>
      <w:r>
        <w:rPr>
          <w:rFonts w:hint="eastAsia" w:ascii="Times New Roman" w:hAnsi="Times New Roman" w:cs="Times New Roman"/>
          <w:color w:val="000000" w:themeColor="text1"/>
          <w:sz w:val="24"/>
          <w:szCs w:val="24"/>
          <w:lang w:eastAsia="zh-CN"/>
          <w14:textFill>
            <w14:solidFill>
              <w14:schemeClr w14:val="tx1"/>
            </w14:solidFill>
          </w14:textFill>
        </w:rPr>
        <w:t>al</w:t>
      </w:r>
      <w:r>
        <w:rPr>
          <w:rFonts w:ascii="Times New Roman" w:hAnsi="Times New Roman" w:cs="Times New Roman"/>
          <w:color w:val="000000" w:themeColor="text1"/>
          <w:sz w:val="24"/>
          <w:szCs w:val="24"/>
          <w14:textFill>
            <w14:solidFill>
              <w14:schemeClr w14:val="tx1"/>
            </w14:solidFill>
          </w14:textFill>
        </w:rPr>
        <w:t xml:space="preserve">. (2013) </w:t>
      </w:r>
      <w:r>
        <w:rPr>
          <w:rFonts w:ascii="Times New Roman" w:hAnsi="Times New Roman" w:cs="Times New Roman"/>
          <w:i/>
          <w:color w:val="000000" w:themeColor="text1"/>
          <w:sz w:val="24"/>
          <w:szCs w:val="24"/>
          <w14:textFill>
            <w14:solidFill>
              <w14:schemeClr w14:val="tx1"/>
            </w14:solidFill>
          </w14:textFill>
        </w:rPr>
        <w:t>Digital business strategy: Toward a next generation of insight</w:t>
      </w:r>
      <w:r>
        <w:rPr>
          <w:rFonts w:ascii="Times New Roman" w:hAnsi="Times New Roman" w:cs="Times New Roman"/>
          <w:color w:val="000000" w:themeColor="text1"/>
          <w:sz w:val="24"/>
          <w:szCs w:val="24"/>
          <w14:textFill>
            <w14:solidFill>
              <w14:schemeClr w14:val="tx1"/>
            </w14:solidFill>
          </w14:textFill>
        </w:rPr>
        <w:t>s</w:t>
      </w:r>
      <w:r>
        <w:rPr>
          <w:rFonts w:ascii="Times New Roman" w:hAnsi="Times New Roman" w:cs="Times New Roman"/>
          <w:iCs/>
          <w:color w:val="000000" w:themeColor="text1"/>
          <w:sz w:val="24"/>
          <w:szCs w:val="24"/>
          <w14:textFill>
            <w14:solidFill>
              <w14:schemeClr w14:val="tx1"/>
            </w14:solidFill>
          </w14:textFill>
        </w:rPr>
        <w:t xml:space="preserve">, </w:t>
      </w:r>
      <w:r>
        <w:rPr>
          <w:rFonts w:hint="eastAsia" w:ascii="Times New Roman" w:hAnsi="Times New Roman" w:cs="Times New Roman"/>
          <w:iCs/>
          <w:color w:val="000000" w:themeColor="text1"/>
          <w:sz w:val="24"/>
          <w:szCs w:val="24"/>
          <w:lang w:eastAsia="zh-CN"/>
          <w14:textFill>
            <w14:solidFill>
              <w14:schemeClr w14:val="tx1"/>
            </w14:solidFill>
          </w14:textFill>
        </w:rPr>
        <w:t>in</w:t>
      </w:r>
      <w:r>
        <w:rPr>
          <w:rFonts w:ascii="Times New Roman" w:hAnsi="Times New Roman" w:cs="Times New Roman"/>
          <w:i/>
          <w:iCs/>
          <w:color w:val="000000" w:themeColor="text1"/>
          <w:sz w:val="24"/>
          <w:szCs w:val="24"/>
          <w14:textFill>
            <w14:solidFill>
              <w14:schemeClr w14:val="tx1"/>
            </w14:solidFill>
          </w14:textFill>
        </w:rPr>
        <w:t xml:space="preserve"> MIS Quarterly</w:t>
      </w:r>
      <w:r>
        <w:rPr>
          <w:rFonts w:ascii="Times New Roman" w:hAnsi="Times New Roman" w:cs="Times New Roman"/>
          <w:color w:val="000000" w:themeColor="text1"/>
          <w:sz w:val="24"/>
          <w:szCs w:val="24"/>
          <w14:textFill>
            <w14:solidFill>
              <w14:schemeClr w14:val="tx1"/>
            </w14:solidFill>
          </w14:textFill>
        </w:rPr>
        <w:t>, 37(2), pp. 471-482.</w:t>
      </w:r>
    </w:p>
    <w:p>
      <w:pPr>
        <w:spacing w:line="480" w:lineRule="auto"/>
        <w:ind w:left="993" w:hanging="993"/>
        <w:jc w:val="both"/>
        <w:rPr>
          <w:rFonts w:ascii="Times New Roman" w:hAnsi="Times New Roman" w:cs="Times New Roman"/>
          <w:sz w:val="24"/>
          <w:szCs w:val="24"/>
          <w:shd w:val="clear" w:color="auto" w:fill="FFFFFF"/>
        </w:rPr>
      </w:pPr>
      <w:bookmarkStart w:id="200" w:name="OLE_LINK281"/>
      <w:bookmarkStart w:id="201" w:name="OLE_LINK283"/>
      <w:bookmarkStart w:id="202" w:name="OLE_LINK282"/>
      <w:r>
        <w:rPr>
          <w:rFonts w:ascii="Times New Roman" w:hAnsi="Times New Roman" w:cs="Times New Roman"/>
          <w:color w:val="000000" w:themeColor="text1"/>
          <w:sz w:val="24"/>
          <w:szCs w:val="24"/>
          <w:shd w:val="clear" w:color="auto" w:fill="FFFFFF"/>
          <w14:textFill>
            <w14:solidFill>
              <w14:schemeClr w14:val="tx1"/>
            </w14:solidFill>
          </w14:textFill>
        </w:rPr>
        <w:t xml:space="preserve">Birtus, M. </w:t>
      </w:r>
      <w:r>
        <w:rPr>
          <w:rFonts w:hint="eastAsia" w:ascii="Times New Roman" w:hAnsi="Times New Roman" w:cs="Times New Roman"/>
          <w:color w:val="000000" w:themeColor="text1"/>
          <w:sz w:val="24"/>
          <w:szCs w:val="24"/>
          <w:shd w:val="clear" w:color="auto" w:fill="FFFFFF"/>
          <w:lang w:eastAsia="zh-CN"/>
          <w14:textFill>
            <w14:solidFill>
              <w14:schemeClr w14:val="tx1"/>
            </w14:solidFill>
          </w14:textFill>
        </w:rPr>
        <w:t>and</w:t>
      </w:r>
      <w:r>
        <w:rPr>
          <w:rFonts w:ascii="Times New Roman" w:hAnsi="Times New Roman" w:cs="Times New Roman"/>
          <w:color w:val="000000" w:themeColor="text1"/>
          <w:sz w:val="24"/>
          <w:szCs w:val="24"/>
          <w:shd w:val="clear" w:color="auto" w:fill="FFFFFF"/>
          <w:lang w:eastAsia="zh-CN"/>
          <w14:textFill>
            <w14:solidFill>
              <w14:schemeClr w14:val="tx1"/>
            </w14:solidFill>
          </w14:textFill>
        </w:rPr>
        <w:t xml:space="preserve"> </w:t>
      </w:r>
      <w:r>
        <w:rPr>
          <w:rFonts w:ascii="Times New Roman" w:hAnsi="Times New Roman" w:cs="Times New Roman"/>
          <w:color w:val="000000" w:themeColor="text1"/>
          <w:sz w:val="24"/>
          <w:szCs w:val="24"/>
          <w:shd w:val="clear" w:color="auto" w:fill="FFFFFF"/>
          <w14:textFill>
            <w14:solidFill>
              <w14:schemeClr w14:val="tx1"/>
            </w14:solidFill>
          </w14:textFill>
        </w:rPr>
        <w:t xml:space="preserve">Lăzăroiu, G. (2021) </w:t>
      </w:r>
      <w:r>
        <w:rPr>
          <w:rFonts w:ascii="Times New Roman" w:hAnsi="Times New Roman" w:cs="Times New Roman"/>
          <w:i/>
          <w:color w:val="000000" w:themeColor="text1"/>
          <w:sz w:val="24"/>
          <w:szCs w:val="24"/>
          <w:shd w:val="clear" w:color="auto" w:fill="FFFFFF"/>
          <w14:textFill>
            <w14:solidFill>
              <w14:schemeClr w14:val="tx1"/>
            </w14:solidFill>
          </w14:textFill>
        </w:rPr>
        <w:t>The neurobehavioral economics of the covid-19 pandemic: consumer cognition, percep</w:t>
      </w:r>
      <w:r>
        <w:rPr>
          <w:rFonts w:ascii="Times New Roman" w:hAnsi="Times New Roman" w:cs="Times New Roman"/>
          <w:i/>
          <w:sz w:val="24"/>
          <w:szCs w:val="24"/>
          <w:shd w:val="clear" w:color="auto" w:fill="FFFFFF"/>
        </w:rPr>
        <w:t>tion, sentiment, choice, and decision-making</w:t>
      </w:r>
      <w:r>
        <w:rPr>
          <w:rFonts w:ascii="Times New Roman" w:hAnsi="Times New Roman" w:cs="Times New Roman"/>
          <w:sz w:val="24"/>
          <w:szCs w:val="24"/>
          <w:shd w:val="clear" w:color="auto" w:fill="FFFFFF"/>
        </w:rPr>
        <w:t>, in </w:t>
      </w:r>
      <w:r>
        <w:rPr>
          <w:rFonts w:ascii="Times New Roman" w:hAnsi="Times New Roman" w:cs="Times New Roman"/>
          <w:i/>
          <w:iCs/>
          <w:sz w:val="24"/>
          <w:szCs w:val="24"/>
          <w:shd w:val="clear" w:color="auto" w:fill="FFFFFF"/>
        </w:rPr>
        <w:t>Analysis &amp; Metaphysics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20</w:t>
      </w:r>
      <w:r>
        <w:rPr>
          <w:rFonts w:ascii="Times New Roman" w:hAnsi="Times New Roman" w:cs="Times New Roman"/>
          <w:sz w:val="24"/>
          <w:szCs w:val="24"/>
          <w:shd w:val="clear" w:color="auto" w:fill="FFFFFF"/>
        </w:rPr>
        <w:t>.</w:t>
      </w:r>
    </w:p>
    <w:bookmarkEnd w:id="200"/>
    <w:bookmarkEnd w:id="201"/>
    <w:bookmarkEnd w:id="202"/>
    <w:p>
      <w:pPr>
        <w:spacing w:line="480" w:lineRule="auto"/>
        <w:ind w:left="993" w:hanging="993"/>
        <w:jc w:val="both"/>
        <w:rPr>
          <w:rStyle w:val="11"/>
          <w:rFonts w:ascii="Times New Roman" w:hAnsi="Times New Roman" w:cs="Times New Roman"/>
          <w:color w:val="auto"/>
          <w:sz w:val="24"/>
          <w:szCs w:val="24"/>
        </w:rPr>
      </w:pPr>
      <w:r>
        <w:rPr>
          <w:rFonts w:ascii="Times New Roman" w:hAnsi="Times New Roman" w:cs="Times New Roman"/>
          <w:sz w:val="24"/>
          <w:szCs w:val="24"/>
        </w:rPr>
        <w:t xml:space="preserve">Booker, A. (2022) </w:t>
      </w:r>
      <w:r>
        <w:rPr>
          <w:rFonts w:ascii="Times New Roman" w:hAnsi="Times New Roman" w:cs="Times New Roman"/>
          <w:i/>
          <w:iCs/>
          <w:sz w:val="24"/>
          <w:szCs w:val="24"/>
        </w:rPr>
        <w:t>China Marketing Picks: Loewe’s 520 Brand Film, Seesaw’s Self-Collab, Calvin Klein’s Virtual Idol, .</w:t>
      </w:r>
      <w:r>
        <w:rPr>
          <w:rFonts w:hint="eastAsia" w:ascii="Times New Roman" w:hAnsi="Times New Roman" w:cs="Times New Roman"/>
          <w:i/>
          <w:iCs/>
          <w:sz w:val="24"/>
          <w:szCs w:val="24"/>
          <w:lang w:eastAsia="zh-CN"/>
        </w:rPr>
        <w:t>in</w:t>
      </w:r>
      <w:r>
        <w:rPr>
          <w:rFonts w:ascii="Times New Roman" w:hAnsi="Times New Roman" w:cs="Times New Roman"/>
          <w:sz w:val="24"/>
          <w:szCs w:val="24"/>
        </w:rPr>
        <w:t xml:space="preserve"> </w:t>
      </w:r>
      <w:r>
        <w:rPr>
          <w:rFonts w:ascii="Times New Roman" w:hAnsi="Times New Roman" w:cs="Times New Roman"/>
          <w:i/>
          <w:sz w:val="24"/>
          <w:szCs w:val="24"/>
        </w:rPr>
        <w:t>Jing Daily</w:t>
      </w:r>
      <w:r>
        <w:rPr>
          <w:rFonts w:ascii="Times New Roman" w:hAnsi="Times New Roman" w:cs="Times New Roman"/>
          <w:sz w:val="24"/>
          <w:szCs w:val="24"/>
        </w:rPr>
        <w:t xml:space="preserve">. </w:t>
      </w:r>
      <w:r>
        <w:fldChar w:fldCharType="begin"/>
      </w:r>
      <w:r>
        <w:instrText xml:space="preserve"> HYPERLINK "https://jingdaily.com/china-marketing-picks-loewes-520-brand-film-seesaws-self-collab-calvin-kleins-virtual-idols/" </w:instrText>
      </w:r>
      <w:r>
        <w:fldChar w:fldCharType="separate"/>
      </w:r>
      <w:r>
        <w:rPr>
          <w:rStyle w:val="11"/>
          <w:rFonts w:ascii="Times New Roman" w:hAnsi="Times New Roman" w:cs="Times New Roman"/>
          <w:color w:val="auto"/>
          <w:sz w:val="24"/>
          <w:szCs w:val="24"/>
        </w:rPr>
        <w:t>https://jingdaily.com/china-marketing-picks-loewes-520-brand-film-seesaws-self-collab-calvin-kleins-virtual-idols/</w:t>
      </w:r>
      <w:r>
        <w:rPr>
          <w:rStyle w:val="11"/>
          <w:rFonts w:ascii="Times New Roman" w:hAnsi="Times New Roman" w:cs="Times New Roman"/>
          <w:color w:val="auto"/>
          <w:sz w:val="24"/>
          <w:szCs w:val="24"/>
        </w:rPr>
        <w:fldChar w:fldCharType="end"/>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Carracedo, P., Puertas, R., </w:t>
      </w:r>
      <w:r>
        <w:rPr>
          <w:rFonts w:hint="eastAsia" w:ascii="Times New Roman" w:hAnsi="Times New Roman" w:cs="Times New Roman"/>
          <w:sz w:val="24"/>
          <w:szCs w:val="24"/>
          <w:shd w:val="clear" w:color="auto" w:fill="FFFFFF"/>
          <w:lang w:eastAsia="zh-CN"/>
        </w:rPr>
        <w:t>and</w:t>
      </w:r>
      <w:r>
        <w:rPr>
          <w:rFonts w:ascii="Times New Roman" w:hAnsi="Times New Roman" w:cs="Times New Roman"/>
          <w:sz w:val="24"/>
          <w:szCs w:val="24"/>
          <w:shd w:val="clear" w:color="auto" w:fill="FFFFFF"/>
        </w:rPr>
        <w:t xml:space="preserve"> Marti, L. (2021) </w:t>
      </w:r>
      <w:r>
        <w:rPr>
          <w:rFonts w:ascii="Times New Roman" w:hAnsi="Times New Roman" w:cs="Times New Roman"/>
          <w:i/>
          <w:sz w:val="24"/>
          <w:szCs w:val="24"/>
          <w:shd w:val="clear" w:color="auto" w:fill="FFFFFF"/>
        </w:rPr>
        <w:t>Research lines on the impact of the COVID-19 pandemic on busines</w:t>
      </w:r>
      <w:bookmarkStart w:id="203" w:name="OLE_LINK285"/>
      <w:bookmarkStart w:id="204" w:name="OLE_LINK284"/>
      <w:r>
        <w:rPr>
          <w:rFonts w:ascii="Times New Roman" w:hAnsi="Times New Roman" w:cs="Times New Roman"/>
          <w:i/>
          <w:sz w:val="24"/>
          <w:szCs w:val="24"/>
          <w:shd w:val="clear" w:color="auto" w:fill="FFFFFF"/>
        </w:rPr>
        <w:t>s</w:t>
      </w:r>
      <w:r>
        <w:rPr>
          <w:rFonts w:ascii="Times New Roman" w:hAnsi="Times New Roman" w:cs="Times New Roman"/>
          <w:sz w:val="24"/>
          <w:szCs w:val="24"/>
          <w:shd w:val="clear" w:color="auto" w:fill="FFFFFF"/>
        </w:rPr>
        <w:t xml:space="preserve">. </w:t>
      </w:r>
      <w:bookmarkEnd w:id="203"/>
      <w:bookmarkEnd w:id="204"/>
      <w:r>
        <w:rPr>
          <w:rFonts w:ascii="Times New Roman" w:hAnsi="Times New Roman" w:cs="Times New Roman"/>
          <w:i/>
          <w:sz w:val="24"/>
          <w:szCs w:val="24"/>
          <w:shd w:val="clear" w:color="auto" w:fill="FFFFFF"/>
        </w:rPr>
        <w:t>A text mining analysis</w:t>
      </w:r>
      <w:r>
        <w:rPr>
          <w:rFonts w:ascii="Times New Roman" w:hAnsi="Times New Roman" w:cs="Times New Roman"/>
          <w:sz w:val="24"/>
          <w:szCs w:val="24"/>
          <w:shd w:val="clear" w:color="auto" w:fill="FFFFFF"/>
        </w:rPr>
        <w:t xml:space="preserve">, </w:t>
      </w:r>
      <w:r>
        <w:rPr>
          <w:rFonts w:hint="eastAsia" w:ascii="Times New Roman" w:hAnsi="Times New Roman" w:cs="Times New Roman"/>
          <w:sz w:val="24"/>
          <w:szCs w:val="24"/>
          <w:shd w:val="clear" w:color="auto" w:fill="FFFFFF"/>
          <w:lang w:eastAsia="zh-CN"/>
        </w:rPr>
        <w:t>in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Journal of Business Research</w:t>
      </w:r>
      <w:r>
        <w:rPr>
          <w:rFonts w:ascii="Times New Roman" w:hAnsi="Times New Roman" w:cs="Times New Roman"/>
          <w:sz w:val="24"/>
          <w:szCs w:val="24"/>
          <w:shd w:val="clear" w:color="auto" w:fill="FFFFFF"/>
        </w:rPr>
        <w:t>, </w:t>
      </w:r>
      <w:r>
        <w:rPr>
          <w:rFonts w:ascii="Times New Roman" w:hAnsi="Times New Roman" w:cs="Times New Roman"/>
          <w:iCs/>
          <w:sz w:val="24"/>
          <w:szCs w:val="24"/>
          <w:shd w:val="clear" w:color="auto" w:fill="FFFFFF"/>
        </w:rPr>
        <w:t>132</w:t>
      </w:r>
      <w:r>
        <w:rPr>
          <w:rFonts w:ascii="Times New Roman" w:hAnsi="Times New Roman" w:cs="Times New Roman"/>
          <w:sz w:val="24"/>
          <w:szCs w:val="24"/>
          <w:shd w:val="clear" w:color="auto" w:fill="FFFFFF"/>
        </w:rPr>
        <w:t xml:space="preserve">, </w:t>
      </w:r>
      <w:r>
        <w:rPr>
          <w:rFonts w:hint="eastAsia" w:ascii="Times New Roman" w:hAnsi="Times New Roman" w:cs="Times New Roman"/>
          <w:sz w:val="24"/>
          <w:szCs w:val="24"/>
          <w:shd w:val="clear" w:color="auto" w:fill="FFFFFF"/>
          <w:lang w:eastAsia="zh-CN"/>
        </w:rPr>
        <w:t>pp</w:t>
      </w:r>
      <w:r>
        <w:rPr>
          <w:rFonts w:ascii="Times New Roman" w:hAnsi="Times New Roman" w:cs="Times New Roman"/>
          <w:sz w:val="24"/>
          <w:szCs w:val="24"/>
          <w:shd w:val="clear" w:color="auto" w:fill="FFFFFF"/>
          <w:lang w:eastAsia="zh-CN"/>
        </w:rPr>
        <w:t>.</w:t>
      </w:r>
      <w:r>
        <w:rPr>
          <w:rFonts w:ascii="Times New Roman" w:hAnsi="Times New Roman" w:cs="Times New Roman"/>
          <w:sz w:val="24"/>
          <w:szCs w:val="24"/>
          <w:shd w:val="clear" w:color="auto" w:fill="FFFFFF"/>
        </w:rPr>
        <w:t>586-593.</w:t>
      </w:r>
    </w:p>
    <w:p>
      <w:pPr>
        <w:spacing w:line="480" w:lineRule="auto"/>
        <w:ind w:left="993" w:hanging="993"/>
        <w:jc w:val="both"/>
        <w:rPr>
          <w:rFonts w:ascii="Times New Roman" w:hAnsi="Times New Roman" w:cs="Times New Roman"/>
          <w:i/>
          <w:iCs/>
          <w:sz w:val="24"/>
          <w:szCs w:val="24"/>
        </w:rPr>
      </w:pPr>
      <w:bookmarkStart w:id="205" w:name="OLE_LINK286"/>
      <w:bookmarkStart w:id="206" w:name="OLE_LINK287"/>
      <w:r>
        <w:rPr>
          <w:rFonts w:ascii="Times New Roman" w:hAnsi="Times New Roman" w:cs="Times New Roman"/>
          <w:sz w:val="24"/>
          <w:szCs w:val="24"/>
        </w:rPr>
        <w:t xml:space="preserve">Cavish, C. (2018) </w:t>
      </w:r>
      <w:r>
        <w:rPr>
          <w:rFonts w:ascii="Times New Roman" w:hAnsi="Times New Roman" w:cs="Times New Roman"/>
          <w:i/>
          <w:sz w:val="24"/>
          <w:szCs w:val="24"/>
        </w:rPr>
        <w:t>Seesaw Coffee's Tom Zong. Smart Shanghai</w:t>
      </w:r>
      <w:r>
        <w:rPr>
          <w:rFonts w:ascii="Times New Roman" w:hAnsi="Times New Roman" w:cs="Times New Roman"/>
          <w:i/>
          <w:iCs/>
          <w:sz w:val="24"/>
          <w:szCs w:val="24"/>
        </w:rPr>
        <w:t xml:space="preserve">. </w:t>
      </w:r>
      <w:r>
        <w:rPr>
          <w:rFonts w:ascii="Times New Roman" w:hAnsi="Times New Roman" w:cs="Times New Roman"/>
          <w:sz w:val="24"/>
          <w:szCs w:val="24"/>
          <w:u w:val="single"/>
        </w:rPr>
        <w:t>https://www.smartshanghai.com/articles/business/made-in-china-seesaw-coffees-tom-zong</w:t>
      </w:r>
    </w:p>
    <w:bookmarkEnd w:id="205"/>
    <w:bookmarkEnd w:id="206"/>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Chen, C. J. (2019)</w:t>
      </w:r>
      <w:r>
        <w:rPr>
          <w:rFonts w:ascii="Times New Roman" w:hAnsi="Times New Roman" w:cs="Times New Roman"/>
          <w:i/>
          <w:sz w:val="24"/>
          <w:szCs w:val="24"/>
          <w:shd w:val="clear" w:color="auto" w:fill="FFFFFF"/>
        </w:rPr>
        <w:t xml:space="preserve"> Developing a model for supply chain agility and innovativeness to enhance firms’ competitive advantage</w:t>
      </w:r>
      <w:r>
        <w:rPr>
          <w:rFonts w:ascii="Times New Roman" w:hAnsi="Times New Roman" w:cs="Times New Roman"/>
          <w:sz w:val="24"/>
          <w:szCs w:val="24"/>
          <w:shd w:val="clear" w:color="auto" w:fill="FFFFFF"/>
        </w:rPr>
        <w:t>,in </w:t>
      </w:r>
      <w:r>
        <w:rPr>
          <w:rFonts w:ascii="Times New Roman" w:hAnsi="Times New Roman" w:cs="Times New Roman"/>
          <w:i/>
          <w:iCs/>
          <w:sz w:val="24"/>
          <w:szCs w:val="24"/>
          <w:shd w:val="clear" w:color="auto" w:fill="FFFFFF"/>
        </w:rPr>
        <w:t>Management Decision</w:t>
      </w:r>
      <w:r>
        <w:rPr>
          <w:rFonts w:ascii="Times New Roman" w:hAnsi="Times New Roman" w:cs="Times New Roman"/>
          <w:sz w:val="24"/>
          <w:szCs w:val="24"/>
          <w:shd w:val="clear" w:color="auto" w:fill="FFFFFF"/>
        </w:rPr>
        <w:t>, </w:t>
      </w:r>
      <w:r>
        <w:rPr>
          <w:rFonts w:ascii="Times New Roman" w:hAnsi="Times New Roman" w:cs="Times New Roman"/>
          <w:iCs/>
          <w:sz w:val="24"/>
          <w:szCs w:val="24"/>
          <w:shd w:val="clear" w:color="auto" w:fill="FFFFFF"/>
        </w:rPr>
        <w:t>57</w:t>
      </w:r>
      <w:r>
        <w:rPr>
          <w:rFonts w:ascii="Times New Roman" w:hAnsi="Times New Roman" w:cs="Times New Roman"/>
          <w:sz w:val="24"/>
          <w:szCs w:val="24"/>
          <w:shd w:val="clear" w:color="auto" w:fill="FFFFFF"/>
        </w:rPr>
        <w:t>(7), pp. 1511-1534.</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Dubbelink, S. I., Herrando, C., and Constantinides, E. (2021) S</w:t>
      </w:r>
      <w:r>
        <w:rPr>
          <w:rFonts w:ascii="Times New Roman" w:hAnsi="Times New Roman" w:cs="Times New Roman"/>
          <w:i/>
          <w:sz w:val="24"/>
          <w:szCs w:val="24"/>
          <w:shd w:val="clear" w:color="auto" w:fill="FFFFFF"/>
        </w:rPr>
        <w:t>ocial media marketing as a branding strategy in extraordinary times: Lessons from the COVID-19 pandemic</w:t>
      </w:r>
      <w:r>
        <w:rPr>
          <w:rFonts w:ascii="Times New Roman" w:hAnsi="Times New Roman" w:cs="Times New Roman"/>
          <w:sz w:val="24"/>
          <w:szCs w:val="24"/>
          <w:shd w:val="clear" w:color="auto" w:fill="FFFFFF"/>
        </w:rPr>
        <w:t xml:space="preserve">, in </w:t>
      </w:r>
      <w:r>
        <w:rPr>
          <w:rFonts w:ascii="Times New Roman" w:hAnsi="Times New Roman" w:cs="Times New Roman"/>
          <w:i/>
          <w:iCs/>
          <w:sz w:val="24"/>
          <w:szCs w:val="24"/>
          <w:shd w:val="clear" w:color="auto" w:fill="FFFFFF"/>
        </w:rPr>
        <w:t>Sustainability</w:t>
      </w:r>
      <w:r>
        <w:rPr>
          <w:rFonts w:ascii="Times New Roman" w:hAnsi="Times New Roman" w:cs="Times New Roman"/>
          <w:sz w:val="24"/>
          <w:szCs w:val="24"/>
          <w:shd w:val="clear" w:color="auto" w:fill="FFFFFF"/>
        </w:rPr>
        <w:t>, </w:t>
      </w:r>
      <w:r>
        <w:rPr>
          <w:rFonts w:ascii="Times New Roman" w:hAnsi="Times New Roman" w:cs="Times New Roman"/>
          <w:iCs/>
          <w:sz w:val="24"/>
          <w:szCs w:val="24"/>
          <w:shd w:val="clear" w:color="auto" w:fill="FFFFFF"/>
        </w:rPr>
        <w:t>13</w:t>
      </w:r>
      <w:r>
        <w:rPr>
          <w:rFonts w:ascii="Times New Roman" w:hAnsi="Times New Roman" w:cs="Times New Roman"/>
          <w:sz w:val="24"/>
          <w:szCs w:val="24"/>
          <w:shd w:val="clear" w:color="auto" w:fill="FFFFFF"/>
        </w:rPr>
        <w:t>(18), p. 310.</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Elshaer, I. A., </w:t>
      </w:r>
      <w:r>
        <w:rPr>
          <w:rFonts w:hint="eastAsia" w:ascii="Times New Roman" w:hAnsi="Times New Roman" w:cs="Times New Roman"/>
          <w:sz w:val="24"/>
          <w:szCs w:val="24"/>
          <w:shd w:val="clear" w:color="auto" w:fill="FFFFFF"/>
          <w:lang w:eastAsia="zh-CN"/>
        </w:rPr>
        <w:t>and</w:t>
      </w:r>
      <w:r>
        <w:rPr>
          <w:rFonts w:ascii="Times New Roman" w:hAnsi="Times New Roman" w:cs="Times New Roman"/>
          <w:sz w:val="24"/>
          <w:szCs w:val="24"/>
          <w:shd w:val="clear" w:color="auto" w:fill="FFFFFF"/>
        </w:rPr>
        <w:t xml:space="preserve"> Saad, S. K. (2022). </w:t>
      </w:r>
      <w:r>
        <w:rPr>
          <w:rFonts w:ascii="Times New Roman" w:hAnsi="Times New Roman" w:cs="Times New Roman"/>
          <w:i/>
          <w:sz w:val="24"/>
          <w:szCs w:val="24"/>
          <w:shd w:val="clear" w:color="auto" w:fill="FFFFFF"/>
        </w:rPr>
        <w:t>Learning from Failure: Building Resilience in Small-and Medium-Sized Tourism Enterprises, the Role of Servant Leadership and Transparent Communication</w:t>
      </w:r>
      <w:r>
        <w:rPr>
          <w:rFonts w:ascii="Times New Roman" w:hAnsi="Times New Roman" w:cs="Times New Roman"/>
          <w:sz w:val="24"/>
          <w:szCs w:val="24"/>
          <w:shd w:val="clear" w:color="auto" w:fill="FFFFFF"/>
        </w:rPr>
        <w:t xml:space="preserve"> ,in </w:t>
      </w:r>
      <w:r>
        <w:rPr>
          <w:rFonts w:ascii="Times New Roman" w:hAnsi="Times New Roman" w:cs="Times New Roman"/>
          <w:i/>
          <w:iCs/>
          <w:sz w:val="24"/>
          <w:szCs w:val="24"/>
          <w:shd w:val="clear" w:color="auto" w:fill="FFFFFF"/>
        </w:rPr>
        <w:t>Sustainability</w:t>
      </w:r>
      <w:r>
        <w:rPr>
          <w:rFonts w:ascii="Times New Roman" w:hAnsi="Times New Roman" w:cs="Times New Roman"/>
          <w:sz w:val="24"/>
          <w:szCs w:val="24"/>
          <w:shd w:val="clear" w:color="auto" w:fill="FFFFFF"/>
        </w:rPr>
        <w:t>, </w:t>
      </w:r>
      <w:r>
        <w:rPr>
          <w:rFonts w:ascii="Times New Roman" w:hAnsi="Times New Roman" w:cs="Times New Roman"/>
          <w:iCs/>
          <w:sz w:val="24"/>
          <w:szCs w:val="24"/>
          <w:shd w:val="clear" w:color="auto" w:fill="FFFFFF"/>
        </w:rPr>
        <w:t>14</w:t>
      </w:r>
      <w:r>
        <w:rPr>
          <w:rFonts w:ascii="Times New Roman" w:hAnsi="Times New Roman" w:cs="Times New Roman"/>
          <w:sz w:val="24"/>
          <w:szCs w:val="24"/>
          <w:shd w:val="clear" w:color="auto" w:fill="FFFFFF"/>
        </w:rPr>
        <w:t>(22), pp.199.</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Errida, A., and Lotfi, B. (2021) </w:t>
      </w:r>
      <w:r>
        <w:rPr>
          <w:rFonts w:ascii="Times New Roman" w:hAnsi="Times New Roman" w:cs="Times New Roman"/>
          <w:i/>
          <w:sz w:val="24"/>
          <w:szCs w:val="24"/>
          <w:shd w:val="clear" w:color="auto" w:fill="FFFFFF"/>
        </w:rPr>
        <w:t>The determinants of organizational change management success: Literature review and case study</w:t>
      </w:r>
      <w:r>
        <w:rPr>
          <w:rFonts w:ascii="Times New Roman" w:hAnsi="Times New Roman" w:cs="Times New Roman"/>
          <w:sz w:val="24"/>
          <w:szCs w:val="24"/>
          <w:shd w:val="clear" w:color="auto" w:fill="FFFFFF"/>
        </w:rPr>
        <w:t>, in </w:t>
      </w:r>
      <w:r>
        <w:rPr>
          <w:rFonts w:ascii="Times New Roman" w:hAnsi="Times New Roman" w:cs="Times New Roman"/>
          <w:i/>
          <w:iCs/>
          <w:sz w:val="24"/>
          <w:szCs w:val="24"/>
          <w:shd w:val="clear" w:color="auto" w:fill="FFFFFF"/>
        </w:rPr>
        <w:t>International Journal of Engineering Business Management</w:t>
      </w:r>
      <w:r>
        <w:rPr>
          <w:rFonts w:ascii="Times New Roman" w:hAnsi="Times New Roman" w:cs="Times New Roman"/>
          <w:sz w:val="24"/>
          <w:szCs w:val="24"/>
          <w:shd w:val="clear" w:color="auto" w:fill="FFFFFF"/>
        </w:rPr>
        <w:t>.</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Fabrizio, C. M., et al. (2022) </w:t>
      </w:r>
      <w:r>
        <w:rPr>
          <w:rFonts w:ascii="Times New Roman" w:hAnsi="Times New Roman" w:cs="Times New Roman"/>
          <w:i/>
          <w:sz w:val="24"/>
          <w:szCs w:val="24"/>
          <w:shd w:val="clear" w:color="auto" w:fill="FFFFFF"/>
        </w:rPr>
        <w:t>Competitive advantage and dynamic capability in small and medium-sized enterprises: A systematic literature review and future research directions</w:t>
      </w:r>
      <w:r>
        <w:rPr>
          <w:rFonts w:ascii="Times New Roman" w:hAnsi="Times New Roman" w:cs="Times New Roman"/>
          <w:sz w:val="24"/>
          <w:szCs w:val="24"/>
          <w:shd w:val="clear" w:color="auto" w:fill="FFFFFF"/>
        </w:rPr>
        <w:t xml:space="preserve">, </w:t>
      </w:r>
      <w:r>
        <w:rPr>
          <w:rFonts w:hint="eastAsia" w:ascii="Times New Roman" w:hAnsi="Times New Roman" w:cs="Times New Roman"/>
          <w:sz w:val="24"/>
          <w:szCs w:val="24"/>
          <w:shd w:val="clear" w:color="auto" w:fill="FFFFFF"/>
          <w:lang w:eastAsia="zh-CN"/>
        </w:rPr>
        <w:t>in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Review of Managerial Science</w:t>
      </w:r>
      <w:r>
        <w:rPr>
          <w:rFonts w:ascii="Times New Roman" w:hAnsi="Times New Roman" w:cs="Times New Roman"/>
          <w:sz w:val="24"/>
          <w:szCs w:val="24"/>
          <w:shd w:val="clear" w:color="auto" w:fill="FFFFFF"/>
        </w:rPr>
        <w:t>, </w:t>
      </w:r>
      <w:r>
        <w:rPr>
          <w:rFonts w:ascii="Times New Roman" w:hAnsi="Times New Roman" w:cs="Times New Roman"/>
          <w:iCs/>
          <w:sz w:val="24"/>
          <w:szCs w:val="24"/>
          <w:shd w:val="clear" w:color="auto" w:fill="FFFFFF"/>
        </w:rPr>
        <w:t>16</w:t>
      </w:r>
      <w:r>
        <w:rPr>
          <w:rFonts w:ascii="Times New Roman" w:hAnsi="Times New Roman" w:cs="Times New Roman"/>
          <w:sz w:val="24"/>
          <w:szCs w:val="24"/>
          <w:shd w:val="clear" w:color="auto" w:fill="FFFFFF"/>
        </w:rPr>
        <w:t xml:space="preserve">(3), </w:t>
      </w:r>
      <w:r>
        <w:rPr>
          <w:rFonts w:hint="eastAsia" w:ascii="Times New Roman" w:hAnsi="Times New Roman" w:cs="Times New Roman"/>
          <w:sz w:val="24"/>
          <w:szCs w:val="24"/>
          <w:shd w:val="clear" w:color="auto" w:fill="FFFFFF"/>
          <w:lang w:eastAsia="zh-CN"/>
        </w:rPr>
        <w:t>pp</w:t>
      </w:r>
      <w:r>
        <w:rPr>
          <w:rFonts w:ascii="Times New Roman" w:hAnsi="Times New Roman" w:cs="Times New Roman"/>
          <w:sz w:val="24"/>
          <w:szCs w:val="24"/>
          <w:shd w:val="clear" w:color="auto" w:fill="FFFFFF"/>
          <w:lang w:eastAsia="zh-CN"/>
        </w:rPr>
        <w:t xml:space="preserve">. </w:t>
      </w:r>
      <w:r>
        <w:rPr>
          <w:rFonts w:ascii="Times New Roman" w:hAnsi="Times New Roman" w:cs="Times New Roman"/>
          <w:sz w:val="24"/>
          <w:szCs w:val="24"/>
          <w:shd w:val="clear" w:color="auto" w:fill="FFFFFF"/>
        </w:rPr>
        <w:t>617-648.</w:t>
      </w:r>
    </w:p>
    <w:p>
      <w:pPr>
        <w:spacing w:line="480" w:lineRule="auto"/>
        <w:ind w:left="993" w:hanging="993"/>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Ferreira, J., </w:t>
      </w:r>
      <w:r>
        <w:rPr>
          <w:rFonts w:hint="eastAsia" w:ascii="Times New Roman" w:hAnsi="Times New Roman" w:cs="Times New Roman"/>
          <w:sz w:val="24"/>
          <w:szCs w:val="24"/>
          <w:shd w:val="clear" w:color="auto" w:fill="FFFFFF"/>
          <w:lang w:eastAsia="zh-CN"/>
        </w:rPr>
        <w:t>and</w:t>
      </w:r>
      <w:r>
        <w:rPr>
          <w:rFonts w:ascii="Times New Roman" w:hAnsi="Times New Roman" w:cs="Times New Roman"/>
          <w:sz w:val="24"/>
          <w:szCs w:val="24"/>
          <w:shd w:val="clear" w:color="auto" w:fill="FFFFFF"/>
        </w:rPr>
        <w:t xml:space="preserve"> Ferreira, C. (2018) </w:t>
      </w:r>
      <w:r>
        <w:rPr>
          <w:rFonts w:ascii="Times New Roman" w:hAnsi="Times New Roman" w:cs="Times New Roman"/>
          <w:i/>
          <w:sz w:val="24"/>
          <w:szCs w:val="24"/>
          <w:shd w:val="clear" w:color="auto" w:fill="FFFFFF"/>
        </w:rPr>
        <w:t>Challenges and opportunities of new retail horizons in emerging markets: The case of a rising coffee culture in China</w:t>
      </w:r>
      <w:r>
        <w:rPr>
          <w:rFonts w:ascii="Times New Roman" w:hAnsi="Times New Roman" w:cs="Times New Roman"/>
          <w:sz w:val="24"/>
          <w:szCs w:val="24"/>
          <w:shd w:val="clear" w:color="auto" w:fill="FFFFFF"/>
          <w:lang w:eastAsia="zh-CN"/>
        </w:rPr>
        <w:t>, i</w:t>
      </w:r>
      <w:r>
        <w:rPr>
          <w:rFonts w:hint="eastAsia" w:ascii="Times New Roman" w:hAnsi="Times New Roman" w:cs="Times New Roman"/>
          <w:sz w:val="24"/>
          <w:szCs w:val="24"/>
          <w:shd w:val="clear" w:color="auto" w:fill="FFFFFF"/>
          <w:lang w:eastAsia="zh-CN"/>
        </w:rPr>
        <w:t>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Business Horizons</w:t>
      </w:r>
      <w:r>
        <w:rPr>
          <w:rFonts w:ascii="Times New Roman" w:hAnsi="Times New Roman" w:cs="Times New Roman"/>
          <w:sz w:val="24"/>
          <w:szCs w:val="24"/>
          <w:shd w:val="clear" w:color="auto" w:fill="FFFFFF"/>
        </w:rPr>
        <w:t>, </w:t>
      </w:r>
      <w:r>
        <w:rPr>
          <w:rFonts w:ascii="Times New Roman" w:hAnsi="Times New Roman" w:cs="Times New Roman"/>
          <w:iCs/>
          <w:sz w:val="24"/>
          <w:szCs w:val="24"/>
          <w:shd w:val="clear" w:color="auto" w:fill="FFFFFF"/>
        </w:rPr>
        <w:t>61</w:t>
      </w:r>
      <w:r>
        <w:rPr>
          <w:rFonts w:ascii="Times New Roman" w:hAnsi="Times New Roman" w:cs="Times New Roman"/>
          <w:sz w:val="24"/>
          <w:szCs w:val="24"/>
          <w:shd w:val="clear" w:color="auto" w:fill="FFFFFF"/>
        </w:rPr>
        <w:t xml:space="preserve">(5), </w:t>
      </w:r>
      <w:r>
        <w:rPr>
          <w:rFonts w:hint="eastAsia" w:ascii="Times New Roman" w:hAnsi="Times New Roman" w:cs="Times New Roman"/>
          <w:sz w:val="24"/>
          <w:szCs w:val="24"/>
          <w:shd w:val="clear" w:color="auto" w:fill="FFFFFF"/>
          <w:lang w:eastAsia="zh-CN"/>
        </w:rPr>
        <w:t>pp</w:t>
      </w:r>
      <w:r>
        <w:rPr>
          <w:rFonts w:ascii="Times New Roman" w:hAnsi="Times New Roman" w:cs="Times New Roman"/>
          <w:sz w:val="24"/>
          <w:szCs w:val="24"/>
          <w:shd w:val="clear" w:color="auto" w:fill="FFFFFF"/>
          <w:lang w:eastAsia="zh-CN"/>
        </w:rPr>
        <w:t xml:space="preserve">. </w:t>
      </w:r>
      <w:r>
        <w:rPr>
          <w:rFonts w:ascii="Times New Roman" w:hAnsi="Times New Roman" w:cs="Times New Roman"/>
          <w:sz w:val="24"/>
          <w:szCs w:val="24"/>
          <w:shd w:val="clear" w:color="auto" w:fill="FFFFFF"/>
        </w:rPr>
        <w:t xml:space="preserve">783-796. </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Gaivoronskaya, T. V., </w:t>
      </w:r>
      <w:r>
        <w:rPr>
          <w:rFonts w:hint="eastAsia" w:ascii="Times New Roman" w:hAnsi="Times New Roman" w:cs="Times New Roman"/>
          <w:sz w:val="24"/>
          <w:szCs w:val="24"/>
          <w:shd w:val="clear" w:color="auto" w:fill="FFFFFF"/>
          <w:lang w:eastAsia="zh-CN"/>
        </w:rPr>
        <w:t>et</w:t>
      </w:r>
      <w:r>
        <w:rPr>
          <w:rFonts w:ascii="Times New Roman" w:hAnsi="Times New Roman" w:cs="Times New Roman"/>
          <w:sz w:val="24"/>
          <w:szCs w:val="24"/>
          <w:shd w:val="clear" w:color="auto" w:fill="FFFFFF"/>
          <w:lang w:eastAsia="zh-CN"/>
        </w:rPr>
        <w:t xml:space="preserve"> </w:t>
      </w:r>
      <w:r>
        <w:rPr>
          <w:rFonts w:hint="eastAsia" w:ascii="Times New Roman" w:hAnsi="Times New Roman" w:cs="Times New Roman"/>
          <w:sz w:val="24"/>
          <w:szCs w:val="24"/>
          <w:shd w:val="clear" w:color="auto" w:fill="FFFFFF"/>
          <w:lang w:eastAsia="zh-CN"/>
        </w:rPr>
        <w:t>al</w:t>
      </w:r>
      <w:r>
        <w:rPr>
          <w:rFonts w:ascii="Times New Roman" w:hAnsi="Times New Roman" w:cs="Times New Roman"/>
          <w:sz w:val="24"/>
          <w:szCs w:val="24"/>
          <w:shd w:val="clear" w:color="auto" w:fill="FFFFFF"/>
          <w:lang w:eastAsia="zh-CN"/>
        </w:rPr>
        <w:t>.</w:t>
      </w:r>
      <w:r>
        <w:rPr>
          <w:rFonts w:ascii="Times New Roman" w:hAnsi="Times New Roman" w:cs="Times New Roman"/>
          <w:sz w:val="24"/>
          <w:szCs w:val="24"/>
          <w:shd w:val="clear" w:color="auto" w:fill="FFFFFF"/>
        </w:rPr>
        <w:t xml:space="preserve"> (2021) </w:t>
      </w:r>
      <w:r>
        <w:rPr>
          <w:rFonts w:ascii="Times New Roman" w:hAnsi="Times New Roman" w:cs="Times New Roman"/>
          <w:i/>
          <w:sz w:val="24"/>
          <w:szCs w:val="24"/>
          <w:shd w:val="clear" w:color="auto" w:fill="FFFFFF"/>
        </w:rPr>
        <w:t>Force Field Analysis and K. Lewin’s Change Model as leverages of “Lean University” principles in student environment</w:t>
      </w:r>
      <w:r>
        <w:rPr>
          <w:rFonts w:ascii="Times New Roman" w:hAnsi="Times New Roman" w:cs="Times New Roman"/>
          <w:sz w:val="24"/>
          <w:szCs w:val="24"/>
          <w:shd w:val="clear" w:color="auto" w:fill="FFFFFF"/>
        </w:rPr>
        <w:t xml:space="preserve">, </w:t>
      </w:r>
      <w:r>
        <w:rPr>
          <w:rFonts w:hint="eastAsia" w:ascii="Times New Roman" w:hAnsi="Times New Roman" w:cs="Times New Roman"/>
          <w:sz w:val="24"/>
          <w:szCs w:val="24"/>
          <w:shd w:val="clear" w:color="auto" w:fill="FFFFFF"/>
          <w:lang w:eastAsia="zh-CN"/>
        </w:rPr>
        <w:t>in</w:t>
      </w:r>
      <w:r>
        <w:rPr>
          <w:rFonts w:ascii="Times New Roman" w:hAnsi="Times New Roman" w:cs="Times New Roman"/>
          <w:sz w:val="24"/>
          <w:szCs w:val="24"/>
          <w:shd w:val="clear" w:color="auto" w:fill="FFFFFF"/>
        </w:rPr>
        <w:t xml:space="preserve"> Kuban Scientific Medical Bulletin, 28(1), </w:t>
      </w:r>
      <w:r>
        <w:rPr>
          <w:rFonts w:hint="eastAsia" w:ascii="Times New Roman" w:hAnsi="Times New Roman" w:cs="Times New Roman"/>
          <w:sz w:val="24"/>
          <w:szCs w:val="24"/>
          <w:shd w:val="clear" w:color="auto" w:fill="FFFFFF"/>
          <w:lang w:eastAsia="zh-CN"/>
        </w:rPr>
        <w:t>pp</w:t>
      </w:r>
      <w:r>
        <w:rPr>
          <w:rFonts w:ascii="Times New Roman" w:hAnsi="Times New Roman" w:cs="Times New Roman"/>
          <w:sz w:val="24"/>
          <w:szCs w:val="24"/>
          <w:shd w:val="clear" w:color="auto" w:fill="FFFFFF"/>
          <w:lang w:eastAsia="zh-CN"/>
        </w:rPr>
        <w:t xml:space="preserve">. </w:t>
      </w:r>
      <w:r>
        <w:rPr>
          <w:rFonts w:ascii="Times New Roman" w:hAnsi="Times New Roman" w:cs="Times New Roman"/>
          <w:sz w:val="24"/>
          <w:szCs w:val="24"/>
          <w:shd w:val="clear" w:color="auto" w:fill="FFFFFF"/>
        </w:rPr>
        <w:t>152-165.</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Georgiades, S., </w:t>
      </w:r>
      <w:r>
        <w:rPr>
          <w:rFonts w:hint="eastAsia" w:ascii="Times New Roman" w:hAnsi="Times New Roman" w:cs="Times New Roman"/>
          <w:sz w:val="24"/>
          <w:szCs w:val="24"/>
          <w:shd w:val="clear" w:color="auto" w:fill="FFFFFF"/>
          <w:lang w:eastAsia="zh-CN"/>
        </w:rPr>
        <w:t>and</w:t>
      </w:r>
      <w:r>
        <w:rPr>
          <w:rFonts w:ascii="Times New Roman" w:hAnsi="Times New Roman" w:cs="Times New Roman"/>
          <w:sz w:val="24"/>
          <w:szCs w:val="24"/>
          <w:shd w:val="clear" w:color="auto" w:fill="FFFFFF"/>
        </w:rPr>
        <w:t xml:space="preserve"> Georgiades, S. (2015) </w:t>
      </w:r>
      <w:r>
        <w:rPr>
          <w:rFonts w:ascii="Times New Roman" w:hAnsi="Times New Roman" w:cs="Times New Roman"/>
          <w:i/>
          <w:sz w:val="24"/>
          <w:szCs w:val="24"/>
          <w:shd w:val="clear" w:color="auto" w:fill="FFFFFF"/>
        </w:rPr>
        <w:t>Employee engagement and organizational change</w:t>
      </w:r>
      <w:r>
        <w:rPr>
          <w:rFonts w:ascii="Times New Roman" w:hAnsi="Times New Roman" w:cs="Times New Roman"/>
          <w:sz w:val="24"/>
          <w:szCs w:val="24"/>
          <w:shd w:val="clear" w:color="auto" w:fill="FFFFFF"/>
        </w:rPr>
        <w:t xml:space="preserve">, </w:t>
      </w:r>
      <w:r>
        <w:rPr>
          <w:rFonts w:hint="eastAsia" w:ascii="Times New Roman" w:hAnsi="Times New Roman" w:cs="Times New Roman"/>
          <w:sz w:val="24"/>
          <w:szCs w:val="24"/>
          <w:shd w:val="clear" w:color="auto" w:fill="FFFFFF"/>
          <w:lang w:eastAsia="zh-CN"/>
        </w:rPr>
        <w:t>in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Employee Engagement in Media Management: Creativeness and Organizational Development</w:t>
      </w:r>
      <w:r>
        <w:rPr>
          <w:rFonts w:ascii="Times New Roman" w:hAnsi="Times New Roman" w:cs="Times New Roman"/>
          <w:sz w:val="24"/>
          <w:szCs w:val="24"/>
          <w:shd w:val="clear" w:color="auto" w:fill="FFFFFF"/>
        </w:rPr>
        <w:t xml:space="preserve">, </w:t>
      </w:r>
      <w:r>
        <w:rPr>
          <w:rFonts w:hint="eastAsia" w:ascii="Times New Roman" w:hAnsi="Times New Roman" w:cs="Times New Roman"/>
          <w:sz w:val="24"/>
          <w:szCs w:val="24"/>
          <w:shd w:val="clear" w:color="auto" w:fill="FFFFFF"/>
          <w:lang w:eastAsia="zh-CN"/>
        </w:rPr>
        <w:t>pp</w:t>
      </w:r>
      <w:r>
        <w:rPr>
          <w:rFonts w:ascii="Times New Roman" w:hAnsi="Times New Roman" w:cs="Times New Roman"/>
          <w:sz w:val="24"/>
          <w:szCs w:val="24"/>
          <w:shd w:val="clear" w:color="auto" w:fill="FFFFFF"/>
          <w:lang w:eastAsia="zh-CN"/>
        </w:rPr>
        <w:t xml:space="preserve">. </w:t>
      </w:r>
      <w:r>
        <w:rPr>
          <w:rFonts w:ascii="Times New Roman" w:hAnsi="Times New Roman" w:cs="Times New Roman"/>
          <w:sz w:val="24"/>
          <w:szCs w:val="24"/>
          <w:shd w:val="clear" w:color="auto" w:fill="FFFFFF"/>
        </w:rPr>
        <w:t>9-37.</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Gorjian Khanzad, Z., and Gooyabadi, A. A. (2021) </w:t>
      </w:r>
      <w:r>
        <w:rPr>
          <w:rFonts w:ascii="Times New Roman" w:hAnsi="Times New Roman" w:cs="Times New Roman"/>
          <w:i/>
          <w:sz w:val="24"/>
          <w:szCs w:val="24"/>
          <w:shd w:val="clear" w:color="auto" w:fill="FFFFFF"/>
        </w:rPr>
        <w:t>Development of strategic resilience framework for small businesses post-COVID-19</w:t>
      </w:r>
      <w:r>
        <w:rPr>
          <w:rFonts w:ascii="Times New Roman" w:hAnsi="Times New Roman" w:cs="Times New Roman"/>
          <w:sz w:val="24"/>
          <w:szCs w:val="24"/>
          <w:shd w:val="clear" w:color="auto" w:fill="FFFFFF"/>
        </w:rPr>
        <w:t xml:space="preserve">, </w:t>
      </w:r>
      <w:r>
        <w:rPr>
          <w:rFonts w:hint="eastAsia" w:ascii="Times New Roman" w:hAnsi="Times New Roman" w:cs="Times New Roman"/>
          <w:sz w:val="24"/>
          <w:szCs w:val="24"/>
          <w:shd w:val="clear" w:color="auto" w:fill="FFFFFF"/>
          <w:lang w:eastAsia="zh-CN"/>
        </w:rPr>
        <w:t>in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Businesses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w:t>
      </w:r>
      <w:r>
        <w:rPr>
          <w:rFonts w:ascii="Times New Roman" w:hAnsi="Times New Roman" w:cs="Times New Roman"/>
          <w:sz w:val="24"/>
          <w:szCs w:val="24"/>
          <w:shd w:val="clear" w:color="auto" w:fill="FFFFFF"/>
        </w:rPr>
        <w:t xml:space="preserve">(3), </w:t>
      </w:r>
      <w:r>
        <w:rPr>
          <w:rFonts w:hint="eastAsia" w:ascii="Times New Roman" w:hAnsi="Times New Roman" w:cs="Times New Roman"/>
          <w:sz w:val="24"/>
          <w:szCs w:val="24"/>
          <w:shd w:val="clear" w:color="auto" w:fill="FFFFFF"/>
          <w:lang w:eastAsia="zh-CN"/>
        </w:rPr>
        <w:t>pp</w:t>
      </w:r>
      <w:r>
        <w:rPr>
          <w:rFonts w:ascii="Times New Roman" w:hAnsi="Times New Roman" w:cs="Times New Roman"/>
          <w:sz w:val="24"/>
          <w:szCs w:val="24"/>
          <w:shd w:val="clear" w:color="auto" w:fill="FFFFFF"/>
          <w:lang w:eastAsia="zh-CN"/>
        </w:rPr>
        <w:t xml:space="preserve">. </w:t>
      </w:r>
      <w:r>
        <w:rPr>
          <w:rFonts w:ascii="Times New Roman" w:hAnsi="Times New Roman" w:cs="Times New Roman"/>
          <w:sz w:val="24"/>
          <w:szCs w:val="24"/>
          <w:shd w:val="clear" w:color="auto" w:fill="FFFFFF"/>
        </w:rPr>
        <w:t>127-141.</w:t>
      </w:r>
    </w:p>
    <w:p>
      <w:pPr>
        <w:spacing w:line="480" w:lineRule="auto"/>
        <w:ind w:left="993" w:hanging="993"/>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Hartmann, P.M., Zaki, M., Feldmann, N. and Neely, A. (2016) </w:t>
      </w:r>
      <w:r>
        <w:rPr>
          <w:rFonts w:ascii="Times New Roman" w:hAnsi="Times New Roman" w:cs="Times New Roman"/>
          <w:i/>
          <w:sz w:val="24"/>
          <w:szCs w:val="24"/>
          <w:shd w:val="clear" w:color="auto" w:fill="FFFFFF"/>
        </w:rPr>
        <w:t>Capturing value from big data – a taxonomy of data-driven business models used by start-up firms</w:t>
      </w:r>
      <w:r>
        <w:rPr>
          <w:rFonts w:ascii="Times New Roman" w:hAnsi="Times New Roman" w:cs="Times New Roman"/>
          <w:sz w:val="24"/>
          <w:szCs w:val="24"/>
          <w:shd w:val="clear" w:color="auto" w:fill="FFFFFF"/>
        </w:rPr>
        <w:t xml:space="preserve">, in </w:t>
      </w:r>
      <w:r>
        <w:rPr>
          <w:rFonts w:ascii="Times New Roman" w:hAnsi="Times New Roman" w:cs="Times New Roman"/>
          <w:i/>
          <w:iCs/>
          <w:sz w:val="24"/>
          <w:szCs w:val="24"/>
          <w:shd w:val="clear" w:color="auto" w:fill="FFFFFF"/>
        </w:rPr>
        <w:t>International Journal of Operations &amp; Production Management</w:t>
      </w:r>
      <w:r>
        <w:rPr>
          <w:rFonts w:ascii="Times New Roman" w:hAnsi="Times New Roman" w:cs="Times New Roman"/>
          <w:sz w:val="24"/>
          <w:szCs w:val="24"/>
          <w:shd w:val="clear" w:color="auto" w:fill="FFFFFF"/>
        </w:rPr>
        <w:t>, 36(10), pp. 1382-1406. </w:t>
      </w:r>
      <w:r>
        <w:fldChar w:fldCharType="begin"/>
      </w:r>
      <w:r>
        <w:instrText xml:space="preserve"> HYPERLINK "https://doi.org/10.1108/IJOPM-02-2014-0098" \o "DOI: https://doi.org/10.1108/IJOPM-02-2014-0098" </w:instrText>
      </w:r>
      <w:r>
        <w:fldChar w:fldCharType="separate"/>
      </w:r>
      <w:r>
        <w:rPr>
          <w:rStyle w:val="11"/>
          <w:rFonts w:ascii="Times New Roman" w:hAnsi="Times New Roman" w:cs="Times New Roman"/>
          <w:color w:val="auto"/>
          <w:sz w:val="24"/>
          <w:szCs w:val="24"/>
          <w:shd w:val="clear" w:color="auto" w:fill="FFFFFF"/>
        </w:rPr>
        <w:t>https://doi.org/10.1108/IJOPM-02-2014-0098</w:t>
      </w:r>
      <w:r>
        <w:rPr>
          <w:rStyle w:val="11"/>
          <w:rFonts w:ascii="Times New Roman" w:hAnsi="Times New Roman" w:cs="Times New Roman"/>
          <w:color w:val="auto"/>
          <w:sz w:val="24"/>
          <w:szCs w:val="24"/>
          <w:shd w:val="clear" w:color="auto" w:fill="FFFFFF"/>
        </w:rPr>
        <w:fldChar w:fldCharType="end"/>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Islam, M. N., Furuoka, F., and  Idris, A. (2020). </w:t>
      </w:r>
      <w:r>
        <w:rPr>
          <w:rFonts w:ascii="Times New Roman" w:hAnsi="Times New Roman" w:cs="Times New Roman"/>
          <w:i/>
          <w:sz w:val="24"/>
          <w:szCs w:val="24"/>
          <w:shd w:val="clear" w:color="auto" w:fill="FFFFFF"/>
        </w:rPr>
        <w:t>Employee championing behavior in the context of organizational change: a proposed framework for the business organizations in Bangladesh</w:t>
      </w:r>
      <w:r>
        <w:rPr>
          <w:rFonts w:ascii="Times New Roman" w:hAnsi="Times New Roman" w:cs="Times New Roman"/>
          <w:sz w:val="24"/>
          <w:szCs w:val="24"/>
          <w:shd w:val="clear" w:color="auto" w:fill="FFFFFF"/>
        </w:rPr>
        <w:t xml:space="preserve">, in Journal of Asia Business Studies, 14(5), pp. 735-757. </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Kalogiannidis, S. (2020). </w:t>
      </w:r>
      <w:r>
        <w:rPr>
          <w:rFonts w:ascii="Times New Roman" w:hAnsi="Times New Roman" w:cs="Times New Roman"/>
          <w:i/>
          <w:sz w:val="24"/>
          <w:szCs w:val="24"/>
          <w:shd w:val="clear" w:color="auto" w:fill="FFFFFF"/>
        </w:rPr>
        <w:t>Covid impact on small business</w:t>
      </w:r>
      <w:r>
        <w:rPr>
          <w:rFonts w:ascii="Times New Roman" w:hAnsi="Times New Roman" w:cs="Times New Roman"/>
          <w:sz w:val="24"/>
          <w:szCs w:val="24"/>
          <w:shd w:val="clear" w:color="auto" w:fill="FFFFFF"/>
        </w:rPr>
        <w:t>, in </w:t>
      </w:r>
      <w:r>
        <w:rPr>
          <w:rFonts w:ascii="Times New Roman" w:hAnsi="Times New Roman" w:cs="Times New Roman"/>
          <w:i/>
          <w:iCs/>
          <w:sz w:val="24"/>
          <w:szCs w:val="24"/>
          <w:shd w:val="clear" w:color="auto" w:fill="FFFFFF"/>
        </w:rPr>
        <w:t>International Journal of Social Science and Economics Invention</w:t>
      </w:r>
      <w:r>
        <w:rPr>
          <w:rFonts w:ascii="Times New Roman" w:hAnsi="Times New Roman" w:cs="Times New Roman"/>
          <w:sz w:val="24"/>
          <w:szCs w:val="24"/>
          <w:shd w:val="clear" w:color="auto" w:fill="FFFFFF"/>
        </w:rPr>
        <w:t>, </w:t>
      </w:r>
      <w:r>
        <w:rPr>
          <w:rFonts w:ascii="Times New Roman" w:hAnsi="Times New Roman" w:cs="Times New Roman"/>
          <w:iCs/>
          <w:sz w:val="24"/>
          <w:szCs w:val="24"/>
          <w:shd w:val="clear" w:color="auto" w:fill="FFFFFF"/>
        </w:rPr>
        <w:t>6</w:t>
      </w:r>
      <w:r>
        <w:rPr>
          <w:rFonts w:ascii="Times New Roman" w:hAnsi="Times New Roman" w:cs="Times New Roman"/>
          <w:sz w:val="24"/>
          <w:szCs w:val="24"/>
          <w:shd w:val="clear" w:color="auto" w:fill="FFFFFF"/>
        </w:rPr>
        <w:t xml:space="preserve">(12), p. 387. </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Katsaros, K. K., Tsirikas, A. N., and Kosta, G. C. (2020) </w:t>
      </w:r>
      <w:r>
        <w:rPr>
          <w:rFonts w:ascii="Times New Roman" w:hAnsi="Times New Roman" w:cs="Times New Roman"/>
          <w:i/>
          <w:sz w:val="24"/>
          <w:szCs w:val="24"/>
          <w:shd w:val="clear" w:color="auto" w:fill="FFFFFF"/>
        </w:rPr>
        <w:t>The impact of leadership on firm financial performance: the mediating role of employees' readiness to change</w:t>
      </w:r>
      <w:r>
        <w:rPr>
          <w:rFonts w:ascii="Times New Roman" w:hAnsi="Times New Roman" w:cs="Times New Roman"/>
          <w:sz w:val="24"/>
          <w:szCs w:val="24"/>
          <w:shd w:val="clear" w:color="auto" w:fill="FFFFFF"/>
        </w:rPr>
        <w:t>, i</w:t>
      </w:r>
      <w:r>
        <w:rPr>
          <w:rFonts w:hint="eastAsia" w:ascii="Times New Roman" w:hAnsi="Times New Roman" w:cs="Times New Roman"/>
          <w:sz w:val="24"/>
          <w:szCs w:val="24"/>
          <w:shd w:val="clear" w:color="auto" w:fill="FFFFFF"/>
          <w:lang w:eastAsia="zh-CN"/>
        </w:rPr>
        <w:t>n</w:t>
      </w:r>
      <w:r>
        <w:rPr>
          <w:rFonts w:ascii="Times New Roman" w:hAnsi="Times New Roman" w:cs="Times New Roman"/>
          <w:sz w:val="24"/>
          <w:szCs w:val="24"/>
          <w:shd w:val="clear" w:color="auto" w:fill="FFFFFF"/>
        </w:rPr>
        <w:t xml:space="preserve"> </w:t>
      </w:r>
      <w:r>
        <w:rPr>
          <w:rFonts w:ascii="Times New Roman" w:hAnsi="Times New Roman" w:cs="Times New Roman"/>
          <w:i/>
          <w:sz w:val="24"/>
          <w:szCs w:val="24"/>
          <w:shd w:val="clear" w:color="auto" w:fill="FFFFFF"/>
        </w:rPr>
        <w:t>Leadership &amp; Organization Development Journal</w:t>
      </w:r>
      <w:r>
        <w:rPr>
          <w:rFonts w:ascii="Times New Roman" w:hAnsi="Times New Roman" w:cs="Times New Roman"/>
          <w:sz w:val="24"/>
          <w:szCs w:val="24"/>
          <w:shd w:val="clear" w:color="auto" w:fill="FFFFFF"/>
        </w:rPr>
        <w:t xml:space="preserve">, 41(3), </w:t>
      </w:r>
      <w:r>
        <w:rPr>
          <w:rFonts w:hint="eastAsia" w:ascii="Times New Roman" w:hAnsi="Times New Roman" w:cs="Times New Roman"/>
          <w:sz w:val="24"/>
          <w:szCs w:val="24"/>
          <w:shd w:val="clear" w:color="auto" w:fill="FFFFFF"/>
          <w:lang w:eastAsia="zh-CN"/>
        </w:rPr>
        <w:t>pp</w:t>
      </w:r>
      <w:r>
        <w:rPr>
          <w:rFonts w:ascii="Times New Roman" w:hAnsi="Times New Roman" w:cs="Times New Roman"/>
          <w:sz w:val="24"/>
          <w:szCs w:val="24"/>
          <w:shd w:val="clear" w:color="auto" w:fill="FFFFFF"/>
          <w:lang w:eastAsia="zh-CN"/>
        </w:rPr>
        <w:t xml:space="preserve">. </w:t>
      </w:r>
      <w:r>
        <w:rPr>
          <w:rFonts w:ascii="Times New Roman" w:hAnsi="Times New Roman" w:cs="Times New Roman"/>
          <w:sz w:val="24"/>
          <w:szCs w:val="24"/>
          <w:shd w:val="clear" w:color="auto" w:fill="FFFFFF"/>
        </w:rPr>
        <w:t>333-347.</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Klein, V. B., </w:t>
      </w:r>
      <w:r>
        <w:rPr>
          <w:rFonts w:hint="eastAsia" w:ascii="Times New Roman" w:hAnsi="Times New Roman" w:cs="Times New Roman"/>
          <w:sz w:val="24"/>
          <w:szCs w:val="24"/>
          <w:shd w:val="clear" w:color="auto" w:fill="FFFFFF"/>
          <w:lang w:eastAsia="zh-CN"/>
        </w:rPr>
        <w:t>and</w:t>
      </w:r>
      <w:r>
        <w:rPr>
          <w:rFonts w:ascii="Times New Roman" w:hAnsi="Times New Roman" w:cs="Times New Roman"/>
          <w:sz w:val="24"/>
          <w:szCs w:val="24"/>
          <w:shd w:val="clear" w:color="auto" w:fill="FFFFFF"/>
        </w:rPr>
        <w:t xml:space="preserve"> Todesco, J. L. (2021) </w:t>
      </w:r>
      <w:r>
        <w:rPr>
          <w:rFonts w:ascii="Times New Roman" w:hAnsi="Times New Roman" w:cs="Times New Roman"/>
          <w:i/>
          <w:sz w:val="24"/>
          <w:szCs w:val="24"/>
          <w:shd w:val="clear" w:color="auto" w:fill="FFFFFF"/>
        </w:rPr>
        <w:t>COVID‐19 crisis and SMEs responses: The role of digital transformation</w:t>
      </w:r>
      <w:r>
        <w:rPr>
          <w:rFonts w:ascii="Times New Roman" w:hAnsi="Times New Roman" w:cs="Times New Roman"/>
          <w:sz w:val="24"/>
          <w:szCs w:val="24"/>
          <w:shd w:val="clear" w:color="auto" w:fill="FFFFFF"/>
        </w:rPr>
        <w:t xml:space="preserve">, </w:t>
      </w:r>
      <w:r>
        <w:rPr>
          <w:rFonts w:hint="eastAsia" w:ascii="Times New Roman" w:hAnsi="Times New Roman" w:cs="Times New Roman"/>
          <w:sz w:val="24"/>
          <w:szCs w:val="24"/>
          <w:shd w:val="clear" w:color="auto" w:fill="FFFFFF"/>
          <w:lang w:eastAsia="zh-CN"/>
        </w:rPr>
        <w:t>in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Knowledge and Process Management</w:t>
      </w:r>
      <w:r>
        <w:rPr>
          <w:rFonts w:ascii="Times New Roman" w:hAnsi="Times New Roman" w:cs="Times New Roman"/>
          <w:sz w:val="24"/>
          <w:szCs w:val="24"/>
          <w:shd w:val="clear" w:color="auto" w:fill="FFFFFF"/>
        </w:rPr>
        <w:t>, </w:t>
      </w:r>
      <w:r>
        <w:rPr>
          <w:rFonts w:ascii="Times New Roman" w:hAnsi="Times New Roman" w:cs="Times New Roman"/>
          <w:iCs/>
          <w:sz w:val="24"/>
          <w:szCs w:val="24"/>
          <w:shd w:val="clear" w:color="auto" w:fill="FFFFFF"/>
        </w:rPr>
        <w:t>28</w:t>
      </w:r>
      <w:r>
        <w:rPr>
          <w:rFonts w:ascii="Times New Roman" w:hAnsi="Times New Roman" w:cs="Times New Roman"/>
          <w:sz w:val="24"/>
          <w:szCs w:val="24"/>
          <w:shd w:val="clear" w:color="auto" w:fill="FFFFFF"/>
        </w:rPr>
        <w:t xml:space="preserve">(2), </w:t>
      </w:r>
      <w:r>
        <w:rPr>
          <w:rFonts w:hint="eastAsia" w:ascii="Times New Roman" w:hAnsi="Times New Roman" w:cs="Times New Roman"/>
          <w:sz w:val="24"/>
          <w:szCs w:val="24"/>
          <w:shd w:val="clear" w:color="auto" w:fill="FFFFFF"/>
          <w:lang w:eastAsia="zh-CN"/>
        </w:rPr>
        <w:t>pp</w:t>
      </w:r>
      <w:r>
        <w:rPr>
          <w:rFonts w:ascii="Times New Roman" w:hAnsi="Times New Roman" w:cs="Times New Roman"/>
          <w:sz w:val="24"/>
          <w:szCs w:val="24"/>
          <w:shd w:val="clear" w:color="auto" w:fill="FFFFFF"/>
          <w:lang w:eastAsia="zh-CN"/>
        </w:rPr>
        <w:t xml:space="preserve">. </w:t>
      </w:r>
      <w:r>
        <w:rPr>
          <w:rFonts w:ascii="Times New Roman" w:hAnsi="Times New Roman" w:cs="Times New Roman"/>
          <w:sz w:val="24"/>
          <w:szCs w:val="24"/>
          <w:shd w:val="clear" w:color="auto" w:fill="FFFFFF"/>
        </w:rPr>
        <w:t>117-133.</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Koirala, S. (2019) </w:t>
      </w:r>
      <w:r>
        <w:rPr>
          <w:rFonts w:ascii="Times New Roman" w:hAnsi="Times New Roman" w:cs="Times New Roman"/>
          <w:i/>
          <w:sz w:val="24"/>
          <w:szCs w:val="24"/>
          <w:shd w:val="clear" w:color="auto" w:fill="FFFFFF"/>
        </w:rPr>
        <w:t>SMEs: Key drivers of green and inclusive growth</w:t>
      </w:r>
      <w:r>
        <w:rPr>
          <w:rFonts w:ascii="Times New Roman" w:hAnsi="Times New Roman" w:cs="Times New Roman"/>
          <w:sz w:val="24"/>
          <w:szCs w:val="24"/>
          <w:shd w:val="clear" w:color="auto" w:fill="FFFFFF"/>
        </w:rPr>
        <w:t xml:space="preserve">. </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Lauer, T. (2020) </w:t>
      </w:r>
      <w:r>
        <w:rPr>
          <w:rFonts w:ascii="Times New Roman" w:hAnsi="Times New Roman" w:cs="Times New Roman"/>
          <w:i/>
          <w:sz w:val="24"/>
          <w:szCs w:val="24"/>
          <w:shd w:val="clear" w:color="auto" w:fill="FFFFFF"/>
        </w:rPr>
        <w:t>Change management: fundamentals and success factors</w:t>
      </w:r>
      <w:r>
        <w:rPr>
          <w:rFonts w:ascii="Times New Roman" w:hAnsi="Times New Roman" w:cs="Times New Roman"/>
          <w:sz w:val="24"/>
          <w:szCs w:val="24"/>
          <w:shd w:val="clear" w:color="auto" w:fill="FFFFFF"/>
        </w:rPr>
        <w:t>. Springer Nature.</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Lerra, M. D. (2021) </w:t>
      </w:r>
      <w:r>
        <w:rPr>
          <w:rFonts w:ascii="Times New Roman" w:hAnsi="Times New Roman" w:cs="Times New Roman"/>
          <w:i/>
          <w:sz w:val="24"/>
          <w:szCs w:val="24"/>
          <w:shd w:val="clear" w:color="auto" w:fill="FFFFFF"/>
        </w:rPr>
        <w:t>The Influence of Educational Leadership in Successful Change Management in Education Office of Wolaita Zone</w:t>
      </w:r>
      <w:r>
        <w:rPr>
          <w:rFonts w:ascii="Times New Roman" w:hAnsi="Times New Roman" w:cs="Times New Roman"/>
          <w:sz w:val="24"/>
          <w:szCs w:val="24"/>
          <w:shd w:val="clear" w:color="auto" w:fill="FFFFFF"/>
        </w:rPr>
        <w:t xml:space="preserve">, in </w:t>
      </w:r>
      <w:r>
        <w:rPr>
          <w:rFonts w:ascii="Times New Roman" w:hAnsi="Times New Roman" w:cs="Times New Roman"/>
          <w:i/>
          <w:sz w:val="24"/>
          <w:szCs w:val="24"/>
          <w:shd w:val="clear" w:color="auto" w:fill="FFFFFF"/>
        </w:rPr>
        <w:t>Turkish Journal of Computer and Mathematics Education (TURCOMAT)</w:t>
      </w:r>
      <w:r>
        <w:rPr>
          <w:rFonts w:ascii="Times New Roman" w:hAnsi="Times New Roman" w:cs="Times New Roman"/>
          <w:sz w:val="24"/>
          <w:szCs w:val="24"/>
          <w:shd w:val="clear" w:color="auto" w:fill="FFFFFF"/>
        </w:rPr>
        <w:t xml:space="preserve">, 12(10), pp. 7246-7257. </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Li, N., Sakamoto, Y., Li, N., and Sakamoto, Y. (2020) </w:t>
      </w:r>
      <w:r>
        <w:rPr>
          <w:rFonts w:ascii="Times New Roman" w:hAnsi="Times New Roman" w:cs="Times New Roman"/>
          <w:i/>
          <w:sz w:val="24"/>
          <w:szCs w:val="24"/>
          <w:shd w:val="clear" w:color="auto" w:fill="FFFFFF"/>
        </w:rPr>
        <w:t>Trends in specialty coffee</w:t>
      </w:r>
      <w:r>
        <w:rPr>
          <w:rFonts w:ascii="Times New Roman" w:hAnsi="Times New Roman" w:cs="Times New Roman"/>
          <w:sz w:val="24"/>
          <w:szCs w:val="24"/>
          <w:shd w:val="clear" w:color="auto" w:fill="FFFFFF"/>
        </w:rPr>
        <w:t xml:space="preserve">, in </w:t>
      </w:r>
      <w:r>
        <w:rPr>
          <w:rFonts w:ascii="Times New Roman" w:hAnsi="Times New Roman" w:cs="Times New Roman"/>
          <w:i/>
          <w:sz w:val="24"/>
          <w:szCs w:val="24"/>
          <w:shd w:val="clear" w:color="auto" w:fill="FFFFFF"/>
        </w:rPr>
        <w:t>Quality Determinants In Coffee Production</w:t>
      </w:r>
      <w:r>
        <w:rPr>
          <w:rFonts w:ascii="Times New Roman" w:hAnsi="Times New Roman" w:cs="Times New Roman"/>
          <w:sz w:val="24"/>
          <w:szCs w:val="24"/>
          <w:shd w:val="clear" w:color="auto" w:fill="FFFFFF"/>
        </w:rPr>
        <w:t xml:space="preserve">. pp. 407-443. Cham: Springer International Publishing. </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Men, L. R., Yue, C. A., and Liu, Y. (2020) “</w:t>
      </w:r>
      <w:r>
        <w:rPr>
          <w:rFonts w:ascii="Times New Roman" w:hAnsi="Times New Roman" w:cs="Times New Roman"/>
          <w:i/>
          <w:sz w:val="24"/>
          <w:szCs w:val="24"/>
          <w:shd w:val="clear" w:color="auto" w:fill="FFFFFF"/>
        </w:rPr>
        <w:t>Vision, passion, and care:” The impact of charismatic executive leadership communication on employee trust and support for organizational change</w:t>
      </w:r>
      <w:r>
        <w:rPr>
          <w:rFonts w:ascii="Times New Roman" w:hAnsi="Times New Roman" w:cs="Times New Roman"/>
          <w:sz w:val="24"/>
          <w:szCs w:val="24"/>
          <w:shd w:val="clear" w:color="auto" w:fill="FFFFFF"/>
        </w:rPr>
        <w:t>, in </w:t>
      </w:r>
      <w:r>
        <w:rPr>
          <w:rFonts w:ascii="Times New Roman" w:hAnsi="Times New Roman" w:cs="Times New Roman"/>
          <w:i/>
          <w:iCs/>
          <w:sz w:val="24"/>
          <w:szCs w:val="24"/>
          <w:shd w:val="clear" w:color="auto" w:fill="FFFFFF"/>
        </w:rPr>
        <w:t>Public Relations Review</w:t>
      </w:r>
      <w:r>
        <w:rPr>
          <w:rFonts w:ascii="Times New Roman" w:hAnsi="Times New Roman" w:cs="Times New Roman"/>
          <w:sz w:val="24"/>
          <w:szCs w:val="24"/>
          <w:shd w:val="clear" w:color="auto" w:fill="FFFFFF"/>
        </w:rPr>
        <w:t>, </w:t>
      </w:r>
      <w:r>
        <w:rPr>
          <w:rFonts w:ascii="Times New Roman" w:hAnsi="Times New Roman" w:cs="Times New Roman"/>
          <w:iCs/>
          <w:sz w:val="24"/>
          <w:szCs w:val="24"/>
          <w:shd w:val="clear" w:color="auto" w:fill="FFFFFF"/>
        </w:rPr>
        <w:t>46</w:t>
      </w:r>
      <w:r>
        <w:rPr>
          <w:rFonts w:ascii="Times New Roman" w:hAnsi="Times New Roman" w:cs="Times New Roman"/>
          <w:sz w:val="24"/>
          <w:szCs w:val="24"/>
          <w:shd w:val="clear" w:color="auto" w:fill="FFFFFF"/>
        </w:rPr>
        <w:t>(3), p. 927.</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Min, S., and Kim, J. (2022) E</w:t>
      </w:r>
      <w:r>
        <w:rPr>
          <w:rFonts w:ascii="Times New Roman" w:hAnsi="Times New Roman" w:cs="Times New Roman"/>
          <w:i/>
          <w:sz w:val="24"/>
          <w:szCs w:val="24"/>
          <w:shd w:val="clear" w:color="auto" w:fill="FFFFFF"/>
        </w:rPr>
        <w:t>ffect of opportunity seizing capability on new market development and small and medium-sized enterprise performance: Role of environmental uncertainty in the IT industry</w:t>
      </w:r>
      <w:r>
        <w:rPr>
          <w:rFonts w:ascii="Times New Roman" w:hAnsi="Times New Roman" w:cs="Times New Roman"/>
          <w:sz w:val="24"/>
          <w:szCs w:val="24"/>
          <w:shd w:val="clear" w:color="auto" w:fill="FFFFFF"/>
        </w:rPr>
        <w:t>, in </w:t>
      </w:r>
      <w:r>
        <w:rPr>
          <w:rFonts w:ascii="Times New Roman" w:hAnsi="Times New Roman" w:cs="Times New Roman"/>
          <w:i/>
          <w:iCs/>
          <w:sz w:val="24"/>
          <w:szCs w:val="24"/>
          <w:shd w:val="clear" w:color="auto" w:fill="FFFFFF"/>
        </w:rPr>
        <w:t>Asia Pacific Management Review</w:t>
      </w:r>
      <w:r>
        <w:rPr>
          <w:rFonts w:ascii="Times New Roman" w:hAnsi="Times New Roman" w:cs="Times New Roman"/>
          <w:sz w:val="24"/>
          <w:szCs w:val="24"/>
          <w:shd w:val="clear" w:color="auto" w:fill="FFFFFF"/>
        </w:rPr>
        <w:t>, </w:t>
      </w:r>
      <w:r>
        <w:rPr>
          <w:rFonts w:ascii="Times New Roman" w:hAnsi="Times New Roman" w:cs="Times New Roman"/>
          <w:iCs/>
          <w:sz w:val="24"/>
          <w:szCs w:val="24"/>
          <w:shd w:val="clear" w:color="auto" w:fill="FFFFFF"/>
        </w:rPr>
        <w:t>27</w:t>
      </w:r>
      <w:r>
        <w:rPr>
          <w:rFonts w:ascii="Times New Roman" w:hAnsi="Times New Roman" w:cs="Times New Roman"/>
          <w:sz w:val="24"/>
          <w:szCs w:val="24"/>
          <w:shd w:val="clear" w:color="auto" w:fill="FFFFFF"/>
        </w:rPr>
        <w:t>(2), pp. 69-79.</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Mitcheltree, C. M. (2023) </w:t>
      </w:r>
      <w:r>
        <w:rPr>
          <w:rFonts w:ascii="Times New Roman" w:hAnsi="Times New Roman" w:cs="Times New Roman"/>
          <w:i/>
          <w:sz w:val="24"/>
          <w:szCs w:val="24"/>
          <w:shd w:val="clear" w:color="auto" w:fill="FFFFFF"/>
        </w:rPr>
        <w:t>Towards a sense of urgency for innovation realization: a case study on complacency asymmetries in inter-organizational relations</w:t>
      </w:r>
      <w:r>
        <w:rPr>
          <w:rFonts w:ascii="Times New Roman" w:hAnsi="Times New Roman" w:cs="Times New Roman"/>
          <w:sz w:val="24"/>
          <w:szCs w:val="24"/>
          <w:shd w:val="clear" w:color="auto" w:fill="FFFFFF"/>
        </w:rPr>
        <w:t>, in </w:t>
      </w:r>
      <w:r>
        <w:rPr>
          <w:rFonts w:ascii="Times New Roman" w:hAnsi="Times New Roman" w:cs="Times New Roman"/>
          <w:i/>
          <w:iCs/>
          <w:sz w:val="24"/>
          <w:szCs w:val="24"/>
          <w:shd w:val="clear" w:color="auto" w:fill="FFFFFF"/>
        </w:rPr>
        <w:t>Journal of Innovation and Entrepreneurship</w:t>
      </w:r>
      <w:r>
        <w:rPr>
          <w:rFonts w:ascii="Times New Roman" w:hAnsi="Times New Roman" w:cs="Times New Roman"/>
          <w:sz w:val="24"/>
          <w:szCs w:val="24"/>
          <w:shd w:val="clear" w:color="auto" w:fill="FFFFFF"/>
        </w:rPr>
        <w:t>, </w:t>
      </w:r>
      <w:r>
        <w:rPr>
          <w:rFonts w:ascii="Times New Roman" w:hAnsi="Times New Roman" w:cs="Times New Roman"/>
          <w:iCs/>
          <w:sz w:val="24"/>
          <w:szCs w:val="24"/>
          <w:shd w:val="clear" w:color="auto" w:fill="FFFFFF"/>
        </w:rPr>
        <w:t>12</w:t>
      </w:r>
      <w:r>
        <w:rPr>
          <w:rFonts w:ascii="Times New Roman" w:hAnsi="Times New Roman" w:cs="Times New Roman"/>
          <w:sz w:val="24"/>
          <w:szCs w:val="24"/>
          <w:shd w:val="clear" w:color="auto" w:fill="FFFFFF"/>
        </w:rPr>
        <w:t>(1), pp. 1-37.</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Murray-Rust, D., et al. (2023). </w:t>
      </w:r>
      <w:r>
        <w:rPr>
          <w:rFonts w:ascii="Times New Roman" w:hAnsi="Times New Roman" w:cs="Times New Roman"/>
          <w:i/>
          <w:sz w:val="24"/>
          <w:szCs w:val="24"/>
          <w:shd w:val="clear" w:color="auto" w:fill="FFFFFF"/>
        </w:rPr>
        <w:t>Blockchain and beyond: Understanding blockchains through prototypes and public engagement</w:t>
      </w:r>
      <w:r>
        <w:rPr>
          <w:rFonts w:ascii="Times New Roman" w:hAnsi="Times New Roman" w:cs="Times New Roman"/>
          <w:sz w:val="24"/>
          <w:szCs w:val="24"/>
          <w:shd w:val="clear" w:color="auto" w:fill="FFFFFF"/>
        </w:rPr>
        <w:t xml:space="preserve">, in </w:t>
      </w:r>
      <w:r>
        <w:rPr>
          <w:rFonts w:ascii="Times New Roman" w:hAnsi="Times New Roman" w:cs="Times New Roman"/>
          <w:i/>
          <w:sz w:val="24"/>
          <w:szCs w:val="24"/>
          <w:shd w:val="clear" w:color="auto" w:fill="FFFFFF"/>
        </w:rPr>
        <w:t>ACM Transactions on Computer-Human Interaction</w:t>
      </w:r>
      <w:r>
        <w:rPr>
          <w:rFonts w:ascii="Times New Roman" w:hAnsi="Times New Roman" w:cs="Times New Roman"/>
          <w:sz w:val="24"/>
          <w:szCs w:val="24"/>
          <w:shd w:val="clear" w:color="auto" w:fill="FFFFFF"/>
        </w:rPr>
        <w:t xml:space="preserve">, 29(5), pp. 1-73. </w:t>
      </w:r>
    </w:p>
    <w:p>
      <w:pPr>
        <w:spacing w:line="480" w:lineRule="auto"/>
        <w:ind w:left="993" w:hanging="993"/>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Nastasoiu, A., and Vandenbosch, M. (2019) </w:t>
      </w:r>
      <w:r>
        <w:rPr>
          <w:rFonts w:ascii="Times New Roman" w:hAnsi="Times New Roman" w:cs="Times New Roman"/>
          <w:i/>
          <w:sz w:val="24"/>
          <w:szCs w:val="24"/>
          <w:shd w:val="clear" w:color="auto" w:fill="FFFFFF"/>
        </w:rPr>
        <w:t xml:space="preserve">Competing with loyalty: How to design successful customer loyalty reward programs, </w:t>
      </w:r>
      <w:r>
        <w:rPr>
          <w:rFonts w:ascii="Times New Roman" w:hAnsi="Times New Roman" w:cs="Times New Roman"/>
          <w:sz w:val="24"/>
          <w:szCs w:val="24"/>
          <w:shd w:val="clear" w:color="auto" w:fill="FFFFFF"/>
        </w:rPr>
        <w:t>in </w:t>
      </w:r>
      <w:r>
        <w:rPr>
          <w:rFonts w:ascii="Times New Roman" w:hAnsi="Times New Roman" w:cs="Times New Roman"/>
          <w:i/>
          <w:iCs/>
          <w:sz w:val="24"/>
          <w:szCs w:val="24"/>
          <w:shd w:val="clear" w:color="auto" w:fill="FFFFFF"/>
        </w:rPr>
        <w:t>Business Horizons</w:t>
      </w:r>
      <w:r>
        <w:rPr>
          <w:rFonts w:ascii="Times New Roman" w:hAnsi="Times New Roman" w:cs="Times New Roman"/>
          <w:sz w:val="24"/>
          <w:szCs w:val="24"/>
          <w:shd w:val="clear" w:color="auto" w:fill="FFFFFF"/>
        </w:rPr>
        <w:t>, </w:t>
      </w:r>
      <w:r>
        <w:rPr>
          <w:rFonts w:ascii="Times New Roman" w:hAnsi="Times New Roman" w:cs="Times New Roman"/>
          <w:iCs/>
          <w:sz w:val="24"/>
          <w:szCs w:val="24"/>
          <w:shd w:val="clear" w:color="auto" w:fill="FFFFFF"/>
        </w:rPr>
        <w:t>62</w:t>
      </w:r>
      <w:r>
        <w:rPr>
          <w:rFonts w:ascii="Times New Roman" w:hAnsi="Times New Roman" w:cs="Times New Roman"/>
          <w:sz w:val="24"/>
          <w:szCs w:val="24"/>
          <w:shd w:val="clear" w:color="auto" w:fill="FFFFFF"/>
        </w:rPr>
        <w:t>(2), pp. 207-214.</w:t>
      </w:r>
    </w:p>
    <w:p>
      <w:pPr>
        <w:spacing w:line="480" w:lineRule="auto"/>
        <w:ind w:left="993" w:hanging="993"/>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Neto, J. R., Barcellos, P. F. P., and Panizzon, M. (2022) </w:t>
      </w:r>
      <w:r>
        <w:rPr>
          <w:rFonts w:ascii="Times New Roman" w:hAnsi="Times New Roman" w:cs="Times New Roman"/>
          <w:i/>
          <w:sz w:val="24"/>
          <w:szCs w:val="24"/>
          <w:shd w:val="clear" w:color="auto" w:fill="FFFFFF"/>
        </w:rPr>
        <w:t>Beyond S&amp;OP Implementation: A maturity model and meta-framework for assessing and managing evolution paths</w:t>
      </w:r>
      <w:r>
        <w:rPr>
          <w:rFonts w:ascii="Times New Roman" w:hAnsi="Times New Roman" w:cs="Times New Roman"/>
          <w:sz w:val="24"/>
          <w:szCs w:val="24"/>
          <w:shd w:val="clear" w:color="auto" w:fill="FFFFFF"/>
        </w:rPr>
        <w:t xml:space="preserve">, in </w:t>
      </w:r>
      <w:r>
        <w:rPr>
          <w:rFonts w:ascii="Times New Roman" w:hAnsi="Times New Roman" w:cs="Times New Roman"/>
          <w:i/>
          <w:iCs/>
          <w:sz w:val="24"/>
          <w:szCs w:val="24"/>
          <w:shd w:val="clear" w:color="auto" w:fill="FFFFFF"/>
        </w:rPr>
        <w:t>Brazilian Journal of Operations &amp; Production Management</w:t>
      </w:r>
      <w:r>
        <w:rPr>
          <w:rFonts w:ascii="Times New Roman" w:hAnsi="Times New Roman" w:cs="Times New Roman"/>
          <w:sz w:val="24"/>
          <w:szCs w:val="24"/>
          <w:shd w:val="clear" w:color="auto" w:fill="FFFFFF"/>
        </w:rPr>
        <w:t>, </w:t>
      </w:r>
      <w:r>
        <w:rPr>
          <w:rFonts w:ascii="Times New Roman" w:hAnsi="Times New Roman" w:cs="Times New Roman"/>
          <w:iCs/>
          <w:sz w:val="24"/>
          <w:szCs w:val="24"/>
          <w:shd w:val="clear" w:color="auto" w:fill="FFFFFF"/>
        </w:rPr>
        <w:t>19</w:t>
      </w:r>
      <w:r>
        <w:rPr>
          <w:rFonts w:ascii="Times New Roman" w:hAnsi="Times New Roman" w:cs="Times New Roman"/>
          <w:sz w:val="24"/>
          <w:szCs w:val="24"/>
          <w:shd w:val="clear" w:color="auto" w:fill="FFFFFF"/>
        </w:rPr>
        <w:t>(3).</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Pantano, E., Pizzi, G., Scarpi, D., and Dennis, C. (2020) </w:t>
      </w:r>
      <w:r>
        <w:rPr>
          <w:rFonts w:ascii="Times New Roman" w:hAnsi="Times New Roman" w:cs="Times New Roman"/>
          <w:i/>
          <w:sz w:val="24"/>
          <w:szCs w:val="24"/>
          <w:shd w:val="clear" w:color="auto" w:fill="FFFFFF"/>
        </w:rPr>
        <w:t>Competing during a pandemic? Retailers’ ups and downs during the COVID-19 outbreak</w:t>
      </w:r>
      <w:r>
        <w:rPr>
          <w:rFonts w:ascii="Times New Roman" w:hAnsi="Times New Roman" w:cs="Times New Roman"/>
          <w:sz w:val="24"/>
          <w:szCs w:val="24"/>
          <w:shd w:val="clear" w:color="auto" w:fill="FFFFFF"/>
        </w:rPr>
        <w:t>, in </w:t>
      </w:r>
      <w:r>
        <w:rPr>
          <w:rFonts w:ascii="Times New Roman" w:hAnsi="Times New Roman" w:cs="Times New Roman"/>
          <w:i/>
          <w:iCs/>
          <w:sz w:val="24"/>
          <w:szCs w:val="24"/>
          <w:shd w:val="clear" w:color="auto" w:fill="FFFFFF"/>
        </w:rPr>
        <w:t>Journal of Business Research</w:t>
      </w:r>
      <w:r>
        <w:rPr>
          <w:rFonts w:ascii="Times New Roman" w:hAnsi="Times New Roman" w:cs="Times New Roman"/>
          <w:sz w:val="24"/>
          <w:szCs w:val="24"/>
          <w:shd w:val="clear" w:color="auto" w:fill="FFFFFF"/>
        </w:rPr>
        <w:t>, </w:t>
      </w:r>
      <w:r>
        <w:rPr>
          <w:rFonts w:ascii="Times New Roman" w:hAnsi="Times New Roman" w:cs="Times New Roman"/>
          <w:iCs/>
          <w:sz w:val="24"/>
          <w:szCs w:val="24"/>
          <w:shd w:val="clear" w:color="auto" w:fill="FFFFFF"/>
        </w:rPr>
        <w:t>116</w:t>
      </w:r>
      <w:r>
        <w:rPr>
          <w:rFonts w:ascii="Times New Roman" w:hAnsi="Times New Roman" w:cs="Times New Roman"/>
          <w:sz w:val="24"/>
          <w:szCs w:val="24"/>
          <w:shd w:val="clear" w:color="auto" w:fill="FFFFFF"/>
        </w:rPr>
        <w:t>, pp. 209-213.</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Pujawan, I. N., and Bah, A. U. (2022) </w:t>
      </w:r>
      <w:r>
        <w:rPr>
          <w:rFonts w:ascii="Times New Roman" w:hAnsi="Times New Roman" w:cs="Times New Roman"/>
          <w:i/>
          <w:sz w:val="24"/>
          <w:szCs w:val="24"/>
          <w:shd w:val="clear" w:color="auto" w:fill="FFFFFF"/>
        </w:rPr>
        <w:t>Supply chains under COVID-19 disruptions: literature review and research agenda</w:t>
      </w:r>
      <w:r>
        <w:rPr>
          <w:rFonts w:ascii="Times New Roman" w:hAnsi="Times New Roman" w:cs="Times New Roman"/>
          <w:sz w:val="24"/>
          <w:szCs w:val="24"/>
          <w:shd w:val="clear" w:color="auto" w:fill="FFFFFF"/>
        </w:rPr>
        <w:t>, in </w:t>
      </w:r>
      <w:r>
        <w:rPr>
          <w:rFonts w:ascii="Times New Roman" w:hAnsi="Times New Roman" w:cs="Times New Roman"/>
          <w:i/>
          <w:iCs/>
          <w:sz w:val="24"/>
          <w:szCs w:val="24"/>
          <w:shd w:val="clear" w:color="auto" w:fill="FFFFFF"/>
        </w:rPr>
        <w:t>Supply Chain Forum: An International Journal</w:t>
      </w:r>
      <w:r>
        <w:rPr>
          <w:rFonts w:ascii="Times New Roman" w:hAnsi="Times New Roman" w:cs="Times New Roman"/>
          <w:sz w:val="24"/>
          <w:szCs w:val="24"/>
          <w:shd w:val="clear" w:color="auto" w:fill="FFFFFF"/>
        </w:rPr>
        <w:t xml:space="preserve">, 23(1), pp. 81-95. </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lang w:val="fr-FR"/>
        </w:rPr>
        <w:t xml:space="preserve">Rapaccini, M., et al. (2020) </w:t>
      </w:r>
      <w:r>
        <w:rPr>
          <w:rFonts w:ascii="Times New Roman" w:hAnsi="Times New Roman" w:cs="Times New Roman"/>
          <w:i/>
          <w:sz w:val="24"/>
          <w:szCs w:val="24"/>
          <w:shd w:val="clear" w:color="auto" w:fill="FFFFFF"/>
        </w:rPr>
        <w:t>Navigating disruptive crises through service-led growth: The impact of COVID-19 on Italian manufacturing firms</w:t>
      </w:r>
      <w:r>
        <w:rPr>
          <w:rFonts w:ascii="Times New Roman" w:hAnsi="Times New Roman" w:cs="Times New Roman"/>
          <w:sz w:val="24"/>
          <w:szCs w:val="24"/>
          <w:shd w:val="clear" w:color="auto" w:fill="FFFFFF"/>
        </w:rPr>
        <w:t>, in </w:t>
      </w:r>
      <w:r>
        <w:rPr>
          <w:rFonts w:ascii="Times New Roman" w:hAnsi="Times New Roman" w:cs="Times New Roman"/>
          <w:i/>
          <w:iCs/>
          <w:sz w:val="24"/>
          <w:szCs w:val="24"/>
          <w:shd w:val="clear" w:color="auto" w:fill="FFFFFF"/>
        </w:rPr>
        <w:t>Industrial Marketing Management</w:t>
      </w:r>
      <w:r>
        <w:rPr>
          <w:rFonts w:ascii="Times New Roman" w:hAnsi="Times New Roman" w:cs="Times New Roman"/>
          <w:sz w:val="24"/>
          <w:szCs w:val="24"/>
          <w:shd w:val="clear" w:color="auto" w:fill="FFFFFF"/>
        </w:rPr>
        <w:t>, </w:t>
      </w:r>
      <w:r>
        <w:rPr>
          <w:rFonts w:ascii="Times New Roman" w:hAnsi="Times New Roman" w:cs="Times New Roman"/>
          <w:iCs/>
          <w:sz w:val="24"/>
          <w:szCs w:val="24"/>
          <w:shd w:val="clear" w:color="auto" w:fill="FFFFFF"/>
        </w:rPr>
        <w:t>88</w:t>
      </w:r>
      <w:r>
        <w:rPr>
          <w:rFonts w:ascii="Times New Roman" w:hAnsi="Times New Roman" w:cs="Times New Roman"/>
          <w:sz w:val="24"/>
          <w:szCs w:val="24"/>
          <w:shd w:val="clear" w:color="auto" w:fill="FFFFFF"/>
        </w:rPr>
        <w:t>, pp. 225-237.</w:t>
      </w:r>
    </w:p>
    <w:p>
      <w:pPr>
        <w:spacing w:line="480" w:lineRule="auto"/>
        <w:ind w:left="993" w:hanging="993"/>
        <w:jc w:val="both"/>
        <w:rPr>
          <w:rFonts w:ascii="Times New Roman" w:hAnsi="Times New Roman" w:cs="Times New Roman"/>
          <w:sz w:val="24"/>
          <w:szCs w:val="24"/>
        </w:rPr>
      </w:pPr>
      <w:r>
        <w:rPr>
          <w:rFonts w:ascii="Times New Roman" w:hAnsi="Times New Roman" w:cs="Times New Roman"/>
          <w:sz w:val="24"/>
          <w:szCs w:val="24"/>
        </w:rPr>
        <w:t xml:space="preserve">Roulet, J. (2022) </w:t>
      </w:r>
      <w:r>
        <w:rPr>
          <w:rFonts w:ascii="Times New Roman" w:hAnsi="Times New Roman" w:cs="Times New Roman"/>
          <w:i/>
          <w:sz w:val="24"/>
          <w:szCs w:val="24"/>
        </w:rPr>
        <w:t>Seesaw Coffee influenced the change process by shaping how various stakeholders responded to the proposed changes</w:t>
      </w:r>
      <w:r>
        <w:rPr>
          <w:rFonts w:ascii="Times New Roman" w:hAnsi="Times New Roman" w:cs="Times New Roman"/>
          <w:sz w:val="24"/>
          <w:szCs w:val="24"/>
        </w:rPr>
        <w:t xml:space="preserve">. </w:t>
      </w:r>
      <w:r>
        <w:fldChar w:fldCharType="begin"/>
      </w:r>
      <w:r>
        <w:instrText xml:space="preserve"> HYPERLINK "https://www.linkedin.com/pulse/design-china-e05-seesaw-coffee-brewing-chinas-specialty-joss-roulet/" </w:instrText>
      </w:r>
      <w:r>
        <w:fldChar w:fldCharType="separate"/>
      </w:r>
      <w:r>
        <w:rPr>
          <w:rStyle w:val="11"/>
          <w:rFonts w:ascii="Times New Roman" w:hAnsi="Times New Roman" w:cs="Times New Roman"/>
          <w:color w:val="auto"/>
          <w:sz w:val="24"/>
          <w:szCs w:val="24"/>
        </w:rPr>
        <w:t>https://www.linkedin.com/pulse/design-china-e05-seesaw-coffee-brewing-chinas-specialty-joss-roulet/</w:t>
      </w:r>
      <w:r>
        <w:rPr>
          <w:rStyle w:val="11"/>
          <w:rFonts w:ascii="Times New Roman" w:hAnsi="Times New Roman" w:cs="Times New Roman"/>
          <w:color w:val="auto"/>
          <w:sz w:val="24"/>
          <w:szCs w:val="24"/>
        </w:rPr>
        <w:fldChar w:fldCharType="end"/>
      </w:r>
      <w:r>
        <w:rPr>
          <w:rFonts w:ascii="Times New Roman" w:hAnsi="Times New Roman" w:cs="Times New Roman"/>
          <w:sz w:val="24"/>
          <w:szCs w:val="24"/>
        </w:rPr>
        <w:t xml:space="preserve"> </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Santos, C., Santos, V., Tavares, A., and Varajão, J. (2020) </w:t>
      </w:r>
      <w:r>
        <w:rPr>
          <w:rFonts w:ascii="Times New Roman" w:hAnsi="Times New Roman" w:cs="Times New Roman"/>
          <w:i/>
          <w:sz w:val="24"/>
          <w:szCs w:val="24"/>
          <w:shd w:val="clear" w:color="auto" w:fill="FFFFFF"/>
        </w:rPr>
        <w:t>Project management in public health: a systematic literature review on success criteria and factors. Portuguese Journal of Public Health</w:t>
      </w:r>
      <w:r>
        <w:rPr>
          <w:rFonts w:ascii="Times New Roman" w:hAnsi="Times New Roman" w:cs="Times New Roman"/>
          <w:sz w:val="24"/>
          <w:szCs w:val="24"/>
          <w:shd w:val="clear" w:color="auto" w:fill="FFFFFF"/>
        </w:rPr>
        <w:t>, 38(1), pp. 37-48.</w:t>
      </w:r>
    </w:p>
    <w:p>
      <w:pPr>
        <w:spacing w:line="480" w:lineRule="auto"/>
        <w:ind w:left="993" w:hanging="993"/>
        <w:jc w:val="both"/>
        <w:rPr>
          <w:rFonts w:ascii="Times New Roman" w:hAnsi="Times New Roman" w:cs="Times New Roman"/>
          <w:sz w:val="24"/>
          <w:szCs w:val="24"/>
        </w:rPr>
      </w:pPr>
      <w:r>
        <w:rPr>
          <w:rFonts w:ascii="Times New Roman" w:hAnsi="Times New Roman" w:cs="Times New Roman"/>
          <w:sz w:val="24"/>
          <w:szCs w:val="24"/>
        </w:rPr>
        <w:t xml:space="preserve">Seesaw Coffee (2022). </w:t>
      </w:r>
      <w:r>
        <w:rPr>
          <w:rFonts w:ascii="Times New Roman" w:hAnsi="Times New Roman" w:cs="Times New Roman"/>
          <w:i/>
          <w:iCs/>
          <w:sz w:val="24"/>
          <w:szCs w:val="24"/>
        </w:rPr>
        <w:t>About Seesaw.</w:t>
      </w:r>
      <w:r>
        <w:rPr>
          <w:rFonts w:ascii="Times New Roman" w:hAnsi="Times New Roman" w:cs="Times New Roman"/>
          <w:sz w:val="24"/>
          <w:szCs w:val="24"/>
        </w:rPr>
        <w:t xml:space="preserve"> </w:t>
      </w:r>
      <w:r>
        <w:fldChar w:fldCharType="begin"/>
      </w:r>
      <w:r>
        <w:instrText xml:space="preserve"> HYPERLINK "https://www.seesawcoffee.com/" </w:instrText>
      </w:r>
      <w:r>
        <w:fldChar w:fldCharType="separate"/>
      </w:r>
      <w:r>
        <w:rPr>
          <w:rStyle w:val="11"/>
          <w:rFonts w:ascii="Times New Roman" w:hAnsi="Times New Roman" w:cs="Times New Roman"/>
          <w:color w:val="auto"/>
          <w:sz w:val="24"/>
          <w:szCs w:val="24"/>
        </w:rPr>
        <w:t>https://www.seesawcoffee.com/</w:t>
      </w:r>
      <w:r>
        <w:rPr>
          <w:rStyle w:val="11"/>
          <w:rFonts w:ascii="Times New Roman" w:hAnsi="Times New Roman" w:cs="Times New Roman"/>
          <w:color w:val="auto"/>
          <w:sz w:val="24"/>
          <w:szCs w:val="24"/>
        </w:rPr>
        <w:fldChar w:fldCharType="end"/>
      </w:r>
      <w:r>
        <w:rPr>
          <w:rFonts w:ascii="Times New Roman" w:hAnsi="Times New Roman" w:cs="Times New Roman"/>
          <w:sz w:val="24"/>
          <w:szCs w:val="24"/>
        </w:rPr>
        <w:t xml:space="preserve">  </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Stahl, G. K., et al. (2020) </w:t>
      </w:r>
      <w:r>
        <w:rPr>
          <w:rFonts w:ascii="Times New Roman" w:hAnsi="Times New Roman" w:cs="Times New Roman"/>
          <w:i/>
          <w:sz w:val="24"/>
          <w:szCs w:val="24"/>
          <w:shd w:val="clear" w:color="auto" w:fill="FFFFFF"/>
        </w:rPr>
        <w:t>Enhancing the role of human resource management in corporate sustainability and social responsibility: A multi-stakeholder, multidimensional approach to HRM</w:t>
      </w:r>
      <w:r>
        <w:rPr>
          <w:rFonts w:ascii="Times New Roman" w:hAnsi="Times New Roman" w:cs="Times New Roman"/>
          <w:sz w:val="24"/>
          <w:szCs w:val="24"/>
          <w:shd w:val="clear" w:color="auto" w:fill="FFFFFF"/>
        </w:rPr>
        <w:t>, in </w:t>
      </w:r>
      <w:r>
        <w:rPr>
          <w:rFonts w:ascii="Times New Roman" w:hAnsi="Times New Roman" w:cs="Times New Roman"/>
          <w:i/>
          <w:iCs/>
          <w:sz w:val="24"/>
          <w:szCs w:val="24"/>
          <w:shd w:val="clear" w:color="auto" w:fill="FFFFFF"/>
        </w:rPr>
        <w:t>Human Resource Management Review</w:t>
      </w:r>
      <w:r>
        <w:rPr>
          <w:rFonts w:ascii="Times New Roman" w:hAnsi="Times New Roman" w:cs="Times New Roman"/>
          <w:sz w:val="24"/>
          <w:szCs w:val="24"/>
          <w:shd w:val="clear" w:color="auto" w:fill="FFFFFF"/>
        </w:rPr>
        <w:t>, </w:t>
      </w:r>
      <w:r>
        <w:rPr>
          <w:rFonts w:ascii="Times New Roman" w:hAnsi="Times New Roman" w:cs="Times New Roman"/>
          <w:iCs/>
          <w:sz w:val="24"/>
          <w:szCs w:val="24"/>
          <w:shd w:val="clear" w:color="auto" w:fill="FFFFFF"/>
        </w:rPr>
        <w:t>30</w:t>
      </w:r>
      <w:r>
        <w:rPr>
          <w:rFonts w:ascii="Times New Roman" w:hAnsi="Times New Roman" w:cs="Times New Roman"/>
          <w:sz w:val="24"/>
          <w:szCs w:val="24"/>
          <w:shd w:val="clear" w:color="auto" w:fill="FFFFFF"/>
        </w:rPr>
        <w:t>(3), p.708.</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Tajasom, A., Hung, D. K. M., Nikbin, D., and Hyun, S. S. (2015) </w:t>
      </w:r>
      <w:r>
        <w:rPr>
          <w:rFonts w:ascii="Times New Roman" w:hAnsi="Times New Roman" w:cs="Times New Roman"/>
          <w:i/>
          <w:sz w:val="24"/>
          <w:szCs w:val="24"/>
          <w:shd w:val="clear" w:color="auto" w:fill="FFFFFF"/>
        </w:rPr>
        <w:t>The role of transformational leadership in innovation performance of Malaysian SMEs</w:t>
      </w:r>
      <w:r>
        <w:rPr>
          <w:rFonts w:ascii="Times New Roman" w:hAnsi="Times New Roman" w:cs="Times New Roman"/>
          <w:sz w:val="24"/>
          <w:szCs w:val="24"/>
          <w:shd w:val="clear" w:color="auto" w:fill="FFFFFF"/>
        </w:rPr>
        <w:t>, in </w:t>
      </w:r>
      <w:r>
        <w:rPr>
          <w:rFonts w:ascii="Times New Roman" w:hAnsi="Times New Roman" w:cs="Times New Roman"/>
          <w:i/>
          <w:iCs/>
          <w:sz w:val="24"/>
          <w:szCs w:val="24"/>
          <w:shd w:val="clear" w:color="auto" w:fill="FFFFFF"/>
        </w:rPr>
        <w:t>Asian Journal of Technology Innovation</w:t>
      </w:r>
      <w:r>
        <w:rPr>
          <w:rFonts w:ascii="Times New Roman" w:hAnsi="Times New Roman" w:cs="Times New Roman"/>
          <w:sz w:val="24"/>
          <w:szCs w:val="24"/>
          <w:shd w:val="clear" w:color="auto" w:fill="FFFFFF"/>
        </w:rPr>
        <w:t>, </w:t>
      </w:r>
      <w:r>
        <w:rPr>
          <w:rFonts w:ascii="Times New Roman" w:hAnsi="Times New Roman" w:cs="Times New Roman"/>
          <w:iCs/>
          <w:sz w:val="24"/>
          <w:szCs w:val="24"/>
          <w:shd w:val="clear" w:color="auto" w:fill="FFFFFF"/>
        </w:rPr>
        <w:t>23</w:t>
      </w:r>
      <w:r>
        <w:rPr>
          <w:rFonts w:ascii="Times New Roman" w:hAnsi="Times New Roman" w:cs="Times New Roman"/>
          <w:sz w:val="24"/>
          <w:szCs w:val="24"/>
          <w:shd w:val="clear" w:color="auto" w:fill="FFFFFF"/>
        </w:rPr>
        <w:t>(2), pp. 172-188.</w:t>
      </w:r>
    </w:p>
    <w:p>
      <w:pPr>
        <w:spacing w:line="480" w:lineRule="auto"/>
        <w:ind w:left="993" w:hanging="993"/>
        <w:jc w:val="both"/>
      </w:pPr>
      <w:r>
        <w:rPr>
          <w:rFonts w:ascii="Times New Roman" w:hAnsi="Times New Roman" w:cs="Times New Roman"/>
          <w:sz w:val="24"/>
          <w:szCs w:val="24"/>
          <w:shd w:val="clear" w:color="auto" w:fill="FFFFFF"/>
        </w:rPr>
        <w:t xml:space="preserve">Tang, K. N., and Tang, K. N. (2019) </w:t>
      </w:r>
      <w:r>
        <w:rPr>
          <w:rFonts w:ascii="Times New Roman" w:hAnsi="Times New Roman" w:cs="Times New Roman"/>
          <w:i/>
          <w:sz w:val="24"/>
          <w:szCs w:val="24"/>
          <w:shd w:val="clear" w:color="auto" w:fill="FFFFFF"/>
        </w:rPr>
        <w:t>Change management</w:t>
      </w:r>
      <w:r>
        <w:rPr>
          <w:rFonts w:ascii="Times New Roman" w:hAnsi="Times New Roman" w:cs="Times New Roman"/>
          <w:sz w:val="24"/>
          <w:szCs w:val="24"/>
          <w:shd w:val="clear" w:color="auto" w:fill="FFFFFF"/>
        </w:rPr>
        <w:t>, in </w:t>
      </w:r>
      <w:r>
        <w:rPr>
          <w:rFonts w:ascii="Times New Roman" w:hAnsi="Times New Roman" w:cs="Times New Roman"/>
          <w:i/>
          <w:iCs/>
          <w:sz w:val="24"/>
          <w:szCs w:val="24"/>
          <w:shd w:val="clear" w:color="auto" w:fill="FFFFFF"/>
        </w:rPr>
        <w:t>Leadership and change management</w:t>
      </w:r>
      <w:r>
        <w:rPr>
          <w:rFonts w:ascii="Times New Roman" w:hAnsi="Times New Roman" w:cs="Times New Roman"/>
          <w:sz w:val="24"/>
          <w:szCs w:val="24"/>
          <w:shd w:val="clear" w:color="auto" w:fill="FFFFFF"/>
        </w:rPr>
        <w:t xml:space="preserve">, pp. 47-55. </w:t>
      </w:r>
    </w:p>
    <w:p>
      <w:pPr>
        <w:spacing w:line="480" w:lineRule="auto"/>
        <w:ind w:left="993" w:hanging="993"/>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Xu, X., and Ng, A. Y. (2023) </w:t>
      </w:r>
      <w:r>
        <w:rPr>
          <w:rFonts w:ascii="Times New Roman" w:hAnsi="Times New Roman" w:cs="Times New Roman"/>
          <w:i/>
          <w:sz w:val="24"/>
          <w:szCs w:val="24"/>
          <w:shd w:val="clear" w:color="auto" w:fill="FFFFFF"/>
        </w:rPr>
        <w:t>Cultivation of new taste: taste makers and new forms of distinction in china’s coffee culture</w:t>
      </w:r>
      <w:r>
        <w:rPr>
          <w:rFonts w:ascii="Times New Roman" w:hAnsi="Times New Roman" w:cs="Times New Roman"/>
          <w:sz w:val="24"/>
          <w:szCs w:val="24"/>
          <w:shd w:val="clear" w:color="auto" w:fill="FFFFFF"/>
        </w:rPr>
        <w:t xml:space="preserve">, in </w:t>
      </w:r>
      <w:r>
        <w:rPr>
          <w:rFonts w:ascii="Times New Roman" w:hAnsi="Times New Roman" w:cs="Times New Roman"/>
          <w:i/>
          <w:sz w:val="24"/>
          <w:szCs w:val="24"/>
          <w:shd w:val="clear" w:color="auto" w:fill="FFFFFF"/>
        </w:rPr>
        <w:t>Information, Communication and Society,</w:t>
      </w:r>
      <w:r>
        <w:rPr>
          <w:rFonts w:ascii="Times New Roman" w:hAnsi="Times New Roman" w:cs="Times New Roman"/>
          <w:sz w:val="24"/>
          <w:szCs w:val="24"/>
          <w:shd w:val="clear" w:color="auto" w:fill="FFFFFF"/>
        </w:rPr>
        <w:t xml:space="preserve"> 26(11). </w:t>
      </w:r>
    </w:p>
    <w:p/>
    <w:sectPr>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rial">
    <w:panose1 w:val="020B0604020202020204"/>
    <w:charset w:val="00"/>
    <w:family w:val="swiss"/>
    <w:pitch w:val="default"/>
    <w:sig w:usb0="E0002EFF" w:usb1="C000785B" w:usb2="00000009" w:usb3="00000000" w:csb0="400001FF" w:csb1="FFFF0000"/>
  </w:font>
  <w:font w:name="Calibri Light">
    <w:panose1 w:val="020F03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15559CB"/>
    <w:multiLevelType w:val="multilevel"/>
    <w:tmpl w:val="315559CB"/>
    <w:lvl w:ilvl="0" w:tentative="0">
      <w:start w:val="1"/>
      <w:numFmt w:val="decimal"/>
      <w:lvlText w:val="%1)"/>
      <w:lvlJc w:val="left"/>
      <w:pPr>
        <w:ind w:left="1080" w:hanging="360"/>
      </w:pPr>
      <w:rPr>
        <w:rFonts w:ascii="Times New Roman" w:hAnsi="Times New Roman" w:cs="Times New Roman" w:eastAsiaTheme="minorHAnsi"/>
      </w:rPr>
    </w:lvl>
    <w:lvl w:ilvl="1" w:tentative="0">
      <w:start w:val="1"/>
      <w:numFmt w:val="lowerLetter"/>
      <w:lvlText w:val="%2)"/>
      <w:lvlJc w:val="left"/>
      <w:pPr>
        <w:ind w:left="1560" w:hanging="420"/>
      </w:pPr>
    </w:lvl>
    <w:lvl w:ilvl="2" w:tentative="0">
      <w:start w:val="1"/>
      <w:numFmt w:val="lowerRoman"/>
      <w:lvlText w:val="%3."/>
      <w:lvlJc w:val="right"/>
      <w:pPr>
        <w:ind w:left="1980" w:hanging="420"/>
      </w:pPr>
    </w:lvl>
    <w:lvl w:ilvl="3" w:tentative="0">
      <w:start w:val="1"/>
      <w:numFmt w:val="decimal"/>
      <w:lvlText w:val="%4."/>
      <w:lvlJc w:val="left"/>
      <w:pPr>
        <w:ind w:left="2400" w:hanging="420"/>
      </w:pPr>
    </w:lvl>
    <w:lvl w:ilvl="4" w:tentative="0">
      <w:start w:val="1"/>
      <w:numFmt w:val="lowerLetter"/>
      <w:lvlText w:val="%5)"/>
      <w:lvlJc w:val="left"/>
      <w:pPr>
        <w:ind w:left="2820" w:hanging="420"/>
      </w:pPr>
    </w:lvl>
    <w:lvl w:ilvl="5" w:tentative="0">
      <w:start w:val="1"/>
      <w:numFmt w:val="lowerRoman"/>
      <w:lvlText w:val="%6."/>
      <w:lvlJc w:val="right"/>
      <w:pPr>
        <w:ind w:left="3240" w:hanging="420"/>
      </w:pPr>
    </w:lvl>
    <w:lvl w:ilvl="6" w:tentative="0">
      <w:start w:val="1"/>
      <w:numFmt w:val="decimal"/>
      <w:lvlText w:val="%7."/>
      <w:lvlJc w:val="left"/>
      <w:pPr>
        <w:ind w:left="3660" w:hanging="420"/>
      </w:pPr>
    </w:lvl>
    <w:lvl w:ilvl="7" w:tentative="0">
      <w:start w:val="1"/>
      <w:numFmt w:val="lowerLetter"/>
      <w:lvlText w:val="%8)"/>
      <w:lvlJc w:val="left"/>
      <w:pPr>
        <w:ind w:left="4080" w:hanging="420"/>
      </w:pPr>
    </w:lvl>
    <w:lvl w:ilvl="8" w:tentative="0">
      <w:start w:val="1"/>
      <w:numFmt w:val="lowerRoman"/>
      <w:lvlText w:val="%9."/>
      <w:lvlJc w:val="right"/>
      <w:pPr>
        <w:ind w:left="450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WY1N2QwNGY4YTVjZmFiYTQwNjFiODQxMWU0MTczNTIifQ=="/>
  </w:docVars>
  <w:rsids>
    <w:rsidRoot w:val="00172A27"/>
    <w:rsid w:val="000021CF"/>
    <w:rsid w:val="00005E7C"/>
    <w:rsid w:val="000157F5"/>
    <w:rsid w:val="000210FE"/>
    <w:rsid w:val="00032CE6"/>
    <w:rsid w:val="0005024A"/>
    <w:rsid w:val="0005122A"/>
    <w:rsid w:val="000525B2"/>
    <w:rsid w:val="00052B3E"/>
    <w:rsid w:val="00053545"/>
    <w:rsid w:val="000629F4"/>
    <w:rsid w:val="00082081"/>
    <w:rsid w:val="000859F7"/>
    <w:rsid w:val="0009265E"/>
    <w:rsid w:val="00096FE6"/>
    <w:rsid w:val="000A4A4D"/>
    <w:rsid w:val="000B34BC"/>
    <w:rsid w:val="000C3FED"/>
    <w:rsid w:val="000C71CA"/>
    <w:rsid w:val="000E454B"/>
    <w:rsid w:val="000E6ADE"/>
    <w:rsid w:val="000E7E7F"/>
    <w:rsid w:val="000F2C4C"/>
    <w:rsid w:val="000F4D1A"/>
    <w:rsid w:val="000F61B0"/>
    <w:rsid w:val="00104972"/>
    <w:rsid w:val="00105AA9"/>
    <w:rsid w:val="001065B5"/>
    <w:rsid w:val="00107936"/>
    <w:rsid w:val="00110415"/>
    <w:rsid w:val="00112315"/>
    <w:rsid w:val="00112A29"/>
    <w:rsid w:val="00115B96"/>
    <w:rsid w:val="00161E15"/>
    <w:rsid w:val="00162EAD"/>
    <w:rsid w:val="00163DD0"/>
    <w:rsid w:val="00166FBB"/>
    <w:rsid w:val="00172A27"/>
    <w:rsid w:val="00175827"/>
    <w:rsid w:val="001779B8"/>
    <w:rsid w:val="00177EB7"/>
    <w:rsid w:val="001A2480"/>
    <w:rsid w:val="001A2CB3"/>
    <w:rsid w:val="001C41CB"/>
    <w:rsid w:val="001C5025"/>
    <w:rsid w:val="001D290B"/>
    <w:rsid w:val="001E3D17"/>
    <w:rsid w:val="001F2982"/>
    <w:rsid w:val="001F5D00"/>
    <w:rsid w:val="00205FCE"/>
    <w:rsid w:val="00213A82"/>
    <w:rsid w:val="002222D3"/>
    <w:rsid w:val="00224B01"/>
    <w:rsid w:val="00230FC3"/>
    <w:rsid w:val="00235A9F"/>
    <w:rsid w:val="002371A7"/>
    <w:rsid w:val="00242D9A"/>
    <w:rsid w:val="00245634"/>
    <w:rsid w:val="00253CDD"/>
    <w:rsid w:val="00267D12"/>
    <w:rsid w:val="0028059F"/>
    <w:rsid w:val="0028117D"/>
    <w:rsid w:val="00291119"/>
    <w:rsid w:val="00295747"/>
    <w:rsid w:val="002A72D6"/>
    <w:rsid w:val="002B3053"/>
    <w:rsid w:val="002B69C8"/>
    <w:rsid w:val="002C20B7"/>
    <w:rsid w:val="002C7939"/>
    <w:rsid w:val="002D3ED5"/>
    <w:rsid w:val="002D64A7"/>
    <w:rsid w:val="002E5CB7"/>
    <w:rsid w:val="002F1EDC"/>
    <w:rsid w:val="002F3CFF"/>
    <w:rsid w:val="003172AB"/>
    <w:rsid w:val="00324CCD"/>
    <w:rsid w:val="00325870"/>
    <w:rsid w:val="00325F96"/>
    <w:rsid w:val="003604FF"/>
    <w:rsid w:val="00360B5A"/>
    <w:rsid w:val="00361C34"/>
    <w:rsid w:val="00373C89"/>
    <w:rsid w:val="00381326"/>
    <w:rsid w:val="00394AF0"/>
    <w:rsid w:val="003A22A8"/>
    <w:rsid w:val="003D4E23"/>
    <w:rsid w:val="003E1E78"/>
    <w:rsid w:val="004009B7"/>
    <w:rsid w:val="00400F06"/>
    <w:rsid w:val="00401F52"/>
    <w:rsid w:val="004042E5"/>
    <w:rsid w:val="00415D7F"/>
    <w:rsid w:val="00417294"/>
    <w:rsid w:val="00417D94"/>
    <w:rsid w:val="00435709"/>
    <w:rsid w:val="004524B8"/>
    <w:rsid w:val="00452AD5"/>
    <w:rsid w:val="00457F54"/>
    <w:rsid w:val="004605DE"/>
    <w:rsid w:val="0046234E"/>
    <w:rsid w:val="00467947"/>
    <w:rsid w:val="00470D78"/>
    <w:rsid w:val="00473810"/>
    <w:rsid w:val="00475ADF"/>
    <w:rsid w:val="00475F25"/>
    <w:rsid w:val="00480872"/>
    <w:rsid w:val="004846D9"/>
    <w:rsid w:val="0049016B"/>
    <w:rsid w:val="0049049B"/>
    <w:rsid w:val="00497B47"/>
    <w:rsid w:val="004A0990"/>
    <w:rsid w:val="004A11F6"/>
    <w:rsid w:val="004B21DF"/>
    <w:rsid w:val="004D519C"/>
    <w:rsid w:val="004F15CA"/>
    <w:rsid w:val="004F3527"/>
    <w:rsid w:val="005024B5"/>
    <w:rsid w:val="005048AB"/>
    <w:rsid w:val="005105CF"/>
    <w:rsid w:val="00511632"/>
    <w:rsid w:val="00512CB7"/>
    <w:rsid w:val="00526249"/>
    <w:rsid w:val="0055430B"/>
    <w:rsid w:val="00565C61"/>
    <w:rsid w:val="00566A3A"/>
    <w:rsid w:val="00567B75"/>
    <w:rsid w:val="005739F9"/>
    <w:rsid w:val="0058058F"/>
    <w:rsid w:val="00587899"/>
    <w:rsid w:val="005A05E6"/>
    <w:rsid w:val="005A1104"/>
    <w:rsid w:val="005A133F"/>
    <w:rsid w:val="005A222D"/>
    <w:rsid w:val="005A2DE9"/>
    <w:rsid w:val="005A4BBD"/>
    <w:rsid w:val="005A4CF4"/>
    <w:rsid w:val="005B07B7"/>
    <w:rsid w:val="005B133B"/>
    <w:rsid w:val="005B438D"/>
    <w:rsid w:val="005B5100"/>
    <w:rsid w:val="005C1C32"/>
    <w:rsid w:val="005C70D9"/>
    <w:rsid w:val="005D537D"/>
    <w:rsid w:val="005F28B3"/>
    <w:rsid w:val="005F723B"/>
    <w:rsid w:val="00604598"/>
    <w:rsid w:val="0064123A"/>
    <w:rsid w:val="00642A7A"/>
    <w:rsid w:val="00642C29"/>
    <w:rsid w:val="0064604F"/>
    <w:rsid w:val="00646630"/>
    <w:rsid w:val="006554D1"/>
    <w:rsid w:val="00657BE3"/>
    <w:rsid w:val="0067407D"/>
    <w:rsid w:val="006810C6"/>
    <w:rsid w:val="0069212E"/>
    <w:rsid w:val="0069305F"/>
    <w:rsid w:val="006A20D5"/>
    <w:rsid w:val="006A5AF7"/>
    <w:rsid w:val="006C3794"/>
    <w:rsid w:val="006E237C"/>
    <w:rsid w:val="006E60FB"/>
    <w:rsid w:val="006F3800"/>
    <w:rsid w:val="006F3F45"/>
    <w:rsid w:val="00702AFC"/>
    <w:rsid w:val="0071168F"/>
    <w:rsid w:val="0072027E"/>
    <w:rsid w:val="0073174F"/>
    <w:rsid w:val="00742E7B"/>
    <w:rsid w:val="0074760E"/>
    <w:rsid w:val="00751BE6"/>
    <w:rsid w:val="00753BD4"/>
    <w:rsid w:val="00764F9B"/>
    <w:rsid w:val="00765FC4"/>
    <w:rsid w:val="00767C41"/>
    <w:rsid w:val="00782617"/>
    <w:rsid w:val="00782E2E"/>
    <w:rsid w:val="00785390"/>
    <w:rsid w:val="00787878"/>
    <w:rsid w:val="0079494D"/>
    <w:rsid w:val="007A1C79"/>
    <w:rsid w:val="007A39AC"/>
    <w:rsid w:val="007A75A8"/>
    <w:rsid w:val="007D0778"/>
    <w:rsid w:val="007D1077"/>
    <w:rsid w:val="007D1947"/>
    <w:rsid w:val="007D6528"/>
    <w:rsid w:val="007D66F6"/>
    <w:rsid w:val="007F56D4"/>
    <w:rsid w:val="008016E4"/>
    <w:rsid w:val="0080342B"/>
    <w:rsid w:val="00807CBA"/>
    <w:rsid w:val="00833B83"/>
    <w:rsid w:val="008353BB"/>
    <w:rsid w:val="00855B20"/>
    <w:rsid w:val="00864C18"/>
    <w:rsid w:val="00874042"/>
    <w:rsid w:val="00885AC2"/>
    <w:rsid w:val="008868FE"/>
    <w:rsid w:val="00895317"/>
    <w:rsid w:val="008A4B19"/>
    <w:rsid w:val="008A69E1"/>
    <w:rsid w:val="008B221D"/>
    <w:rsid w:val="008C7AD6"/>
    <w:rsid w:val="008D5B68"/>
    <w:rsid w:val="008D6EE3"/>
    <w:rsid w:val="008E7F7F"/>
    <w:rsid w:val="008F0DF3"/>
    <w:rsid w:val="008F418F"/>
    <w:rsid w:val="00903431"/>
    <w:rsid w:val="0090657D"/>
    <w:rsid w:val="00915465"/>
    <w:rsid w:val="009207C1"/>
    <w:rsid w:val="00931CAA"/>
    <w:rsid w:val="00945F9F"/>
    <w:rsid w:val="0094649E"/>
    <w:rsid w:val="009469C0"/>
    <w:rsid w:val="0095576F"/>
    <w:rsid w:val="00964FAE"/>
    <w:rsid w:val="00967ABF"/>
    <w:rsid w:val="00986EC0"/>
    <w:rsid w:val="009966F4"/>
    <w:rsid w:val="009A751F"/>
    <w:rsid w:val="009C3462"/>
    <w:rsid w:val="009D33C7"/>
    <w:rsid w:val="009D3C0E"/>
    <w:rsid w:val="009D5F14"/>
    <w:rsid w:val="009E2AE9"/>
    <w:rsid w:val="009F324C"/>
    <w:rsid w:val="009F7277"/>
    <w:rsid w:val="00A04AF1"/>
    <w:rsid w:val="00A12B58"/>
    <w:rsid w:val="00A146FD"/>
    <w:rsid w:val="00A21E6A"/>
    <w:rsid w:val="00A263D0"/>
    <w:rsid w:val="00A26D25"/>
    <w:rsid w:val="00A307D7"/>
    <w:rsid w:val="00A33903"/>
    <w:rsid w:val="00A47019"/>
    <w:rsid w:val="00A61C50"/>
    <w:rsid w:val="00A61CC2"/>
    <w:rsid w:val="00A72F90"/>
    <w:rsid w:val="00A82889"/>
    <w:rsid w:val="00A83259"/>
    <w:rsid w:val="00A8689A"/>
    <w:rsid w:val="00A93BD8"/>
    <w:rsid w:val="00A96326"/>
    <w:rsid w:val="00AA2A91"/>
    <w:rsid w:val="00AA3B3A"/>
    <w:rsid w:val="00AB5F26"/>
    <w:rsid w:val="00AB72C2"/>
    <w:rsid w:val="00B1674F"/>
    <w:rsid w:val="00B23314"/>
    <w:rsid w:val="00B36ED7"/>
    <w:rsid w:val="00B6557B"/>
    <w:rsid w:val="00B66F6E"/>
    <w:rsid w:val="00B7096B"/>
    <w:rsid w:val="00B826BC"/>
    <w:rsid w:val="00B84AC6"/>
    <w:rsid w:val="00B86FB3"/>
    <w:rsid w:val="00B977BD"/>
    <w:rsid w:val="00B97E18"/>
    <w:rsid w:val="00BB5FFC"/>
    <w:rsid w:val="00BC178E"/>
    <w:rsid w:val="00BC1FAC"/>
    <w:rsid w:val="00BD296E"/>
    <w:rsid w:val="00BE2580"/>
    <w:rsid w:val="00BF3D36"/>
    <w:rsid w:val="00C0407C"/>
    <w:rsid w:val="00C04CF2"/>
    <w:rsid w:val="00C05464"/>
    <w:rsid w:val="00C217FE"/>
    <w:rsid w:val="00C24B16"/>
    <w:rsid w:val="00C258BE"/>
    <w:rsid w:val="00C46A7D"/>
    <w:rsid w:val="00C6345C"/>
    <w:rsid w:val="00C643F5"/>
    <w:rsid w:val="00C70F42"/>
    <w:rsid w:val="00C71A6E"/>
    <w:rsid w:val="00C7480F"/>
    <w:rsid w:val="00C836DC"/>
    <w:rsid w:val="00C95B62"/>
    <w:rsid w:val="00CA0805"/>
    <w:rsid w:val="00CA09F3"/>
    <w:rsid w:val="00CB0573"/>
    <w:rsid w:val="00CB190D"/>
    <w:rsid w:val="00CB4DBF"/>
    <w:rsid w:val="00CC5A20"/>
    <w:rsid w:val="00CD1C88"/>
    <w:rsid w:val="00CD44D7"/>
    <w:rsid w:val="00CD4E90"/>
    <w:rsid w:val="00CE6841"/>
    <w:rsid w:val="00CE72F1"/>
    <w:rsid w:val="00CF29C7"/>
    <w:rsid w:val="00D0053C"/>
    <w:rsid w:val="00D026B1"/>
    <w:rsid w:val="00D111ED"/>
    <w:rsid w:val="00D13B15"/>
    <w:rsid w:val="00D144A1"/>
    <w:rsid w:val="00D20486"/>
    <w:rsid w:val="00D373E7"/>
    <w:rsid w:val="00D56E48"/>
    <w:rsid w:val="00D81E3A"/>
    <w:rsid w:val="00D854A5"/>
    <w:rsid w:val="00D96856"/>
    <w:rsid w:val="00DA3315"/>
    <w:rsid w:val="00DB1B27"/>
    <w:rsid w:val="00DC3215"/>
    <w:rsid w:val="00DD0281"/>
    <w:rsid w:val="00DD593F"/>
    <w:rsid w:val="00DE564A"/>
    <w:rsid w:val="00DE718C"/>
    <w:rsid w:val="00DF093D"/>
    <w:rsid w:val="00E03BE3"/>
    <w:rsid w:val="00E07FCE"/>
    <w:rsid w:val="00E10732"/>
    <w:rsid w:val="00E15338"/>
    <w:rsid w:val="00E30B23"/>
    <w:rsid w:val="00E32691"/>
    <w:rsid w:val="00E35824"/>
    <w:rsid w:val="00E370A8"/>
    <w:rsid w:val="00E4227C"/>
    <w:rsid w:val="00E441F2"/>
    <w:rsid w:val="00E845C0"/>
    <w:rsid w:val="00E96DCD"/>
    <w:rsid w:val="00EA418B"/>
    <w:rsid w:val="00EA4BF0"/>
    <w:rsid w:val="00EA7EFA"/>
    <w:rsid w:val="00EB44DB"/>
    <w:rsid w:val="00EB742A"/>
    <w:rsid w:val="00EC0A5D"/>
    <w:rsid w:val="00EC5EDC"/>
    <w:rsid w:val="00ED37FF"/>
    <w:rsid w:val="00EE3318"/>
    <w:rsid w:val="00EF1E56"/>
    <w:rsid w:val="00F044D3"/>
    <w:rsid w:val="00F05B4E"/>
    <w:rsid w:val="00F10938"/>
    <w:rsid w:val="00F1685A"/>
    <w:rsid w:val="00F20604"/>
    <w:rsid w:val="00F41A75"/>
    <w:rsid w:val="00F50B1E"/>
    <w:rsid w:val="00F55C58"/>
    <w:rsid w:val="00F65C75"/>
    <w:rsid w:val="00F73B58"/>
    <w:rsid w:val="00F83A19"/>
    <w:rsid w:val="00F83D0F"/>
    <w:rsid w:val="00F853B0"/>
    <w:rsid w:val="00FC05F9"/>
    <w:rsid w:val="00FE0A67"/>
    <w:rsid w:val="00FF1281"/>
    <w:rsid w:val="00FF439F"/>
    <w:rsid w:val="109055AD"/>
    <w:rsid w:val="2FA0280F"/>
    <w:rsid w:val="458001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4"/>
    <w:qFormat/>
    <w:uiPriority w:val="9"/>
    <w:pPr>
      <w:keepNext/>
      <w:keepLines/>
      <w:spacing w:before="240" w:after="0" w:line="480" w:lineRule="auto"/>
      <w:jc w:val="center"/>
      <w:outlineLvl w:val="0"/>
    </w:pPr>
    <w:rPr>
      <w:rFonts w:asciiTheme="majorHAnsi" w:hAnsiTheme="majorHAnsi" w:eastAsiaTheme="majorEastAsia" w:cstheme="majorBidi"/>
      <w:b/>
      <w:color w:val="2E75B6" w:themeColor="accent1" w:themeShade="BF"/>
      <w:sz w:val="32"/>
      <w:szCs w:val="32"/>
    </w:rPr>
  </w:style>
  <w:style w:type="paragraph" w:styleId="3">
    <w:name w:val="heading 2"/>
    <w:basedOn w:val="1"/>
    <w:next w:val="1"/>
    <w:link w:val="16"/>
    <w:unhideWhenUsed/>
    <w:qFormat/>
    <w:uiPriority w:val="9"/>
    <w:pPr>
      <w:keepNext/>
      <w:keepLines/>
      <w:spacing w:before="40" w:after="0"/>
      <w:outlineLvl w:val="1"/>
    </w:pPr>
    <w:rPr>
      <w:rFonts w:asciiTheme="majorHAnsi" w:hAnsiTheme="majorHAnsi" w:eastAsiaTheme="majorEastAsia" w:cstheme="majorBidi"/>
      <w:b/>
      <w:color w:val="2E75B6" w:themeColor="accent1" w:themeShade="BF"/>
      <w:sz w:val="26"/>
      <w:szCs w:val="26"/>
    </w:rPr>
  </w:style>
  <w:style w:type="paragraph" w:styleId="4">
    <w:name w:val="heading 3"/>
    <w:basedOn w:val="1"/>
    <w:next w:val="1"/>
    <w:link w:val="18"/>
    <w:unhideWhenUsed/>
    <w:qFormat/>
    <w:uiPriority w:val="9"/>
    <w:pPr>
      <w:keepNext/>
      <w:keepLines/>
      <w:spacing w:before="200" w:after="0"/>
      <w:outlineLvl w:val="2"/>
    </w:pPr>
    <w:rPr>
      <w:rFonts w:asciiTheme="majorHAnsi" w:hAnsiTheme="majorHAnsi" w:eastAsiaTheme="majorEastAsia" w:cstheme="majorBidi"/>
      <w:b/>
      <w:bCs/>
      <w:color w:val="5B9BD5" w:themeColor="accent1"/>
      <w:sz w:val="24"/>
      <w14:textFill>
        <w14:solidFill>
          <w14:schemeClr w14:val="accent1"/>
        </w14:solidFill>
      </w14:textFill>
    </w:rPr>
  </w:style>
  <w:style w:type="character" w:default="1" w:styleId="10">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unhideWhenUsed/>
    <w:qFormat/>
    <w:uiPriority w:val="39"/>
    <w:pPr>
      <w:spacing w:after="100"/>
      <w:ind w:left="440"/>
    </w:pPr>
  </w:style>
  <w:style w:type="paragraph" w:styleId="6">
    <w:name w:val="Balloon Text"/>
    <w:basedOn w:val="1"/>
    <w:link w:val="17"/>
    <w:semiHidden/>
    <w:unhideWhenUsed/>
    <w:qFormat/>
    <w:uiPriority w:val="99"/>
    <w:pPr>
      <w:spacing w:after="0" w:line="240" w:lineRule="auto"/>
    </w:pPr>
    <w:rPr>
      <w:rFonts w:ascii="Tahoma" w:hAnsi="Tahoma" w:cs="Tahoma"/>
      <w:sz w:val="16"/>
      <w:szCs w:val="16"/>
    </w:rPr>
  </w:style>
  <w:style w:type="paragraph" w:styleId="7">
    <w:name w:val="toc 1"/>
    <w:basedOn w:val="1"/>
    <w:next w:val="1"/>
    <w:unhideWhenUsed/>
    <w:qFormat/>
    <w:uiPriority w:val="39"/>
    <w:pPr>
      <w:spacing w:after="100"/>
    </w:pPr>
  </w:style>
  <w:style w:type="paragraph" w:styleId="8">
    <w:name w:val="toc 2"/>
    <w:basedOn w:val="1"/>
    <w:next w:val="1"/>
    <w:unhideWhenUsed/>
    <w:qFormat/>
    <w:uiPriority w:val="39"/>
    <w:pPr>
      <w:spacing w:after="100"/>
      <w:ind w:left="220"/>
    </w:pPr>
  </w:style>
  <w:style w:type="character" w:styleId="11">
    <w:name w:val="Hyperlink"/>
    <w:basedOn w:val="10"/>
    <w:unhideWhenUsed/>
    <w:qFormat/>
    <w:uiPriority w:val="99"/>
    <w:rPr>
      <w:color w:val="0563C1" w:themeColor="hyperlink"/>
      <w:u w:val="single"/>
      <w14:textFill>
        <w14:solidFill>
          <w14:schemeClr w14:val="hlink"/>
        </w14:solidFill>
      </w14:textFill>
    </w:rPr>
  </w:style>
  <w:style w:type="paragraph" w:styleId="12">
    <w:name w:val="No Spacing"/>
    <w:link w:val="13"/>
    <w:qFormat/>
    <w:uiPriority w:val="1"/>
    <w:rPr>
      <w:rFonts w:asciiTheme="minorHAnsi" w:hAnsiTheme="minorHAnsi" w:eastAsiaTheme="minorEastAsia" w:cstheme="minorBidi"/>
      <w:sz w:val="22"/>
      <w:szCs w:val="22"/>
      <w:lang w:val="en-US" w:eastAsia="en-US" w:bidi="ar-SA"/>
    </w:rPr>
  </w:style>
  <w:style w:type="character" w:customStyle="1" w:styleId="13">
    <w:name w:val="无间隔 字符"/>
    <w:basedOn w:val="10"/>
    <w:link w:val="12"/>
    <w:qFormat/>
    <w:uiPriority w:val="1"/>
    <w:rPr>
      <w:rFonts w:eastAsiaTheme="minorEastAsia"/>
      <w:lang w:val="en-US"/>
    </w:rPr>
  </w:style>
  <w:style w:type="character" w:customStyle="1" w:styleId="14">
    <w:name w:val="标题 1 字符"/>
    <w:basedOn w:val="10"/>
    <w:link w:val="2"/>
    <w:qFormat/>
    <w:uiPriority w:val="9"/>
    <w:rPr>
      <w:rFonts w:asciiTheme="majorHAnsi" w:hAnsiTheme="majorHAnsi" w:eastAsiaTheme="majorEastAsia" w:cstheme="majorBidi"/>
      <w:b/>
      <w:color w:val="2E75B6" w:themeColor="accent1" w:themeShade="BF"/>
      <w:sz w:val="32"/>
      <w:szCs w:val="32"/>
    </w:rPr>
  </w:style>
  <w:style w:type="paragraph" w:customStyle="1" w:styleId="15">
    <w:name w:val="TOC 标题1"/>
    <w:basedOn w:val="2"/>
    <w:next w:val="1"/>
    <w:unhideWhenUsed/>
    <w:qFormat/>
    <w:uiPriority w:val="39"/>
    <w:pPr>
      <w:outlineLvl w:val="9"/>
    </w:pPr>
    <w:rPr>
      <w:lang w:val="en-US"/>
    </w:rPr>
  </w:style>
  <w:style w:type="character" w:customStyle="1" w:styleId="16">
    <w:name w:val="标题 2 字符"/>
    <w:basedOn w:val="10"/>
    <w:link w:val="3"/>
    <w:qFormat/>
    <w:uiPriority w:val="9"/>
    <w:rPr>
      <w:rFonts w:asciiTheme="majorHAnsi" w:hAnsiTheme="majorHAnsi" w:eastAsiaTheme="majorEastAsia" w:cstheme="majorBidi"/>
      <w:b/>
      <w:color w:val="2E75B6" w:themeColor="accent1" w:themeShade="BF"/>
      <w:sz w:val="26"/>
      <w:szCs w:val="26"/>
    </w:rPr>
  </w:style>
  <w:style w:type="character" w:customStyle="1" w:styleId="17">
    <w:name w:val="批注框文本 字符"/>
    <w:basedOn w:val="10"/>
    <w:link w:val="6"/>
    <w:semiHidden/>
    <w:qFormat/>
    <w:uiPriority w:val="99"/>
    <w:rPr>
      <w:rFonts w:ascii="Tahoma" w:hAnsi="Tahoma" w:cs="Tahoma"/>
      <w:sz w:val="16"/>
      <w:szCs w:val="16"/>
    </w:rPr>
  </w:style>
  <w:style w:type="character" w:customStyle="1" w:styleId="18">
    <w:name w:val="标题 3 字符"/>
    <w:basedOn w:val="10"/>
    <w:link w:val="4"/>
    <w:qFormat/>
    <w:uiPriority w:val="9"/>
    <w:rPr>
      <w:rFonts w:asciiTheme="majorHAnsi" w:hAnsiTheme="majorHAnsi" w:eastAsiaTheme="majorEastAsia" w:cstheme="majorBidi"/>
      <w:b/>
      <w:bCs/>
      <w:color w:val="5B9BD5" w:themeColor="accent1"/>
      <w:sz w:val="24"/>
      <w14:textFill>
        <w14:solidFill>
          <w14:schemeClr w14:val="accent1"/>
        </w14:solidFill>
      </w14:textFill>
    </w:rPr>
  </w:style>
  <w:style w:type="paragraph" w:styleId="19">
    <w:name w:val="List Paragraph"/>
    <w:basedOn w:val="1"/>
    <w:qFormat/>
    <w:uiPriority w:val="99"/>
    <w:pPr>
      <w:ind w:firstLine="420" w:firstLineChars="200"/>
    </w:p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EA45F7E-E0FE-864E-B343-DD9DE8A01ADB}">
  <ds:schemaRefs/>
</ds:datastoreItem>
</file>

<file path=docProps/app.xml><?xml version="1.0" encoding="utf-8"?>
<Properties xmlns="http://schemas.openxmlformats.org/officeDocument/2006/extended-properties" xmlns:vt="http://schemas.openxmlformats.org/officeDocument/2006/docPropsVTypes">
  <Template>Normal.dotm</Template>
  <Pages>24</Pages>
  <Words>5857</Words>
  <Characters>33385</Characters>
  <Lines>278</Lines>
  <Paragraphs>78</Paragraphs>
  <TotalTime>41</TotalTime>
  <ScaleCrop>false</ScaleCrop>
  <LinksUpToDate>false</LinksUpToDate>
  <CharactersWithSpaces>39164</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2023-12-01T06:54:00Z</dcterms:created>
  <dc:creator>lenovo</dc:creator>
  <cp:lastModifiedBy>小杨</cp:lastModifiedBy>
  <dcterms:modified xsi:type="dcterms:W3CDTF">2023-12-01T18:46:51Z</dcterms:modified>
  <cp:revision>261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BC667C33A51D411DA41CE3C14075251C_13</vt:lpwstr>
  </property>
</Properties>
</file>