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C3250F" w14:textId="093FA1C3" w:rsidR="00AB2B90" w:rsidRPr="00161B2E" w:rsidRDefault="00AB2B90" w:rsidP="00AB2B90">
      <w:pPr>
        <w:jc w:val="center"/>
        <w:rPr>
          <w:rFonts w:ascii="Arial" w:hAnsi="Arial" w:cs="Arial"/>
          <w:b/>
          <w:bCs/>
        </w:rPr>
      </w:pPr>
      <w:r w:rsidRPr="00161B2E">
        <w:rPr>
          <w:rFonts w:ascii="Arial" w:hAnsi="Arial" w:cs="Arial"/>
        </w:rPr>
        <w:t>Assignment 1.</w:t>
      </w:r>
      <w:r w:rsidRPr="00161B2E">
        <w:rPr>
          <w:rFonts w:ascii="Arial" w:hAnsi="Arial" w:cs="Arial"/>
        </w:rPr>
        <w:br/>
      </w:r>
      <w:r w:rsidRPr="00161B2E">
        <w:rPr>
          <w:rFonts w:ascii="Arial" w:hAnsi="Arial" w:cs="Arial"/>
          <w:b/>
          <w:bCs/>
        </w:rPr>
        <w:t xml:space="preserve">A Critical Reflection of what constitutes inequality. </w:t>
      </w:r>
    </w:p>
    <w:p w14:paraId="0F7E6AF8" w14:textId="15F8502E" w:rsidR="00AB2B90" w:rsidRPr="00161B2E" w:rsidRDefault="00AB2B90" w:rsidP="00AB2B90">
      <w:pPr>
        <w:jc w:val="center"/>
        <w:rPr>
          <w:rFonts w:ascii="Arial" w:hAnsi="Arial" w:cs="Arial"/>
          <w:b/>
          <w:bCs/>
        </w:rPr>
      </w:pPr>
      <w:r w:rsidRPr="00161B2E">
        <w:rPr>
          <w:rFonts w:ascii="Arial" w:hAnsi="Arial" w:cs="Arial"/>
          <w:b/>
          <w:bCs/>
        </w:rPr>
        <w:t>A broad view of inequality in former industrial communities in Wales.</w:t>
      </w:r>
    </w:p>
    <w:p w14:paraId="1ED43393" w14:textId="77777777" w:rsidR="00AB2B90" w:rsidRPr="00161B2E" w:rsidRDefault="00AB2B90" w:rsidP="00AB2B90">
      <w:pPr>
        <w:jc w:val="center"/>
        <w:rPr>
          <w:rFonts w:ascii="Arial" w:hAnsi="Arial" w:cs="Arial"/>
        </w:rPr>
      </w:pPr>
    </w:p>
    <w:p w14:paraId="0C2F0972" w14:textId="1B254BBB" w:rsidR="00AB2B90" w:rsidRPr="00161B2E" w:rsidRDefault="00AB2B90" w:rsidP="00AB2B90">
      <w:pPr>
        <w:jc w:val="center"/>
        <w:rPr>
          <w:rFonts w:ascii="Arial" w:hAnsi="Arial" w:cs="Arial"/>
        </w:rPr>
      </w:pPr>
      <w:r w:rsidRPr="00161B2E">
        <w:rPr>
          <w:rFonts w:ascii="Arial" w:hAnsi="Arial" w:cs="Arial"/>
        </w:rPr>
        <w:t>210356</w:t>
      </w:r>
      <w:r w:rsidRPr="00161B2E">
        <w:rPr>
          <w:rFonts w:ascii="Arial" w:hAnsi="Arial" w:cs="Arial"/>
        </w:rPr>
        <w:br/>
        <w:t>Laura Clarke</w:t>
      </w:r>
    </w:p>
    <w:p w14:paraId="7C680C86" w14:textId="77777777" w:rsidR="000549CD" w:rsidRPr="00161B2E" w:rsidRDefault="000549CD" w:rsidP="00AB2B90">
      <w:pPr>
        <w:jc w:val="center"/>
        <w:rPr>
          <w:rFonts w:ascii="Arial" w:hAnsi="Arial" w:cs="Arial"/>
        </w:rPr>
      </w:pPr>
    </w:p>
    <w:p w14:paraId="16C13C94" w14:textId="77777777" w:rsidR="000549CD" w:rsidRPr="00161B2E" w:rsidRDefault="000549CD" w:rsidP="00AB2B90">
      <w:pPr>
        <w:jc w:val="center"/>
        <w:rPr>
          <w:rFonts w:ascii="Arial" w:hAnsi="Arial" w:cs="Arial"/>
        </w:rPr>
      </w:pPr>
    </w:p>
    <w:p w14:paraId="6FC16E78" w14:textId="77777777" w:rsidR="000549CD" w:rsidRPr="00161B2E" w:rsidRDefault="000549CD" w:rsidP="00AB2B90">
      <w:pPr>
        <w:jc w:val="center"/>
        <w:rPr>
          <w:rFonts w:ascii="Arial" w:hAnsi="Arial" w:cs="Arial"/>
        </w:rPr>
      </w:pPr>
    </w:p>
    <w:p w14:paraId="2A54586E" w14:textId="77777777" w:rsidR="000549CD" w:rsidRPr="00161B2E" w:rsidRDefault="000549CD" w:rsidP="00AB2B90">
      <w:pPr>
        <w:jc w:val="center"/>
        <w:rPr>
          <w:rFonts w:ascii="Arial" w:hAnsi="Arial" w:cs="Arial"/>
        </w:rPr>
      </w:pPr>
    </w:p>
    <w:p w14:paraId="78DEE06D" w14:textId="77777777" w:rsidR="000549CD" w:rsidRPr="00161B2E" w:rsidRDefault="000549CD" w:rsidP="00AB2B90">
      <w:pPr>
        <w:jc w:val="center"/>
        <w:rPr>
          <w:rFonts w:ascii="Arial" w:hAnsi="Arial" w:cs="Arial"/>
        </w:rPr>
      </w:pPr>
    </w:p>
    <w:p w14:paraId="60458866" w14:textId="77777777" w:rsidR="000549CD" w:rsidRPr="00161B2E" w:rsidRDefault="000549CD" w:rsidP="00AB2B90">
      <w:pPr>
        <w:jc w:val="center"/>
        <w:rPr>
          <w:rFonts w:ascii="Arial" w:hAnsi="Arial" w:cs="Arial"/>
        </w:rPr>
      </w:pPr>
    </w:p>
    <w:p w14:paraId="0958B7FE" w14:textId="77777777" w:rsidR="000549CD" w:rsidRPr="00161B2E" w:rsidRDefault="000549CD" w:rsidP="00AB2B90">
      <w:pPr>
        <w:jc w:val="center"/>
        <w:rPr>
          <w:rFonts w:ascii="Arial" w:hAnsi="Arial" w:cs="Arial"/>
        </w:rPr>
      </w:pPr>
    </w:p>
    <w:p w14:paraId="62A8906E" w14:textId="77777777" w:rsidR="000549CD" w:rsidRPr="00161B2E" w:rsidRDefault="000549CD" w:rsidP="00AB2B90">
      <w:pPr>
        <w:jc w:val="center"/>
        <w:rPr>
          <w:rFonts w:ascii="Arial" w:hAnsi="Arial" w:cs="Arial"/>
        </w:rPr>
      </w:pPr>
    </w:p>
    <w:p w14:paraId="2C95678C" w14:textId="77777777" w:rsidR="000549CD" w:rsidRPr="00161B2E" w:rsidRDefault="000549CD" w:rsidP="00AB2B90">
      <w:pPr>
        <w:jc w:val="center"/>
        <w:rPr>
          <w:rFonts w:ascii="Arial" w:hAnsi="Arial" w:cs="Arial"/>
        </w:rPr>
      </w:pPr>
    </w:p>
    <w:p w14:paraId="1E408162" w14:textId="77777777" w:rsidR="000549CD" w:rsidRPr="00161B2E" w:rsidRDefault="000549CD" w:rsidP="00AB2B90">
      <w:pPr>
        <w:jc w:val="center"/>
        <w:rPr>
          <w:rFonts w:ascii="Arial" w:hAnsi="Arial" w:cs="Arial"/>
        </w:rPr>
      </w:pPr>
    </w:p>
    <w:p w14:paraId="230197AA" w14:textId="77777777" w:rsidR="000549CD" w:rsidRPr="00161B2E" w:rsidRDefault="000549CD" w:rsidP="00AB2B90">
      <w:pPr>
        <w:jc w:val="center"/>
        <w:rPr>
          <w:rFonts w:ascii="Arial" w:hAnsi="Arial" w:cs="Arial"/>
        </w:rPr>
      </w:pPr>
    </w:p>
    <w:p w14:paraId="77A9D172" w14:textId="77777777" w:rsidR="000549CD" w:rsidRPr="00161B2E" w:rsidRDefault="000549CD" w:rsidP="00AB2B90">
      <w:pPr>
        <w:jc w:val="center"/>
        <w:rPr>
          <w:rFonts w:ascii="Arial" w:hAnsi="Arial" w:cs="Arial"/>
        </w:rPr>
      </w:pPr>
    </w:p>
    <w:p w14:paraId="2B686076" w14:textId="77777777" w:rsidR="000549CD" w:rsidRPr="00161B2E" w:rsidRDefault="000549CD" w:rsidP="00AB2B90">
      <w:pPr>
        <w:jc w:val="center"/>
        <w:rPr>
          <w:rFonts w:ascii="Arial" w:hAnsi="Arial" w:cs="Arial"/>
        </w:rPr>
      </w:pPr>
    </w:p>
    <w:p w14:paraId="4042E4F0" w14:textId="77777777" w:rsidR="000549CD" w:rsidRPr="00161B2E" w:rsidRDefault="000549CD" w:rsidP="00AB2B90">
      <w:pPr>
        <w:jc w:val="center"/>
        <w:rPr>
          <w:rFonts w:ascii="Arial" w:hAnsi="Arial" w:cs="Arial"/>
        </w:rPr>
      </w:pPr>
    </w:p>
    <w:p w14:paraId="2B10CD17" w14:textId="77777777" w:rsidR="000549CD" w:rsidRPr="00161B2E" w:rsidRDefault="000549CD" w:rsidP="00AB2B90">
      <w:pPr>
        <w:jc w:val="center"/>
        <w:rPr>
          <w:rFonts w:ascii="Arial" w:hAnsi="Arial" w:cs="Arial"/>
        </w:rPr>
      </w:pPr>
    </w:p>
    <w:p w14:paraId="04AF8DE7" w14:textId="77777777" w:rsidR="000549CD" w:rsidRPr="00161B2E" w:rsidRDefault="000549CD" w:rsidP="00AB2B90">
      <w:pPr>
        <w:jc w:val="center"/>
        <w:rPr>
          <w:rFonts w:ascii="Arial" w:hAnsi="Arial" w:cs="Arial"/>
        </w:rPr>
      </w:pPr>
    </w:p>
    <w:p w14:paraId="7C528118" w14:textId="77777777" w:rsidR="000549CD" w:rsidRPr="00161B2E" w:rsidRDefault="000549CD" w:rsidP="00AB2B90">
      <w:pPr>
        <w:jc w:val="center"/>
        <w:rPr>
          <w:rFonts w:ascii="Arial" w:hAnsi="Arial" w:cs="Arial"/>
        </w:rPr>
      </w:pPr>
    </w:p>
    <w:p w14:paraId="2B3ED6E5" w14:textId="77777777" w:rsidR="000549CD" w:rsidRPr="00161B2E" w:rsidRDefault="000549CD" w:rsidP="00AB2B90">
      <w:pPr>
        <w:jc w:val="center"/>
        <w:rPr>
          <w:rFonts w:ascii="Arial" w:hAnsi="Arial" w:cs="Arial"/>
        </w:rPr>
      </w:pPr>
    </w:p>
    <w:p w14:paraId="7BB0630D" w14:textId="77777777" w:rsidR="000549CD" w:rsidRPr="00161B2E" w:rsidRDefault="000549CD" w:rsidP="00AB2B90">
      <w:pPr>
        <w:jc w:val="center"/>
        <w:rPr>
          <w:rFonts w:ascii="Arial" w:hAnsi="Arial" w:cs="Arial"/>
        </w:rPr>
      </w:pPr>
    </w:p>
    <w:p w14:paraId="5BFC50CF" w14:textId="77777777" w:rsidR="000549CD" w:rsidRPr="00161B2E" w:rsidRDefault="000549CD" w:rsidP="00AB2B90">
      <w:pPr>
        <w:jc w:val="center"/>
        <w:rPr>
          <w:rFonts w:ascii="Arial" w:hAnsi="Arial" w:cs="Arial"/>
        </w:rPr>
      </w:pPr>
    </w:p>
    <w:p w14:paraId="316214D8" w14:textId="77777777" w:rsidR="000549CD" w:rsidRPr="00161B2E" w:rsidRDefault="000549CD" w:rsidP="00AB2B90">
      <w:pPr>
        <w:jc w:val="center"/>
        <w:rPr>
          <w:rFonts w:ascii="Arial" w:hAnsi="Arial" w:cs="Arial"/>
        </w:rPr>
      </w:pPr>
    </w:p>
    <w:p w14:paraId="491D9115" w14:textId="77777777" w:rsidR="000549CD" w:rsidRPr="00161B2E" w:rsidRDefault="000549CD" w:rsidP="00AB2B90">
      <w:pPr>
        <w:jc w:val="center"/>
        <w:rPr>
          <w:rFonts w:ascii="Arial" w:hAnsi="Arial" w:cs="Arial"/>
        </w:rPr>
      </w:pPr>
    </w:p>
    <w:p w14:paraId="3A1AD421" w14:textId="77777777" w:rsidR="000549CD" w:rsidRPr="00161B2E" w:rsidRDefault="000549CD" w:rsidP="00AB2B90">
      <w:pPr>
        <w:jc w:val="center"/>
        <w:rPr>
          <w:rFonts w:ascii="Arial" w:hAnsi="Arial" w:cs="Arial"/>
        </w:rPr>
      </w:pPr>
    </w:p>
    <w:sdt>
      <w:sdtPr>
        <w:rPr>
          <w:rFonts w:ascii="Arial" w:hAnsi="Arial" w:cs="Arial"/>
          <w:color w:val="auto"/>
        </w:rPr>
        <w:id w:val="-1491316596"/>
        <w:docPartObj>
          <w:docPartGallery w:val="Table of Contents"/>
          <w:docPartUnique/>
        </w:docPartObj>
      </w:sdtPr>
      <w:sdtEndPr>
        <w:rPr>
          <w:rFonts w:eastAsiaTheme="minorHAnsi"/>
          <w:b/>
          <w:bCs/>
          <w:noProof/>
          <w:kern w:val="2"/>
          <w:sz w:val="24"/>
          <w:szCs w:val="24"/>
          <w:lang w:val="en-GB"/>
          <w14:ligatures w14:val="standardContextual"/>
        </w:rPr>
      </w:sdtEndPr>
      <w:sdtContent>
        <w:p w14:paraId="284E26E9" w14:textId="77777777" w:rsidR="000549CD" w:rsidRPr="00161B2E" w:rsidRDefault="000549CD" w:rsidP="000549CD">
          <w:pPr>
            <w:pStyle w:val="TOCHeading"/>
            <w:rPr>
              <w:rFonts w:ascii="Arial" w:hAnsi="Arial" w:cs="Arial"/>
              <w:color w:val="auto"/>
            </w:rPr>
          </w:pPr>
          <w:r w:rsidRPr="00161B2E">
            <w:rPr>
              <w:rFonts w:ascii="Arial" w:hAnsi="Arial" w:cs="Arial"/>
              <w:color w:val="auto"/>
            </w:rPr>
            <w:t>Contents</w:t>
          </w:r>
        </w:p>
        <w:p w14:paraId="6796B250" w14:textId="041FD5C3" w:rsidR="000549CD" w:rsidRPr="00161B2E" w:rsidRDefault="000549CD">
          <w:pPr>
            <w:pStyle w:val="TOC1"/>
            <w:tabs>
              <w:tab w:val="right" w:leader="dot" w:pos="9016"/>
            </w:tabs>
            <w:rPr>
              <w:rFonts w:ascii="Arial" w:eastAsiaTheme="minorEastAsia" w:hAnsi="Arial" w:cs="Arial"/>
              <w:noProof/>
              <w:lang w:eastAsia="en-GB"/>
            </w:rPr>
          </w:pPr>
          <w:r w:rsidRPr="00161B2E">
            <w:rPr>
              <w:rFonts w:ascii="Arial" w:hAnsi="Arial" w:cs="Arial"/>
            </w:rPr>
            <w:fldChar w:fldCharType="begin"/>
          </w:r>
          <w:r w:rsidRPr="00161B2E">
            <w:rPr>
              <w:rFonts w:ascii="Arial" w:hAnsi="Arial" w:cs="Arial"/>
            </w:rPr>
            <w:instrText xml:space="preserve"> TOC \o "1-3" \h \z \u </w:instrText>
          </w:r>
          <w:r w:rsidRPr="00161B2E">
            <w:rPr>
              <w:rFonts w:ascii="Arial" w:hAnsi="Arial" w:cs="Arial"/>
            </w:rPr>
            <w:fldChar w:fldCharType="separate"/>
          </w:r>
          <w:hyperlink w:anchor="_Toc182222984" w:history="1">
            <w:r w:rsidRPr="00161B2E">
              <w:rPr>
                <w:rStyle w:val="Hyperlink"/>
                <w:rFonts w:ascii="Arial" w:hAnsi="Arial" w:cs="Arial"/>
                <w:noProof/>
                <w:color w:val="auto"/>
              </w:rPr>
              <w:t>Introduction</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_Toc182222984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3</w:t>
            </w:r>
            <w:r w:rsidRPr="00161B2E">
              <w:rPr>
                <w:rFonts w:ascii="Arial" w:hAnsi="Arial" w:cs="Arial"/>
                <w:noProof/>
                <w:webHidden/>
              </w:rPr>
              <w:fldChar w:fldCharType="end"/>
            </w:r>
          </w:hyperlink>
        </w:p>
        <w:p w14:paraId="1B439270" w14:textId="1BDD1690" w:rsidR="000549CD" w:rsidRPr="00161B2E" w:rsidRDefault="000549CD">
          <w:pPr>
            <w:pStyle w:val="TOC1"/>
            <w:tabs>
              <w:tab w:val="right" w:leader="dot" w:pos="9016"/>
            </w:tabs>
            <w:rPr>
              <w:rFonts w:ascii="Arial" w:eastAsiaTheme="minorEastAsia" w:hAnsi="Arial" w:cs="Arial"/>
              <w:noProof/>
              <w:lang w:eastAsia="en-GB"/>
            </w:rPr>
          </w:pPr>
          <w:hyperlink w:anchor="_Toc182222985" w:history="1">
            <w:r w:rsidRPr="00161B2E">
              <w:rPr>
                <w:rStyle w:val="Hyperlink"/>
                <w:rFonts w:ascii="Arial" w:hAnsi="Arial" w:cs="Arial"/>
                <w:noProof/>
                <w:color w:val="auto"/>
              </w:rPr>
              <w:t>What is Inequality</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_Toc182222985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3</w:t>
            </w:r>
            <w:r w:rsidRPr="00161B2E">
              <w:rPr>
                <w:rFonts w:ascii="Arial" w:hAnsi="Arial" w:cs="Arial"/>
                <w:noProof/>
                <w:webHidden/>
              </w:rPr>
              <w:fldChar w:fldCharType="end"/>
            </w:r>
          </w:hyperlink>
        </w:p>
        <w:p w14:paraId="0A559155" w14:textId="709CF5D1" w:rsidR="000549CD" w:rsidRPr="00161B2E" w:rsidRDefault="000549CD">
          <w:pPr>
            <w:pStyle w:val="TOC1"/>
            <w:tabs>
              <w:tab w:val="right" w:leader="dot" w:pos="9016"/>
            </w:tabs>
            <w:rPr>
              <w:rFonts w:ascii="Arial" w:eastAsiaTheme="minorEastAsia" w:hAnsi="Arial" w:cs="Arial"/>
              <w:noProof/>
              <w:lang w:eastAsia="en-GB"/>
            </w:rPr>
          </w:pPr>
          <w:hyperlink w:anchor="_Toc182222986" w:history="1">
            <w:r w:rsidRPr="00161B2E">
              <w:rPr>
                <w:rStyle w:val="Hyperlink"/>
                <w:rFonts w:ascii="Arial" w:hAnsi="Arial" w:cs="Arial"/>
                <w:noProof/>
                <w:color w:val="auto"/>
              </w:rPr>
              <w:t>FACTORS IN INEQUALITY</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_Toc182222986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5</w:t>
            </w:r>
            <w:r w:rsidRPr="00161B2E">
              <w:rPr>
                <w:rFonts w:ascii="Arial" w:hAnsi="Arial" w:cs="Arial"/>
                <w:noProof/>
                <w:webHidden/>
              </w:rPr>
              <w:fldChar w:fldCharType="end"/>
            </w:r>
          </w:hyperlink>
        </w:p>
        <w:p w14:paraId="0FB517AA" w14:textId="38FF3A31" w:rsidR="000549CD" w:rsidRPr="00161B2E" w:rsidRDefault="000549CD">
          <w:pPr>
            <w:pStyle w:val="TOC2"/>
            <w:tabs>
              <w:tab w:val="right" w:leader="dot" w:pos="9016"/>
            </w:tabs>
            <w:rPr>
              <w:rFonts w:ascii="Arial" w:eastAsiaTheme="minorEastAsia" w:hAnsi="Arial" w:cs="Arial"/>
              <w:noProof/>
              <w:lang w:eastAsia="en-GB"/>
            </w:rPr>
          </w:pPr>
          <w:hyperlink w:anchor="_Toc182222987" w:history="1">
            <w:r w:rsidRPr="00161B2E">
              <w:rPr>
                <w:rStyle w:val="Hyperlink"/>
                <w:rFonts w:ascii="Arial" w:hAnsi="Arial" w:cs="Arial"/>
                <w:noProof/>
                <w:color w:val="auto"/>
              </w:rPr>
              <w:t>Health and Well-Being</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_Toc182222987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7</w:t>
            </w:r>
            <w:r w:rsidRPr="00161B2E">
              <w:rPr>
                <w:rFonts w:ascii="Arial" w:hAnsi="Arial" w:cs="Arial"/>
                <w:noProof/>
                <w:webHidden/>
              </w:rPr>
              <w:fldChar w:fldCharType="end"/>
            </w:r>
          </w:hyperlink>
        </w:p>
        <w:p w14:paraId="3159878F" w14:textId="47D929FD" w:rsidR="000549CD" w:rsidRPr="00161B2E" w:rsidRDefault="000549CD">
          <w:pPr>
            <w:pStyle w:val="TOC2"/>
            <w:tabs>
              <w:tab w:val="right" w:leader="dot" w:pos="9016"/>
            </w:tabs>
            <w:rPr>
              <w:rFonts w:ascii="Arial" w:eastAsiaTheme="minorEastAsia" w:hAnsi="Arial" w:cs="Arial"/>
              <w:noProof/>
              <w:lang w:eastAsia="en-GB"/>
            </w:rPr>
          </w:pPr>
          <w:hyperlink w:anchor="_Toc182222988" w:history="1">
            <w:r w:rsidRPr="00161B2E">
              <w:rPr>
                <w:rStyle w:val="Hyperlink"/>
                <w:rFonts w:ascii="Arial" w:hAnsi="Arial" w:cs="Arial"/>
                <w:noProof/>
                <w:color w:val="auto"/>
              </w:rPr>
              <w:t>Housing</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_Toc182222988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8</w:t>
            </w:r>
            <w:r w:rsidRPr="00161B2E">
              <w:rPr>
                <w:rFonts w:ascii="Arial" w:hAnsi="Arial" w:cs="Arial"/>
                <w:noProof/>
                <w:webHidden/>
              </w:rPr>
              <w:fldChar w:fldCharType="end"/>
            </w:r>
          </w:hyperlink>
        </w:p>
        <w:p w14:paraId="52B258A2" w14:textId="1C8E0960" w:rsidR="000549CD" w:rsidRPr="00161B2E" w:rsidRDefault="000549CD">
          <w:pPr>
            <w:pStyle w:val="TOC2"/>
            <w:tabs>
              <w:tab w:val="right" w:leader="dot" w:pos="9016"/>
            </w:tabs>
            <w:rPr>
              <w:rFonts w:ascii="Arial" w:eastAsiaTheme="minorEastAsia" w:hAnsi="Arial" w:cs="Arial"/>
              <w:noProof/>
              <w:lang w:eastAsia="en-GB"/>
            </w:rPr>
          </w:pPr>
          <w:hyperlink w:anchor="_Toc182222989" w:history="1">
            <w:r w:rsidRPr="00161B2E">
              <w:rPr>
                <w:rStyle w:val="Hyperlink"/>
                <w:rFonts w:ascii="Arial" w:hAnsi="Arial" w:cs="Arial"/>
                <w:noProof/>
                <w:color w:val="auto"/>
              </w:rPr>
              <w:t>The European union and withdrawal of support post Brexit</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_Toc182222989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8</w:t>
            </w:r>
            <w:r w:rsidRPr="00161B2E">
              <w:rPr>
                <w:rFonts w:ascii="Arial" w:hAnsi="Arial" w:cs="Arial"/>
                <w:noProof/>
                <w:webHidden/>
              </w:rPr>
              <w:fldChar w:fldCharType="end"/>
            </w:r>
          </w:hyperlink>
        </w:p>
        <w:p w14:paraId="1EFF16F8" w14:textId="3EA047AD" w:rsidR="000549CD" w:rsidRPr="00161B2E" w:rsidRDefault="000549CD">
          <w:pPr>
            <w:pStyle w:val="TOC2"/>
            <w:tabs>
              <w:tab w:val="right" w:leader="dot" w:pos="9016"/>
            </w:tabs>
            <w:rPr>
              <w:rFonts w:ascii="Arial" w:eastAsiaTheme="minorEastAsia" w:hAnsi="Arial" w:cs="Arial"/>
              <w:noProof/>
              <w:lang w:eastAsia="en-GB"/>
            </w:rPr>
          </w:pPr>
          <w:hyperlink w:anchor="_Toc182222990" w:history="1">
            <w:r w:rsidRPr="00161B2E">
              <w:rPr>
                <w:rStyle w:val="Hyperlink"/>
                <w:rFonts w:ascii="Arial" w:hAnsi="Arial" w:cs="Arial"/>
                <w:noProof/>
                <w:color w:val="auto"/>
              </w:rPr>
              <w:t>Political alienation</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_Toc182222990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10</w:t>
            </w:r>
            <w:r w:rsidRPr="00161B2E">
              <w:rPr>
                <w:rFonts w:ascii="Arial" w:hAnsi="Arial" w:cs="Arial"/>
                <w:noProof/>
                <w:webHidden/>
              </w:rPr>
              <w:fldChar w:fldCharType="end"/>
            </w:r>
          </w:hyperlink>
        </w:p>
        <w:p w14:paraId="3B20F2F3" w14:textId="54FB2A81" w:rsidR="000549CD" w:rsidRPr="00161B2E" w:rsidRDefault="000549CD">
          <w:pPr>
            <w:pStyle w:val="TOC1"/>
            <w:tabs>
              <w:tab w:val="right" w:leader="dot" w:pos="9016"/>
            </w:tabs>
            <w:rPr>
              <w:rFonts w:ascii="Arial" w:eastAsiaTheme="minorEastAsia" w:hAnsi="Arial" w:cs="Arial"/>
              <w:noProof/>
              <w:lang w:eastAsia="en-GB"/>
            </w:rPr>
          </w:pPr>
          <w:hyperlink w:anchor="_Toc182222991" w:history="1">
            <w:r w:rsidRPr="00161B2E">
              <w:rPr>
                <w:rStyle w:val="Hyperlink"/>
                <w:rFonts w:ascii="Arial" w:hAnsi="Arial" w:cs="Arial"/>
                <w:noProof/>
                <w:color w:val="auto"/>
              </w:rPr>
              <w:t>Possible solutions</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_Toc182222991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11</w:t>
            </w:r>
            <w:r w:rsidRPr="00161B2E">
              <w:rPr>
                <w:rFonts w:ascii="Arial" w:hAnsi="Arial" w:cs="Arial"/>
                <w:noProof/>
                <w:webHidden/>
              </w:rPr>
              <w:fldChar w:fldCharType="end"/>
            </w:r>
          </w:hyperlink>
        </w:p>
        <w:p w14:paraId="7A15195C" w14:textId="01AA7D58" w:rsidR="000549CD" w:rsidRPr="00161B2E" w:rsidRDefault="000549CD">
          <w:pPr>
            <w:pStyle w:val="TOC1"/>
            <w:tabs>
              <w:tab w:val="right" w:leader="dot" w:pos="9016"/>
            </w:tabs>
            <w:rPr>
              <w:rFonts w:ascii="Arial" w:eastAsiaTheme="minorEastAsia" w:hAnsi="Arial" w:cs="Arial"/>
              <w:noProof/>
              <w:lang w:eastAsia="en-GB"/>
            </w:rPr>
          </w:pPr>
          <w:hyperlink w:anchor="_Toc182222992" w:history="1">
            <w:r w:rsidRPr="00161B2E">
              <w:rPr>
                <w:rStyle w:val="Hyperlink"/>
                <w:rFonts w:ascii="Arial" w:hAnsi="Arial" w:cs="Arial"/>
                <w:noProof/>
                <w:color w:val="auto"/>
              </w:rPr>
              <w:t>Conclusion</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_Toc182222992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12</w:t>
            </w:r>
            <w:r w:rsidRPr="00161B2E">
              <w:rPr>
                <w:rFonts w:ascii="Arial" w:hAnsi="Arial" w:cs="Arial"/>
                <w:noProof/>
                <w:webHidden/>
              </w:rPr>
              <w:fldChar w:fldCharType="end"/>
            </w:r>
          </w:hyperlink>
        </w:p>
        <w:p w14:paraId="167ACA65" w14:textId="74AC4A09" w:rsidR="000549CD" w:rsidRPr="00161B2E" w:rsidRDefault="000549CD">
          <w:pPr>
            <w:pStyle w:val="TOC1"/>
            <w:tabs>
              <w:tab w:val="right" w:leader="dot" w:pos="9016"/>
            </w:tabs>
            <w:rPr>
              <w:rFonts w:ascii="Arial" w:eastAsiaTheme="minorEastAsia" w:hAnsi="Arial" w:cs="Arial"/>
              <w:noProof/>
              <w:lang w:eastAsia="en-GB"/>
            </w:rPr>
          </w:pPr>
          <w:hyperlink w:anchor="_Toc182222993" w:history="1">
            <w:r w:rsidRPr="00161B2E">
              <w:rPr>
                <w:rStyle w:val="Hyperlink"/>
                <w:rFonts w:ascii="Arial" w:hAnsi="Arial" w:cs="Arial"/>
                <w:noProof/>
                <w:color w:val="auto"/>
              </w:rPr>
              <w:t>References</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_Toc182222993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13</w:t>
            </w:r>
            <w:r w:rsidRPr="00161B2E">
              <w:rPr>
                <w:rFonts w:ascii="Arial" w:hAnsi="Arial" w:cs="Arial"/>
                <w:noProof/>
                <w:webHidden/>
              </w:rPr>
              <w:fldChar w:fldCharType="end"/>
            </w:r>
          </w:hyperlink>
        </w:p>
        <w:p w14:paraId="7FB354C9" w14:textId="1C8C7184" w:rsidR="000549CD" w:rsidRPr="00161B2E" w:rsidRDefault="000549CD">
          <w:pPr>
            <w:pStyle w:val="TOC2"/>
            <w:tabs>
              <w:tab w:val="right" w:leader="dot" w:pos="9016"/>
            </w:tabs>
            <w:rPr>
              <w:rFonts w:ascii="Arial" w:eastAsiaTheme="minorEastAsia" w:hAnsi="Arial" w:cs="Arial"/>
              <w:noProof/>
              <w:lang w:eastAsia="en-GB"/>
            </w:rPr>
          </w:pPr>
          <w:hyperlink w:anchor="_Toc182222994" w:history="1">
            <w:r w:rsidRPr="00161B2E">
              <w:rPr>
                <w:rStyle w:val="Hyperlink"/>
                <w:rFonts w:ascii="Arial" w:hAnsi="Arial" w:cs="Arial"/>
                <w:noProof/>
                <w:color w:val="auto"/>
              </w:rPr>
              <w:t>List of Images</w:t>
            </w:r>
            <w:r w:rsidRPr="00161B2E">
              <w:rPr>
                <w:rFonts w:ascii="Arial" w:hAnsi="Arial" w:cs="Arial"/>
                <w:noProof/>
                <w:webHidden/>
              </w:rPr>
              <w:tab/>
            </w:r>
            <w:r w:rsidRPr="00161B2E">
              <w:rPr>
                <w:rFonts w:ascii="Arial" w:hAnsi="Arial" w:cs="Arial"/>
                <w:noProof/>
                <w:webHidden/>
              </w:rPr>
              <w:fldChar w:fldCharType="begin"/>
            </w:r>
            <w:r w:rsidRPr="00161B2E">
              <w:rPr>
                <w:rFonts w:ascii="Arial" w:hAnsi="Arial" w:cs="Arial"/>
                <w:noProof/>
                <w:webHidden/>
              </w:rPr>
              <w:instrText xml:space="preserve"> PAGEREF _Toc182222994 \h </w:instrText>
            </w:r>
            <w:r w:rsidRPr="00161B2E">
              <w:rPr>
                <w:rFonts w:ascii="Arial" w:hAnsi="Arial" w:cs="Arial"/>
                <w:noProof/>
                <w:webHidden/>
              </w:rPr>
            </w:r>
            <w:r w:rsidRPr="00161B2E">
              <w:rPr>
                <w:rFonts w:ascii="Arial" w:hAnsi="Arial" w:cs="Arial"/>
                <w:noProof/>
                <w:webHidden/>
              </w:rPr>
              <w:fldChar w:fldCharType="separate"/>
            </w:r>
            <w:r w:rsidRPr="00161B2E">
              <w:rPr>
                <w:rFonts w:ascii="Arial" w:hAnsi="Arial" w:cs="Arial"/>
                <w:noProof/>
                <w:webHidden/>
              </w:rPr>
              <w:t>19</w:t>
            </w:r>
            <w:r w:rsidRPr="00161B2E">
              <w:rPr>
                <w:rFonts w:ascii="Arial" w:hAnsi="Arial" w:cs="Arial"/>
                <w:noProof/>
                <w:webHidden/>
              </w:rPr>
              <w:fldChar w:fldCharType="end"/>
            </w:r>
          </w:hyperlink>
        </w:p>
        <w:p w14:paraId="0BB4DBC0" w14:textId="1DC8A9E5" w:rsidR="000549CD" w:rsidRPr="00161B2E" w:rsidRDefault="000549CD" w:rsidP="000549CD">
          <w:pPr>
            <w:rPr>
              <w:rFonts w:ascii="Arial" w:hAnsi="Arial" w:cs="Arial"/>
              <w:b/>
              <w:bCs/>
              <w:noProof/>
            </w:rPr>
          </w:pPr>
          <w:r w:rsidRPr="00161B2E">
            <w:rPr>
              <w:rFonts w:ascii="Arial" w:hAnsi="Arial" w:cs="Arial"/>
              <w:b/>
              <w:bCs/>
              <w:noProof/>
            </w:rPr>
            <w:fldChar w:fldCharType="end"/>
          </w:r>
        </w:p>
      </w:sdtContent>
    </w:sdt>
    <w:p w14:paraId="2E6B08EA" w14:textId="77777777" w:rsidR="000549CD" w:rsidRPr="00161B2E" w:rsidRDefault="000549CD" w:rsidP="00AB2B90">
      <w:pPr>
        <w:jc w:val="center"/>
        <w:rPr>
          <w:rFonts w:ascii="Arial" w:hAnsi="Arial" w:cs="Arial"/>
        </w:rPr>
      </w:pPr>
    </w:p>
    <w:p w14:paraId="520D456D" w14:textId="77777777" w:rsidR="00AB2B90" w:rsidRPr="00161B2E" w:rsidRDefault="00AB2B90" w:rsidP="00AB2B90">
      <w:pPr>
        <w:jc w:val="center"/>
        <w:rPr>
          <w:rFonts w:ascii="Arial" w:hAnsi="Arial" w:cs="Arial"/>
        </w:rPr>
      </w:pPr>
    </w:p>
    <w:p w14:paraId="079D25B7" w14:textId="77777777" w:rsidR="000549CD" w:rsidRPr="00161B2E" w:rsidRDefault="000549CD" w:rsidP="00AB2B90">
      <w:pPr>
        <w:jc w:val="center"/>
        <w:rPr>
          <w:rFonts w:ascii="Arial" w:hAnsi="Arial" w:cs="Arial"/>
        </w:rPr>
      </w:pPr>
    </w:p>
    <w:p w14:paraId="05DB66A6" w14:textId="77777777" w:rsidR="000549CD" w:rsidRPr="00161B2E" w:rsidRDefault="000549CD" w:rsidP="00AB2B90">
      <w:pPr>
        <w:jc w:val="center"/>
        <w:rPr>
          <w:rFonts w:ascii="Arial" w:hAnsi="Arial" w:cs="Arial"/>
        </w:rPr>
      </w:pPr>
    </w:p>
    <w:p w14:paraId="748C2F7D" w14:textId="77777777" w:rsidR="000549CD" w:rsidRPr="00161B2E" w:rsidRDefault="000549CD" w:rsidP="00AB2B90">
      <w:pPr>
        <w:jc w:val="center"/>
        <w:rPr>
          <w:rFonts w:ascii="Arial" w:hAnsi="Arial" w:cs="Arial"/>
        </w:rPr>
      </w:pPr>
    </w:p>
    <w:p w14:paraId="413796B9" w14:textId="77777777" w:rsidR="000549CD" w:rsidRPr="00161B2E" w:rsidRDefault="000549CD" w:rsidP="00AB2B90">
      <w:pPr>
        <w:jc w:val="center"/>
        <w:rPr>
          <w:rFonts w:ascii="Arial" w:hAnsi="Arial" w:cs="Arial"/>
        </w:rPr>
      </w:pPr>
    </w:p>
    <w:p w14:paraId="29A63E02" w14:textId="77777777" w:rsidR="000549CD" w:rsidRPr="00161B2E" w:rsidRDefault="000549CD" w:rsidP="00AB2B90">
      <w:pPr>
        <w:jc w:val="center"/>
        <w:rPr>
          <w:rFonts w:ascii="Arial" w:hAnsi="Arial" w:cs="Arial"/>
        </w:rPr>
      </w:pPr>
    </w:p>
    <w:p w14:paraId="2928D4DC" w14:textId="77777777" w:rsidR="000549CD" w:rsidRPr="00161B2E" w:rsidRDefault="000549CD" w:rsidP="00AB2B90">
      <w:pPr>
        <w:jc w:val="center"/>
        <w:rPr>
          <w:rFonts w:ascii="Arial" w:hAnsi="Arial" w:cs="Arial"/>
        </w:rPr>
      </w:pPr>
    </w:p>
    <w:p w14:paraId="0B204E66" w14:textId="77777777" w:rsidR="000549CD" w:rsidRPr="00161B2E" w:rsidRDefault="000549CD" w:rsidP="00AB2B90">
      <w:pPr>
        <w:jc w:val="center"/>
        <w:rPr>
          <w:rFonts w:ascii="Arial" w:hAnsi="Arial" w:cs="Arial"/>
        </w:rPr>
      </w:pPr>
    </w:p>
    <w:p w14:paraId="14BFA103" w14:textId="77777777" w:rsidR="000549CD" w:rsidRPr="00161B2E" w:rsidRDefault="000549CD" w:rsidP="00AB2B90">
      <w:pPr>
        <w:jc w:val="center"/>
        <w:rPr>
          <w:rFonts w:ascii="Arial" w:hAnsi="Arial" w:cs="Arial"/>
        </w:rPr>
      </w:pPr>
    </w:p>
    <w:p w14:paraId="5C67348B" w14:textId="77777777" w:rsidR="000549CD" w:rsidRPr="00161B2E" w:rsidRDefault="000549CD" w:rsidP="00AB2B90">
      <w:pPr>
        <w:jc w:val="center"/>
        <w:rPr>
          <w:rFonts w:ascii="Arial" w:hAnsi="Arial" w:cs="Arial"/>
        </w:rPr>
      </w:pPr>
    </w:p>
    <w:p w14:paraId="3CDDA14A" w14:textId="77777777" w:rsidR="000549CD" w:rsidRPr="00161B2E" w:rsidRDefault="000549CD" w:rsidP="00AB2B90">
      <w:pPr>
        <w:jc w:val="center"/>
        <w:rPr>
          <w:rFonts w:ascii="Arial" w:hAnsi="Arial" w:cs="Arial"/>
        </w:rPr>
      </w:pPr>
    </w:p>
    <w:p w14:paraId="23F1CF9E" w14:textId="77777777" w:rsidR="000549CD" w:rsidRPr="00161B2E" w:rsidRDefault="000549CD" w:rsidP="00AB2B90">
      <w:pPr>
        <w:jc w:val="center"/>
        <w:rPr>
          <w:rFonts w:ascii="Arial" w:hAnsi="Arial" w:cs="Arial"/>
        </w:rPr>
      </w:pPr>
    </w:p>
    <w:p w14:paraId="0D462D8D" w14:textId="77777777" w:rsidR="000549CD" w:rsidRPr="00161B2E" w:rsidRDefault="000549CD" w:rsidP="00AB2B90">
      <w:pPr>
        <w:jc w:val="center"/>
        <w:rPr>
          <w:rFonts w:ascii="Arial" w:hAnsi="Arial" w:cs="Arial"/>
        </w:rPr>
      </w:pPr>
    </w:p>
    <w:p w14:paraId="0ABEA3D3" w14:textId="77777777" w:rsidR="000549CD" w:rsidRPr="00161B2E" w:rsidRDefault="000549CD" w:rsidP="00AB2B90">
      <w:pPr>
        <w:jc w:val="center"/>
        <w:rPr>
          <w:rFonts w:ascii="Arial" w:hAnsi="Arial" w:cs="Arial"/>
        </w:rPr>
      </w:pPr>
    </w:p>
    <w:p w14:paraId="53341E36" w14:textId="7E07D3D3" w:rsidR="00073D53" w:rsidRPr="00161B2E" w:rsidRDefault="008E4F8B" w:rsidP="000549CD">
      <w:pPr>
        <w:pStyle w:val="Heading1"/>
        <w:rPr>
          <w:rFonts w:ascii="Arial" w:hAnsi="Arial" w:cs="Arial"/>
          <w:color w:val="auto"/>
        </w:rPr>
      </w:pPr>
      <w:bookmarkStart w:id="0" w:name="_Toc182222984"/>
      <w:r w:rsidRPr="00161B2E">
        <w:rPr>
          <w:rFonts w:ascii="Arial" w:hAnsi="Arial" w:cs="Arial"/>
          <w:color w:val="auto"/>
        </w:rPr>
        <w:lastRenderedPageBreak/>
        <w:t>Introduction</w:t>
      </w:r>
      <w:bookmarkEnd w:id="0"/>
    </w:p>
    <w:p w14:paraId="30E09E64" w14:textId="7F6EF826" w:rsidR="00780D41" w:rsidRPr="00161B2E" w:rsidRDefault="00780D41" w:rsidP="009343FE">
      <w:pPr>
        <w:rPr>
          <w:rFonts w:ascii="Arial" w:hAnsi="Arial" w:cs="Arial"/>
        </w:rPr>
      </w:pPr>
      <w:r w:rsidRPr="00161B2E">
        <w:rPr>
          <w:rFonts w:ascii="Arial" w:hAnsi="Arial" w:cs="Arial"/>
        </w:rPr>
        <w:t xml:space="preserve">This essay aims to identify inequality in a specific group, for the purposes of this essay the group selected are the residents of the ex-mining/ex industrial areas of south Wales. I will explore the idea of inequality, using recognises academic theories to provide a background for the essay, and identify key factors contributing to inequality within this group, and suggest possible solutions for the ongoing issues of inequality within the group. </w:t>
      </w:r>
    </w:p>
    <w:p w14:paraId="4AFBF476" w14:textId="5937D3AF" w:rsidR="009343FE" w:rsidRPr="00161B2E" w:rsidRDefault="008E4F8B" w:rsidP="000549CD">
      <w:pPr>
        <w:pStyle w:val="Heading1"/>
        <w:rPr>
          <w:rFonts w:ascii="Arial" w:hAnsi="Arial" w:cs="Arial"/>
          <w:color w:val="auto"/>
        </w:rPr>
      </w:pPr>
      <w:bookmarkStart w:id="1" w:name="_Toc182222985"/>
      <w:r w:rsidRPr="00161B2E">
        <w:rPr>
          <w:rFonts w:ascii="Arial" w:hAnsi="Arial" w:cs="Arial"/>
          <w:color w:val="auto"/>
        </w:rPr>
        <w:t>What is Inequality</w:t>
      </w:r>
      <w:bookmarkEnd w:id="1"/>
    </w:p>
    <w:p w14:paraId="742A87BD" w14:textId="30084D77" w:rsidR="004751D5" w:rsidRPr="00161B2E" w:rsidRDefault="009343FE" w:rsidP="009343FE">
      <w:pPr>
        <w:rPr>
          <w:rFonts w:ascii="Arial" w:hAnsi="Arial" w:cs="Arial"/>
        </w:rPr>
      </w:pPr>
      <w:r w:rsidRPr="00161B2E">
        <w:rPr>
          <w:rFonts w:ascii="Arial" w:hAnsi="Arial" w:cs="Arial"/>
        </w:rPr>
        <w:t xml:space="preserve">Inequality is defined, in a sociological context as the lack of opportunities and rewards which leaves certain groups or sections of society at a disadvantage, Inequality can follow recurrent and structured patterns which lead to unequal distributions of goods, wealth, opportunities, rewards, and lead to higher-than-average levels of punishment. Punishment in this context can be perceived as social, environmental and educational, as well as legal and financial. </w:t>
      </w:r>
      <w:r w:rsidRPr="00161B2E">
        <w:rPr>
          <w:rFonts w:ascii="Arial" w:hAnsi="Arial" w:cs="Arial"/>
        </w:rPr>
        <w:br/>
      </w:r>
      <w:r w:rsidRPr="00161B2E">
        <w:rPr>
          <w:rFonts w:ascii="Arial" w:hAnsi="Arial" w:cs="Arial"/>
        </w:rPr>
        <w:br/>
        <w:t xml:space="preserve">Sociological theorists examine the problem of inequality, equality and equity, and there are differing conclusions and theories on why inequality persists; Functionalist theorists </w:t>
      </w:r>
      <w:r w:rsidR="004751D5" w:rsidRPr="00161B2E">
        <w:rPr>
          <w:rFonts w:ascii="Arial" w:hAnsi="Arial" w:cs="Arial"/>
        </w:rPr>
        <w:t>such as Emile Durkheim put forward the position</w:t>
      </w:r>
      <w:r w:rsidRPr="00161B2E">
        <w:rPr>
          <w:rFonts w:ascii="Arial" w:hAnsi="Arial" w:cs="Arial"/>
        </w:rPr>
        <w:t xml:space="preserve"> that inequality is inevitable and </w:t>
      </w:r>
      <w:r w:rsidR="004751D5" w:rsidRPr="00161B2E">
        <w:rPr>
          <w:rFonts w:ascii="Arial" w:hAnsi="Arial" w:cs="Arial"/>
        </w:rPr>
        <w:t xml:space="preserve">in fact </w:t>
      </w:r>
      <w:r w:rsidRPr="00161B2E">
        <w:rPr>
          <w:rFonts w:ascii="Arial" w:hAnsi="Arial" w:cs="Arial"/>
        </w:rPr>
        <w:t xml:space="preserve">desirable and </w:t>
      </w:r>
      <w:r w:rsidR="004751D5" w:rsidRPr="00161B2E">
        <w:rPr>
          <w:rFonts w:ascii="Arial" w:hAnsi="Arial" w:cs="Arial"/>
        </w:rPr>
        <w:t>is required in order to carry out an essential role</w:t>
      </w:r>
      <w:r w:rsidRPr="00161B2E">
        <w:rPr>
          <w:rFonts w:ascii="Arial" w:hAnsi="Arial" w:cs="Arial"/>
        </w:rPr>
        <w:t xml:space="preserve"> in societ</w:t>
      </w:r>
      <w:r w:rsidR="004751D5" w:rsidRPr="00161B2E">
        <w:rPr>
          <w:rFonts w:ascii="Arial" w:hAnsi="Arial" w:cs="Arial"/>
        </w:rPr>
        <w:t xml:space="preserve">y </w:t>
      </w:r>
      <w:r w:rsidR="00780D41" w:rsidRPr="00161B2E">
        <w:rPr>
          <w:rFonts w:ascii="Arial" w:hAnsi="Arial" w:cs="Arial"/>
        </w:rPr>
        <w:t>(Green, 1989)</w:t>
      </w:r>
      <w:r w:rsidR="00780D41" w:rsidRPr="00161B2E">
        <w:rPr>
          <w:rFonts w:ascii="Arial" w:hAnsi="Arial" w:cs="Arial"/>
        </w:rPr>
        <w:t xml:space="preserve"> </w:t>
      </w:r>
      <w:r w:rsidR="004751D5" w:rsidRPr="00161B2E">
        <w:rPr>
          <w:rFonts w:ascii="Arial" w:hAnsi="Arial" w:cs="Arial"/>
        </w:rPr>
        <w:t>he believed that the more important an individual or position, the more training and ‘work’ must have been required, and therefore the individual should receive more reward</w:t>
      </w:r>
      <w:r w:rsidRPr="00161B2E">
        <w:rPr>
          <w:rFonts w:ascii="Arial" w:hAnsi="Arial" w:cs="Arial"/>
        </w:rPr>
        <w:t xml:space="preserve">. </w:t>
      </w:r>
      <w:r w:rsidR="004751D5" w:rsidRPr="00161B2E">
        <w:rPr>
          <w:rFonts w:ascii="Arial" w:hAnsi="Arial" w:cs="Arial"/>
        </w:rPr>
        <w:t>He believed that</w:t>
      </w:r>
      <w:r w:rsidRPr="00161B2E">
        <w:rPr>
          <w:rFonts w:ascii="Arial" w:hAnsi="Arial" w:cs="Arial"/>
        </w:rPr>
        <w:t xml:space="preserve"> social stratification</w:t>
      </w:r>
      <w:r w:rsidR="004751D5" w:rsidRPr="00161B2E">
        <w:rPr>
          <w:rFonts w:ascii="Arial" w:hAnsi="Arial" w:cs="Arial"/>
        </w:rPr>
        <w:t xml:space="preserve"> was a positive</w:t>
      </w:r>
      <w:r w:rsidRPr="00161B2E">
        <w:rPr>
          <w:rFonts w:ascii="Arial" w:hAnsi="Arial" w:cs="Arial"/>
        </w:rPr>
        <w:t>, a</w:t>
      </w:r>
      <w:r w:rsidR="004751D5" w:rsidRPr="00161B2E">
        <w:rPr>
          <w:rFonts w:ascii="Arial" w:hAnsi="Arial" w:cs="Arial"/>
        </w:rPr>
        <w:t>nd meritocracy</w:t>
      </w:r>
      <w:r w:rsidR="00930D90" w:rsidRPr="00161B2E">
        <w:rPr>
          <w:rFonts w:ascii="Arial" w:hAnsi="Arial" w:cs="Arial"/>
        </w:rPr>
        <w:t>,</w:t>
      </w:r>
      <w:r w:rsidR="004751D5" w:rsidRPr="00161B2E">
        <w:rPr>
          <w:rFonts w:ascii="Arial" w:hAnsi="Arial" w:cs="Arial"/>
        </w:rPr>
        <w:t xml:space="preserve"> based on natural ability and ‘hard work’ is the factor that determines the equality or inequality an individual lives with</w:t>
      </w:r>
      <w:r w:rsidR="00930D90" w:rsidRPr="00161B2E">
        <w:rPr>
          <w:rFonts w:ascii="Arial" w:hAnsi="Arial" w:cs="Arial"/>
        </w:rPr>
        <w:t xml:space="preserve"> </w:t>
      </w:r>
      <w:r w:rsidR="00930D90" w:rsidRPr="00161B2E">
        <w:rPr>
          <w:rFonts w:ascii="Arial" w:hAnsi="Arial" w:cs="Arial"/>
        </w:rPr>
        <w:t>(Kerbo, 1976</w:t>
      </w:r>
      <w:proofErr w:type="gramStart"/>
      <w:r w:rsidR="00930D90" w:rsidRPr="00161B2E">
        <w:rPr>
          <w:rFonts w:ascii="Arial" w:hAnsi="Arial" w:cs="Arial"/>
        </w:rPr>
        <w:t>)</w:t>
      </w:r>
      <w:r w:rsidR="00930D90" w:rsidRPr="00161B2E">
        <w:rPr>
          <w:rFonts w:ascii="Arial" w:hAnsi="Arial" w:cs="Arial"/>
        </w:rPr>
        <w:t xml:space="preserve"> </w:t>
      </w:r>
      <w:r w:rsidRPr="00161B2E">
        <w:rPr>
          <w:rFonts w:ascii="Arial" w:hAnsi="Arial" w:cs="Arial"/>
        </w:rPr>
        <w:t>.</w:t>
      </w:r>
      <w:proofErr w:type="gramEnd"/>
      <w:r w:rsidRPr="00161B2E">
        <w:rPr>
          <w:rFonts w:ascii="Arial" w:hAnsi="Arial" w:cs="Arial"/>
        </w:rPr>
        <w:t xml:space="preserve"> </w:t>
      </w:r>
    </w:p>
    <w:p w14:paraId="547AA220" w14:textId="7E1D9706" w:rsidR="005F7079" w:rsidRPr="00161B2E" w:rsidRDefault="009343FE" w:rsidP="009343FE">
      <w:pPr>
        <w:rPr>
          <w:rFonts w:ascii="Arial" w:hAnsi="Arial" w:cs="Arial"/>
        </w:rPr>
      </w:pPr>
      <w:r w:rsidRPr="00161B2E">
        <w:rPr>
          <w:rFonts w:ascii="Arial" w:hAnsi="Arial" w:cs="Arial"/>
        </w:rPr>
        <w:t>Conflict theorists,</w:t>
      </w:r>
      <w:r w:rsidR="005F7079" w:rsidRPr="00161B2E">
        <w:rPr>
          <w:rFonts w:ascii="Arial" w:hAnsi="Arial" w:cs="Arial"/>
        </w:rPr>
        <w:t xml:space="preserve"> such as C Wright Mills</w:t>
      </w:r>
      <w:r w:rsidRPr="00161B2E">
        <w:rPr>
          <w:rFonts w:ascii="Arial" w:hAnsi="Arial" w:cs="Arial"/>
        </w:rPr>
        <w:t>,</w:t>
      </w:r>
      <w:r w:rsidR="005F7079" w:rsidRPr="00161B2E">
        <w:rPr>
          <w:rFonts w:ascii="Arial" w:hAnsi="Arial" w:cs="Arial"/>
        </w:rPr>
        <w:t xml:space="preserve"> hold a differing perspective, and theorise that inequality is caused by groups with power dominating</w:t>
      </w:r>
      <w:r w:rsidRPr="00161B2E">
        <w:rPr>
          <w:rFonts w:ascii="Arial" w:hAnsi="Arial" w:cs="Arial"/>
        </w:rPr>
        <w:t xml:space="preserve"> </w:t>
      </w:r>
      <w:r w:rsidR="005F7079" w:rsidRPr="00161B2E">
        <w:rPr>
          <w:rFonts w:ascii="Arial" w:hAnsi="Arial" w:cs="Arial"/>
        </w:rPr>
        <w:t>marginalised or less powerful societal groups</w:t>
      </w:r>
      <w:r w:rsidRPr="00161B2E">
        <w:rPr>
          <w:rFonts w:ascii="Arial" w:hAnsi="Arial" w:cs="Arial"/>
        </w:rPr>
        <w:t xml:space="preserve">. </w:t>
      </w:r>
      <w:r w:rsidR="005F7079" w:rsidRPr="00161B2E">
        <w:rPr>
          <w:rFonts w:ascii="Arial" w:hAnsi="Arial" w:cs="Arial"/>
        </w:rPr>
        <w:t>A good example of how inequality is caused by power imbalance is in modern feminism, the gender pay gap</w:t>
      </w:r>
      <w:r w:rsidR="00930D90" w:rsidRPr="00161B2E">
        <w:rPr>
          <w:rFonts w:ascii="Arial" w:hAnsi="Arial" w:cs="Arial"/>
        </w:rPr>
        <w:t xml:space="preserve"> </w:t>
      </w:r>
      <w:r w:rsidR="00930D90" w:rsidRPr="00161B2E">
        <w:rPr>
          <w:rFonts w:ascii="Arial" w:hAnsi="Arial" w:cs="Arial"/>
        </w:rPr>
        <w:t>(Blau and Kahn, 2007)</w:t>
      </w:r>
      <w:r w:rsidR="00930D90" w:rsidRPr="00161B2E">
        <w:rPr>
          <w:rFonts w:ascii="Arial" w:hAnsi="Arial" w:cs="Arial"/>
        </w:rPr>
        <w:t xml:space="preserve"> </w:t>
      </w:r>
      <w:r w:rsidR="005F7079" w:rsidRPr="00161B2E">
        <w:rPr>
          <w:rFonts w:ascii="Arial" w:hAnsi="Arial" w:cs="Arial"/>
        </w:rPr>
        <w:t xml:space="preserve">and the social perception of ‘women’s work’,  which can be evidenced by the statistics on work within the home and work outside the home, it is reported that even when a woman is the ‘breadwinner’ or higher earner, they still carry out </w:t>
      </w:r>
      <w:r w:rsidR="00930D90" w:rsidRPr="00161B2E">
        <w:rPr>
          <w:rFonts w:ascii="Arial" w:hAnsi="Arial" w:cs="Arial"/>
        </w:rPr>
        <w:t>65</w:t>
      </w:r>
      <w:r w:rsidR="005F7079" w:rsidRPr="00161B2E">
        <w:rPr>
          <w:rFonts w:ascii="Arial" w:hAnsi="Arial" w:cs="Arial"/>
        </w:rPr>
        <w:t>% of home and family related duties</w:t>
      </w:r>
      <w:r w:rsidR="00930D90" w:rsidRPr="00161B2E">
        <w:rPr>
          <w:rFonts w:ascii="Arial" w:hAnsi="Arial" w:cs="Arial"/>
        </w:rPr>
        <w:t xml:space="preserve"> </w:t>
      </w:r>
      <w:r w:rsidR="00930D90" w:rsidRPr="00161B2E">
        <w:rPr>
          <w:rFonts w:ascii="Arial" w:hAnsi="Arial" w:cs="Arial"/>
        </w:rPr>
        <w:t xml:space="preserve">(Eek and </w:t>
      </w:r>
      <w:proofErr w:type="spellStart"/>
      <w:r w:rsidR="00930D90" w:rsidRPr="00161B2E">
        <w:rPr>
          <w:rFonts w:ascii="Arial" w:hAnsi="Arial" w:cs="Arial"/>
        </w:rPr>
        <w:t>Axmon</w:t>
      </w:r>
      <w:proofErr w:type="spellEnd"/>
      <w:r w:rsidR="00930D90" w:rsidRPr="00161B2E">
        <w:rPr>
          <w:rFonts w:ascii="Arial" w:hAnsi="Arial" w:cs="Arial"/>
        </w:rPr>
        <w:t>, 2014)</w:t>
      </w:r>
      <w:r w:rsidR="00930D90" w:rsidRPr="00161B2E">
        <w:rPr>
          <w:rFonts w:ascii="Arial" w:hAnsi="Arial" w:cs="Arial"/>
        </w:rPr>
        <w:t>.</w:t>
      </w:r>
      <w:r w:rsidR="00922EF5" w:rsidRPr="00161B2E">
        <w:rPr>
          <w:rFonts w:ascii="Arial" w:hAnsi="Arial" w:cs="Arial"/>
        </w:rPr>
        <w:br/>
        <w:t>T</w:t>
      </w:r>
      <w:r w:rsidR="005F7079" w:rsidRPr="00161B2E">
        <w:rPr>
          <w:rFonts w:ascii="Arial" w:hAnsi="Arial" w:cs="Arial"/>
        </w:rPr>
        <w:t xml:space="preserve">he </w:t>
      </w:r>
      <w:r w:rsidR="00922EF5" w:rsidRPr="00161B2E">
        <w:rPr>
          <w:rFonts w:ascii="Arial" w:hAnsi="Arial" w:cs="Arial"/>
        </w:rPr>
        <w:t>Social</w:t>
      </w:r>
      <w:r w:rsidR="005F7079" w:rsidRPr="00161B2E">
        <w:rPr>
          <w:rFonts w:ascii="Arial" w:hAnsi="Arial" w:cs="Arial"/>
        </w:rPr>
        <w:t xml:space="preserve"> theorist and philosopher Frederich Engels compares the </w:t>
      </w:r>
      <w:r w:rsidR="00922EF5" w:rsidRPr="00161B2E">
        <w:rPr>
          <w:rFonts w:ascii="Arial" w:hAnsi="Arial" w:cs="Arial"/>
        </w:rPr>
        <w:t xml:space="preserve">power </w:t>
      </w:r>
      <w:r w:rsidR="005F7079" w:rsidRPr="00161B2E">
        <w:rPr>
          <w:rFonts w:ascii="Arial" w:hAnsi="Arial" w:cs="Arial"/>
        </w:rPr>
        <w:t xml:space="preserve">structure </w:t>
      </w:r>
      <w:r w:rsidR="00922EF5" w:rsidRPr="00161B2E">
        <w:rPr>
          <w:rFonts w:ascii="Arial" w:hAnsi="Arial" w:cs="Arial"/>
        </w:rPr>
        <w:t xml:space="preserve">and dynamics </w:t>
      </w:r>
      <w:r w:rsidR="005F7079" w:rsidRPr="00161B2E">
        <w:rPr>
          <w:rFonts w:ascii="Arial" w:hAnsi="Arial" w:cs="Arial"/>
        </w:rPr>
        <w:t xml:space="preserve">within a </w:t>
      </w:r>
      <w:r w:rsidR="00922EF5" w:rsidRPr="00161B2E">
        <w:rPr>
          <w:rFonts w:ascii="Arial" w:hAnsi="Arial" w:cs="Arial"/>
        </w:rPr>
        <w:t xml:space="preserve">traditional </w:t>
      </w:r>
      <w:r w:rsidR="005F7079" w:rsidRPr="00161B2E">
        <w:rPr>
          <w:rFonts w:ascii="Arial" w:hAnsi="Arial" w:cs="Arial"/>
        </w:rPr>
        <w:t xml:space="preserve">family unit to </w:t>
      </w:r>
      <w:r w:rsidR="00922EF5" w:rsidRPr="00161B2E">
        <w:rPr>
          <w:rFonts w:ascii="Arial" w:hAnsi="Arial" w:cs="Arial"/>
        </w:rPr>
        <w:t>“</w:t>
      </w:r>
      <w:r w:rsidR="005F7079" w:rsidRPr="00161B2E">
        <w:rPr>
          <w:rFonts w:ascii="Arial" w:hAnsi="Arial" w:cs="Arial"/>
        </w:rPr>
        <w:t>the relationship between the bourgeoisie and the proletariat, suggesting that women had less power than men in the household because they were dependent on them for wages</w:t>
      </w:r>
      <w:r w:rsidR="00922EF5" w:rsidRPr="00161B2E">
        <w:rPr>
          <w:rFonts w:ascii="Arial" w:hAnsi="Arial" w:cs="Arial"/>
        </w:rPr>
        <w:t>” (Bowles, 1990)</w:t>
      </w:r>
      <w:r w:rsidR="005F7079" w:rsidRPr="00161B2E">
        <w:rPr>
          <w:rFonts w:ascii="Arial" w:hAnsi="Arial" w:cs="Arial"/>
        </w:rPr>
        <w:t xml:space="preserve"> despite modern women working outside the home, there are still many factors that limit the ability of women to earn as much as men, or to make progressions in their careers without barriers. </w:t>
      </w:r>
    </w:p>
    <w:p w14:paraId="19404181" w14:textId="340F9066" w:rsidR="00FF401E" w:rsidRPr="00161B2E" w:rsidRDefault="00922EF5" w:rsidP="00922EF5">
      <w:pPr>
        <w:rPr>
          <w:rFonts w:ascii="Arial" w:hAnsi="Arial" w:cs="Arial"/>
        </w:rPr>
      </w:pPr>
      <w:r w:rsidRPr="00161B2E">
        <w:rPr>
          <w:rFonts w:ascii="Arial" w:hAnsi="Arial" w:cs="Arial"/>
        </w:rPr>
        <w:lastRenderedPageBreak/>
        <w:t>There are many other barriers to equality and equity, such as unconscious bias, lack of tools (in this context tools meaning education, ability and mobility, both social and locational.) and generational reproduction</w:t>
      </w:r>
      <w:r w:rsidR="00930D90" w:rsidRPr="00161B2E">
        <w:rPr>
          <w:rFonts w:ascii="Arial" w:hAnsi="Arial" w:cs="Arial"/>
        </w:rPr>
        <w:t xml:space="preserve"> of inequality.</w:t>
      </w:r>
      <w:r w:rsidR="00930D90" w:rsidRPr="00161B2E">
        <w:rPr>
          <w:rFonts w:ascii="Arial" w:hAnsi="Arial" w:cs="Arial"/>
        </w:rPr>
        <w:br/>
      </w:r>
      <w:r w:rsidRPr="00161B2E">
        <w:rPr>
          <w:rFonts w:ascii="Arial" w:hAnsi="Arial" w:cs="Arial"/>
        </w:rPr>
        <w:br/>
        <w:t>For the purposes of this essay, we will examine Inequality within ex industrial communities in Wales, examining the history of the communities,</w:t>
      </w:r>
      <w:r w:rsidR="00F07BA2" w:rsidRPr="00161B2E">
        <w:rPr>
          <w:rFonts w:ascii="Arial" w:hAnsi="Arial" w:cs="Arial"/>
        </w:rPr>
        <w:t xml:space="preserve"> identifying characteristics of the community members, the</w:t>
      </w:r>
      <w:r w:rsidRPr="00161B2E">
        <w:rPr>
          <w:rFonts w:ascii="Arial" w:hAnsi="Arial" w:cs="Arial"/>
        </w:rPr>
        <w:t xml:space="preserve"> </w:t>
      </w:r>
      <w:r w:rsidR="00F07BA2" w:rsidRPr="00161B2E">
        <w:rPr>
          <w:rFonts w:ascii="Arial" w:hAnsi="Arial" w:cs="Arial"/>
        </w:rPr>
        <w:t xml:space="preserve">root </w:t>
      </w:r>
      <w:r w:rsidRPr="00161B2E">
        <w:rPr>
          <w:rFonts w:ascii="Arial" w:hAnsi="Arial" w:cs="Arial"/>
        </w:rPr>
        <w:t xml:space="preserve">causes </w:t>
      </w:r>
      <w:r w:rsidR="00F07BA2" w:rsidRPr="00161B2E">
        <w:rPr>
          <w:rFonts w:ascii="Arial" w:hAnsi="Arial" w:cs="Arial"/>
        </w:rPr>
        <w:t>of</w:t>
      </w:r>
      <w:r w:rsidRPr="00161B2E">
        <w:rPr>
          <w:rFonts w:ascii="Arial" w:hAnsi="Arial" w:cs="Arial"/>
        </w:rPr>
        <w:t xml:space="preserve"> inequality and reasons it persists, and identifying the </w:t>
      </w:r>
      <w:r w:rsidR="00F07BA2" w:rsidRPr="00161B2E">
        <w:rPr>
          <w:rFonts w:ascii="Arial" w:hAnsi="Arial" w:cs="Arial"/>
        </w:rPr>
        <w:t>policies and legislations that impact the group.</w:t>
      </w:r>
    </w:p>
    <w:p w14:paraId="601DEDAB" w14:textId="77777777" w:rsidR="00542BC3" w:rsidRPr="00161B2E" w:rsidRDefault="00F07BA2" w:rsidP="00542BC3">
      <w:pPr>
        <w:keepNext/>
        <w:rPr>
          <w:rFonts w:ascii="Arial" w:hAnsi="Arial" w:cs="Arial"/>
        </w:rPr>
      </w:pPr>
      <w:r w:rsidRPr="00161B2E">
        <w:rPr>
          <w:rFonts w:ascii="Arial" w:hAnsi="Arial" w:cs="Arial"/>
          <w:noProof/>
        </w:rPr>
        <w:drawing>
          <wp:inline distT="0" distB="0" distL="0" distR="0" wp14:anchorId="586046F6" wp14:editId="26C256A7">
            <wp:extent cx="5005773" cy="3162300"/>
            <wp:effectExtent l="0" t="0" r="4445" b="0"/>
            <wp:docPr id="92647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75252" name=""/>
                    <pic:cNvPicPr/>
                  </pic:nvPicPr>
                  <pic:blipFill>
                    <a:blip r:embed="rId7"/>
                    <a:stretch>
                      <a:fillRect/>
                    </a:stretch>
                  </pic:blipFill>
                  <pic:spPr>
                    <a:xfrm>
                      <a:off x="0" y="0"/>
                      <a:ext cx="5006988" cy="3163068"/>
                    </a:xfrm>
                    <a:prstGeom prst="rect">
                      <a:avLst/>
                    </a:prstGeom>
                  </pic:spPr>
                </pic:pic>
              </a:graphicData>
            </a:graphic>
          </wp:inline>
        </w:drawing>
      </w:r>
    </w:p>
    <w:p w14:paraId="0F6588C1" w14:textId="36E6BF01" w:rsidR="00F07BA2" w:rsidRPr="00161B2E" w:rsidRDefault="00AC03B0" w:rsidP="00542BC3">
      <w:pPr>
        <w:pStyle w:val="Caption"/>
        <w:rPr>
          <w:rFonts w:ascii="Arial" w:hAnsi="Arial" w:cs="Arial"/>
          <w:color w:val="auto"/>
        </w:rPr>
      </w:pPr>
      <w:r w:rsidRPr="00161B2E">
        <w:rPr>
          <w:rFonts w:ascii="Arial" w:hAnsi="Arial" w:cs="Arial"/>
          <w:color w:val="auto"/>
        </w:rPr>
        <w:t xml:space="preserve">Fig 1. </w:t>
      </w:r>
      <w:proofErr w:type="gramStart"/>
      <w:r w:rsidR="00542BC3" w:rsidRPr="00161B2E">
        <w:rPr>
          <w:rFonts w:ascii="Arial" w:hAnsi="Arial" w:cs="Arial"/>
          <w:color w:val="auto"/>
        </w:rPr>
        <w:t>(</w:t>
      </w:r>
      <w:proofErr w:type="gramEnd"/>
      <w:r w:rsidR="00542BC3" w:rsidRPr="00161B2E">
        <w:rPr>
          <w:rFonts w:ascii="Arial" w:hAnsi="Arial" w:cs="Arial"/>
          <w:color w:val="auto"/>
        </w:rPr>
        <w:t xml:space="preserve">Northern Mine Research Society) </w:t>
      </w:r>
    </w:p>
    <w:p w14:paraId="0B46665A" w14:textId="19849A99" w:rsidR="00F07BA2" w:rsidRPr="00161B2E" w:rsidRDefault="00F07BA2" w:rsidP="00922EF5">
      <w:pPr>
        <w:rPr>
          <w:rFonts w:ascii="Arial" w:hAnsi="Arial" w:cs="Arial"/>
        </w:rPr>
      </w:pPr>
      <w:r w:rsidRPr="00161B2E">
        <w:rPr>
          <w:rFonts w:ascii="Arial" w:hAnsi="Arial" w:cs="Arial"/>
        </w:rPr>
        <w:t xml:space="preserve">The above graphic represents Mines and industrial sites across South Wales in </w:t>
      </w:r>
      <w:r w:rsidR="00542BC3" w:rsidRPr="00161B2E">
        <w:rPr>
          <w:rFonts w:ascii="Arial" w:hAnsi="Arial" w:cs="Arial"/>
        </w:rPr>
        <w:t>the mid-20</w:t>
      </w:r>
      <w:r w:rsidR="00542BC3" w:rsidRPr="00161B2E">
        <w:rPr>
          <w:rFonts w:ascii="Arial" w:hAnsi="Arial" w:cs="Arial"/>
          <w:vertAlign w:val="superscript"/>
        </w:rPr>
        <w:t>th</w:t>
      </w:r>
      <w:r w:rsidR="00542BC3" w:rsidRPr="00161B2E">
        <w:rPr>
          <w:rFonts w:ascii="Arial" w:hAnsi="Arial" w:cs="Arial"/>
        </w:rPr>
        <w:t xml:space="preserve"> century. At this time there were around 250 mining sites in Wales, employing </w:t>
      </w:r>
      <w:r w:rsidR="008A3946" w:rsidRPr="00161B2E">
        <w:rPr>
          <w:rFonts w:ascii="Arial" w:hAnsi="Arial" w:cs="Arial"/>
        </w:rPr>
        <w:t xml:space="preserve">over 160,000 people, with 140,000 families housed in purpose built homes close to the industrial sites (Home, childhood, family life, AGOR.org.uk) These homes had been built to meet the demand of workers and families flooding into the industrialised areas to seek work between the two world wars, when families would often leave isolated rural communities with little opportunity to seek steady work. </w:t>
      </w:r>
    </w:p>
    <w:p w14:paraId="599B0BF5" w14:textId="25752120" w:rsidR="00172ABA" w:rsidRPr="00161B2E" w:rsidRDefault="008A3946" w:rsidP="00922EF5">
      <w:pPr>
        <w:rPr>
          <w:rFonts w:ascii="Arial" w:hAnsi="Arial" w:cs="Arial"/>
        </w:rPr>
      </w:pPr>
      <w:r w:rsidRPr="00161B2E">
        <w:rPr>
          <w:rFonts w:ascii="Arial" w:hAnsi="Arial" w:cs="Arial"/>
        </w:rPr>
        <w:t>Following the mines being nationalised and reformed under the structure of the National Coal board, a program of closures was rapidly undertaken</w:t>
      </w:r>
      <w:r w:rsidR="00172ABA" w:rsidRPr="00161B2E">
        <w:rPr>
          <w:rFonts w:ascii="Arial" w:hAnsi="Arial" w:cs="Arial"/>
        </w:rPr>
        <w:t xml:space="preserve">, external factors influencing the decisions to close the mines and reduce the workforce such as the 1956 Clean Air Act, and </w:t>
      </w:r>
      <w:r w:rsidR="00EA6CF0" w:rsidRPr="00161B2E">
        <w:rPr>
          <w:rFonts w:ascii="Arial" w:hAnsi="Arial" w:cs="Arial"/>
        </w:rPr>
        <w:t xml:space="preserve">the </w:t>
      </w:r>
      <w:r w:rsidR="00172ABA" w:rsidRPr="00161B2E">
        <w:rPr>
          <w:rFonts w:ascii="Arial" w:hAnsi="Arial" w:cs="Arial"/>
        </w:rPr>
        <w:t xml:space="preserve">discovery of oil in the </w:t>
      </w:r>
      <w:r w:rsidR="00EA6CF0" w:rsidRPr="00161B2E">
        <w:rPr>
          <w:rFonts w:ascii="Arial" w:hAnsi="Arial" w:cs="Arial"/>
        </w:rPr>
        <w:t>North Sea</w:t>
      </w:r>
      <w:r w:rsidR="00172ABA" w:rsidRPr="00161B2E">
        <w:rPr>
          <w:rFonts w:ascii="Arial" w:hAnsi="Arial" w:cs="Arial"/>
        </w:rPr>
        <w:t xml:space="preserve"> led to</w:t>
      </w:r>
      <w:r w:rsidR="00172ABA" w:rsidRPr="00161B2E">
        <w:rPr>
          <w:rFonts w:ascii="Arial" w:hAnsi="Arial" w:cs="Arial"/>
          <w:i/>
          <w:iCs/>
        </w:rPr>
        <w:t xml:space="preserve"> </w:t>
      </w:r>
      <w:r w:rsidR="00930D90" w:rsidRPr="00161B2E">
        <w:rPr>
          <w:rFonts w:ascii="Arial" w:hAnsi="Arial" w:cs="Arial"/>
          <w:i/>
          <w:iCs/>
        </w:rPr>
        <w:t>“</w:t>
      </w:r>
      <w:r w:rsidR="00172ABA" w:rsidRPr="00161B2E">
        <w:rPr>
          <w:rFonts w:ascii="Arial" w:hAnsi="Arial" w:cs="Arial"/>
        </w:rPr>
        <w:t>declining demand for coal and an impetus to close uneconomic pits</w:t>
      </w:r>
      <w:r w:rsidR="00930D90" w:rsidRPr="00161B2E">
        <w:rPr>
          <w:rFonts w:ascii="Arial" w:hAnsi="Arial" w:cs="Arial"/>
        </w:rPr>
        <w:t>”</w:t>
      </w:r>
      <w:r w:rsidR="00172ABA" w:rsidRPr="00161B2E">
        <w:rPr>
          <w:rFonts w:ascii="Arial" w:hAnsi="Arial" w:cs="Arial"/>
        </w:rPr>
        <w:t xml:space="preserve"> (Curtis, 2013).</w:t>
      </w:r>
      <w:r w:rsidRPr="00161B2E">
        <w:rPr>
          <w:rFonts w:ascii="Arial" w:hAnsi="Arial" w:cs="Arial"/>
        </w:rPr>
        <w:t xml:space="preserve"> </w:t>
      </w:r>
      <w:r w:rsidR="00172ABA" w:rsidRPr="00161B2E">
        <w:rPr>
          <w:rFonts w:ascii="Arial" w:hAnsi="Arial" w:cs="Arial"/>
        </w:rPr>
        <w:t>T</w:t>
      </w:r>
      <w:r w:rsidRPr="00161B2E">
        <w:rPr>
          <w:rFonts w:ascii="Arial" w:hAnsi="Arial" w:cs="Arial"/>
        </w:rPr>
        <w:t xml:space="preserve">he level of employment within the industry was gradually reduced until it reached a ‘boiling point’ in the </w:t>
      </w:r>
      <w:r w:rsidR="00172ABA" w:rsidRPr="00161B2E">
        <w:rPr>
          <w:rFonts w:ascii="Arial" w:hAnsi="Arial" w:cs="Arial"/>
        </w:rPr>
        <w:t xml:space="preserve">early 1970s, and the first miners strikes were held over disputes over wages. </w:t>
      </w:r>
    </w:p>
    <w:p w14:paraId="14B46E1B" w14:textId="16797AA3" w:rsidR="008A3946" w:rsidRPr="00161B2E" w:rsidRDefault="00172ABA" w:rsidP="00922EF5">
      <w:pPr>
        <w:rPr>
          <w:rFonts w:ascii="Arial" w:hAnsi="Arial" w:cs="Arial"/>
        </w:rPr>
      </w:pPr>
      <w:r w:rsidRPr="00161B2E">
        <w:rPr>
          <w:rFonts w:ascii="Arial" w:hAnsi="Arial" w:cs="Arial"/>
        </w:rPr>
        <w:lastRenderedPageBreak/>
        <w:t xml:space="preserve">In the 1980s the UK fell into a period of recession, said to be the worst economic depression since the 1930s, and “Acts of Parliament clipped union bargaining powers and restricted the legality of strike action. Government support for the industry fell away, productivity declined, pits increasingly encountered coal seams that were difficult to </w:t>
      </w:r>
      <w:r w:rsidR="00930D90" w:rsidRPr="00161B2E">
        <w:rPr>
          <w:rFonts w:ascii="Arial" w:hAnsi="Arial" w:cs="Arial"/>
        </w:rPr>
        <w:t>exploit,</w:t>
      </w:r>
      <w:r w:rsidRPr="00161B2E">
        <w:rPr>
          <w:rFonts w:ascii="Arial" w:hAnsi="Arial" w:cs="Arial"/>
        </w:rPr>
        <w:t xml:space="preserve"> and colliery closures began again. The government accepted a Commission report to close 27 out of the remaining 33 collieries in South Wales and put an embargo on hiring” (Merrill and Kitson, 2017) </w:t>
      </w:r>
    </w:p>
    <w:p w14:paraId="15026876" w14:textId="7B910961" w:rsidR="009C25E2" w:rsidRPr="00161B2E" w:rsidRDefault="009C25E2" w:rsidP="00922EF5">
      <w:pPr>
        <w:rPr>
          <w:rFonts w:ascii="Arial" w:hAnsi="Arial" w:cs="Arial"/>
        </w:rPr>
      </w:pPr>
      <w:r w:rsidRPr="00161B2E">
        <w:rPr>
          <w:rFonts w:ascii="Arial" w:hAnsi="Arial" w:cs="Arial"/>
        </w:rPr>
        <w:t>This rapid decimation of an industry that had been the lifeblood of communities for the past 100 years, as well as multi-generational employers for many families, led to widespread inequality, presenting itself across several key factors. Those first impacted, the ‘key actors’ were predominantly male, of working age or close to retirement, and with limited transferable skills</w:t>
      </w:r>
      <w:r w:rsidR="001F153D" w:rsidRPr="00161B2E">
        <w:rPr>
          <w:rFonts w:ascii="Arial" w:hAnsi="Arial" w:cs="Arial"/>
        </w:rPr>
        <w:t>, those employers that were able to take some of the strain of the ex-mining communities, the factories and steelworks</w:t>
      </w:r>
      <w:r w:rsidR="00EA6CF0" w:rsidRPr="00161B2E">
        <w:rPr>
          <w:rFonts w:ascii="Arial" w:hAnsi="Arial" w:cs="Arial"/>
        </w:rPr>
        <w:t>;</w:t>
      </w:r>
      <w:r w:rsidR="001F153D" w:rsidRPr="00161B2E">
        <w:rPr>
          <w:rFonts w:ascii="Arial" w:hAnsi="Arial" w:cs="Arial"/>
        </w:rPr>
        <w:t xml:space="preserve"> almost all closed in the years following Blairs Labour Government, and the communities that remain find themselves in a position where they are ‘forgotten’, aging and with limited opportunity</w:t>
      </w:r>
      <w:r w:rsidRPr="00161B2E">
        <w:rPr>
          <w:rFonts w:ascii="Arial" w:hAnsi="Arial" w:cs="Arial"/>
        </w:rPr>
        <w:t xml:space="preserve">. </w:t>
      </w:r>
    </w:p>
    <w:p w14:paraId="46ECEBF1" w14:textId="56916FC1" w:rsidR="009C25E2" w:rsidRPr="00161B2E" w:rsidRDefault="009C25E2" w:rsidP="00922EF5">
      <w:pPr>
        <w:rPr>
          <w:rFonts w:ascii="Arial" w:hAnsi="Arial" w:cs="Arial"/>
        </w:rPr>
      </w:pPr>
      <w:r w:rsidRPr="00161B2E">
        <w:rPr>
          <w:rFonts w:ascii="Arial" w:hAnsi="Arial" w:cs="Arial"/>
        </w:rPr>
        <w:t xml:space="preserve">We examine key factors in inequality in these </w:t>
      </w:r>
      <w:r w:rsidR="001F153D" w:rsidRPr="00161B2E">
        <w:rPr>
          <w:rFonts w:ascii="Arial" w:hAnsi="Arial" w:cs="Arial"/>
        </w:rPr>
        <w:t>post-industrial</w:t>
      </w:r>
      <w:r w:rsidRPr="00161B2E">
        <w:rPr>
          <w:rFonts w:ascii="Arial" w:hAnsi="Arial" w:cs="Arial"/>
        </w:rPr>
        <w:t xml:space="preserve"> communities below. </w:t>
      </w:r>
    </w:p>
    <w:p w14:paraId="2DC3A8E4" w14:textId="623F64BF" w:rsidR="00504623" w:rsidRPr="00161B2E" w:rsidRDefault="00634E81" w:rsidP="00922EF5">
      <w:pPr>
        <w:rPr>
          <w:rFonts w:ascii="Arial" w:hAnsi="Arial" w:cs="Arial"/>
        </w:rPr>
      </w:pPr>
      <w:r w:rsidRPr="00161B2E">
        <w:rPr>
          <w:rFonts w:ascii="Arial" w:hAnsi="Arial" w:cs="Arial"/>
        </w:rPr>
        <w:br/>
      </w:r>
      <w:r w:rsidR="00161B2E">
        <w:rPr>
          <w:rStyle w:val="Heading1Char"/>
          <w:rFonts w:ascii="Arial" w:hAnsi="Arial" w:cs="Arial"/>
          <w:color w:val="auto"/>
        </w:rPr>
        <w:t>Factors in Inequality</w:t>
      </w:r>
      <w:r w:rsidRPr="00161B2E">
        <w:rPr>
          <w:rFonts w:ascii="Arial" w:hAnsi="Arial" w:cs="Arial"/>
          <w:u w:val="single"/>
        </w:rPr>
        <w:t xml:space="preserve"> </w:t>
      </w:r>
      <w:r w:rsidRPr="00161B2E">
        <w:rPr>
          <w:rFonts w:ascii="Arial" w:hAnsi="Arial" w:cs="Arial"/>
        </w:rPr>
        <w:br/>
      </w:r>
      <w:r w:rsidRPr="00161B2E">
        <w:rPr>
          <w:rStyle w:val="Heading2Char"/>
          <w:rFonts w:ascii="Arial" w:hAnsi="Arial" w:cs="Arial"/>
          <w:color w:val="auto"/>
        </w:rPr>
        <w:t>Outmigration</w:t>
      </w:r>
      <w:r w:rsidR="00D8711C" w:rsidRPr="00161B2E">
        <w:rPr>
          <w:rStyle w:val="Heading2Char"/>
          <w:rFonts w:ascii="Arial" w:hAnsi="Arial" w:cs="Arial"/>
          <w:color w:val="auto"/>
        </w:rPr>
        <w:t>-</w:t>
      </w:r>
      <w:r w:rsidR="00D8711C" w:rsidRPr="00161B2E">
        <w:rPr>
          <w:rFonts w:ascii="Arial" w:hAnsi="Arial" w:cs="Arial"/>
        </w:rPr>
        <w:br/>
        <w:t xml:space="preserve">Research from Sheffield Hallam university identified that 25% of the population of Wales live in former coal field communities, but the median age of the population is significantly older than the national average, the report stating that </w:t>
      </w:r>
      <w:r w:rsidR="00504623" w:rsidRPr="00161B2E">
        <w:rPr>
          <w:rFonts w:ascii="Arial" w:hAnsi="Arial" w:cs="Arial"/>
        </w:rPr>
        <w:t xml:space="preserve">communities are impacted by </w:t>
      </w:r>
      <w:r w:rsidR="00D8711C" w:rsidRPr="00161B2E">
        <w:rPr>
          <w:rFonts w:ascii="Arial" w:hAnsi="Arial" w:cs="Arial"/>
        </w:rPr>
        <w:t>“</w:t>
      </w:r>
      <w:r w:rsidR="00504623" w:rsidRPr="00161B2E">
        <w:rPr>
          <w:rFonts w:ascii="Arial" w:hAnsi="Arial" w:cs="Arial"/>
        </w:rPr>
        <w:t>T</w:t>
      </w:r>
      <w:r w:rsidR="00D8711C" w:rsidRPr="00161B2E">
        <w:rPr>
          <w:rFonts w:ascii="Arial" w:hAnsi="Arial" w:cs="Arial"/>
        </w:rPr>
        <w:t>he loss of younger adults to other parts of the country.  The younger and better qualified have always tended to move to places where jobs are more readily available, away from more difficult labour markets such as the former coalfields.  In the last twenty years or so the flow has been compounded by the expansion of higher education which has diverted large numbers of young adults from the coalfields, where there are few universities, towards the cities.</w:t>
      </w:r>
      <w:r w:rsidR="00504623" w:rsidRPr="00161B2E">
        <w:rPr>
          <w:rFonts w:ascii="Arial" w:hAnsi="Arial" w:cs="Arial"/>
        </w:rPr>
        <w:t xml:space="preserve">” </w:t>
      </w:r>
      <w:r w:rsidR="00504623" w:rsidRPr="00161B2E">
        <w:rPr>
          <w:rFonts w:ascii="Arial" w:hAnsi="Arial" w:cs="Arial"/>
        </w:rPr>
        <w:t>(Beatty, Fothergill and Gore, 2019)</w:t>
      </w:r>
      <w:r w:rsidR="00504623" w:rsidRPr="00161B2E">
        <w:rPr>
          <w:rFonts w:ascii="Arial" w:hAnsi="Arial" w:cs="Arial"/>
        </w:rPr>
        <w:t xml:space="preserve"> this, combined with a lack of in-migration, and lack of job opportunities (statistics suggest that there are only 55 jobs per 100 people in most ex coalfield and industrial areas- </w:t>
      </w:r>
      <w:r w:rsidR="00504623" w:rsidRPr="00161B2E">
        <w:rPr>
          <w:rFonts w:ascii="Arial" w:hAnsi="Arial" w:cs="Arial"/>
        </w:rPr>
        <w:t>(Bennett, 2014)</w:t>
      </w:r>
      <w:r w:rsidR="00504623" w:rsidRPr="00161B2E">
        <w:rPr>
          <w:rFonts w:ascii="Arial" w:hAnsi="Arial" w:cs="Arial"/>
        </w:rPr>
        <w:t xml:space="preserve">) means that the population is comprised of aging individuals who are unable to leave the area due to long standing ties, including low property values and caring responsibilities </w:t>
      </w:r>
      <w:r w:rsidR="00504623" w:rsidRPr="00161B2E">
        <w:rPr>
          <w:rFonts w:ascii="Arial" w:hAnsi="Arial" w:cs="Arial"/>
        </w:rPr>
        <w:t>(Morris, 2024)</w:t>
      </w:r>
      <w:r w:rsidR="00504623" w:rsidRPr="00161B2E">
        <w:rPr>
          <w:rFonts w:ascii="Arial" w:hAnsi="Arial" w:cs="Arial"/>
        </w:rPr>
        <w:t>.</w:t>
      </w:r>
    </w:p>
    <w:p w14:paraId="12CA3FE7" w14:textId="7BF18F47" w:rsidR="009C25E2" w:rsidRPr="00161B2E" w:rsidRDefault="00504623" w:rsidP="00922EF5">
      <w:pPr>
        <w:rPr>
          <w:rFonts w:ascii="Arial" w:hAnsi="Arial" w:cs="Arial"/>
        </w:rPr>
      </w:pPr>
      <w:r w:rsidRPr="00161B2E">
        <w:rPr>
          <w:rFonts w:ascii="Arial" w:hAnsi="Arial" w:cs="Arial"/>
        </w:rPr>
        <w:t xml:space="preserve">Outmigration and an aging population </w:t>
      </w:r>
      <w:r w:rsidR="00F84E1C" w:rsidRPr="00161B2E">
        <w:rPr>
          <w:rFonts w:ascii="Arial" w:hAnsi="Arial" w:cs="Arial"/>
        </w:rPr>
        <w:t>mean</w:t>
      </w:r>
      <w:r w:rsidRPr="00161B2E">
        <w:rPr>
          <w:rFonts w:ascii="Arial" w:hAnsi="Arial" w:cs="Arial"/>
        </w:rPr>
        <w:t xml:space="preserve"> that these ex industrial areas have not</w:t>
      </w:r>
      <w:r w:rsidR="000549CD" w:rsidRPr="00161B2E">
        <w:rPr>
          <w:rFonts w:ascii="Arial" w:hAnsi="Arial" w:cs="Arial"/>
        </w:rPr>
        <w:t xml:space="preserve"> </w:t>
      </w:r>
      <w:r w:rsidRPr="00161B2E">
        <w:rPr>
          <w:rFonts w:ascii="Arial" w:hAnsi="Arial" w:cs="Arial"/>
        </w:rPr>
        <w:t xml:space="preserve">been a priority for government schemes such as ‘levelling up’ and the national lottery schemes, with spending in the coalfield areas being well below the national average </w:t>
      </w:r>
      <w:r w:rsidR="001815FD" w:rsidRPr="00161B2E">
        <w:rPr>
          <w:rFonts w:ascii="Arial" w:hAnsi="Arial" w:cs="Arial"/>
        </w:rPr>
        <w:t>(</w:t>
      </w:r>
      <w:proofErr w:type="spellStart"/>
      <w:r w:rsidR="001815FD" w:rsidRPr="00161B2E">
        <w:rPr>
          <w:rFonts w:ascii="Arial" w:hAnsi="Arial" w:cs="Arial"/>
        </w:rPr>
        <w:t>Whitwood</w:t>
      </w:r>
      <w:proofErr w:type="spellEnd"/>
      <w:r w:rsidR="001815FD" w:rsidRPr="00161B2E">
        <w:rPr>
          <w:rFonts w:ascii="Arial" w:hAnsi="Arial" w:cs="Arial"/>
        </w:rPr>
        <w:t>, 2023)</w:t>
      </w:r>
      <w:r w:rsidR="001815FD" w:rsidRPr="00161B2E">
        <w:rPr>
          <w:rFonts w:ascii="Arial" w:hAnsi="Arial" w:cs="Arial"/>
        </w:rPr>
        <w:t>.</w:t>
      </w:r>
      <w:r w:rsidR="00EA6CF0" w:rsidRPr="00161B2E">
        <w:rPr>
          <w:rFonts w:ascii="Arial" w:hAnsi="Arial" w:cs="Arial"/>
        </w:rPr>
        <w:br/>
      </w:r>
      <w:r w:rsidR="00634E81" w:rsidRPr="00161B2E">
        <w:rPr>
          <w:rFonts w:ascii="Arial" w:hAnsi="Arial" w:cs="Arial"/>
        </w:rPr>
        <w:br/>
      </w:r>
      <w:r w:rsidR="00634E81" w:rsidRPr="00161B2E">
        <w:rPr>
          <w:rStyle w:val="Heading2Char"/>
          <w:rFonts w:ascii="Arial" w:hAnsi="Arial" w:cs="Arial"/>
          <w:color w:val="auto"/>
        </w:rPr>
        <w:t>Educational Attainment and Skills Acquisition</w:t>
      </w:r>
      <w:r w:rsidR="00634E81" w:rsidRPr="00161B2E">
        <w:rPr>
          <w:rFonts w:ascii="Arial" w:hAnsi="Arial" w:cs="Arial"/>
        </w:rPr>
        <w:t xml:space="preserve"> </w:t>
      </w:r>
    </w:p>
    <w:p w14:paraId="66867425" w14:textId="153C44E6" w:rsidR="00F464D7" w:rsidRPr="00161B2E" w:rsidRDefault="00CB44C6" w:rsidP="00922EF5">
      <w:pPr>
        <w:rPr>
          <w:rFonts w:ascii="Arial" w:hAnsi="Arial" w:cs="Arial"/>
        </w:rPr>
      </w:pPr>
      <w:r w:rsidRPr="00161B2E">
        <w:rPr>
          <w:rFonts w:ascii="Arial" w:hAnsi="Arial" w:cs="Arial"/>
        </w:rPr>
        <w:lastRenderedPageBreak/>
        <w:t xml:space="preserve">Access to good quality education, and the attainment of qualifications, as well as access to opportunities is a </w:t>
      </w:r>
      <w:r w:rsidR="00611196" w:rsidRPr="00161B2E">
        <w:rPr>
          <w:rFonts w:ascii="Arial" w:hAnsi="Arial" w:cs="Arial"/>
        </w:rPr>
        <w:t xml:space="preserve">key </w:t>
      </w:r>
      <w:r w:rsidRPr="00161B2E">
        <w:rPr>
          <w:rFonts w:ascii="Arial" w:hAnsi="Arial" w:cs="Arial"/>
        </w:rPr>
        <w:t xml:space="preserve">factor in reducing inequality and breaking the cycle of reproduction of social inequality, although </w:t>
      </w:r>
      <w:r w:rsidR="00F464D7" w:rsidRPr="00161B2E">
        <w:rPr>
          <w:rFonts w:ascii="Arial" w:hAnsi="Arial" w:cs="Arial"/>
        </w:rPr>
        <w:t>The Oxford English Dictionary elucidates “</w:t>
      </w:r>
      <w:r w:rsidR="00F464D7" w:rsidRPr="00161B2E">
        <w:rPr>
          <w:rFonts w:ascii="Arial" w:hAnsi="Arial" w:cs="Arial"/>
        </w:rPr>
        <w:t>Britain is a meritocracy, and everyone with skill and imagination may aspire to reach the highest level.</w:t>
      </w:r>
      <w:r w:rsidR="00F464D7" w:rsidRPr="00161B2E">
        <w:rPr>
          <w:rFonts w:ascii="Arial" w:hAnsi="Arial" w:cs="Arial"/>
        </w:rPr>
        <w:t xml:space="preserve">” </w:t>
      </w:r>
      <w:r w:rsidR="00F464D7" w:rsidRPr="00161B2E">
        <w:rPr>
          <w:rFonts w:ascii="Arial" w:hAnsi="Arial" w:cs="Arial"/>
        </w:rPr>
        <w:t>(Pearsall et al., 2010)</w:t>
      </w:r>
      <w:r w:rsidR="00F464D7" w:rsidRPr="00161B2E">
        <w:rPr>
          <w:rFonts w:ascii="Arial" w:hAnsi="Arial" w:cs="Arial"/>
        </w:rPr>
        <w:t xml:space="preserve"> </w:t>
      </w:r>
      <w:r w:rsidR="00611196" w:rsidRPr="00161B2E">
        <w:rPr>
          <w:rFonts w:ascii="Arial" w:hAnsi="Arial" w:cs="Arial"/>
        </w:rPr>
        <w:t>–</w:t>
      </w:r>
      <w:r w:rsidR="00F464D7" w:rsidRPr="00161B2E">
        <w:rPr>
          <w:rFonts w:ascii="Arial" w:hAnsi="Arial" w:cs="Arial"/>
        </w:rPr>
        <w:t xml:space="preserve"> </w:t>
      </w:r>
      <w:r w:rsidR="00611196" w:rsidRPr="00161B2E">
        <w:rPr>
          <w:rFonts w:ascii="Arial" w:hAnsi="Arial" w:cs="Arial"/>
        </w:rPr>
        <w:t xml:space="preserve">although </w:t>
      </w:r>
      <w:r w:rsidR="00F464D7" w:rsidRPr="00161B2E">
        <w:rPr>
          <w:rFonts w:ascii="Arial" w:hAnsi="Arial" w:cs="Arial"/>
        </w:rPr>
        <w:t>Young (2024) states that “</w:t>
      </w:r>
      <w:r w:rsidR="00F464D7" w:rsidRPr="00161B2E">
        <w:rPr>
          <w:rFonts w:ascii="Arial" w:hAnsi="Arial" w:cs="Arial"/>
        </w:rPr>
        <w:t>The well-to-do have seized upon the trappings of meritocracy as a way of legitimising and perpetuating their privileged status</w:t>
      </w:r>
      <w:r w:rsidR="00F464D7" w:rsidRPr="00161B2E">
        <w:rPr>
          <w:rFonts w:ascii="Arial" w:hAnsi="Arial" w:cs="Arial"/>
        </w:rPr>
        <w:t xml:space="preserve">”. In short, if you do not have </w:t>
      </w:r>
      <w:r w:rsidR="00F464D7" w:rsidRPr="00161B2E">
        <w:rPr>
          <w:rFonts w:ascii="Arial" w:hAnsi="Arial" w:cs="Arial"/>
          <w:i/>
          <w:iCs/>
        </w:rPr>
        <w:t>access</w:t>
      </w:r>
      <w:r w:rsidR="00F464D7" w:rsidRPr="00161B2E">
        <w:rPr>
          <w:rFonts w:ascii="Arial" w:hAnsi="Arial" w:cs="Arial"/>
        </w:rPr>
        <w:t xml:space="preserve"> to the opportunities, in the form of good quality schools and apprenticeship schemes, or ability to attend university, due to a multitude of factors, is your own level of skill and imagination given the best chance</w:t>
      </w:r>
      <w:r w:rsidR="00417B81" w:rsidRPr="00161B2E">
        <w:rPr>
          <w:rFonts w:ascii="Arial" w:hAnsi="Arial" w:cs="Arial"/>
        </w:rPr>
        <w:t>?</w:t>
      </w:r>
    </w:p>
    <w:p w14:paraId="591CAF6A" w14:textId="24DF77EA" w:rsidR="00F464D7" w:rsidRPr="00161B2E" w:rsidRDefault="00F464D7" w:rsidP="00922EF5">
      <w:pPr>
        <w:rPr>
          <w:rFonts w:ascii="Arial" w:hAnsi="Arial" w:cs="Arial"/>
        </w:rPr>
      </w:pPr>
      <w:r w:rsidRPr="00161B2E">
        <w:rPr>
          <w:rFonts w:ascii="Arial" w:hAnsi="Arial" w:cs="Arial"/>
        </w:rPr>
        <w:t xml:space="preserve">The Below Charts, taken from the education in Wales Census, demonstrate that the ex-mining areas that are the focus of this essay have the lowest levels of residents with a qualification above level 4, and the highest numbers of residents with no qualifications. </w:t>
      </w:r>
    </w:p>
    <w:p w14:paraId="2DAD627B" w14:textId="6A11CDDC" w:rsidR="00F84E1C" w:rsidRPr="00161B2E" w:rsidRDefault="00F84E1C" w:rsidP="00F84E1C">
      <w:pPr>
        <w:keepNext/>
        <w:rPr>
          <w:rFonts w:ascii="Arial" w:hAnsi="Arial" w:cs="Arial"/>
        </w:rPr>
      </w:pPr>
      <w:r w:rsidRPr="00161B2E">
        <w:rPr>
          <w:rFonts w:ascii="Arial" w:hAnsi="Arial" w:cs="Arial"/>
        </w:rPr>
        <w:drawing>
          <wp:inline distT="0" distB="0" distL="0" distR="0" wp14:anchorId="61B479EE" wp14:editId="6AF97EF7">
            <wp:extent cx="2690495" cy="2232641"/>
            <wp:effectExtent l="0" t="0" r="0" b="0"/>
            <wp:docPr id="177601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11888" name=""/>
                    <pic:cNvPicPr/>
                  </pic:nvPicPr>
                  <pic:blipFill>
                    <a:blip r:embed="rId8"/>
                    <a:stretch>
                      <a:fillRect/>
                    </a:stretch>
                  </pic:blipFill>
                  <pic:spPr>
                    <a:xfrm>
                      <a:off x="0" y="0"/>
                      <a:ext cx="2711098" cy="2249738"/>
                    </a:xfrm>
                    <a:prstGeom prst="rect">
                      <a:avLst/>
                    </a:prstGeom>
                  </pic:spPr>
                </pic:pic>
              </a:graphicData>
            </a:graphic>
          </wp:inline>
        </w:drawing>
      </w:r>
      <w:r w:rsidRPr="00161B2E">
        <w:rPr>
          <w:rFonts w:ascii="Arial" w:hAnsi="Arial" w:cs="Arial"/>
          <w:noProof/>
        </w:rPr>
        <w:t xml:space="preserve"> </w:t>
      </w:r>
      <w:r w:rsidRPr="00161B2E">
        <w:rPr>
          <w:rFonts w:ascii="Arial" w:hAnsi="Arial" w:cs="Arial"/>
        </w:rPr>
        <w:drawing>
          <wp:inline distT="0" distB="0" distL="0" distR="0" wp14:anchorId="245585A4" wp14:editId="530AFD95">
            <wp:extent cx="2964180" cy="2250885"/>
            <wp:effectExtent l="0" t="0" r="7620" b="0"/>
            <wp:docPr id="102588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87772" name=""/>
                    <pic:cNvPicPr/>
                  </pic:nvPicPr>
                  <pic:blipFill>
                    <a:blip r:embed="rId9"/>
                    <a:stretch>
                      <a:fillRect/>
                    </a:stretch>
                  </pic:blipFill>
                  <pic:spPr>
                    <a:xfrm>
                      <a:off x="0" y="0"/>
                      <a:ext cx="2977674" cy="2261132"/>
                    </a:xfrm>
                    <a:prstGeom prst="rect">
                      <a:avLst/>
                    </a:prstGeom>
                  </pic:spPr>
                </pic:pic>
              </a:graphicData>
            </a:graphic>
          </wp:inline>
        </w:drawing>
      </w:r>
    </w:p>
    <w:p w14:paraId="02855E43" w14:textId="3CBB2E32" w:rsidR="001815FD" w:rsidRPr="00161B2E" w:rsidRDefault="00F84E1C" w:rsidP="00F84E1C">
      <w:pPr>
        <w:pStyle w:val="Caption"/>
        <w:rPr>
          <w:rFonts w:ascii="Arial" w:hAnsi="Arial" w:cs="Arial"/>
          <w:color w:val="auto"/>
        </w:rPr>
      </w:pPr>
      <w:r w:rsidRPr="00161B2E">
        <w:rPr>
          <w:rFonts w:ascii="Arial" w:hAnsi="Arial" w:cs="Arial"/>
          <w:color w:val="auto"/>
        </w:rPr>
        <w:t>(</w:t>
      </w:r>
      <w:r w:rsidR="00AC03B0" w:rsidRPr="00161B2E">
        <w:rPr>
          <w:rFonts w:ascii="Arial" w:hAnsi="Arial" w:cs="Arial"/>
          <w:color w:val="auto"/>
        </w:rPr>
        <w:t xml:space="preserve">Fig </w:t>
      </w:r>
      <w:proofErr w:type="gramStart"/>
      <w:r w:rsidR="00AC03B0" w:rsidRPr="00161B2E">
        <w:rPr>
          <w:rFonts w:ascii="Arial" w:hAnsi="Arial" w:cs="Arial"/>
          <w:color w:val="auto"/>
        </w:rPr>
        <w:t>2.</w:t>
      </w:r>
      <w:r w:rsidRPr="00161B2E">
        <w:rPr>
          <w:rFonts w:ascii="Arial" w:hAnsi="Arial" w:cs="Arial"/>
          <w:color w:val="auto"/>
        </w:rPr>
        <w:t>Education</w:t>
      </w:r>
      <w:proofErr w:type="gramEnd"/>
      <w:r w:rsidRPr="00161B2E">
        <w:rPr>
          <w:rFonts w:ascii="Arial" w:hAnsi="Arial" w:cs="Arial"/>
          <w:color w:val="auto"/>
        </w:rPr>
        <w:t xml:space="preserve"> in Wales (Census 2021)  </w:t>
      </w:r>
    </w:p>
    <w:p w14:paraId="4AB00068" w14:textId="459A3514" w:rsidR="00F464D7" w:rsidRPr="00161B2E" w:rsidRDefault="00F464D7" w:rsidP="00F464D7">
      <w:pPr>
        <w:rPr>
          <w:rFonts w:ascii="Arial" w:hAnsi="Arial" w:cs="Arial"/>
        </w:rPr>
      </w:pPr>
      <w:r w:rsidRPr="00161B2E">
        <w:rPr>
          <w:rFonts w:ascii="Arial" w:hAnsi="Arial" w:cs="Arial"/>
        </w:rPr>
        <w:t>In addition, research by the Welsh Government demonstrates that the South Wales Valleys area has the highest percentage of children with an eligibility for free school meals</w:t>
      </w:r>
      <w:r w:rsidR="00417B81" w:rsidRPr="00161B2E">
        <w:rPr>
          <w:rFonts w:ascii="Arial" w:hAnsi="Arial" w:cs="Arial"/>
        </w:rPr>
        <w:t xml:space="preserve"> </w:t>
      </w:r>
      <w:r w:rsidR="00417B81" w:rsidRPr="00161B2E">
        <w:rPr>
          <w:rFonts w:ascii="Arial" w:hAnsi="Arial" w:cs="Arial"/>
        </w:rPr>
        <w:t>(Rees and Rees, 2023)</w:t>
      </w:r>
      <w:r w:rsidR="00417B81" w:rsidRPr="00161B2E">
        <w:rPr>
          <w:rFonts w:ascii="Arial" w:hAnsi="Arial" w:cs="Arial"/>
        </w:rPr>
        <w:t xml:space="preserve"> </w:t>
      </w:r>
      <w:r w:rsidRPr="00161B2E">
        <w:rPr>
          <w:rFonts w:ascii="Arial" w:hAnsi="Arial" w:cs="Arial"/>
        </w:rPr>
        <w:t xml:space="preserve">, eligibility for FSM is used by governments as a marker for poverty, and it is evidenced that </w:t>
      </w:r>
      <w:r w:rsidR="00417B81" w:rsidRPr="00161B2E">
        <w:rPr>
          <w:rFonts w:ascii="Arial" w:hAnsi="Arial" w:cs="Arial"/>
        </w:rPr>
        <w:t>“</w:t>
      </w:r>
      <w:r w:rsidR="00417B81" w:rsidRPr="00161B2E">
        <w:rPr>
          <w:rFonts w:ascii="Arial" w:hAnsi="Arial" w:cs="Arial"/>
        </w:rPr>
        <w:t>Only 43 per cent of children from the lowest income households achieve five GCSE grades A*–C, compared with 71 per cent of all other children</w:t>
      </w:r>
      <w:r w:rsidR="00417B81" w:rsidRPr="00161B2E">
        <w:rPr>
          <w:rFonts w:ascii="Arial" w:hAnsi="Arial" w:cs="Arial"/>
        </w:rPr>
        <w:t xml:space="preserve">” </w:t>
      </w:r>
      <w:r w:rsidR="00417B81" w:rsidRPr="00161B2E">
        <w:rPr>
          <w:rFonts w:ascii="Arial" w:hAnsi="Arial" w:cs="Arial"/>
        </w:rPr>
        <w:t>(Wright, 2018)</w:t>
      </w:r>
    </w:p>
    <w:p w14:paraId="761E273A" w14:textId="527DC47C" w:rsidR="00417B81" w:rsidRPr="00161B2E" w:rsidRDefault="00417B81" w:rsidP="00F464D7">
      <w:pPr>
        <w:rPr>
          <w:rFonts w:ascii="Arial" w:hAnsi="Arial" w:cs="Arial"/>
        </w:rPr>
      </w:pPr>
      <w:r w:rsidRPr="00161B2E">
        <w:rPr>
          <w:rFonts w:ascii="Arial" w:hAnsi="Arial" w:cs="Arial"/>
        </w:rPr>
        <w:t xml:space="preserve">Based on the above, children growing up in the ex-industrial areas have less chance of breaking generational patterns of poverty and inequality that their equivalents in other geographical areas, and working age adults may struggle to gain new skills, including IT skills, due to lack of </w:t>
      </w:r>
      <w:r w:rsidR="00611196" w:rsidRPr="00161B2E">
        <w:rPr>
          <w:rFonts w:ascii="Arial" w:hAnsi="Arial" w:cs="Arial"/>
        </w:rPr>
        <w:t xml:space="preserve">adult education provision, </w:t>
      </w:r>
      <w:r w:rsidR="005728A5" w:rsidRPr="00161B2E">
        <w:rPr>
          <w:rFonts w:ascii="Arial" w:hAnsi="Arial" w:cs="Arial"/>
        </w:rPr>
        <w:t>and where there is provision, this being a generic offer, with Walters (2021) stating “</w:t>
      </w:r>
      <w:r w:rsidR="005728A5" w:rsidRPr="00161B2E">
        <w:rPr>
          <w:rFonts w:ascii="Arial" w:hAnsi="Arial" w:cs="Arial"/>
        </w:rPr>
        <w:t xml:space="preserve">It can only be possible to widen participation if the focus is on the learners themselves. They need to be given the opportunity to decide what they want to learn, where they want to learn it and at an affordable cost.” </w:t>
      </w:r>
    </w:p>
    <w:p w14:paraId="67CC964E" w14:textId="77777777" w:rsidR="002B7B6E" w:rsidRPr="00161B2E" w:rsidRDefault="00634E81" w:rsidP="002B7B6E">
      <w:pPr>
        <w:rPr>
          <w:rFonts w:ascii="Arial" w:hAnsi="Arial" w:cs="Arial"/>
        </w:rPr>
      </w:pPr>
      <w:r w:rsidRPr="00161B2E">
        <w:rPr>
          <w:rFonts w:ascii="Arial" w:hAnsi="Arial" w:cs="Arial"/>
        </w:rPr>
        <w:lastRenderedPageBreak/>
        <w:br/>
      </w:r>
      <w:bookmarkStart w:id="2" w:name="_Toc182222987"/>
      <w:r w:rsidRPr="00161B2E">
        <w:rPr>
          <w:rStyle w:val="Heading2Char"/>
          <w:rFonts w:ascii="Arial" w:hAnsi="Arial" w:cs="Arial"/>
          <w:color w:val="auto"/>
        </w:rPr>
        <w:t>Health and Well-Being</w:t>
      </w:r>
      <w:bookmarkEnd w:id="2"/>
      <w:r w:rsidRPr="00161B2E">
        <w:rPr>
          <w:rFonts w:ascii="Arial" w:hAnsi="Arial" w:cs="Arial"/>
        </w:rPr>
        <w:t xml:space="preserve"> </w:t>
      </w:r>
      <w:r w:rsidR="005728A5" w:rsidRPr="00161B2E">
        <w:rPr>
          <w:rFonts w:ascii="Arial" w:hAnsi="Arial" w:cs="Arial"/>
        </w:rPr>
        <w:br/>
      </w:r>
      <w:r w:rsidR="002B7B6E" w:rsidRPr="00161B2E">
        <w:rPr>
          <w:rFonts w:ascii="Arial" w:hAnsi="Arial" w:cs="Arial"/>
        </w:rPr>
        <w:t>According to the office for national statistics, reporting data from the 2011 and 2021 national Census; “</w:t>
      </w:r>
      <w:r w:rsidR="002B7B6E" w:rsidRPr="00161B2E">
        <w:rPr>
          <w:rFonts w:ascii="Arial" w:hAnsi="Arial" w:cs="Arial"/>
        </w:rPr>
        <w:t>In Wales, the local authorities with the highest proportions of disabled people were Neath Port Talbot (24.6%), Blaenau Gwent (24.6%), and Merthyr Tydfil (24.2%).</w:t>
      </w:r>
    </w:p>
    <w:p w14:paraId="11BC4B53" w14:textId="77777777" w:rsidR="002B7B6E" w:rsidRPr="00161B2E" w:rsidRDefault="002B7B6E" w:rsidP="002B7B6E">
      <w:pPr>
        <w:rPr>
          <w:rFonts w:ascii="Arial" w:hAnsi="Arial" w:cs="Arial"/>
        </w:rPr>
      </w:pPr>
      <w:r w:rsidRPr="00161B2E">
        <w:rPr>
          <w:rFonts w:ascii="Arial" w:hAnsi="Arial" w:cs="Arial"/>
        </w:rPr>
        <w:t>In 2011, the same three local authorities had the highest proportions of disabled people in Wales: Merthyr Tydfil (28.8%), Blaenau Gwent (28.4%), and Neath Port Talbot (28.2%). This was higher than any local authority in England in 2011. In each of the three, the proportion of disabled people fell from 2011 to 2021.</w:t>
      </w:r>
      <w:r w:rsidRPr="00161B2E">
        <w:rPr>
          <w:rFonts w:ascii="Arial" w:hAnsi="Arial" w:cs="Arial"/>
        </w:rPr>
        <w:t xml:space="preserve"> </w:t>
      </w:r>
      <w:r w:rsidRPr="00161B2E">
        <w:rPr>
          <w:rFonts w:ascii="Arial" w:hAnsi="Arial" w:cs="Arial"/>
        </w:rPr>
        <w:t>Some of the local authorities in Wales with larger proportions of people reporting a disability are also areas in which larger proportions of people provided unpaid care.</w:t>
      </w:r>
      <w:r w:rsidRPr="00161B2E">
        <w:rPr>
          <w:rFonts w:ascii="Arial" w:hAnsi="Arial" w:cs="Arial"/>
        </w:rPr>
        <w:t xml:space="preserve">” Between 9.8 % and 10.4% of households in these areas reported 2 or more disabled individuals within a household </w:t>
      </w:r>
      <w:r w:rsidRPr="00161B2E">
        <w:rPr>
          <w:rFonts w:ascii="Arial" w:hAnsi="Arial" w:cs="Arial"/>
        </w:rPr>
        <w:t>(Waddington, 2023)</w:t>
      </w:r>
      <w:r w:rsidRPr="00161B2E">
        <w:rPr>
          <w:rFonts w:ascii="Arial" w:hAnsi="Arial" w:cs="Arial"/>
        </w:rPr>
        <w:t xml:space="preserve">. </w:t>
      </w:r>
    </w:p>
    <w:p w14:paraId="68A2494E" w14:textId="77777777" w:rsidR="009D1562" w:rsidRPr="00161B2E" w:rsidRDefault="002B7B6E" w:rsidP="002B7B6E">
      <w:pPr>
        <w:rPr>
          <w:rFonts w:ascii="Arial" w:hAnsi="Arial" w:cs="Arial"/>
        </w:rPr>
      </w:pPr>
      <w:r w:rsidRPr="00161B2E">
        <w:rPr>
          <w:rFonts w:ascii="Arial" w:hAnsi="Arial" w:cs="Arial"/>
        </w:rPr>
        <w:t xml:space="preserve">In 2005, Merthyr Tydfil data showed that 20.5% of residents were in receipt of the now ‘phased out’ incapacity benefit, meaning that they had been found unfit for any </w:t>
      </w:r>
      <w:r w:rsidR="009D1562" w:rsidRPr="00161B2E">
        <w:rPr>
          <w:rFonts w:ascii="Arial" w:hAnsi="Arial" w:cs="Arial"/>
        </w:rPr>
        <w:t>work- or work-related</w:t>
      </w:r>
      <w:r w:rsidRPr="00161B2E">
        <w:rPr>
          <w:rFonts w:ascii="Arial" w:hAnsi="Arial" w:cs="Arial"/>
        </w:rPr>
        <w:t xml:space="preserve"> activity. The financial times reported more recently that “</w:t>
      </w:r>
      <w:r w:rsidRPr="00161B2E">
        <w:rPr>
          <w:rFonts w:ascii="Arial" w:hAnsi="Arial" w:cs="Arial"/>
        </w:rPr>
        <w:t>Figures from the Department for Work and Pensions show that between October 2010 and December 2014, one in five of the 2,870 disability claimants who underwent the government’s new work capability assessment were found to be fit for work. A further 38 per cent were found to be capable of “work-related activity” — basic maths or writing skills or learning how to produce a CV, for example.</w:t>
      </w:r>
      <w:r w:rsidRPr="00161B2E">
        <w:rPr>
          <w:rFonts w:ascii="Arial" w:hAnsi="Arial" w:cs="Arial"/>
        </w:rPr>
        <w:t xml:space="preserve">” </w:t>
      </w:r>
      <w:r w:rsidR="009D1562" w:rsidRPr="00161B2E">
        <w:rPr>
          <w:rFonts w:ascii="Arial" w:hAnsi="Arial" w:cs="Arial"/>
        </w:rPr>
        <w:t>(Brown, 2016)</w:t>
      </w:r>
      <w:r w:rsidR="009D1562" w:rsidRPr="00161B2E">
        <w:rPr>
          <w:rFonts w:ascii="Arial" w:hAnsi="Arial" w:cs="Arial"/>
        </w:rPr>
        <w:t xml:space="preserve"> – it is unclear if these statistics evidence a real improvement in health and wellbeing, or simply a more stringent measure of an individuals’ health circumstances. </w:t>
      </w:r>
    </w:p>
    <w:p w14:paraId="4897CDF8" w14:textId="77777777" w:rsidR="00AC03B0" w:rsidRPr="00161B2E" w:rsidRDefault="009D1562" w:rsidP="00AC03B0">
      <w:pPr>
        <w:keepNext/>
        <w:rPr>
          <w:rFonts w:ascii="Arial" w:hAnsi="Arial" w:cs="Arial"/>
        </w:rPr>
      </w:pPr>
      <w:r w:rsidRPr="00161B2E">
        <w:rPr>
          <w:rFonts w:ascii="Arial" w:hAnsi="Arial" w:cs="Arial"/>
        </w:rPr>
        <w:t>The Joseph Rowntree Foundation point out that living in poverty exacerbates health conditions, and while prevalence of health conditions may be lower in ex mining communities, there is a higher chance of dying from a condition, at an age below the national average. Their report states “</w:t>
      </w:r>
      <w:r w:rsidRPr="00161B2E">
        <w:rPr>
          <w:rFonts w:ascii="Arial" w:hAnsi="Arial" w:cs="Arial"/>
        </w:rPr>
        <w:t>Data from January 2024 reveals that 49% of people in the most deprived areas report that the cost-of-living squeeze is impacting their physical health compared with 27% of people in the least deprived areas</w:t>
      </w:r>
      <w:r w:rsidRPr="00161B2E">
        <w:rPr>
          <w:rFonts w:ascii="Arial" w:hAnsi="Arial" w:cs="Arial"/>
        </w:rPr>
        <w:t xml:space="preserve">” </w:t>
      </w:r>
      <w:r w:rsidRPr="00161B2E">
        <w:rPr>
          <w:rFonts w:ascii="Arial" w:hAnsi="Arial" w:cs="Arial"/>
        </w:rPr>
        <w:t>(Mallory, 2024)</w:t>
      </w:r>
      <w:r w:rsidRPr="00161B2E">
        <w:rPr>
          <w:rFonts w:ascii="Arial" w:hAnsi="Arial" w:cs="Arial"/>
        </w:rPr>
        <w:t xml:space="preserve"> and that it is harder to access NHS services in these areas, leading to increased inequality</w:t>
      </w:r>
      <w:r w:rsidR="00422B5D" w:rsidRPr="00161B2E">
        <w:rPr>
          <w:rFonts w:ascii="Arial" w:hAnsi="Arial" w:cs="Arial"/>
        </w:rPr>
        <w:t xml:space="preserve"> and residents feeling ‘left behind’- Figures from the NHS performance and activity summary show that Cwm Taf Morgannwg have longer wait times, slower response times and higher emergency attendance than other health </w:t>
      </w:r>
      <w:r w:rsidR="00422B5D" w:rsidRPr="00161B2E">
        <w:rPr>
          <w:rFonts w:ascii="Arial" w:hAnsi="Arial" w:cs="Arial"/>
        </w:rPr>
        <w:lastRenderedPageBreak/>
        <w:t xml:space="preserve">boards in Wales </w:t>
      </w:r>
      <w:r w:rsidR="00422B5D" w:rsidRPr="00161B2E">
        <w:rPr>
          <w:rFonts w:ascii="Arial" w:hAnsi="Arial" w:cs="Arial"/>
        </w:rPr>
        <w:t>(NHS activity and performance summary: May and June 2024 GOV.WALES, 2024</w:t>
      </w:r>
      <w:r w:rsidR="00422B5D" w:rsidRPr="00161B2E">
        <w:rPr>
          <w:rFonts w:ascii="Arial" w:hAnsi="Arial" w:cs="Arial"/>
        </w:rPr>
        <w:drawing>
          <wp:inline distT="0" distB="0" distL="0" distR="0" wp14:anchorId="1F83A1CA" wp14:editId="04238694">
            <wp:extent cx="3979534" cy="2369820"/>
            <wp:effectExtent l="0" t="0" r="2540" b="0"/>
            <wp:docPr id="968327826" name="Picture 1"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27826" name="Picture 1" descr="A graph with blue and orange bars&#10;&#10;Description automatically generated"/>
                    <pic:cNvPicPr/>
                  </pic:nvPicPr>
                  <pic:blipFill>
                    <a:blip r:embed="rId10"/>
                    <a:stretch>
                      <a:fillRect/>
                    </a:stretch>
                  </pic:blipFill>
                  <pic:spPr>
                    <a:xfrm>
                      <a:off x="0" y="0"/>
                      <a:ext cx="3994177" cy="2378540"/>
                    </a:xfrm>
                    <a:prstGeom prst="rect">
                      <a:avLst/>
                    </a:prstGeom>
                  </pic:spPr>
                </pic:pic>
              </a:graphicData>
            </a:graphic>
          </wp:inline>
        </w:drawing>
      </w:r>
    </w:p>
    <w:p w14:paraId="02C586AD" w14:textId="1B27F2A4" w:rsidR="00AC03B0" w:rsidRPr="00161B2E" w:rsidRDefault="00AC03B0" w:rsidP="00AC03B0">
      <w:pPr>
        <w:pStyle w:val="Caption"/>
        <w:rPr>
          <w:rFonts w:ascii="Arial" w:hAnsi="Arial" w:cs="Arial"/>
          <w:color w:val="auto"/>
        </w:rPr>
      </w:pPr>
      <w:r w:rsidRPr="00161B2E">
        <w:rPr>
          <w:rFonts w:ascii="Arial" w:hAnsi="Arial" w:cs="Arial"/>
          <w:color w:val="auto"/>
        </w:rPr>
        <w:t>(Fig 3. NHS activity and performance summary)</w:t>
      </w:r>
    </w:p>
    <w:p w14:paraId="436ED7DA" w14:textId="4E2C78ED" w:rsidR="008E4F8B" w:rsidRPr="00161B2E" w:rsidRDefault="008E4F8B" w:rsidP="002B7B6E">
      <w:pPr>
        <w:rPr>
          <w:rFonts w:ascii="Arial" w:hAnsi="Arial" w:cs="Arial"/>
        </w:rPr>
      </w:pPr>
    </w:p>
    <w:p w14:paraId="419B326E" w14:textId="208FB065" w:rsidR="002E19E0" w:rsidRPr="00161B2E" w:rsidRDefault="00634E81" w:rsidP="000549CD">
      <w:pPr>
        <w:pStyle w:val="Heading2"/>
        <w:rPr>
          <w:rFonts w:ascii="Arial" w:hAnsi="Arial" w:cs="Arial"/>
          <w:color w:val="auto"/>
        </w:rPr>
      </w:pPr>
      <w:bookmarkStart w:id="3" w:name="_Toc182222988"/>
      <w:r w:rsidRPr="00161B2E">
        <w:rPr>
          <w:rFonts w:ascii="Arial" w:hAnsi="Arial" w:cs="Arial"/>
          <w:color w:val="auto"/>
        </w:rPr>
        <w:t>Housing</w:t>
      </w:r>
      <w:bookmarkEnd w:id="3"/>
      <w:r w:rsidRPr="00161B2E">
        <w:rPr>
          <w:rFonts w:ascii="Arial" w:hAnsi="Arial" w:cs="Arial"/>
          <w:color w:val="auto"/>
        </w:rPr>
        <w:t xml:space="preserve"> </w:t>
      </w:r>
    </w:p>
    <w:p w14:paraId="3B2662CB" w14:textId="4BA78E63" w:rsidR="002534B9" w:rsidRPr="00161B2E" w:rsidRDefault="002E19E0" w:rsidP="002B7B6E">
      <w:pPr>
        <w:rPr>
          <w:rFonts w:ascii="Arial" w:hAnsi="Arial" w:cs="Arial"/>
        </w:rPr>
      </w:pPr>
      <w:r w:rsidRPr="00161B2E">
        <w:rPr>
          <w:rFonts w:ascii="Arial" w:hAnsi="Arial" w:cs="Arial"/>
        </w:rPr>
        <w:t>The communities in these former mining and industrial areas grew up around the industrial sites, with a rapid program of home building in the 1940s and ‘50s REF? following the loss of industry, these areas are less eligible for investment, regeneration and home building, with those residents that own their homes being stuck in a ‘catch 22’ where the value of their property is significantly lower than in other areas, limiting their ability to move out of area in order to access other opportunities. REF There is a lack of social housing and affordable housing in these ex</w:t>
      </w:r>
      <w:r w:rsidR="002534B9" w:rsidRPr="00161B2E">
        <w:rPr>
          <w:rFonts w:ascii="Arial" w:hAnsi="Arial" w:cs="Arial"/>
        </w:rPr>
        <w:t>-</w:t>
      </w:r>
      <w:r w:rsidRPr="00161B2E">
        <w:rPr>
          <w:rFonts w:ascii="Arial" w:hAnsi="Arial" w:cs="Arial"/>
        </w:rPr>
        <w:t>mining communities, leading to overcrowding, impacts on health and wellbeing, and deepening inequality</w:t>
      </w:r>
      <w:r w:rsidR="002534B9" w:rsidRPr="00161B2E">
        <w:rPr>
          <w:rFonts w:ascii="Arial" w:hAnsi="Arial" w:cs="Arial"/>
        </w:rPr>
        <w:t xml:space="preserve">. </w:t>
      </w:r>
    </w:p>
    <w:p w14:paraId="2F811DF1" w14:textId="77777777" w:rsidR="00F0414C" w:rsidRPr="00161B2E" w:rsidRDefault="00431BF1" w:rsidP="002B7B6E">
      <w:pPr>
        <w:rPr>
          <w:rFonts w:ascii="Arial" w:hAnsi="Arial" w:cs="Arial"/>
        </w:rPr>
      </w:pPr>
      <w:r w:rsidRPr="00161B2E">
        <w:rPr>
          <w:rFonts w:ascii="Arial" w:hAnsi="Arial" w:cs="Arial"/>
        </w:rPr>
        <w:t>Corlett and Leslie (2021)</w:t>
      </w:r>
      <w:r w:rsidRPr="00161B2E">
        <w:rPr>
          <w:rFonts w:ascii="Arial" w:hAnsi="Arial" w:cs="Arial"/>
        </w:rPr>
        <w:t xml:space="preserve"> point out that one of the key factors in wealth/asset accumulation is house price appreciation, and that “</w:t>
      </w:r>
      <w:r w:rsidRPr="00161B2E">
        <w:rPr>
          <w:rFonts w:ascii="Arial" w:hAnsi="Arial" w:cs="Arial"/>
        </w:rPr>
        <w:t>with growing metropolitan areas as faster gainers than rural regions) and between generations (with older cohorts of owners having substantially more housing wealth</w:t>
      </w:r>
      <w:r w:rsidRPr="00161B2E">
        <w:rPr>
          <w:rFonts w:ascii="Arial" w:hAnsi="Arial" w:cs="Arial"/>
        </w:rPr>
        <w:t>)” and if there is a problem of lack of affordable housing, lack of demand and lack of mobility, or ‘trading up’ there will be stagnation in a housing market.</w:t>
      </w:r>
    </w:p>
    <w:p w14:paraId="0E199D42" w14:textId="6B653CB8" w:rsidR="00EA6CF0" w:rsidRPr="00161B2E" w:rsidRDefault="00F0414C" w:rsidP="002B7B6E">
      <w:pPr>
        <w:rPr>
          <w:rFonts w:ascii="Arial" w:hAnsi="Arial" w:cs="Arial"/>
        </w:rPr>
      </w:pPr>
      <w:r w:rsidRPr="00161B2E">
        <w:rPr>
          <w:rFonts w:ascii="Arial" w:hAnsi="Arial" w:cs="Arial"/>
        </w:rPr>
        <w:t xml:space="preserve">The other factor influencing inequality in the housing sector is that the lack of </w:t>
      </w:r>
      <w:proofErr w:type="gramStart"/>
      <w:r w:rsidRPr="00161B2E">
        <w:rPr>
          <w:rFonts w:ascii="Arial" w:hAnsi="Arial" w:cs="Arial"/>
        </w:rPr>
        <w:t>well paid</w:t>
      </w:r>
      <w:proofErr w:type="gramEnd"/>
      <w:r w:rsidRPr="00161B2E">
        <w:rPr>
          <w:rFonts w:ascii="Arial" w:hAnsi="Arial" w:cs="Arial"/>
        </w:rPr>
        <w:t xml:space="preserve"> work prohibits many potential first time buyers to be able to access the housing market, despite lower house prices, due to lack of well paid work and the high instances of households in poor health or in receipt of social security benefits </w:t>
      </w:r>
      <w:r w:rsidRPr="00161B2E">
        <w:rPr>
          <w:rFonts w:ascii="Arial" w:hAnsi="Arial" w:cs="Arial"/>
        </w:rPr>
        <w:t>(Price, 2024)</w:t>
      </w:r>
      <w:r w:rsidRPr="00161B2E">
        <w:rPr>
          <w:rFonts w:ascii="Arial" w:hAnsi="Arial" w:cs="Arial"/>
        </w:rPr>
        <w:t>.</w:t>
      </w:r>
      <w:r w:rsidR="00634E81" w:rsidRPr="00161B2E">
        <w:rPr>
          <w:rFonts w:ascii="Arial" w:hAnsi="Arial" w:cs="Arial"/>
        </w:rPr>
        <w:br/>
      </w:r>
    </w:p>
    <w:p w14:paraId="7242A366" w14:textId="77777777" w:rsidR="00AC03B0" w:rsidRPr="00161B2E" w:rsidRDefault="00634E81" w:rsidP="00AC03B0">
      <w:pPr>
        <w:keepNext/>
        <w:rPr>
          <w:rFonts w:ascii="Arial" w:hAnsi="Arial" w:cs="Arial"/>
        </w:rPr>
      </w:pPr>
      <w:bookmarkStart w:id="4" w:name="_Toc182222989"/>
      <w:r w:rsidRPr="00161B2E">
        <w:rPr>
          <w:rStyle w:val="Heading2Char"/>
          <w:rFonts w:ascii="Arial" w:hAnsi="Arial" w:cs="Arial"/>
          <w:color w:val="auto"/>
        </w:rPr>
        <w:t>The European union and withdrawal of support post Brexit</w:t>
      </w:r>
      <w:bookmarkEnd w:id="4"/>
      <w:r w:rsidR="00431BF1" w:rsidRPr="00161B2E">
        <w:rPr>
          <w:rFonts w:ascii="Arial" w:hAnsi="Arial" w:cs="Arial"/>
          <w:b/>
          <w:bCs/>
        </w:rPr>
        <w:br/>
      </w:r>
      <w:r w:rsidR="00FD205E" w:rsidRPr="00161B2E">
        <w:rPr>
          <w:rFonts w:ascii="Arial" w:hAnsi="Arial" w:cs="Arial"/>
          <w:b/>
          <w:bCs/>
        </w:rPr>
        <w:br/>
      </w:r>
      <w:r w:rsidR="00FD205E" w:rsidRPr="00161B2E">
        <w:rPr>
          <w:rFonts w:ascii="Arial" w:hAnsi="Arial" w:cs="Arial"/>
        </w:rPr>
        <w:t xml:space="preserve">Daniel Evans (LSE, 2016) following the Brexit referendum result, wrote for LSE that </w:t>
      </w:r>
      <w:r w:rsidR="00FD205E" w:rsidRPr="00161B2E">
        <w:rPr>
          <w:rFonts w:ascii="Arial" w:hAnsi="Arial" w:cs="Arial"/>
        </w:rPr>
        <w:lastRenderedPageBreak/>
        <w:t>“</w:t>
      </w:r>
      <w:r w:rsidR="00FD205E" w:rsidRPr="00161B2E">
        <w:rPr>
          <w:rFonts w:ascii="Arial" w:hAnsi="Arial" w:cs="Arial"/>
        </w:rPr>
        <w:t>A depressed, angry and disenfranchised populace had their discontent channelled by a relentless and simple leave campaign, which transformed the vote from one about ’the EU’ into a general, catch-all protest vote against ‘the establishment’, as well as scapegoating immigrants.</w:t>
      </w:r>
      <w:r w:rsidR="00FD205E" w:rsidRPr="00161B2E">
        <w:rPr>
          <w:rFonts w:ascii="Arial" w:hAnsi="Arial" w:cs="Arial"/>
        </w:rPr>
        <w:t>”</w:t>
      </w:r>
      <w:r w:rsidR="00FD205E" w:rsidRPr="00161B2E">
        <w:rPr>
          <w:rFonts w:ascii="Arial" w:hAnsi="Arial" w:cs="Arial"/>
          <w:b/>
          <w:bCs/>
        </w:rPr>
        <w:t xml:space="preserve"> </w:t>
      </w:r>
      <w:r w:rsidR="00FD205E" w:rsidRPr="00161B2E">
        <w:rPr>
          <w:rFonts w:ascii="Arial" w:hAnsi="Arial" w:cs="Arial"/>
        </w:rPr>
        <w:t xml:space="preserve">– The population of the Welsh valleys voted overwhelmingly to leave the European Union, despite the area having received </w:t>
      </w:r>
      <w:r w:rsidR="002F34E0" w:rsidRPr="00161B2E">
        <w:rPr>
          <w:rFonts w:ascii="Arial" w:hAnsi="Arial" w:cs="Arial"/>
        </w:rPr>
        <w:t>between 2014 and 2020 “</w:t>
      </w:r>
      <w:r w:rsidR="002F34E0" w:rsidRPr="00161B2E">
        <w:rPr>
          <w:rFonts w:ascii="Arial" w:hAnsi="Arial" w:cs="Arial"/>
        </w:rPr>
        <w:t>In per capita terms, West Wales and The Valleys receives around €135 per person per year from structural funds, East Wales receives around €50 per person per year, while the UK average is around €24 per person per year.</w:t>
      </w:r>
      <w:r w:rsidR="002F34E0" w:rsidRPr="00161B2E">
        <w:rPr>
          <w:rFonts w:ascii="Arial" w:hAnsi="Arial" w:cs="Arial"/>
        </w:rPr>
        <w:t>”</w:t>
      </w:r>
      <w:r w:rsidR="009C46D7" w:rsidRPr="00161B2E">
        <w:rPr>
          <w:rFonts w:ascii="Arial" w:hAnsi="Arial" w:cs="Arial"/>
        </w:rPr>
        <w:t xml:space="preserve"> </w:t>
      </w:r>
      <w:r w:rsidR="002F34E0" w:rsidRPr="00161B2E">
        <w:rPr>
          <w:rFonts w:ascii="Arial" w:hAnsi="Arial" w:cs="Arial"/>
          <w:b/>
          <w:bCs/>
        </w:rPr>
        <w:t xml:space="preserve"> </w:t>
      </w:r>
      <w:r w:rsidR="009C46D7" w:rsidRPr="00161B2E">
        <w:rPr>
          <w:rFonts w:ascii="Arial" w:hAnsi="Arial" w:cs="Arial"/>
        </w:rPr>
        <w:t>(Bird and Phillips, 2020)</w:t>
      </w:r>
      <w:r w:rsidR="009C46D7" w:rsidRPr="00161B2E">
        <w:rPr>
          <w:rFonts w:ascii="Arial" w:hAnsi="Arial" w:cs="Arial"/>
          <w:b/>
          <w:bCs/>
        </w:rPr>
        <w:t xml:space="preserve"> – </w:t>
      </w:r>
      <w:r w:rsidR="009C46D7" w:rsidRPr="00161B2E">
        <w:rPr>
          <w:rFonts w:ascii="Arial" w:hAnsi="Arial" w:cs="Arial"/>
        </w:rPr>
        <w:t>Interviews with residents before and after the referendum found that communities felt disengaged from the EU, with high levels of concern about in-migration, the loss of jobs and lack of real change or demonstrable impact from EU funding.</w:t>
      </w:r>
      <w:r w:rsidRPr="00161B2E">
        <w:rPr>
          <w:rFonts w:ascii="Arial" w:hAnsi="Arial" w:cs="Arial"/>
          <w:b/>
          <w:bCs/>
        </w:rPr>
        <w:br/>
      </w:r>
      <w:r w:rsidR="002F34E0" w:rsidRPr="00161B2E">
        <w:rPr>
          <w:rFonts w:ascii="Arial" w:hAnsi="Arial" w:cs="Arial"/>
          <w:b/>
          <w:bCs/>
        </w:rPr>
        <w:drawing>
          <wp:inline distT="0" distB="0" distL="0" distR="0" wp14:anchorId="72EA2910" wp14:editId="6AA232CF">
            <wp:extent cx="5731510" cy="3624580"/>
            <wp:effectExtent l="0" t="0" r="2540" b="0"/>
            <wp:docPr id="286304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04512" name=""/>
                    <pic:cNvPicPr/>
                  </pic:nvPicPr>
                  <pic:blipFill>
                    <a:blip r:embed="rId11"/>
                    <a:stretch>
                      <a:fillRect/>
                    </a:stretch>
                  </pic:blipFill>
                  <pic:spPr>
                    <a:xfrm>
                      <a:off x="0" y="0"/>
                      <a:ext cx="5731510" cy="3624580"/>
                    </a:xfrm>
                    <a:prstGeom prst="rect">
                      <a:avLst/>
                    </a:prstGeom>
                  </pic:spPr>
                </pic:pic>
              </a:graphicData>
            </a:graphic>
          </wp:inline>
        </w:drawing>
      </w:r>
    </w:p>
    <w:p w14:paraId="6D0F994C" w14:textId="4DF97BD3" w:rsidR="00EA6CF0" w:rsidRPr="00161B2E" w:rsidRDefault="00161B2E" w:rsidP="00AC03B0">
      <w:pPr>
        <w:pStyle w:val="Caption"/>
        <w:rPr>
          <w:rFonts w:ascii="Arial" w:hAnsi="Arial" w:cs="Arial"/>
          <w:color w:val="auto"/>
        </w:rPr>
      </w:pPr>
      <w:r w:rsidRPr="00161B2E">
        <w:rPr>
          <w:rFonts w:ascii="Arial" w:hAnsi="Arial" w:cs="Arial"/>
          <w:color w:val="auto"/>
        </w:rPr>
        <w:t xml:space="preserve">(Fig 4. </w:t>
      </w:r>
      <w:r w:rsidR="00AC03B0" w:rsidRPr="00161B2E">
        <w:rPr>
          <w:rFonts w:ascii="Arial" w:hAnsi="Arial" w:cs="Arial"/>
          <w:color w:val="auto"/>
        </w:rPr>
        <w:t>Preparations for replacing EU funding)</w:t>
      </w:r>
    </w:p>
    <w:p w14:paraId="1AB4BA35" w14:textId="77777777" w:rsidR="0043682D" w:rsidRPr="00161B2E" w:rsidRDefault="009C46D7" w:rsidP="00922EF5">
      <w:pPr>
        <w:rPr>
          <w:rFonts w:ascii="Arial" w:hAnsi="Arial" w:cs="Arial"/>
        </w:rPr>
      </w:pPr>
      <w:r w:rsidRPr="00161B2E">
        <w:rPr>
          <w:rFonts w:ascii="Arial" w:hAnsi="Arial" w:cs="Arial"/>
        </w:rPr>
        <w:t xml:space="preserve">It could be argued that what was perceived as a problem arising from EU membership was in fact an issue arising from a lack of effective regional policies within the UK, with economic policies up to 2016 failing to ensure secure and </w:t>
      </w:r>
      <w:proofErr w:type="gramStart"/>
      <w:r w:rsidRPr="00161B2E">
        <w:rPr>
          <w:rFonts w:ascii="Arial" w:hAnsi="Arial" w:cs="Arial"/>
        </w:rPr>
        <w:t>well paid</w:t>
      </w:r>
      <w:proofErr w:type="gramEnd"/>
      <w:r w:rsidRPr="00161B2E">
        <w:rPr>
          <w:rFonts w:ascii="Arial" w:hAnsi="Arial" w:cs="Arial"/>
        </w:rPr>
        <w:t xml:space="preserve"> jobs</w:t>
      </w:r>
      <w:r w:rsidR="0043682D" w:rsidRPr="00161B2E">
        <w:rPr>
          <w:rFonts w:ascii="Arial" w:hAnsi="Arial" w:cs="Arial"/>
        </w:rPr>
        <w:t xml:space="preserve">, and local authorities making decisions on how best to spend funding without consulting residents or considering their needs </w:t>
      </w:r>
      <w:r w:rsidR="0043682D" w:rsidRPr="00161B2E">
        <w:rPr>
          <w:rFonts w:ascii="Arial" w:hAnsi="Arial" w:cs="Arial"/>
        </w:rPr>
        <w:t>(Cadwalladr, 2020)</w:t>
      </w:r>
      <w:r w:rsidR="0043682D" w:rsidRPr="00161B2E">
        <w:rPr>
          <w:rFonts w:ascii="Arial" w:hAnsi="Arial" w:cs="Arial"/>
        </w:rPr>
        <w:t>.</w:t>
      </w:r>
    </w:p>
    <w:p w14:paraId="1FC9504F" w14:textId="30D9F2E0" w:rsidR="009C46D7" w:rsidRPr="00161B2E" w:rsidRDefault="0043682D" w:rsidP="00922EF5">
      <w:pPr>
        <w:rPr>
          <w:rFonts w:ascii="Arial" w:hAnsi="Arial" w:cs="Arial"/>
        </w:rPr>
      </w:pPr>
      <w:r w:rsidRPr="00161B2E">
        <w:rPr>
          <w:rFonts w:ascii="Arial" w:hAnsi="Arial" w:cs="Arial"/>
        </w:rPr>
        <w:t>Despite the higher per-capita funding from the EU “</w:t>
      </w:r>
      <w:r w:rsidRPr="00161B2E">
        <w:rPr>
          <w:rFonts w:ascii="Arial" w:hAnsi="Arial" w:cs="Arial"/>
        </w:rPr>
        <w:t xml:space="preserve">In the fourteen years 2001-2015, 27,000 manufacturing jobs disappeared. </w:t>
      </w:r>
      <w:r w:rsidRPr="00161B2E">
        <w:rPr>
          <w:rFonts w:ascii="Arial" w:hAnsi="Arial" w:cs="Arial"/>
        </w:rPr>
        <w:t>…</w:t>
      </w:r>
      <w:r w:rsidRPr="00161B2E">
        <w:rPr>
          <w:rFonts w:ascii="Arial" w:hAnsi="Arial" w:cs="Arial"/>
        </w:rPr>
        <w:t xml:space="preserve"> a proportion of these jobs didn’t vanish into thin air but were relocated elsewhere in the EU, whether it was Continental Teves shifting production to Slovakia or Merthyr Tydfil’s Sekisui moving to the Netherlands. Not unreasonably, the public saw the EU giving money to West Wales </w:t>
      </w:r>
      <w:r w:rsidRPr="00161B2E">
        <w:rPr>
          <w:rFonts w:ascii="Arial" w:hAnsi="Arial" w:cs="Arial"/>
        </w:rPr>
        <w:lastRenderedPageBreak/>
        <w:t>and the Valleys to create jobs at the same time as the EU single market encouraged job loss</w:t>
      </w:r>
      <w:r w:rsidRPr="00161B2E">
        <w:rPr>
          <w:rFonts w:ascii="Arial" w:hAnsi="Arial" w:cs="Arial"/>
        </w:rPr>
        <w:t xml:space="preserve">” </w:t>
      </w:r>
      <w:r w:rsidRPr="00161B2E">
        <w:rPr>
          <w:rFonts w:ascii="Arial" w:hAnsi="Arial" w:cs="Arial"/>
        </w:rPr>
        <w:t>(Winckler, 2016)</w:t>
      </w:r>
    </w:p>
    <w:p w14:paraId="2CD6F099" w14:textId="46749F2A" w:rsidR="0043682D" w:rsidRPr="00161B2E" w:rsidRDefault="0043682D" w:rsidP="00922EF5">
      <w:pPr>
        <w:rPr>
          <w:rFonts w:ascii="Arial" w:hAnsi="Arial" w:cs="Arial"/>
        </w:rPr>
      </w:pPr>
      <w:r w:rsidRPr="00161B2E">
        <w:rPr>
          <w:rFonts w:ascii="Arial" w:hAnsi="Arial" w:cs="Arial"/>
        </w:rPr>
        <w:t>EU funding is unlikely to return to the Welsh Valleys, and the shortfall is not made up by the Welsh Government, or Westminster; The residents of these areas, who felt left be</w:t>
      </w:r>
      <w:r w:rsidR="009834D9" w:rsidRPr="00161B2E">
        <w:rPr>
          <w:rFonts w:ascii="Arial" w:hAnsi="Arial" w:cs="Arial"/>
        </w:rPr>
        <w:t>hind</w:t>
      </w:r>
      <w:r w:rsidRPr="00161B2E">
        <w:rPr>
          <w:rFonts w:ascii="Arial" w:hAnsi="Arial" w:cs="Arial"/>
        </w:rPr>
        <w:t xml:space="preserve"> while</w:t>
      </w:r>
      <w:r w:rsidR="009834D9" w:rsidRPr="00161B2E">
        <w:rPr>
          <w:rFonts w:ascii="Arial" w:hAnsi="Arial" w:cs="Arial"/>
        </w:rPr>
        <w:t xml:space="preserve"> being</w:t>
      </w:r>
      <w:r w:rsidRPr="00161B2E">
        <w:rPr>
          <w:rFonts w:ascii="Arial" w:hAnsi="Arial" w:cs="Arial"/>
        </w:rPr>
        <w:t xml:space="preserve"> part of the EU, and now subject to further deepening inequality and struggling with resentment of political parties that they feel have failed them.</w:t>
      </w:r>
    </w:p>
    <w:p w14:paraId="1389DBF0" w14:textId="2DC932CF" w:rsidR="00172ABA" w:rsidRPr="00161B2E" w:rsidRDefault="00F84E1C" w:rsidP="000549CD">
      <w:pPr>
        <w:pStyle w:val="Heading2"/>
        <w:rPr>
          <w:rFonts w:ascii="Arial" w:hAnsi="Arial" w:cs="Arial"/>
          <w:color w:val="auto"/>
        </w:rPr>
      </w:pPr>
      <w:bookmarkStart w:id="5" w:name="_Toc182222990"/>
      <w:r w:rsidRPr="00161B2E">
        <w:rPr>
          <w:rFonts w:ascii="Arial" w:hAnsi="Arial" w:cs="Arial"/>
          <w:color w:val="auto"/>
        </w:rPr>
        <w:t>Political</w:t>
      </w:r>
      <w:r w:rsidR="00FD205E" w:rsidRPr="00161B2E">
        <w:rPr>
          <w:rFonts w:ascii="Arial" w:hAnsi="Arial" w:cs="Arial"/>
          <w:color w:val="auto"/>
        </w:rPr>
        <w:t xml:space="preserve"> alienation</w:t>
      </w:r>
      <w:bookmarkEnd w:id="5"/>
      <w:r w:rsidR="00FD205E" w:rsidRPr="00161B2E">
        <w:rPr>
          <w:rFonts w:ascii="Arial" w:hAnsi="Arial" w:cs="Arial"/>
          <w:color w:val="auto"/>
        </w:rPr>
        <w:t xml:space="preserve"> </w:t>
      </w:r>
    </w:p>
    <w:p w14:paraId="341A143C" w14:textId="76BA60B8" w:rsidR="0020631A" w:rsidRPr="00161B2E" w:rsidRDefault="0020631A" w:rsidP="00922EF5">
      <w:pPr>
        <w:rPr>
          <w:rFonts w:ascii="Arial" w:hAnsi="Arial" w:cs="Arial"/>
        </w:rPr>
      </w:pPr>
      <w:r w:rsidRPr="00161B2E">
        <w:rPr>
          <w:rFonts w:ascii="Arial" w:hAnsi="Arial" w:cs="Arial"/>
        </w:rPr>
        <w:t xml:space="preserve">A level of political alienation and disenfranchisement with the ‘establishment’ also adds to feelings of inequality, Communities in the ex-mining areas of the Welsh Valleys were historically Socialist, with </w:t>
      </w:r>
      <w:r w:rsidR="001F3B6A" w:rsidRPr="00161B2E">
        <w:rPr>
          <w:rFonts w:ascii="Arial" w:hAnsi="Arial" w:cs="Arial"/>
        </w:rPr>
        <w:t xml:space="preserve">strong union links, and </w:t>
      </w:r>
      <w:r w:rsidRPr="00161B2E">
        <w:rPr>
          <w:rFonts w:ascii="Arial" w:hAnsi="Arial" w:cs="Arial"/>
        </w:rPr>
        <w:t xml:space="preserve">Labour </w:t>
      </w:r>
      <w:r w:rsidR="001F3B6A" w:rsidRPr="00161B2E">
        <w:rPr>
          <w:rFonts w:ascii="Arial" w:hAnsi="Arial" w:cs="Arial"/>
        </w:rPr>
        <w:t>winning 32 of 36 Welsh seats in 1966. However, “s</w:t>
      </w:r>
      <w:r w:rsidR="001F3B6A" w:rsidRPr="00161B2E">
        <w:rPr>
          <w:rFonts w:ascii="Arial" w:hAnsi="Arial" w:cs="Arial"/>
        </w:rPr>
        <w:t>upport for the party began to erode throughout the UK as well as at national (Welsh) level and Labour only managed to hold on to 20 seats in 1983 when the Conservatives won a record 14 seats</w:t>
      </w:r>
      <w:r w:rsidR="001F3B6A" w:rsidRPr="00161B2E">
        <w:rPr>
          <w:rFonts w:ascii="Arial" w:hAnsi="Arial" w:cs="Arial"/>
        </w:rPr>
        <w:t xml:space="preserve">” </w:t>
      </w:r>
      <w:r w:rsidR="001F3B6A" w:rsidRPr="00161B2E">
        <w:rPr>
          <w:rFonts w:ascii="Arial" w:hAnsi="Arial" w:cs="Arial"/>
        </w:rPr>
        <w:t>(Williams, Tanner and Hopkin, 2000)</w:t>
      </w:r>
      <w:r w:rsidR="001F3B6A" w:rsidRPr="00161B2E">
        <w:rPr>
          <w:rFonts w:ascii="Arial" w:hAnsi="Arial" w:cs="Arial"/>
        </w:rPr>
        <w:t xml:space="preserve"> </w:t>
      </w:r>
    </w:p>
    <w:p w14:paraId="6F31A205" w14:textId="478E94DC" w:rsidR="00A86F68" w:rsidRPr="00161B2E" w:rsidRDefault="00A86F68" w:rsidP="00922EF5">
      <w:pPr>
        <w:rPr>
          <w:rFonts w:ascii="Arial" w:hAnsi="Arial" w:cs="Arial"/>
        </w:rPr>
      </w:pPr>
      <w:r w:rsidRPr="00161B2E">
        <w:rPr>
          <w:rFonts w:ascii="Arial" w:hAnsi="Arial" w:cs="Arial"/>
        </w:rPr>
        <w:t xml:space="preserve">Parties such as the BNP, UKIP and in more recent years the Brexit party and ‘Reform’ have targeted the ex-industrial areas </w:t>
      </w:r>
      <w:r w:rsidRPr="00161B2E">
        <w:rPr>
          <w:rFonts w:ascii="Arial" w:hAnsi="Arial" w:cs="Arial"/>
        </w:rPr>
        <w:t>(McCarthy, 2014)</w:t>
      </w:r>
      <w:r w:rsidRPr="00161B2E">
        <w:rPr>
          <w:rFonts w:ascii="Arial" w:hAnsi="Arial" w:cs="Arial"/>
        </w:rPr>
        <w:t xml:space="preserve"> harnessing the feelings of isolation and inequality felt in these communities, and driving anti-immigration sentiment, which is one of many s</w:t>
      </w:r>
      <w:r w:rsidRPr="00161B2E">
        <w:rPr>
          <w:rFonts w:ascii="Arial" w:hAnsi="Arial" w:cs="Arial"/>
        </w:rPr>
        <w:t>ocio-economic, political and demographic drivers</w:t>
      </w:r>
      <w:r w:rsidRPr="00161B2E">
        <w:rPr>
          <w:rFonts w:ascii="Arial" w:hAnsi="Arial" w:cs="Arial"/>
        </w:rPr>
        <w:t xml:space="preserve"> for </w:t>
      </w:r>
      <w:proofErr w:type="gramStart"/>
      <w:r w:rsidRPr="00161B2E">
        <w:rPr>
          <w:rFonts w:ascii="Arial" w:hAnsi="Arial" w:cs="Arial"/>
        </w:rPr>
        <w:t>far-right</w:t>
      </w:r>
      <w:proofErr w:type="gramEnd"/>
      <w:r w:rsidRPr="00161B2E">
        <w:rPr>
          <w:rFonts w:ascii="Arial" w:hAnsi="Arial" w:cs="Arial"/>
        </w:rPr>
        <w:t xml:space="preserve"> and politically extreme engagement in these communities</w:t>
      </w:r>
      <w:r w:rsidR="00E12742" w:rsidRPr="00161B2E">
        <w:rPr>
          <w:rFonts w:ascii="Arial" w:hAnsi="Arial" w:cs="Arial"/>
        </w:rPr>
        <w:t>.</w:t>
      </w:r>
    </w:p>
    <w:p w14:paraId="6875302E" w14:textId="35BA1BE7" w:rsidR="00E12742" w:rsidRPr="00161B2E" w:rsidRDefault="00E12742" w:rsidP="00922EF5">
      <w:pPr>
        <w:rPr>
          <w:rFonts w:ascii="Arial" w:hAnsi="Arial" w:cs="Arial"/>
        </w:rPr>
      </w:pPr>
      <w:r w:rsidRPr="00161B2E">
        <w:rPr>
          <w:rFonts w:ascii="Arial" w:hAnsi="Arial" w:cs="Arial"/>
        </w:rPr>
        <w:t>Goodwin and Harris (2013)</w:t>
      </w:r>
      <w:r w:rsidRPr="00161B2E">
        <w:rPr>
          <w:rFonts w:ascii="Arial" w:hAnsi="Arial" w:cs="Arial"/>
        </w:rPr>
        <w:t xml:space="preserve"> identified that areas that are economically insecure and have large areas of urban social housing, often neglected, isolated from town centres in ‘ghettoization’ and with high levels of deprivation and high levels of precarious and/or low paid employment; which are often the areas which have experienced higher levels of unemployment since the last financial crisis are the areas in which far right groups have the most success politically. These areas are often places where voter apathy is traditionally high, and voter turnout low. </w:t>
      </w:r>
    </w:p>
    <w:p w14:paraId="3F4047BF" w14:textId="2F97431A" w:rsidR="00E12742" w:rsidRPr="00161B2E" w:rsidRDefault="00E12742" w:rsidP="00922EF5">
      <w:pPr>
        <w:rPr>
          <w:rFonts w:ascii="Arial" w:hAnsi="Arial" w:cs="Arial"/>
        </w:rPr>
      </w:pPr>
      <w:r w:rsidRPr="00161B2E">
        <w:rPr>
          <w:rFonts w:ascii="Arial" w:hAnsi="Arial" w:cs="Arial"/>
        </w:rPr>
        <w:t xml:space="preserve">Despite these areas historically being Labour strongholds, analysis of voter profiles </w:t>
      </w:r>
      <w:proofErr w:type="gramStart"/>
      <w:r w:rsidRPr="00161B2E">
        <w:rPr>
          <w:rFonts w:ascii="Arial" w:hAnsi="Arial" w:cs="Arial"/>
        </w:rPr>
        <w:t>show</w:t>
      </w:r>
      <w:proofErr w:type="gramEnd"/>
      <w:r w:rsidRPr="00161B2E">
        <w:rPr>
          <w:rFonts w:ascii="Arial" w:hAnsi="Arial" w:cs="Arial"/>
        </w:rPr>
        <w:t xml:space="preserve"> that the profile of the labour voter when heavy industry was thriving are now more engaged with far right politics, with the profile data showing that the demographic in voting age individuals showing strong far right feeling are predominantly “</w:t>
      </w:r>
      <w:r w:rsidRPr="00161B2E">
        <w:rPr>
          <w:rFonts w:ascii="Arial" w:hAnsi="Arial" w:cs="Arial"/>
        </w:rPr>
        <w:t>less-well educated and middle-aged men who tend to be skilled workers</w:t>
      </w:r>
      <w:r w:rsidRPr="00161B2E">
        <w:rPr>
          <w:rFonts w:ascii="Arial" w:hAnsi="Arial" w:cs="Arial"/>
        </w:rPr>
        <w:t xml:space="preserve">” </w:t>
      </w:r>
      <w:r w:rsidRPr="00161B2E">
        <w:rPr>
          <w:rFonts w:ascii="Arial" w:hAnsi="Arial" w:cs="Arial"/>
        </w:rPr>
        <w:t>(Biggs and Knauss, 2011)</w:t>
      </w:r>
    </w:p>
    <w:p w14:paraId="251C963F" w14:textId="4A11F3F7" w:rsidR="00E12742" w:rsidRPr="00161B2E" w:rsidRDefault="00E12742" w:rsidP="00922EF5">
      <w:pPr>
        <w:rPr>
          <w:rFonts w:ascii="Arial" w:hAnsi="Arial" w:cs="Arial"/>
        </w:rPr>
      </w:pPr>
      <w:r w:rsidRPr="00161B2E">
        <w:rPr>
          <w:rFonts w:ascii="Arial" w:hAnsi="Arial" w:cs="Arial"/>
        </w:rPr>
        <w:t>Cutts, Ford and Goodwin</w:t>
      </w:r>
      <w:r w:rsidRPr="00161B2E">
        <w:rPr>
          <w:rFonts w:ascii="Arial" w:hAnsi="Arial" w:cs="Arial"/>
          <w:i/>
          <w:iCs/>
        </w:rPr>
        <w:t xml:space="preserve"> </w:t>
      </w:r>
      <w:r w:rsidRPr="00161B2E">
        <w:rPr>
          <w:rFonts w:ascii="Arial" w:hAnsi="Arial" w:cs="Arial"/>
        </w:rPr>
        <w:t>(2010)</w:t>
      </w:r>
      <w:r w:rsidRPr="00161B2E">
        <w:rPr>
          <w:rFonts w:ascii="Arial" w:hAnsi="Arial" w:cs="Arial"/>
          <w:i/>
          <w:iCs/>
        </w:rPr>
        <w:t xml:space="preserve"> </w:t>
      </w:r>
      <w:r w:rsidRPr="00161B2E">
        <w:rPr>
          <w:rFonts w:ascii="Arial" w:hAnsi="Arial" w:cs="Arial"/>
        </w:rPr>
        <w:t>state that voters are “</w:t>
      </w:r>
      <w:r w:rsidRPr="00161B2E">
        <w:rPr>
          <w:rFonts w:ascii="Arial" w:hAnsi="Arial" w:cs="Arial"/>
        </w:rPr>
        <w:t xml:space="preserve">driven to the extreme right by concerns over immigration, which appear to be tied strongly to broader feelings of political abandonment. In contrast to results in England, our findings suggest that immigration-related concerns do not stem from the actual presence or proximity of immigrant and/or minority groups. Rather, it appears that structural economic disadvantage, political disenchantment and the perceived negative impact of </w:t>
      </w:r>
      <w:r w:rsidRPr="00161B2E">
        <w:rPr>
          <w:rFonts w:ascii="Arial" w:hAnsi="Arial" w:cs="Arial"/>
        </w:rPr>
        <w:lastRenderedPageBreak/>
        <w:t>immigration provide a more convincing explanation for the limited electoral appeal of the extreme right in Wales.</w:t>
      </w:r>
      <w:r w:rsidRPr="00161B2E">
        <w:rPr>
          <w:rFonts w:ascii="Arial" w:hAnsi="Arial" w:cs="Arial"/>
        </w:rPr>
        <w:t>”</w:t>
      </w:r>
      <w:r w:rsidR="008E4F8B" w:rsidRPr="00161B2E">
        <w:rPr>
          <w:rFonts w:ascii="Arial" w:hAnsi="Arial" w:cs="Arial"/>
        </w:rPr>
        <w:t xml:space="preserve"> </w:t>
      </w:r>
    </w:p>
    <w:p w14:paraId="3EA5EFE3" w14:textId="77B67BCB" w:rsidR="008E4F8B" w:rsidRPr="00161B2E" w:rsidRDefault="008E4F8B" w:rsidP="00922EF5">
      <w:pPr>
        <w:rPr>
          <w:rFonts w:ascii="Arial" w:hAnsi="Arial" w:cs="Arial"/>
          <w:i/>
          <w:iCs/>
        </w:rPr>
      </w:pPr>
      <w:r w:rsidRPr="00161B2E">
        <w:rPr>
          <w:rFonts w:ascii="Arial" w:hAnsi="Arial" w:cs="Arial"/>
        </w:rPr>
        <w:t xml:space="preserve">The far right sentiment displayed by these communities, which has occurred as a direct response to their feelings of abandonment and isolation, feeds directly into the root cause of the issue, making the South Wales ex-industrial areas less appealing to investors and large corporations, due to concerns of protest and the safety of workers who are unwilling to re-locate to areas where there is such strong anti-immigrant sentiment </w:t>
      </w:r>
      <w:r w:rsidRPr="00161B2E">
        <w:rPr>
          <w:rFonts w:ascii="Arial" w:hAnsi="Arial" w:cs="Arial"/>
        </w:rPr>
        <w:t>(Fleary, 2021)</w:t>
      </w:r>
      <w:r w:rsidRPr="00161B2E">
        <w:rPr>
          <w:rFonts w:ascii="Arial" w:hAnsi="Arial" w:cs="Arial"/>
        </w:rPr>
        <w:t>.</w:t>
      </w:r>
    </w:p>
    <w:p w14:paraId="39796F56" w14:textId="77777777" w:rsidR="009C25E2" w:rsidRPr="00161B2E" w:rsidRDefault="009C25E2" w:rsidP="00922EF5">
      <w:pPr>
        <w:rPr>
          <w:rFonts w:ascii="Arial" w:hAnsi="Arial" w:cs="Arial"/>
          <w:u w:val="single"/>
        </w:rPr>
      </w:pPr>
    </w:p>
    <w:p w14:paraId="2192D363" w14:textId="3A695C3D" w:rsidR="00634E81" w:rsidRPr="00161B2E" w:rsidRDefault="00634E81" w:rsidP="000549CD">
      <w:pPr>
        <w:pStyle w:val="Heading1"/>
        <w:rPr>
          <w:rFonts w:ascii="Arial" w:hAnsi="Arial" w:cs="Arial"/>
          <w:color w:val="auto"/>
        </w:rPr>
      </w:pPr>
      <w:bookmarkStart w:id="6" w:name="_Toc182222991"/>
      <w:r w:rsidRPr="00161B2E">
        <w:rPr>
          <w:rFonts w:ascii="Arial" w:hAnsi="Arial" w:cs="Arial"/>
          <w:color w:val="auto"/>
        </w:rPr>
        <w:t>Possible solutions</w:t>
      </w:r>
      <w:bookmarkEnd w:id="6"/>
    </w:p>
    <w:p w14:paraId="1CCA1DF5" w14:textId="66C26019" w:rsidR="005B74BF" w:rsidRPr="00161B2E" w:rsidRDefault="005B74BF" w:rsidP="00AB7DA2">
      <w:pPr>
        <w:rPr>
          <w:rFonts w:ascii="Arial" w:hAnsi="Arial" w:cs="Arial"/>
        </w:rPr>
      </w:pPr>
      <w:r w:rsidRPr="00161B2E">
        <w:rPr>
          <w:rFonts w:ascii="Arial" w:hAnsi="Arial" w:cs="Arial"/>
        </w:rPr>
        <w:t xml:space="preserve">There are several possible solutions to inequality in the ex-industrial areas that have been the focus of this essay, considering that factors that increase the inequality, we must examine targeted solutions that alleviate the contributing factors. </w:t>
      </w:r>
      <w:r w:rsidRPr="00161B2E">
        <w:rPr>
          <w:rFonts w:ascii="Arial" w:hAnsi="Arial" w:cs="Arial"/>
        </w:rPr>
        <w:br/>
      </w:r>
      <w:r w:rsidRPr="00161B2E">
        <w:rPr>
          <w:rFonts w:ascii="Arial" w:hAnsi="Arial" w:cs="Arial"/>
        </w:rPr>
        <w:br/>
        <w:t xml:space="preserve">Lack of educational attainment and outmigration feed into a cycle of low paid work, and an older population, many with health issues are unable to enact change. I propose that an overhaul of childcare provision, with grants to providers to enable them to take on more staff which would allow additional adults to return to work, increased ‘free childcare hours’ based on postcode, as identified by WIMD or ‘flying start’ area would enable the government to identify the areas that may benefit from this policy, and being able to access childcare would act as an incentive to return to and retain work, as well as increasing the availability of jobs in this sector. Outmigration may be reduced by increased childcare and reduced childcare costs, as families may be able to stay in their local area. </w:t>
      </w:r>
    </w:p>
    <w:p w14:paraId="4A3F84EE" w14:textId="77777777" w:rsidR="00102699" w:rsidRPr="00161B2E" w:rsidRDefault="005B74BF" w:rsidP="00AB7DA2">
      <w:pPr>
        <w:rPr>
          <w:rFonts w:ascii="Arial" w:hAnsi="Arial" w:cs="Arial"/>
        </w:rPr>
      </w:pPr>
      <w:r w:rsidRPr="00161B2E">
        <w:rPr>
          <w:rFonts w:ascii="Arial" w:hAnsi="Arial" w:cs="Arial"/>
        </w:rPr>
        <w:t xml:space="preserve">Incentives for </w:t>
      </w:r>
      <w:r w:rsidR="00102699" w:rsidRPr="00161B2E">
        <w:rPr>
          <w:rFonts w:ascii="Arial" w:hAnsi="Arial" w:cs="Arial"/>
        </w:rPr>
        <w:t>attending or</w:t>
      </w:r>
      <w:r w:rsidRPr="00161B2E">
        <w:rPr>
          <w:rFonts w:ascii="Arial" w:hAnsi="Arial" w:cs="Arial"/>
        </w:rPr>
        <w:t xml:space="preserve"> remaining in education would allow greater numbers of residents to increase their earning potential, current benefit legislation states that an adult is not ‘available for work’ if they are attending an educational setting, and therefore do not qualify for benefits, which exacerbates the benefit trap and means that individuals cannot improve their circumstances without increasing short term hardship. Increased investment in schools and colleges, to teach digital skills, skills for the green economy and adult education may increase participation, but the key factor is ensuring that individuals are not worse off. </w:t>
      </w:r>
      <w:r w:rsidR="00AB7DA2" w:rsidRPr="00161B2E">
        <w:rPr>
          <w:rFonts w:ascii="Arial" w:hAnsi="Arial" w:cs="Arial"/>
        </w:rPr>
        <w:br/>
      </w:r>
      <w:r w:rsidR="00102699" w:rsidRPr="00161B2E">
        <w:rPr>
          <w:rFonts w:ascii="Arial" w:hAnsi="Arial" w:cs="Arial"/>
        </w:rPr>
        <w:br/>
        <w:t xml:space="preserve">Increased investment in high streets and small businesses/sole traders may increase the feeling of values in local communities, reduced or waived business rates for small businesses and targeted support from organisations such as business Wales may incentivise individuals to start businesses within their local communities, and support should be long term, for as long as businesses and individuals require this support. </w:t>
      </w:r>
    </w:p>
    <w:p w14:paraId="5C3FEC3E" w14:textId="77777777" w:rsidR="00102699" w:rsidRPr="00161B2E" w:rsidRDefault="00102699" w:rsidP="00AB7DA2">
      <w:pPr>
        <w:rPr>
          <w:rFonts w:ascii="Arial" w:hAnsi="Arial" w:cs="Arial"/>
        </w:rPr>
      </w:pPr>
      <w:r w:rsidRPr="00161B2E">
        <w:rPr>
          <w:rFonts w:ascii="Arial" w:hAnsi="Arial" w:cs="Arial"/>
        </w:rPr>
        <w:lastRenderedPageBreak/>
        <w:t xml:space="preserve">The implementation of the new GCSE Maths program, which comprises ‘practical maths’ including tax returns and VAT will provide a solid grounding in the practical application of numbers, and this will provide a ‘head start’ that previous generations have been lacking. </w:t>
      </w:r>
      <w:r w:rsidR="0024291D" w:rsidRPr="00161B2E">
        <w:rPr>
          <w:rFonts w:ascii="Arial" w:hAnsi="Arial" w:cs="Arial"/>
        </w:rPr>
        <w:br/>
      </w:r>
      <w:r w:rsidR="00AB7DA2" w:rsidRPr="00161B2E">
        <w:rPr>
          <w:rFonts w:ascii="Arial" w:hAnsi="Arial" w:cs="Arial"/>
        </w:rPr>
        <w:br/>
      </w:r>
      <w:r w:rsidRPr="00161B2E">
        <w:rPr>
          <w:rFonts w:ascii="Arial" w:hAnsi="Arial" w:cs="Arial"/>
        </w:rPr>
        <w:t xml:space="preserve">Another possible solution is a </w:t>
      </w:r>
      <w:r w:rsidR="0024291D" w:rsidRPr="00161B2E">
        <w:rPr>
          <w:rFonts w:ascii="Arial" w:hAnsi="Arial" w:cs="Arial"/>
        </w:rPr>
        <w:t>universal basic income</w:t>
      </w:r>
      <w:r w:rsidRPr="00161B2E">
        <w:rPr>
          <w:rFonts w:ascii="Arial" w:hAnsi="Arial" w:cs="Arial"/>
        </w:rPr>
        <w:t>, UBI has been piloted in Wales with some success, and to a greater extent in Helsinki found that “</w:t>
      </w:r>
      <w:r w:rsidRPr="00161B2E">
        <w:rPr>
          <w:rFonts w:ascii="Arial" w:hAnsi="Arial" w:cs="Arial"/>
        </w:rPr>
        <w:t>The basic income recipients were more satisfied with their lives and experienced less mental strain than the control group</w:t>
      </w:r>
      <w:r w:rsidRPr="00161B2E">
        <w:rPr>
          <w:rFonts w:ascii="Arial" w:hAnsi="Arial" w:cs="Arial"/>
        </w:rPr>
        <w:t>…. t</w:t>
      </w:r>
      <w:r w:rsidRPr="00161B2E">
        <w:rPr>
          <w:rFonts w:ascii="Arial" w:hAnsi="Arial" w:cs="Arial"/>
        </w:rPr>
        <w:t>hey also had a more positive perception of their economic welfare.”</w:t>
      </w:r>
      <w:r w:rsidRPr="00161B2E">
        <w:rPr>
          <w:rFonts w:ascii="Arial" w:hAnsi="Arial" w:cs="Arial"/>
        </w:rPr>
        <w:t xml:space="preserve"> </w:t>
      </w:r>
      <w:r w:rsidRPr="00161B2E">
        <w:rPr>
          <w:rFonts w:ascii="Arial" w:hAnsi="Arial" w:cs="Arial"/>
        </w:rPr>
        <w:t xml:space="preserve">(Finland – Universal Basic Income </w:t>
      </w:r>
      <w:proofErr w:type="gramStart"/>
      <w:r w:rsidRPr="00161B2E">
        <w:rPr>
          <w:rFonts w:ascii="Arial" w:hAnsi="Arial" w:cs="Arial"/>
        </w:rPr>
        <w:t>Pilot :</w:t>
      </w:r>
      <w:proofErr w:type="gramEnd"/>
      <w:r w:rsidRPr="00161B2E">
        <w:rPr>
          <w:rFonts w:ascii="Arial" w:hAnsi="Arial" w:cs="Arial"/>
        </w:rPr>
        <w:t xml:space="preserve"> Wellbeing Economy Alliance)</w:t>
      </w:r>
      <w:r w:rsidRPr="00161B2E">
        <w:rPr>
          <w:rFonts w:ascii="Arial" w:hAnsi="Arial" w:cs="Arial"/>
        </w:rPr>
        <w:t xml:space="preserve"> UBI has been found to marginally increase employment, and to have a greater impact on wellbeing and feelings of economic stability, as individuals are free to take what may be considered risks without fear or being unable to revert to their prior situation. </w:t>
      </w:r>
    </w:p>
    <w:p w14:paraId="3A06DEB5" w14:textId="1C27CB8B" w:rsidR="00741EE3" w:rsidRPr="00161B2E" w:rsidRDefault="00102699" w:rsidP="00AB7DA2">
      <w:pPr>
        <w:rPr>
          <w:rFonts w:ascii="Arial" w:hAnsi="Arial" w:cs="Arial"/>
        </w:rPr>
      </w:pPr>
      <w:r w:rsidRPr="00161B2E">
        <w:rPr>
          <w:rFonts w:ascii="Arial" w:hAnsi="Arial" w:cs="Arial"/>
        </w:rPr>
        <w:t xml:space="preserve">Progressive, targeted policies should focus on areas of inequality and </w:t>
      </w:r>
      <w:r w:rsidR="00BB1616" w:rsidRPr="00161B2E">
        <w:rPr>
          <w:rFonts w:ascii="Arial" w:hAnsi="Arial" w:cs="Arial"/>
        </w:rPr>
        <w:t>deprivation and</w:t>
      </w:r>
      <w:r w:rsidRPr="00161B2E">
        <w:rPr>
          <w:rFonts w:ascii="Arial" w:hAnsi="Arial" w:cs="Arial"/>
        </w:rPr>
        <w:t xml:space="preserve"> engage with residents in implementing these; local policies such as a commitment to build affordable homes, with discounts for residents, a cap in the increase of rent in social housing and revaluation of council tax based on property prices may allow residents to feel safer, more secure and more ‘heard’ by those governing their communities. </w:t>
      </w:r>
    </w:p>
    <w:p w14:paraId="0060C580" w14:textId="1CAFA761" w:rsidR="008E4F8B" w:rsidRPr="00161B2E" w:rsidRDefault="008E4F8B" w:rsidP="000549CD">
      <w:pPr>
        <w:pStyle w:val="Heading1"/>
        <w:rPr>
          <w:rFonts w:ascii="Arial" w:hAnsi="Arial" w:cs="Arial"/>
          <w:color w:val="auto"/>
        </w:rPr>
      </w:pPr>
      <w:bookmarkStart w:id="7" w:name="_Toc182222992"/>
      <w:r w:rsidRPr="00161B2E">
        <w:rPr>
          <w:rFonts w:ascii="Arial" w:hAnsi="Arial" w:cs="Arial"/>
          <w:color w:val="auto"/>
        </w:rPr>
        <w:t>Conclusion</w:t>
      </w:r>
      <w:bookmarkEnd w:id="7"/>
    </w:p>
    <w:p w14:paraId="6547A4EF" w14:textId="1D576A2E" w:rsidR="00BB1616" w:rsidRPr="00161B2E" w:rsidRDefault="00BB1616" w:rsidP="00922EF5">
      <w:pPr>
        <w:rPr>
          <w:rFonts w:ascii="Arial" w:hAnsi="Arial" w:cs="Arial"/>
        </w:rPr>
      </w:pPr>
      <w:r w:rsidRPr="00161B2E">
        <w:rPr>
          <w:rFonts w:ascii="Arial" w:hAnsi="Arial" w:cs="Arial"/>
        </w:rPr>
        <w:t>A sense of engagement with community and the wider world is a key factor in managing problems of inequality, and for forgotten communities, the need to be heard and supported is more important than ever.</w:t>
      </w:r>
    </w:p>
    <w:p w14:paraId="022DC60C" w14:textId="7C6940C4" w:rsidR="00BB1616" w:rsidRPr="00161B2E" w:rsidRDefault="00BB1616" w:rsidP="00922EF5">
      <w:pPr>
        <w:rPr>
          <w:rFonts w:ascii="Arial" w:hAnsi="Arial" w:cs="Arial"/>
        </w:rPr>
      </w:pPr>
      <w:r w:rsidRPr="00161B2E">
        <w:rPr>
          <w:rFonts w:ascii="Arial" w:hAnsi="Arial" w:cs="Arial"/>
        </w:rPr>
        <w:t>This essay has examined the factors in inequality within the ex-industrial areas of south Wales, and in identifying the factors feeding into inequality, there lies the key to resolving problems of inequality and bringing about real change, politicians and policy makers must work to enact this change.</w:t>
      </w:r>
      <w:r w:rsidR="000A0F32" w:rsidRPr="00161B2E">
        <w:rPr>
          <w:rFonts w:ascii="Arial" w:hAnsi="Arial" w:cs="Arial"/>
        </w:rPr>
        <w:t xml:space="preserve"> The solutions suggested in this essay are not ‘quick fixes’ and it will take time and considerable investment to change the economic landscape and reduce inequality. </w:t>
      </w:r>
    </w:p>
    <w:p w14:paraId="547BA69A" w14:textId="77777777" w:rsidR="00922EF5" w:rsidRPr="00161B2E" w:rsidRDefault="00922EF5" w:rsidP="00AB2B90">
      <w:pPr>
        <w:jc w:val="center"/>
        <w:rPr>
          <w:rFonts w:ascii="Arial" w:hAnsi="Arial" w:cs="Arial"/>
          <w:i/>
          <w:iCs/>
        </w:rPr>
      </w:pPr>
    </w:p>
    <w:p w14:paraId="085ED7F2" w14:textId="0B725898" w:rsidR="008E4F8B" w:rsidRPr="00161B2E" w:rsidRDefault="000549CD" w:rsidP="000549CD">
      <w:pPr>
        <w:rPr>
          <w:rFonts w:ascii="Arial" w:hAnsi="Arial" w:cs="Arial"/>
          <w:i/>
          <w:iCs/>
        </w:rPr>
      </w:pPr>
      <w:r w:rsidRPr="00161B2E">
        <w:rPr>
          <w:rFonts w:ascii="Arial" w:hAnsi="Arial" w:cs="Arial"/>
          <w:i/>
          <w:iCs/>
        </w:rPr>
        <w:t>(3653 words)</w:t>
      </w:r>
    </w:p>
    <w:p w14:paraId="523DF924" w14:textId="100F57D5" w:rsidR="000549CD" w:rsidRPr="00161B2E" w:rsidRDefault="008E4F8B" w:rsidP="000549CD">
      <w:pPr>
        <w:pStyle w:val="Heading1"/>
        <w:pageBreakBefore/>
        <w:rPr>
          <w:rFonts w:ascii="Arial" w:eastAsia="Times New Roman" w:hAnsi="Arial" w:cs="Arial"/>
          <w:b/>
          <w:bCs/>
          <w:color w:val="auto"/>
          <w:kern w:val="0"/>
          <w:sz w:val="24"/>
          <w:szCs w:val="24"/>
          <w:lang w:val="nl-NL" w:eastAsia="en-GB"/>
          <w14:ligatures w14:val="none"/>
        </w:rPr>
      </w:pPr>
      <w:bookmarkStart w:id="8" w:name="_Toc182222993"/>
      <w:r w:rsidRPr="00161B2E">
        <w:rPr>
          <w:rFonts w:ascii="Arial" w:hAnsi="Arial" w:cs="Arial"/>
          <w:color w:val="auto"/>
        </w:rPr>
        <w:lastRenderedPageBreak/>
        <w:t>References</w:t>
      </w:r>
      <w:bookmarkEnd w:id="8"/>
      <w:r w:rsidR="000549CD" w:rsidRPr="00161B2E">
        <w:rPr>
          <w:rFonts w:ascii="Arial" w:hAnsi="Arial" w:cs="Arial"/>
          <w:color w:val="auto"/>
        </w:rPr>
        <w:br/>
      </w:r>
    </w:p>
    <w:p w14:paraId="2E8BC467"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Abreu, M. and Jones, C. (2021) &amp;apos;The shadow of the Pithead: Understanding social and political attitudes in former coal mining communities in the UK,&amp;apos; </w:t>
      </w:r>
      <w:r w:rsidRPr="000549CD">
        <w:rPr>
          <w:rFonts w:ascii="Arial" w:eastAsia="Times New Roman" w:hAnsi="Arial" w:cs="Arial"/>
          <w:i/>
          <w:iCs/>
          <w:kern w:val="0"/>
          <w:lang w:eastAsia="en-GB"/>
          <w14:ligatures w14:val="none"/>
        </w:rPr>
        <w:t>Applied Geography</w:t>
      </w:r>
      <w:r w:rsidRPr="000549CD">
        <w:rPr>
          <w:rFonts w:ascii="Arial" w:eastAsia="Times New Roman" w:hAnsi="Arial" w:cs="Arial"/>
          <w:kern w:val="0"/>
          <w:lang w:eastAsia="en-GB"/>
          <w14:ligatures w14:val="none"/>
        </w:rPr>
        <w:t>, 131, p. 102448. https://doi.org/10.1016/j.apgeog.2021.102448.</w:t>
      </w:r>
    </w:p>
    <w:p w14:paraId="42FA7397"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BBC News (2014) </w:t>
      </w:r>
      <w:r w:rsidRPr="000549CD">
        <w:rPr>
          <w:rFonts w:ascii="Arial" w:eastAsia="Times New Roman" w:hAnsi="Arial" w:cs="Arial"/>
          <w:i/>
          <w:iCs/>
          <w:kern w:val="0"/>
          <w:lang w:eastAsia="en-GB"/>
          <w14:ligatures w14:val="none"/>
        </w:rPr>
        <w:t>South Wales mining communities &amp;apos;still feeling&amp;apos; job cuts</w:t>
      </w:r>
      <w:r w:rsidRPr="000549CD">
        <w:rPr>
          <w:rFonts w:ascii="Arial" w:eastAsia="Times New Roman" w:hAnsi="Arial" w:cs="Arial"/>
          <w:kern w:val="0"/>
          <w:lang w:eastAsia="en-GB"/>
          <w14:ligatures w14:val="none"/>
        </w:rPr>
        <w:t>. https://www.bbc.co.uk/news/uk-wales-27920610.</w:t>
      </w:r>
    </w:p>
    <w:p w14:paraId="1D314F55"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BBC News (2019) </w:t>
      </w:r>
      <w:r w:rsidRPr="000549CD">
        <w:rPr>
          <w:rFonts w:ascii="Arial" w:eastAsia="Times New Roman" w:hAnsi="Arial" w:cs="Arial"/>
          <w:i/>
          <w:iCs/>
          <w:kern w:val="0"/>
          <w:lang w:eastAsia="en-GB"/>
          <w14:ligatures w14:val="none"/>
        </w:rPr>
        <w:t>Former mining communities &amp;apos;still scarred by past.&amp;apos;</w:t>
      </w:r>
      <w:r w:rsidRPr="000549CD">
        <w:rPr>
          <w:rFonts w:ascii="Arial" w:eastAsia="Times New Roman" w:hAnsi="Arial" w:cs="Arial"/>
          <w:kern w:val="0"/>
          <w:lang w:eastAsia="en-GB"/>
          <w14:ligatures w14:val="none"/>
        </w:rPr>
        <w:t xml:space="preserve"> https://www.bbc.co.uk/news/uk-england-50069336.</w:t>
      </w:r>
    </w:p>
    <w:p w14:paraId="07BD43CD"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Beatty, C., Fothergill, S. and Gore, T. (2019) </w:t>
      </w:r>
      <w:r w:rsidRPr="000549CD">
        <w:rPr>
          <w:rFonts w:ascii="Arial" w:eastAsia="Times New Roman" w:hAnsi="Arial" w:cs="Arial"/>
          <w:i/>
          <w:iCs/>
          <w:kern w:val="0"/>
          <w:lang w:eastAsia="en-GB"/>
          <w14:ligatures w14:val="none"/>
        </w:rPr>
        <w:t>The state of the coalfields 2019: Economic and social conditions in the former coalfields of England, Scotland and Wales</w:t>
      </w:r>
      <w:r w:rsidRPr="000549CD">
        <w:rPr>
          <w:rFonts w:ascii="Arial" w:eastAsia="Times New Roman" w:hAnsi="Arial" w:cs="Arial"/>
          <w:kern w:val="0"/>
          <w:lang w:eastAsia="en-GB"/>
          <w14:ligatures w14:val="none"/>
        </w:rPr>
        <w:t>. https://doi.org/10.7190/cresr.2019.6676686343.</w:t>
      </w:r>
    </w:p>
    <w:p w14:paraId="02DED3BD"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Bennett, K. (2014) &amp;apos;Women and economy: complex inequality in a post-industrial landscape,&amp;apos; </w:t>
      </w:r>
      <w:r w:rsidRPr="000549CD">
        <w:rPr>
          <w:rFonts w:ascii="Arial" w:eastAsia="Times New Roman" w:hAnsi="Arial" w:cs="Arial"/>
          <w:i/>
          <w:iCs/>
          <w:kern w:val="0"/>
          <w:lang w:eastAsia="en-GB"/>
          <w14:ligatures w14:val="none"/>
        </w:rPr>
        <w:t>Gender Place &amp; Culture</w:t>
      </w:r>
      <w:r w:rsidRPr="000549CD">
        <w:rPr>
          <w:rFonts w:ascii="Arial" w:eastAsia="Times New Roman" w:hAnsi="Arial" w:cs="Arial"/>
          <w:kern w:val="0"/>
          <w:lang w:eastAsia="en-GB"/>
          <w14:ligatures w14:val="none"/>
        </w:rPr>
        <w:t>, 22(9), pp. 1287–1304. https://doi.org/10.1080/0966369x.2014.958066.</w:t>
      </w:r>
    </w:p>
    <w:p w14:paraId="396D98FB"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Biggs, M. and Knauss, S. (2011) &amp;apos;Explaining Membership in the British National Party: A Multilevel analysis of contact and threat,&amp;apos; </w:t>
      </w:r>
      <w:r w:rsidRPr="000549CD">
        <w:rPr>
          <w:rFonts w:ascii="Arial" w:eastAsia="Times New Roman" w:hAnsi="Arial" w:cs="Arial"/>
          <w:i/>
          <w:iCs/>
          <w:kern w:val="0"/>
          <w:lang w:eastAsia="en-GB"/>
          <w14:ligatures w14:val="none"/>
        </w:rPr>
        <w:t>European Sociological Review</w:t>
      </w:r>
      <w:r w:rsidRPr="000549CD">
        <w:rPr>
          <w:rFonts w:ascii="Arial" w:eastAsia="Times New Roman" w:hAnsi="Arial" w:cs="Arial"/>
          <w:kern w:val="0"/>
          <w:lang w:eastAsia="en-GB"/>
          <w14:ligatures w14:val="none"/>
        </w:rPr>
        <w:t>, 28(5), pp. 633–646. https://doi.org/10.1093/esr/jcr031.</w:t>
      </w:r>
    </w:p>
    <w:p w14:paraId="3C92AC2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Bird, N. and Phillips, D. (2020) </w:t>
      </w:r>
      <w:r w:rsidRPr="000549CD">
        <w:rPr>
          <w:rFonts w:ascii="Arial" w:eastAsia="Times New Roman" w:hAnsi="Arial" w:cs="Arial"/>
          <w:i/>
          <w:iCs/>
          <w:kern w:val="0"/>
          <w:lang w:eastAsia="en-GB"/>
          <w14:ligatures w14:val="none"/>
        </w:rPr>
        <w:t>Preparations for replacing EU funding for Wales response to the Finance Committee of the National Assembly of Wales’s call for evidence</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Institute for Fiscal Studies</w:t>
      </w:r>
      <w:r w:rsidRPr="000549CD">
        <w:rPr>
          <w:rFonts w:ascii="Arial" w:eastAsia="Times New Roman" w:hAnsi="Arial" w:cs="Arial"/>
          <w:kern w:val="0"/>
          <w:lang w:eastAsia="en-GB"/>
          <w14:ligatures w14:val="none"/>
        </w:rPr>
        <w:t>.</w:t>
      </w:r>
    </w:p>
    <w:p w14:paraId="61E426C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Blau, F.D. and Kahn, L.M. (2007) &amp;apos;The gender pay gap,&amp;apos; </w:t>
      </w:r>
      <w:r w:rsidRPr="000549CD">
        <w:rPr>
          <w:rFonts w:ascii="Arial" w:eastAsia="Times New Roman" w:hAnsi="Arial" w:cs="Arial"/>
          <w:i/>
          <w:iCs/>
          <w:kern w:val="0"/>
          <w:lang w:eastAsia="en-GB"/>
          <w14:ligatures w14:val="none"/>
        </w:rPr>
        <w:t>Academy of Management Perspectives</w:t>
      </w:r>
      <w:r w:rsidRPr="000549CD">
        <w:rPr>
          <w:rFonts w:ascii="Arial" w:eastAsia="Times New Roman" w:hAnsi="Arial" w:cs="Arial"/>
          <w:kern w:val="0"/>
          <w:lang w:eastAsia="en-GB"/>
          <w14:ligatures w14:val="none"/>
        </w:rPr>
        <w:t>, 21(1), pp. 7–23. https://doi.org/10.5465/amp.2007.24286161.</w:t>
      </w:r>
    </w:p>
    <w:p w14:paraId="08B0270A"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lastRenderedPageBreak/>
        <w:t xml:space="preserve">Bowles, P. (1990) &amp;apos;Millar and Engels on the history of women and the family,&amp;apos; </w:t>
      </w:r>
      <w:r w:rsidRPr="000549CD">
        <w:rPr>
          <w:rFonts w:ascii="Arial" w:eastAsia="Times New Roman" w:hAnsi="Arial" w:cs="Arial"/>
          <w:i/>
          <w:iCs/>
          <w:kern w:val="0"/>
          <w:lang w:eastAsia="en-GB"/>
          <w14:ligatures w14:val="none"/>
        </w:rPr>
        <w:t>History of European Ideas</w:t>
      </w:r>
      <w:r w:rsidRPr="000549CD">
        <w:rPr>
          <w:rFonts w:ascii="Arial" w:eastAsia="Times New Roman" w:hAnsi="Arial" w:cs="Arial"/>
          <w:kern w:val="0"/>
          <w:lang w:eastAsia="en-GB"/>
          <w14:ligatures w14:val="none"/>
        </w:rPr>
        <w:t>, 12(5), pp. 595–610. https://doi.org/10.1016/0191-6599(90)90174-d.</w:t>
      </w:r>
    </w:p>
    <w:p w14:paraId="68D66B72"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Brown, J.M. (2016) </w:t>
      </w:r>
      <w:r w:rsidRPr="000549CD">
        <w:rPr>
          <w:rFonts w:ascii="Arial" w:eastAsia="Times New Roman" w:hAnsi="Arial" w:cs="Arial"/>
          <w:i/>
          <w:iCs/>
          <w:kern w:val="0"/>
          <w:lang w:eastAsia="en-GB"/>
          <w14:ligatures w14:val="none"/>
        </w:rPr>
        <w:t>Welfare reform: Merthyr Tydfil struggles but shows signs of life</w:t>
      </w:r>
      <w:r w:rsidRPr="000549CD">
        <w:rPr>
          <w:rFonts w:ascii="Arial" w:eastAsia="Times New Roman" w:hAnsi="Arial" w:cs="Arial"/>
          <w:kern w:val="0"/>
          <w:lang w:eastAsia="en-GB"/>
          <w14:ligatures w14:val="none"/>
        </w:rPr>
        <w:t>. https://www.ft.com/content/b19a852c-e459-11e5-bc31-138df2ae9ee6 (Accessed: October 30, 2024).</w:t>
      </w:r>
    </w:p>
    <w:p w14:paraId="04E4D2D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Cadwalladr, C. (2020) &amp;apos;View from Wales: town showered with EU cash votes to leave EU,&amp;apos; </w:t>
      </w:r>
      <w:r w:rsidRPr="000549CD">
        <w:rPr>
          <w:rFonts w:ascii="Arial" w:eastAsia="Times New Roman" w:hAnsi="Arial" w:cs="Arial"/>
          <w:i/>
          <w:iCs/>
          <w:kern w:val="0"/>
          <w:lang w:eastAsia="en-GB"/>
          <w14:ligatures w14:val="none"/>
        </w:rPr>
        <w:t>The Guardian</w:t>
      </w:r>
      <w:r w:rsidRPr="000549CD">
        <w:rPr>
          <w:rFonts w:ascii="Arial" w:eastAsia="Times New Roman" w:hAnsi="Arial" w:cs="Arial"/>
          <w:kern w:val="0"/>
          <w:lang w:eastAsia="en-GB"/>
          <w14:ligatures w14:val="none"/>
        </w:rPr>
        <w:t>, 3 February. https://www.theguardian.com/uk-news/2016/jun/25/view-wales-town-showered-eu-cash-votes-leave-ebbw-vale.</w:t>
      </w:r>
    </w:p>
    <w:p w14:paraId="5978BD65"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Cladis, M.S. (1993) &amp;apos;A communitarian defense of liberalism: Emile Durkheim and contemporary social theory,&amp;apos; </w:t>
      </w:r>
      <w:r w:rsidRPr="000549CD">
        <w:rPr>
          <w:rFonts w:ascii="Arial" w:eastAsia="Times New Roman" w:hAnsi="Arial" w:cs="Arial"/>
          <w:i/>
          <w:iCs/>
          <w:kern w:val="0"/>
          <w:lang w:eastAsia="en-GB"/>
          <w14:ligatures w14:val="none"/>
        </w:rPr>
        <w:t>Choice Reviews Online</w:t>
      </w:r>
      <w:r w:rsidRPr="000549CD">
        <w:rPr>
          <w:rFonts w:ascii="Arial" w:eastAsia="Times New Roman" w:hAnsi="Arial" w:cs="Arial"/>
          <w:kern w:val="0"/>
          <w:lang w:eastAsia="en-GB"/>
          <w14:ligatures w14:val="none"/>
        </w:rPr>
        <w:t>, 30(09), pp. 30–5294. https://doi.org/10.5860/choice.30-5294.</w:t>
      </w:r>
    </w:p>
    <w:p w14:paraId="0806B63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Corlett and Leslie (2021) </w:t>
      </w:r>
      <w:r w:rsidRPr="000549CD">
        <w:rPr>
          <w:rFonts w:ascii="Arial" w:eastAsia="Times New Roman" w:hAnsi="Arial" w:cs="Arial"/>
          <w:i/>
          <w:iCs/>
          <w:kern w:val="0"/>
          <w:lang w:eastAsia="en-GB"/>
          <w14:ligatures w14:val="none"/>
        </w:rPr>
        <w:t>Options for taxing main residence capital gains</w:t>
      </w:r>
      <w:r w:rsidRPr="000549CD">
        <w:rPr>
          <w:rFonts w:ascii="Arial" w:eastAsia="Times New Roman" w:hAnsi="Arial" w:cs="Arial"/>
          <w:kern w:val="0"/>
          <w:lang w:eastAsia="en-GB"/>
          <w14:ligatures w14:val="none"/>
        </w:rPr>
        <w:t>.</w:t>
      </w:r>
    </w:p>
    <w:p w14:paraId="048A273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Curtis, B. and Thompson, S. (2015) &amp;apos;‘This is the country of premature old men’ Ageing and Aged Miners in the South Wales Coalfield, c.1880–1947,&amp;apos; </w:t>
      </w:r>
      <w:r w:rsidRPr="000549CD">
        <w:rPr>
          <w:rFonts w:ascii="Arial" w:eastAsia="Times New Roman" w:hAnsi="Arial" w:cs="Arial"/>
          <w:i/>
          <w:iCs/>
          <w:kern w:val="0"/>
          <w:lang w:eastAsia="en-GB"/>
          <w14:ligatures w14:val="none"/>
        </w:rPr>
        <w:t>Cultural and Social History</w:t>
      </w:r>
      <w:r w:rsidRPr="000549CD">
        <w:rPr>
          <w:rFonts w:ascii="Arial" w:eastAsia="Times New Roman" w:hAnsi="Arial" w:cs="Arial"/>
          <w:kern w:val="0"/>
          <w:lang w:eastAsia="en-GB"/>
          <w14:ligatures w14:val="none"/>
        </w:rPr>
        <w:t>, 12(4), pp. 587–606. https://doi.org/10.1080/14780038.2015.1088682.</w:t>
      </w:r>
    </w:p>
    <w:p w14:paraId="43102A46"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Cutts, D., Ford, R. and Goodwin, M.J. (2010) &amp;apos;Anti-immigrant, politically disaffected or still racist after all? Examining the attitudinal drivers of extreme right support in Britain in the 2009 European elections,&amp;apos; </w:t>
      </w:r>
      <w:r w:rsidRPr="000549CD">
        <w:rPr>
          <w:rFonts w:ascii="Arial" w:eastAsia="Times New Roman" w:hAnsi="Arial" w:cs="Arial"/>
          <w:i/>
          <w:iCs/>
          <w:kern w:val="0"/>
          <w:lang w:eastAsia="en-GB"/>
          <w14:ligatures w14:val="none"/>
        </w:rPr>
        <w:t>European Journal of Political Research</w:t>
      </w:r>
      <w:r w:rsidRPr="000549CD">
        <w:rPr>
          <w:rFonts w:ascii="Arial" w:eastAsia="Times New Roman" w:hAnsi="Arial" w:cs="Arial"/>
          <w:kern w:val="0"/>
          <w:lang w:eastAsia="en-GB"/>
          <w14:ligatures w14:val="none"/>
        </w:rPr>
        <w:t>, 50(3), pp. 418–440. https://doi.org/10.1111/j.1475-6765.2010.01936.x.</w:t>
      </w:r>
    </w:p>
    <w:p w14:paraId="5E329479"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lastRenderedPageBreak/>
        <w:t xml:space="preserve">Donnison, D. (1988) &amp;apos;Defining and measuring poverty. A reply to Stein Ringen,&amp;apos; </w:t>
      </w:r>
      <w:r w:rsidRPr="000549CD">
        <w:rPr>
          <w:rFonts w:ascii="Arial" w:eastAsia="Times New Roman" w:hAnsi="Arial" w:cs="Arial"/>
          <w:i/>
          <w:iCs/>
          <w:kern w:val="0"/>
          <w:lang w:eastAsia="en-GB"/>
          <w14:ligatures w14:val="none"/>
        </w:rPr>
        <w:t>Journal of Social Policy</w:t>
      </w:r>
      <w:r w:rsidRPr="000549CD">
        <w:rPr>
          <w:rFonts w:ascii="Arial" w:eastAsia="Times New Roman" w:hAnsi="Arial" w:cs="Arial"/>
          <w:kern w:val="0"/>
          <w:lang w:eastAsia="en-GB"/>
          <w14:ligatures w14:val="none"/>
        </w:rPr>
        <w:t>, 17(3), pp. 367–374. https://doi.org/10.1017/s004727940001686x.</w:t>
      </w:r>
    </w:p>
    <w:p w14:paraId="5576C60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Education in Wales (Census 2021) [HTML] | GOV.WALES</w:t>
      </w:r>
      <w:r w:rsidRPr="000549CD">
        <w:rPr>
          <w:rFonts w:ascii="Arial" w:eastAsia="Times New Roman" w:hAnsi="Arial" w:cs="Arial"/>
          <w:kern w:val="0"/>
          <w:lang w:eastAsia="en-GB"/>
          <w14:ligatures w14:val="none"/>
        </w:rPr>
        <w:t xml:space="preserve"> (2023). https://www.gov.wales/education-wales-census-2021-html.</w:t>
      </w:r>
    </w:p>
    <w:p w14:paraId="48975C0C"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Eek, F. and Axmon, A. (2014) &amp;apos;Gender inequality at home is associated with poorer health for women,&amp;apos; </w:t>
      </w:r>
      <w:r w:rsidRPr="000549CD">
        <w:rPr>
          <w:rFonts w:ascii="Arial" w:eastAsia="Times New Roman" w:hAnsi="Arial" w:cs="Arial"/>
          <w:i/>
          <w:iCs/>
          <w:kern w:val="0"/>
          <w:lang w:eastAsia="en-GB"/>
          <w14:ligatures w14:val="none"/>
        </w:rPr>
        <w:t>Scandinavian Journal of Public Health</w:t>
      </w:r>
      <w:r w:rsidRPr="000549CD">
        <w:rPr>
          <w:rFonts w:ascii="Arial" w:eastAsia="Times New Roman" w:hAnsi="Arial" w:cs="Arial"/>
          <w:kern w:val="0"/>
          <w:lang w:eastAsia="en-GB"/>
          <w14:ligatures w14:val="none"/>
        </w:rPr>
        <w:t>, 43(2), pp. 176–182. https://doi.org/10.1177/1403494814562598.</w:t>
      </w:r>
    </w:p>
    <w:p w14:paraId="71B314F8"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Finland – Universal Basic Income Pilot : Wellbeing Economy Alliance</w:t>
      </w:r>
      <w:r w:rsidRPr="000549CD">
        <w:rPr>
          <w:rFonts w:ascii="Arial" w:eastAsia="Times New Roman" w:hAnsi="Arial" w:cs="Arial"/>
          <w:kern w:val="0"/>
          <w:lang w:eastAsia="en-GB"/>
          <w14:ligatures w14:val="none"/>
        </w:rPr>
        <w:t xml:space="preserve"> (no date). https://weall.org/resource/finland-universal-basic-income-pilot.</w:t>
      </w:r>
    </w:p>
    <w:p w14:paraId="7E385B69"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Fleary, S. (2021) </w:t>
      </w:r>
      <w:r w:rsidRPr="000549CD">
        <w:rPr>
          <w:rFonts w:ascii="Arial" w:eastAsia="Times New Roman" w:hAnsi="Arial" w:cs="Arial"/>
          <w:i/>
          <w:iCs/>
          <w:kern w:val="0"/>
          <w:lang w:eastAsia="en-GB"/>
          <w14:ligatures w14:val="none"/>
        </w:rPr>
        <w:t>Is Wales the most racist part of the UK?</w:t>
      </w:r>
      <w:r w:rsidRPr="000549CD">
        <w:rPr>
          <w:rFonts w:ascii="Arial" w:eastAsia="Times New Roman" w:hAnsi="Arial" w:cs="Arial"/>
          <w:kern w:val="0"/>
          <w:lang w:eastAsia="en-GB"/>
          <w14:ligatures w14:val="none"/>
        </w:rPr>
        <w:t xml:space="preserve"> https://www.voice-online.co.uk/news/uk-news/2021/11/17/is-wales-the-most-racist-part-of-the-uk/.</w:t>
      </w:r>
    </w:p>
    <w:p w14:paraId="5317CBF2"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Goodwin, M.J. and Harris, G. (2013) &amp;apos;Rallying intolerance in the valleys: Explaining support for the extreme right in Wales,&amp;apos; </w:t>
      </w:r>
      <w:r w:rsidRPr="000549CD">
        <w:rPr>
          <w:rFonts w:ascii="Arial" w:eastAsia="Times New Roman" w:hAnsi="Arial" w:cs="Arial"/>
          <w:i/>
          <w:iCs/>
          <w:kern w:val="0"/>
          <w:lang w:eastAsia="en-GB"/>
          <w14:ligatures w14:val="none"/>
        </w:rPr>
        <w:t>British Politics</w:t>
      </w:r>
      <w:r w:rsidRPr="000549CD">
        <w:rPr>
          <w:rFonts w:ascii="Arial" w:eastAsia="Times New Roman" w:hAnsi="Arial" w:cs="Arial"/>
          <w:kern w:val="0"/>
          <w:lang w:eastAsia="en-GB"/>
          <w14:ligatures w14:val="none"/>
        </w:rPr>
        <w:t>, 8(4), pp. 433–456. https://doi.org/10.1057/bp.2013.7.</w:t>
      </w:r>
    </w:p>
    <w:p w14:paraId="52F7E60B"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Green, S.J.D. (1989) &amp;apos;Emile Durkheim on Human Talents and Two Traditions of Social Justice,&amp;apos; </w:t>
      </w:r>
      <w:r w:rsidRPr="000549CD">
        <w:rPr>
          <w:rFonts w:ascii="Arial" w:eastAsia="Times New Roman" w:hAnsi="Arial" w:cs="Arial"/>
          <w:i/>
          <w:iCs/>
          <w:kern w:val="0"/>
          <w:lang w:eastAsia="en-GB"/>
          <w14:ligatures w14:val="none"/>
        </w:rPr>
        <w:t>British Journal of Sociology</w:t>
      </w:r>
      <w:r w:rsidRPr="000549CD">
        <w:rPr>
          <w:rFonts w:ascii="Arial" w:eastAsia="Times New Roman" w:hAnsi="Arial" w:cs="Arial"/>
          <w:kern w:val="0"/>
          <w:lang w:eastAsia="en-GB"/>
          <w14:ligatures w14:val="none"/>
        </w:rPr>
        <w:t>, 40(1), p. 97. https://doi.org/10.2307/590292.</w:t>
      </w:r>
    </w:p>
    <w:p w14:paraId="0B4119C1"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Hamilton, H. and Marshall, T.H. (1951) &amp;apos;Citizenship and social class,&amp;apos; </w:t>
      </w:r>
      <w:r w:rsidRPr="000549CD">
        <w:rPr>
          <w:rFonts w:ascii="Arial" w:eastAsia="Times New Roman" w:hAnsi="Arial" w:cs="Arial"/>
          <w:i/>
          <w:iCs/>
          <w:kern w:val="0"/>
          <w:lang w:eastAsia="en-GB"/>
          <w14:ligatures w14:val="none"/>
        </w:rPr>
        <w:t>British Journal of Sociology</w:t>
      </w:r>
      <w:r w:rsidRPr="000549CD">
        <w:rPr>
          <w:rFonts w:ascii="Arial" w:eastAsia="Times New Roman" w:hAnsi="Arial" w:cs="Arial"/>
          <w:kern w:val="0"/>
          <w:lang w:eastAsia="en-GB"/>
          <w14:ligatures w14:val="none"/>
        </w:rPr>
        <w:t>, 2(1), p. 80. https://doi.org/10.2307/587460.</w:t>
      </w:r>
    </w:p>
    <w:p w14:paraId="5B85A7DA"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Hershberg, R.M. and Johnson, S.K. (2019) &amp;apos;Critical reflection about socioeconomic inequalities among White young men from poor and working-class backgrounds.,&amp;apos; </w:t>
      </w:r>
      <w:r w:rsidRPr="000549CD">
        <w:rPr>
          <w:rFonts w:ascii="Arial" w:eastAsia="Times New Roman" w:hAnsi="Arial" w:cs="Arial"/>
          <w:i/>
          <w:iCs/>
          <w:kern w:val="0"/>
          <w:lang w:eastAsia="en-GB"/>
          <w14:ligatures w14:val="none"/>
        </w:rPr>
        <w:t>Developmental Psychology</w:t>
      </w:r>
      <w:r w:rsidRPr="000549CD">
        <w:rPr>
          <w:rFonts w:ascii="Arial" w:eastAsia="Times New Roman" w:hAnsi="Arial" w:cs="Arial"/>
          <w:kern w:val="0"/>
          <w:lang w:eastAsia="en-GB"/>
          <w14:ligatures w14:val="none"/>
        </w:rPr>
        <w:t>, 55(3), pp. 562–573. https://doi.org/10.1037/dev0000587.</w:t>
      </w:r>
    </w:p>
    <w:p w14:paraId="31852C8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Home - Northern Mine Research Society</w:t>
      </w:r>
      <w:r w:rsidRPr="000549CD">
        <w:rPr>
          <w:rFonts w:ascii="Arial" w:eastAsia="Times New Roman" w:hAnsi="Arial" w:cs="Arial"/>
          <w:kern w:val="0"/>
          <w:lang w:eastAsia="en-GB"/>
          <w14:ligatures w14:val="none"/>
        </w:rPr>
        <w:t xml:space="preserve"> (no date). https://nmrs.org.uk/.</w:t>
      </w:r>
    </w:p>
    <w:p w14:paraId="5D098105"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lastRenderedPageBreak/>
        <w:t>Home, childhood, family life</w:t>
      </w:r>
      <w:r w:rsidRPr="000549CD">
        <w:rPr>
          <w:rFonts w:ascii="Arial" w:eastAsia="Times New Roman" w:hAnsi="Arial" w:cs="Arial"/>
          <w:kern w:val="0"/>
          <w:lang w:eastAsia="en-GB"/>
          <w14:ligatures w14:val="none"/>
        </w:rPr>
        <w:t xml:space="preserve"> (no date). https://www.agor.org.uk/cwm/themes/life/society/home_childhood_family%20life.asp.</w:t>
      </w:r>
    </w:p>
    <w:p w14:paraId="50A7781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Housing is fundamental to well-being in Wales – The Future Generations Commissioner for Wales</w:t>
      </w:r>
      <w:r w:rsidRPr="000549CD">
        <w:rPr>
          <w:rFonts w:ascii="Arial" w:eastAsia="Times New Roman" w:hAnsi="Arial" w:cs="Arial"/>
          <w:kern w:val="0"/>
          <w:lang w:eastAsia="en-GB"/>
          <w14:ligatures w14:val="none"/>
        </w:rPr>
        <w:t xml:space="preserve"> (no date). https://www.futuregenerations.wales/news/housing-is-fundamental-to-well-being-in-wales/.</w:t>
      </w:r>
    </w:p>
    <w:p w14:paraId="43B67A3F"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Kerbo, H.R. (1976) &amp;apos;‘Marxist and Functionalist theories in the Study of Stratification’: a comment,&amp;apos; </w:t>
      </w:r>
      <w:r w:rsidRPr="000549CD">
        <w:rPr>
          <w:rFonts w:ascii="Arial" w:eastAsia="Times New Roman" w:hAnsi="Arial" w:cs="Arial"/>
          <w:i/>
          <w:iCs/>
          <w:kern w:val="0"/>
          <w:lang w:eastAsia="en-GB"/>
          <w14:ligatures w14:val="none"/>
        </w:rPr>
        <w:t>Social Forces</w:t>
      </w:r>
      <w:r w:rsidRPr="000549CD">
        <w:rPr>
          <w:rFonts w:ascii="Arial" w:eastAsia="Times New Roman" w:hAnsi="Arial" w:cs="Arial"/>
          <w:kern w:val="0"/>
          <w:lang w:eastAsia="en-GB"/>
          <w14:ligatures w14:val="none"/>
        </w:rPr>
        <w:t>, 55(1), pp. 191–192. https://doi.org/10.1093/sf/55.1.191.</w:t>
      </w:r>
    </w:p>
    <w:p w14:paraId="4A7C9AB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Littler, J. (2017) </w:t>
      </w:r>
      <w:r w:rsidRPr="000549CD">
        <w:rPr>
          <w:rFonts w:ascii="Arial" w:eastAsia="Times New Roman" w:hAnsi="Arial" w:cs="Arial"/>
          <w:i/>
          <w:iCs/>
          <w:kern w:val="0"/>
          <w:lang w:eastAsia="en-GB"/>
          <w14:ligatures w14:val="none"/>
        </w:rPr>
        <w:t>Against meritocracy</w:t>
      </w:r>
      <w:r w:rsidRPr="000549CD">
        <w:rPr>
          <w:rFonts w:ascii="Arial" w:eastAsia="Times New Roman" w:hAnsi="Arial" w:cs="Arial"/>
          <w:kern w:val="0"/>
          <w:lang w:eastAsia="en-GB"/>
          <w14:ligatures w14:val="none"/>
        </w:rPr>
        <w:t>. https://doi.org/10.4324/9781315712802.</w:t>
      </w:r>
    </w:p>
    <w:p w14:paraId="2947C0BC"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Mallory, S. (2024) </w:t>
      </w:r>
      <w:r w:rsidRPr="000549CD">
        <w:rPr>
          <w:rFonts w:ascii="Arial" w:eastAsia="Times New Roman" w:hAnsi="Arial" w:cs="Arial"/>
          <w:i/>
          <w:iCs/>
          <w:kern w:val="0"/>
          <w:lang w:eastAsia="en-GB"/>
          <w14:ligatures w14:val="none"/>
        </w:rPr>
        <w:t>Illustrating the relationship between poverty and NHS services</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The Kings Fund</w:t>
      </w:r>
      <w:r w:rsidRPr="000549CD">
        <w:rPr>
          <w:rFonts w:ascii="Arial" w:eastAsia="Times New Roman" w:hAnsi="Arial" w:cs="Arial"/>
          <w:kern w:val="0"/>
          <w:lang w:eastAsia="en-GB"/>
          <w14:ligatures w14:val="none"/>
        </w:rPr>
        <w:t>.</w:t>
      </w:r>
    </w:p>
    <w:p w14:paraId="40B9C1D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McCarthy, J. (2014) </w:t>
      </w:r>
      <w:r w:rsidRPr="000549CD">
        <w:rPr>
          <w:rFonts w:ascii="Arial" w:eastAsia="Times New Roman" w:hAnsi="Arial" w:cs="Arial"/>
          <w:i/>
          <w:iCs/>
          <w:kern w:val="0"/>
          <w:lang w:eastAsia="en-GB"/>
          <w14:ligatures w14:val="none"/>
        </w:rPr>
        <w:t>Welsh far-right group under fire for recruiting children</w:t>
      </w:r>
      <w:r w:rsidRPr="000549CD">
        <w:rPr>
          <w:rFonts w:ascii="Arial" w:eastAsia="Times New Roman" w:hAnsi="Arial" w:cs="Arial"/>
          <w:kern w:val="0"/>
          <w:lang w:eastAsia="en-GB"/>
          <w14:ligatures w14:val="none"/>
        </w:rPr>
        <w:t>. https://www.walesonline.co.uk/news/wales-news/welsh-far-right-group-under-fire-7169326.</w:t>
      </w:r>
    </w:p>
    <w:p w14:paraId="314F25C2"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Merrill and Kitson (2017) </w:t>
      </w:r>
      <w:r w:rsidRPr="000549CD">
        <w:rPr>
          <w:rFonts w:ascii="Arial" w:eastAsia="Times New Roman" w:hAnsi="Arial" w:cs="Arial"/>
          <w:i/>
          <w:iCs/>
          <w:kern w:val="0"/>
          <w:lang w:eastAsia="en-GB"/>
          <w14:ligatures w14:val="none"/>
        </w:rPr>
        <w:t>The end of coal mining in South Wales: Lessons learned from industrial transformation</w:t>
      </w:r>
      <w:r w:rsidRPr="000549CD">
        <w:rPr>
          <w:rFonts w:ascii="Arial" w:eastAsia="Times New Roman" w:hAnsi="Arial" w:cs="Arial"/>
          <w:kern w:val="0"/>
          <w:lang w:eastAsia="en-GB"/>
          <w14:ligatures w14:val="none"/>
        </w:rPr>
        <w:t>.</w:t>
      </w:r>
    </w:p>
    <w:p w14:paraId="44686196"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Miskin, C.B.&amp; S. (2024) </w:t>
      </w:r>
      <w:r w:rsidRPr="000549CD">
        <w:rPr>
          <w:rFonts w:ascii="Arial" w:eastAsia="Times New Roman" w:hAnsi="Arial" w:cs="Arial"/>
          <w:i/>
          <w:iCs/>
          <w:kern w:val="0"/>
          <w:lang w:eastAsia="en-GB"/>
          <w14:ligatures w14:val="none"/>
        </w:rPr>
        <w:t>Miners’ strike: Coal towns falling further behind - charity</w:t>
      </w:r>
      <w:r w:rsidRPr="000549CD">
        <w:rPr>
          <w:rFonts w:ascii="Arial" w:eastAsia="Times New Roman" w:hAnsi="Arial" w:cs="Arial"/>
          <w:kern w:val="0"/>
          <w:lang w:eastAsia="en-GB"/>
          <w14:ligatures w14:val="none"/>
        </w:rPr>
        <w:t>. https://www.bbc.co.uk/news/uk-england-south-yorkshire-68437184.</w:t>
      </w:r>
    </w:p>
    <w:p w14:paraId="737496B9"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Morris, G. (2024) </w:t>
      </w:r>
      <w:r w:rsidRPr="000549CD">
        <w:rPr>
          <w:rFonts w:ascii="Arial" w:eastAsia="Times New Roman" w:hAnsi="Arial" w:cs="Arial"/>
          <w:i/>
          <w:iCs/>
          <w:kern w:val="0"/>
          <w:lang w:eastAsia="en-GB"/>
          <w14:ligatures w14:val="none"/>
        </w:rPr>
        <w:t>Miners and mining communities</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UK Parliament- Hansard</w:t>
      </w:r>
      <w:r w:rsidRPr="000549CD">
        <w:rPr>
          <w:rFonts w:ascii="Arial" w:eastAsia="Times New Roman" w:hAnsi="Arial" w:cs="Arial"/>
          <w:kern w:val="0"/>
          <w:lang w:eastAsia="en-GB"/>
          <w14:ligatures w14:val="none"/>
        </w:rPr>
        <w:t>.</w:t>
      </w:r>
    </w:p>
    <w:p w14:paraId="5AC7323D"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NHS activity and performance summary: May and June 2024 [HTML] | GOV.WALES</w:t>
      </w:r>
      <w:r w:rsidRPr="000549CD">
        <w:rPr>
          <w:rFonts w:ascii="Arial" w:eastAsia="Times New Roman" w:hAnsi="Arial" w:cs="Arial"/>
          <w:kern w:val="0"/>
          <w:lang w:eastAsia="en-GB"/>
          <w14:ligatures w14:val="none"/>
        </w:rPr>
        <w:t xml:space="preserve"> (2024). https://www.gov.wales/nhs-activity-and-performance-summary-may-and-june-2024-html.</w:t>
      </w:r>
    </w:p>
    <w:p w14:paraId="26DF31E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Norris, S. (2021) </w:t>
      </w:r>
      <w:r w:rsidRPr="000549CD">
        <w:rPr>
          <w:rFonts w:ascii="Arial" w:eastAsia="Times New Roman" w:hAnsi="Arial" w:cs="Arial"/>
          <w:i/>
          <w:iCs/>
          <w:kern w:val="0"/>
          <w:lang w:eastAsia="en-GB"/>
          <w14:ligatures w14:val="none"/>
        </w:rPr>
        <w:t>Rebutting Rhetoric with Facts: Ex-Mining Regions Suffer Higher than Average Unemployment and Poverty</w:t>
      </w:r>
      <w:r w:rsidRPr="000549CD">
        <w:rPr>
          <w:rFonts w:ascii="Arial" w:eastAsia="Times New Roman" w:hAnsi="Arial" w:cs="Arial"/>
          <w:kern w:val="0"/>
          <w:lang w:eastAsia="en-GB"/>
          <w14:ligatures w14:val="none"/>
        </w:rPr>
        <w:t xml:space="preserve">. </w:t>
      </w:r>
      <w:r w:rsidRPr="000549CD">
        <w:rPr>
          <w:rFonts w:ascii="Arial" w:eastAsia="Times New Roman" w:hAnsi="Arial" w:cs="Arial"/>
          <w:kern w:val="0"/>
          <w:lang w:eastAsia="en-GB"/>
          <w14:ligatures w14:val="none"/>
        </w:rPr>
        <w:lastRenderedPageBreak/>
        <w:t>https://bylinetimes.com/2021/08/10/rebutting-rhetoric-with-facts-ex-mining-regions-suffer-higher-than-average-unemployment-and-poverty/.</w:t>
      </w:r>
    </w:p>
    <w:p w14:paraId="5B89C899"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Payne, G. (2006) &amp;apos;Re</w:t>
      </w:r>
      <w:r w:rsidRPr="000549CD">
        <w:rPr>
          <w:rFonts w:ascii="Cambria Math" w:eastAsia="Times New Roman" w:hAnsi="Cambria Math" w:cs="Cambria Math"/>
          <w:kern w:val="0"/>
          <w:lang w:eastAsia="en-GB"/>
          <w14:ligatures w14:val="none"/>
        </w:rPr>
        <w:t>‐</w:t>
      </w:r>
      <w:r w:rsidRPr="000549CD">
        <w:rPr>
          <w:rFonts w:ascii="Arial" w:eastAsia="Times New Roman" w:hAnsi="Arial" w:cs="Arial"/>
          <w:kern w:val="0"/>
          <w:lang w:eastAsia="en-GB"/>
          <w14:ligatures w14:val="none"/>
        </w:rPr>
        <w:t xml:space="preserve">counting ‘illiteracy’: literacy skills in the sociology of social inequality,&amp;apos; </w:t>
      </w:r>
      <w:r w:rsidRPr="000549CD">
        <w:rPr>
          <w:rFonts w:ascii="Arial" w:eastAsia="Times New Roman" w:hAnsi="Arial" w:cs="Arial"/>
          <w:i/>
          <w:iCs/>
          <w:kern w:val="0"/>
          <w:lang w:eastAsia="en-GB"/>
          <w14:ligatures w14:val="none"/>
        </w:rPr>
        <w:t>British Journal of Sociology</w:t>
      </w:r>
      <w:r w:rsidRPr="000549CD">
        <w:rPr>
          <w:rFonts w:ascii="Arial" w:eastAsia="Times New Roman" w:hAnsi="Arial" w:cs="Arial"/>
          <w:kern w:val="0"/>
          <w:lang w:eastAsia="en-GB"/>
          <w14:ligatures w14:val="none"/>
        </w:rPr>
        <w:t>, 57(2), pp. 219–240. https://doi.org/10.1111/j.1468-4446.2006.00107.x.</w:t>
      </w:r>
    </w:p>
    <w:p w14:paraId="4FE18E71"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Pearsall, J. </w:t>
      </w:r>
      <w:r w:rsidRPr="000549CD">
        <w:rPr>
          <w:rFonts w:ascii="Arial" w:eastAsia="Times New Roman" w:hAnsi="Arial" w:cs="Arial"/>
          <w:i/>
          <w:iCs/>
          <w:kern w:val="0"/>
          <w:lang w:eastAsia="en-GB"/>
          <w14:ligatures w14:val="none"/>
        </w:rPr>
        <w:t>et al.</w:t>
      </w:r>
      <w:r w:rsidRPr="000549CD">
        <w:rPr>
          <w:rFonts w:ascii="Arial" w:eastAsia="Times New Roman" w:hAnsi="Arial" w:cs="Arial"/>
          <w:kern w:val="0"/>
          <w:lang w:eastAsia="en-GB"/>
          <w14:ligatures w14:val="none"/>
        </w:rPr>
        <w:t xml:space="preserve"> (2010) </w:t>
      </w:r>
      <w:r w:rsidRPr="000549CD">
        <w:rPr>
          <w:rFonts w:ascii="Arial" w:eastAsia="Times New Roman" w:hAnsi="Arial" w:cs="Arial"/>
          <w:i/>
          <w:iCs/>
          <w:kern w:val="0"/>
          <w:lang w:eastAsia="en-GB"/>
          <w14:ligatures w14:val="none"/>
        </w:rPr>
        <w:t>Oxford Dictionary of English</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Oxford University Press eBooks</w:t>
      </w:r>
      <w:r w:rsidRPr="000549CD">
        <w:rPr>
          <w:rFonts w:ascii="Arial" w:eastAsia="Times New Roman" w:hAnsi="Arial" w:cs="Arial"/>
          <w:kern w:val="0"/>
          <w:lang w:eastAsia="en-GB"/>
          <w14:ligatures w14:val="none"/>
        </w:rPr>
        <w:t>. https://doi.org/10.1093/acref/9780199571123.001.0001.</w:t>
      </w:r>
    </w:p>
    <w:p w14:paraId="1B225E5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Price, S. (2024) </w:t>
      </w:r>
      <w:r w:rsidRPr="000549CD">
        <w:rPr>
          <w:rFonts w:ascii="Arial" w:eastAsia="Times New Roman" w:hAnsi="Arial" w:cs="Arial"/>
          <w:i/>
          <w:iCs/>
          <w:kern w:val="0"/>
          <w:lang w:eastAsia="en-GB"/>
          <w14:ligatures w14:val="none"/>
        </w:rPr>
        <w:t>The ‘British housing market’ was never designed with Welsh communities in mind</w:t>
      </w:r>
      <w:r w:rsidRPr="000549CD">
        <w:rPr>
          <w:rFonts w:ascii="Arial" w:eastAsia="Times New Roman" w:hAnsi="Arial" w:cs="Arial"/>
          <w:kern w:val="0"/>
          <w:lang w:eastAsia="en-GB"/>
          <w14:ligatures w14:val="none"/>
        </w:rPr>
        <w:t>. https://nation.cymru/opinion/the-british-housing-market-was-never-designed-with-welsh-communities-in-mind/.</w:t>
      </w:r>
    </w:p>
    <w:p w14:paraId="108B0369"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Rawlings, R. (2003) </w:t>
      </w:r>
      <w:r w:rsidRPr="000549CD">
        <w:rPr>
          <w:rFonts w:ascii="Arial" w:eastAsia="Times New Roman" w:hAnsi="Arial" w:cs="Arial"/>
          <w:i/>
          <w:iCs/>
          <w:kern w:val="0"/>
          <w:lang w:eastAsia="en-GB"/>
          <w14:ligatures w14:val="none"/>
        </w:rPr>
        <w:t>Delineating Wales: Constitutional, legal and administrative aspects of national devolution</w:t>
      </w:r>
      <w:r w:rsidRPr="000549CD">
        <w:rPr>
          <w:rFonts w:ascii="Arial" w:eastAsia="Times New Roman" w:hAnsi="Arial" w:cs="Arial"/>
          <w:kern w:val="0"/>
          <w:lang w:eastAsia="en-GB"/>
          <w14:ligatures w14:val="none"/>
        </w:rPr>
        <w:t>. http://ci.nii.ac.jp/ncid/BA65996564.</w:t>
      </w:r>
    </w:p>
    <w:p w14:paraId="400E7CA8"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RCAHMW | Injured men made fit again? – miners at Talygarn</w:t>
      </w:r>
      <w:r w:rsidRPr="000549CD">
        <w:rPr>
          <w:rFonts w:ascii="Arial" w:eastAsia="Times New Roman" w:hAnsi="Arial" w:cs="Arial"/>
          <w:kern w:val="0"/>
          <w:lang w:eastAsia="en-GB"/>
          <w14:ligatures w14:val="none"/>
        </w:rPr>
        <w:t xml:space="preserve"> (no date). https://rcahmw.gov.uk/injured-men-made-fit-again-miners-at-talygarn/.</w:t>
      </w:r>
    </w:p>
    <w:p w14:paraId="06D104A3"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Rees, G. and Rees, T.L. (2023) </w:t>
      </w:r>
      <w:r w:rsidRPr="000549CD">
        <w:rPr>
          <w:rFonts w:ascii="Arial" w:eastAsia="Times New Roman" w:hAnsi="Arial" w:cs="Arial"/>
          <w:i/>
          <w:iCs/>
          <w:kern w:val="0"/>
          <w:lang w:eastAsia="en-GB"/>
          <w14:ligatures w14:val="none"/>
        </w:rPr>
        <w:t>Poverty and social inequality in Wales</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Routledge eBooks</w:t>
      </w:r>
      <w:r w:rsidRPr="000549CD">
        <w:rPr>
          <w:rFonts w:ascii="Arial" w:eastAsia="Times New Roman" w:hAnsi="Arial" w:cs="Arial"/>
          <w:kern w:val="0"/>
          <w:lang w:eastAsia="en-GB"/>
          <w14:ligatures w14:val="none"/>
        </w:rPr>
        <w:t>. https://doi.org/10.4324/9781003368823.</w:t>
      </w:r>
    </w:p>
    <w:p w14:paraId="1BAB9F42"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Riach, K. and Loretto, W. (2009) &amp;apos;Identity work and the `unemployed’ worker: age, disability and the lived experience of the older unemployed,&amp;apos; </w:t>
      </w:r>
      <w:r w:rsidRPr="000549CD">
        <w:rPr>
          <w:rFonts w:ascii="Arial" w:eastAsia="Times New Roman" w:hAnsi="Arial" w:cs="Arial"/>
          <w:i/>
          <w:iCs/>
          <w:kern w:val="0"/>
          <w:lang w:eastAsia="en-GB"/>
          <w14:ligatures w14:val="none"/>
        </w:rPr>
        <w:t>Work Employment and Society</w:t>
      </w:r>
      <w:r w:rsidRPr="000549CD">
        <w:rPr>
          <w:rFonts w:ascii="Arial" w:eastAsia="Times New Roman" w:hAnsi="Arial" w:cs="Arial"/>
          <w:kern w:val="0"/>
          <w:lang w:eastAsia="en-GB"/>
          <w14:ligatures w14:val="none"/>
        </w:rPr>
        <w:t>, 23(1), pp. 102–119. https://doi.org/10.1177/0950017008099780.</w:t>
      </w:r>
    </w:p>
    <w:p w14:paraId="220969BD"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Robinson, C. (2022) </w:t>
      </w:r>
      <w:r w:rsidRPr="000549CD">
        <w:rPr>
          <w:rFonts w:ascii="Arial" w:eastAsia="Times New Roman" w:hAnsi="Arial" w:cs="Arial"/>
          <w:i/>
          <w:iCs/>
          <w:kern w:val="0"/>
          <w:lang w:eastAsia="en-GB"/>
          <w14:ligatures w14:val="none"/>
        </w:rPr>
        <w:t>Is inequality as detrimental to society as we think?</w:t>
      </w:r>
      <w:r w:rsidRPr="000549CD">
        <w:rPr>
          <w:rFonts w:ascii="Arial" w:eastAsia="Times New Roman" w:hAnsi="Arial" w:cs="Arial"/>
          <w:kern w:val="0"/>
          <w:lang w:eastAsia="en-GB"/>
          <w14:ligatures w14:val="none"/>
        </w:rPr>
        <w:t xml:space="preserve"> https://sites.manchester.ac.uk/global-social-challenges/2022/07/16/is-inequality-as-detrimental-to-society-as-we-think/.</w:t>
      </w:r>
    </w:p>
    <w:p w14:paraId="5E2A4B6E"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lastRenderedPageBreak/>
        <w:t xml:space="preserve">Shucksmith, J. </w:t>
      </w:r>
      <w:r w:rsidRPr="000549CD">
        <w:rPr>
          <w:rFonts w:ascii="Arial" w:eastAsia="Times New Roman" w:hAnsi="Arial" w:cs="Arial"/>
          <w:i/>
          <w:iCs/>
          <w:kern w:val="0"/>
          <w:lang w:eastAsia="en-GB"/>
          <w14:ligatures w14:val="none"/>
        </w:rPr>
        <w:t>et al.</w:t>
      </w:r>
      <w:r w:rsidRPr="000549CD">
        <w:rPr>
          <w:rFonts w:ascii="Arial" w:eastAsia="Times New Roman" w:hAnsi="Arial" w:cs="Arial"/>
          <w:kern w:val="0"/>
          <w:lang w:eastAsia="en-GB"/>
          <w14:ligatures w14:val="none"/>
        </w:rPr>
        <w:t xml:space="preserve"> (2010) </w:t>
      </w:r>
      <w:r w:rsidRPr="000549CD">
        <w:rPr>
          <w:rFonts w:ascii="Arial" w:eastAsia="Times New Roman" w:hAnsi="Arial" w:cs="Arial"/>
          <w:i/>
          <w:iCs/>
          <w:kern w:val="0"/>
          <w:lang w:eastAsia="en-GB"/>
          <w14:ligatures w14:val="none"/>
        </w:rPr>
        <w:t>Health inequalities in Ex-Coalfield/Industrial communities</w:t>
      </w:r>
      <w:r w:rsidRPr="000549CD">
        <w:rPr>
          <w:rFonts w:ascii="Arial" w:eastAsia="Times New Roman" w:hAnsi="Arial" w:cs="Arial"/>
          <w:kern w:val="0"/>
          <w:lang w:eastAsia="en-GB"/>
          <w14:ligatures w14:val="none"/>
        </w:rPr>
        <w:t>. Local Government Association, London. https://oro.open.ac.uk/30979/1/Health_inequalities.pdf.</w:t>
      </w:r>
    </w:p>
    <w:p w14:paraId="179C97A6"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The National Coal Board in South Wales</w:t>
      </w:r>
      <w:r w:rsidRPr="000549CD">
        <w:rPr>
          <w:rFonts w:ascii="Arial" w:eastAsia="Times New Roman" w:hAnsi="Arial" w:cs="Arial"/>
          <w:kern w:val="0"/>
          <w:lang w:eastAsia="en-GB"/>
          <w14:ligatures w14:val="none"/>
        </w:rPr>
        <w:t xml:space="preserve"> (no date). https://museum.wales/articles/1251/The-National-Coal-Board-in-south-Wales/.</w:t>
      </w:r>
    </w:p>
    <w:p w14:paraId="6D72893A"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Thompson, S. (2023) &amp;apos;‘The Living Dead of the mining industry’: deindustrialisation, sheltered workplaces and the re-employment of disabled miners in post-war Wales,&amp;apos; </w:t>
      </w:r>
      <w:r w:rsidRPr="000549CD">
        <w:rPr>
          <w:rFonts w:ascii="Arial" w:eastAsia="Times New Roman" w:hAnsi="Arial" w:cs="Arial"/>
          <w:i/>
          <w:iCs/>
          <w:kern w:val="0"/>
          <w:lang w:eastAsia="en-GB"/>
          <w14:ligatures w14:val="none"/>
        </w:rPr>
        <w:t>The Welsh History Review / Cylchgrawn Hanes Cymru</w:t>
      </w:r>
      <w:r w:rsidRPr="000549CD">
        <w:rPr>
          <w:rFonts w:ascii="Arial" w:eastAsia="Times New Roman" w:hAnsi="Arial" w:cs="Arial"/>
          <w:kern w:val="0"/>
          <w:lang w:eastAsia="en-GB"/>
          <w14:ligatures w14:val="none"/>
        </w:rPr>
        <w:t>, 31(3), pp. 468–493. https://doi.org/10.16922/whr.31.3.6.</w:t>
      </w:r>
    </w:p>
    <w:p w14:paraId="5E0772AD"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Tomaney, J. (2023) &amp;apos;2. “Left behind places“ and social infrastructure,&amp;apos; </w:t>
      </w:r>
      <w:r w:rsidRPr="000549CD">
        <w:rPr>
          <w:rFonts w:ascii="Arial" w:eastAsia="Times New Roman" w:hAnsi="Arial" w:cs="Arial"/>
          <w:i/>
          <w:iCs/>
          <w:kern w:val="0"/>
          <w:lang w:eastAsia="en-GB"/>
          <w14:ligatures w14:val="none"/>
        </w:rPr>
        <w:t>Regional Studies Policy Impact Books</w:t>
      </w:r>
      <w:r w:rsidRPr="000549CD">
        <w:rPr>
          <w:rFonts w:ascii="Arial" w:eastAsia="Times New Roman" w:hAnsi="Arial" w:cs="Arial"/>
          <w:kern w:val="0"/>
          <w:lang w:eastAsia="en-GB"/>
          <w14:ligatures w14:val="none"/>
        </w:rPr>
        <w:t>, 5(2), pp. 19–35. https://doi.org/10.1080/2578711x.2023.2254997.</w:t>
      </w:r>
    </w:p>
    <w:p w14:paraId="5EC73362"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Voysey, M. and Lowe, J. (1971) &amp;apos;Adult education in England and Wales: A critical survey,&amp;apos; </w:t>
      </w:r>
      <w:r w:rsidRPr="000549CD">
        <w:rPr>
          <w:rFonts w:ascii="Arial" w:eastAsia="Times New Roman" w:hAnsi="Arial" w:cs="Arial"/>
          <w:i/>
          <w:iCs/>
          <w:kern w:val="0"/>
          <w:lang w:eastAsia="en-GB"/>
          <w14:ligatures w14:val="none"/>
        </w:rPr>
        <w:t>British Journal of Sociology</w:t>
      </w:r>
      <w:r w:rsidRPr="000549CD">
        <w:rPr>
          <w:rFonts w:ascii="Arial" w:eastAsia="Times New Roman" w:hAnsi="Arial" w:cs="Arial"/>
          <w:kern w:val="0"/>
          <w:lang w:eastAsia="en-GB"/>
          <w14:ligatures w14:val="none"/>
        </w:rPr>
        <w:t>, 22(2), p. 227. https://doi.org/10.2307/588227.</w:t>
      </w:r>
    </w:p>
    <w:p w14:paraId="1B0B1CF5"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Waddington, B. (2023) </w:t>
      </w:r>
      <w:r w:rsidRPr="000549CD">
        <w:rPr>
          <w:rFonts w:ascii="Arial" w:eastAsia="Times New Roman" w:hAnsi="Arial" w:cs="Arial"/>
          <w:i/>
          <w:iCs/>
          <w:kern w:val="0"/>
          <w:lang w:eastAsia="en-GB"/>
          <w14:ligatures w14:val="none"/>
        </w:rPr>
        <w:t>Disability, England and Wales - Office for National Statistics</w:t>
      </w:r>
      <w:r w:rsidRPr="000549CD">
        <w:rPr>
          <w:rFonts w:ascii="Arial" w:eastAsia="Times New Roman" w:hAnsi="Arial" w:cs="Arial"/>
          <w:kern w:val="0"/>
          <w:lang w:eastAsia="en-GB"/>
          <w14:ligatures w14:val="none"/>
        </w:rPr>
        <w:t>. https://www.ons.gov.uk/peoplepopulationandcommunity/healthandsocialcare/healthandwellbeing/bulletins/disabilityenglandandwales/census2021#:~:text=Disability%20in%20Wales&amp;text=In%20Wales%2C%20the%20local%20authorities,Rhondda%20Cynon%20Taf%20(23.8%25).</w:t>
      </w:r>
    </w:p>
    <w:p w14:paraId="14629B21"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i/>
          <w:iCs/>
          <w:kern w:val="0"/>
          <w:lang w:eastAsia="en-GB"/>
          <w14:ligatures w14:val="none"/>
        </w:rPr>
        <w:t>Wales Community Assets Index — BCT</w:t>
      </w:r>
      <w:r w:rsidRPr="000549CD">
        <w:rPr>
          <w:rFonts w:ascii="Arial" w:eastAsia="Times New Roman" w:hAnsi="Arial" w:cs="Arial"/>
          <w:kern w:val="0"/>
          <w:lang w:eastAsia="en-GB"/>
          <w14:ligatures w14:val="none"/>
        </w:rPr>
        <w:t xml:space="preserve"> (no date). https://www.bct.wales/wcai#:~:text=More%20than%20one%2Din%2Dthree,which%20are%20more%20economically%20central).</w:t>
      </w:r>
    </w:p>
    <w:p w14:paraId="25E5F657"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lastRenderedPageBreak/>
        <w:t xml:space="preserve">Whitwood, C. (2023) </w:t>
      </w:r>
      <w:r w:rsidRPr="000549CD">
        <w:rPr>
          <w:rFonts w:ascii="Arial" w:eastAsia="Times New Roman" w:hAnsi="Arial" w:cs="Arial"/>
          <w:i/>
          <w:iCs/>
          <w:kern w:val="0"/>
          <w:lang w:eastAsia="en-GB"/>
          <w14:ligatures w14:val="none"/>
        </w:rPr>
        <w:t>Next steps in levelling up the former coalfields</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All-Party Parliamentary Group on Coalfield Communities</w:t>
      </w:r>
      <w:r w:rsidRPr="000549CD">
        <w:rPr>
          <w:rFonts w:ascii="Arial" w:eastAsia="Times New Roman" w:hAnsi="Arial" w:cs="Arial"/>
          <w:kern w:val="0"/>
          <w:lang w:eastAsia="en-GB"/>
          <w14:ligatures w14:val="none"/>
        </w:rPr>
        <w:t>.</w:t>
      </w:r>
    </w:p>
    <w:p w14:paraId="022827AC"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Wilkinson, R.G. (1997) &amp;apos;Socioeconomic determinants of health: Health inequalities: relative or absolute material standards?,&amp;apos; </w:t>
      </w:r>
      <w:r w:rsidRPr="000549CD">
        <w:rPr>
          <w:rFonts w:ascii="Arial" w:eastAsia="Times New Roman" w:hAnsi="Arial" w:cs="Arial"/>
          <w:i/>
          <w:iCs/>
          <w:kern w:val="0"/>
          <w:lang w:eastAsia="en-GB"/>
          <w14:ligatures w14:val="none"/>
        </w:rPr>
        <w:t>BMJ</w:t>
      </w:r>
      <w:r w:rsidRPr="000549CD">
        <w:rPr>
          <w:rFonts w:ascii="Arial" w:eastAsia="Times New Roman" w:hAnsi="Arial" w:cs="Arial"/>
          <w:kern w:val="0"/>
          <w:lang w:eastAsia="en-GB"/>
          <w14:ligatures w14:val="none"/>
        </w:rPr>
        <w:t>, 314(7080), p. 591. https://doi.org/10.1136/bmj.314.7080.591.</w:t>
      </w:r>
    </w:p>
    <w:p w14:paraId="5986B093"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Williams, C., Tanner, D. and Hopkin, D. (2000) </w:t>
      </w:r>
      <w:r w:rsidRPr="000549CD">
        <w:rPr>
          <w:rFonts w:ascii="Arial" w:eastAsia="Times New Roman" w:hAnsi="Arial" w:cs="Arial"/>
          <w:i/>
          <w:iCs/>
          <w:kern w:val="0"/>
          <w:lang w:eastAsia="en-GB"/>
          <w14:ligatures w14:val="none"/>
        </w:rPr>
        <w:t>The Labour Party in Wales, 1900-2000</w:t>
      </w:r>
      <w:r w:rsidRPr="000549CD">
        <w:rPr>
          <w:rFonts w:ascii="Arial" w:eastAsia="Times New Roman" w:hAnsi="Arial" w:cs="Arial"/>
          <w:kern w:val="0"/>
          <w:lang w:eastAsia="en-GB"/>
          <w14:ligatures w14:val="none"/>
        </w:rPr>
        <w:t xml:space="preserve">, </w:t>
      </w:r>
      <w:r w:rsidRPr="000549CD">
        <w:rPr>
          <w:rFonts w:ascii="Arial" w:eastAsia="Times New Roman" w:hAnsi="Arial" w:cs="Arial"/>
          <w:i/>
          <w:iCs/>
          <w:kern w:val="0"/>
          <w:lang w:eastAsia="en-GB"/>
          <w14:ligatures w14:val="none"/>
        </w:rPr>
        <w:t>University of Wales Press eBooks</w:t>
      </w:r>
      <w:r w:rsidRPr="000549CD">
        <w:rPr>
          <w:rFonts w:ascii="Arial" w:eastAsia="Times New Roman" w:hAnsi="Arial" w:cs="Arial"/>
          <w:kern w:val="0"/>
          <w:lang w:eastAsia="en-GB"/>
          <w14:ligatures w14:val="none"/>
        </w:rPr>
        <w:t>. http://orca.cf.ac.uk/91652/.</w:t>
      </w:r>
    </w:p>
    <w:p w14:paraId="1F30CF00"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Winckler, V. (2016) &amp;apos;Brexit, blaenau Gwent and EU funds,&amp;apos; </w:t>
      </w:r>
      <w:r w:rsidRPr="000549CD">
        <w:rPr>
          <w:rFonts w:ascii="Arial" w:eastAsia="Times New Roman" w:hAnsi="Arial" w:cs="Arial"/>
          <w:i/>
          <w:iCs/>
          <w:kern w:val="0"/>
          <w:lang w:eastAsia="en-GB"/>
          <w14:ligatures w14:val="none"/>
        </w:rPr>
        <w:t>The Bevan Foundation</w:t>
      </w:r>
      <w:r w:rsidRPr="000549CD">
        <w:rPr>
          <w:rFonts w:ascii="Arial" w:eastAsia="Times New Roman" w:hAnsi="Arial" w:cs="Arial"/>
          <w:kern w:val="0"/>
          <w:lang w:eastAsia="en-GB"/>
          <w14:ligatures w14:val="none"/>
        </w:rPr>
        <w:t>.</w:t>
      </w:r>
    </w:p>
    <w:p w14:paraId="2E81E414" w14:textId="77777777" w:rsidR="000549CD" w:rsidRPr="000549CD" w:rsidRDefault="000549CD" w:rsidP="000549CD">
      <w:pPr>
        <w:spacing w:after="0" w:line="480" w:lineRule="auto"/>
        <w:ind w:firstLine="720"/>
        <w:rPr>
          <w:rFonts w:ascii="Arial" w:eastAsia="Times New Roman" w:hAnsi="Arial" w:cs="Arial"/>
          <w:kern w:val="0"/>
          <w:lang w:eastAsia="en-GB"/>
          <w14:ligatures w14:val="none"/>
        </w:rPr>
      </w:pPr>
      <w:r w:rsidRPr="000549CD">
        <w:rPr>
          <w:rFonts w:ascii="Arial" w:eastAsia="Times New Roman" w:hAnsi="Arial" w:cs="Arial"/>
          <w:kern w:val="0"/>
          <w:lang w:eastAsia="en-GB"/>
          <w14:ligatures w14:val="none"/>
        </w:rPr>
        <w:t xml:space="preserve">Wright, G. (2018) </w:t>
      </w:r>
      <w:r w:rsidRPr="000549CD">
        <w:rPr>
          <w:rFonts w:ascii="Arial" w:eastAsia="Times New Roman" w:hAnsi="Arial" w:cs="Arial"/>
          <w:i/>
          <w:iCs/>
          <w:kern w:val="0"/>
          <w:lang w:eastAsia="en-GB"/>
          <w14:ligatures w14:val="none"/>
        </w:rPr>
        <w:t>Why don’t we just… ensure all children do well at school? - Big Issue North</w:t>
      </w:r>
      <w:r w:rsidRPr="000549CD">
        <w:rPr>
          <w:rFonts w:ascii="Arial" w:eastAsia="Times New Roman" w:hAnsi="Arial" w:cs="Arial"/>
          <w:kern w:val="0"/>
          <w:lang w:eastAsia="en-GB"/>
          <w14:ligatures w14:val="none"/>
        </w:rPr>
        <w:t>. https://www.bigissuenorth.com/comment/2018/09/dont-just-ensure-children-well-school/#close.</w:t>
      </w:r>
    </w:p>
    <w:p w14:paraId="264D3DD3" w14:textId="77777777" w:rsidR="000549CD" w:rsidRPr="00161B2E" w:rsidRDefault="000549CD" w:rsidP="000549CD">
      <w:pPr>
        <w:spacing w:after="0" w:line="480" w:lineRule="auto"/>
        <w:ind w:firstLine="720"/>
        <w:rPr>
          <w:rFonts w:ascii="Arial" w:eastAsia="Times New Roman" w:hAnsi="Arial" w:cs="Arial"/>
          <w:kern w:val="0"/>
          <w:sz w:val="28"/>
          <w:szCs w:val="28"/>
          <w:lang w:eastAsia="en-GB"/>
          <w14:ligatures w14:val="none"/>
        </w:rPr>
      </w:pPr>
      <w:r w:rsidRPr="000549CD">
        <w:rPr>
          <w:rFonts w:ascii="Arial" w:eastAsia="Times New Roman" w:hAnsi="Arial" w:cs="Arial"/>
          <w:kern w:val="0"/>
          <w:lang w:eastAsia="en-GB"/>
          <w14:ligatures w14:val="none"/>
        </w:rPr>
        <w:t xml:space="preserve">Young, T. (2024) &amp;apos;How todays ruling class use meritocracy to stay at </w:t>
      </w:r>
      <w:r w:rsidRPr="000549CD">
        <w:rPr>
          <w:rFonts w:ascii="Arial" w:eastAsia="Times New Roman" w:hAnsi="Arial" w:cs="Arial"/>
          <w:kern w:val="0"/>
          <w:sz w:val="28"/>
          <w:szCs w:val="28"/>
          <w:lang w:eastAsia="en-GB"/>
          <w14:ligatures w14:val="none"/>
        </w:rPr>
        <w:t xml:space="preserve">the top,&amp;apos; </w:t>
      </w:r>
      <w:r w:rsidRPr="000549CD">
        <w:rPr>
          <w:rFonts w:ascii="Arial" w:eastAsia="Times New Roman" w:hAnsi="Arial" w:cs="Arial"/>
          <w:i/>
          <w:iCs/>
          <w:kern w:val="0"/>
          <w:sz w:val="28"/>
          <w:szCs w:val="28"/>
          <w:lang w:eastAsia="en-GB"/>
          <w14:ligatures w14:val="none"/>
        </w:rPr>
        <w:t>The Spectator</w:t>
      </w:r>
      <w:r w:rsidRPr="000549CD">
        <w:rPr>
          <w:rFonts w:ascii="Arial" w:eastAsia="Times New Roman" w:hAnsi="Arial" w:cs="Arial"/>
          <w:kern w:val="0"/>
          <w:sz w:val="28"/>
          <w:szCs w:val="28"/>
          <w:lang w:eastAsia="en-GB"/>
          <w14:ligatures w14:val="none"/>
        </w:rPr>
        <w:t>.</w:t>
      </w:r>
    </w:p>
    <w:p w14:paraId="30F19187" w14:textId="44557893" w:rsidR="000549CD" w:rsidRPr="00161B2E" w:rsidRDefault="008E4F8B" w:rsidP="000549CD">
      <w:pPr>
        <w:pStyle w:val="Heading2"/>
        <w:rPr>
          <w:rFonts w:ascii="Arial" w:hAnsi="Arial" w:cs="Arial"/>
          <w:color w:val="auto"/>
          <w:sz w:val="28"/>
          <w:szCs w:val="28"/>
        </w:rPr>
      </w:pPr>
      <w:bookmarkStart w:id="9" w:name="_Toc182222994"/>
      <w:r w:rsidRPr="00161B2E">
        <w:rPr>
          <w:rFonts w:ascii="Arial" w:hAnsi="Arial" w:cs="Arial"/>
          <w:color w:val="auto"/>
          <w:sz w:val="28"/>
          <w:szCs w:val="28"/>
        </w:rPr>
        <w:lastRenderedPageBreak/>
        <w:t>List of Images</w:t>
      </w:r>
      <w:bookmarkEnd w:id="9"/>
      <w:r w:rsidR="00161B2E" w:rsidRPr="00161B2E">
        <w:rPr>
          <w:rFonts w:ascii="Arial" w:hAnsi="Arial" w:cs="Arial"/>
          <w:color w:val="auto"/>
          <w:sz w:val="28"/>
          <w:szCs w:val="28"/>
        </w:rPr>
        <w:br/>
        <w:t>Fig 1. Northern Mine Research society</w:t>
      </w:r>
      <w:r w:rsidR="00161B2E" w:rsidRPr="00161B2E">
        <w:rPr>
          <w:rFonts w:ascii="Arial" w:hAnsi="Arial" w:cs="Arial"/>
          <w:color w:val="auto"/>
          <w:sz w:val="28"/>
          <w:szCs w:val="28"/>
        </w:rPr>
        <w:br/>
      </w:r>
      <w:r w:rsidR="00161B2E" w:rsidRPr="00161B2E">
        <w:rPr>
          <w:rFonts w:ascii="Arial" w:hAnsi="Arial" w:cs="Arial"/>
          <w:color w:val="auto"/>
          <w:sz w:val="28"/>
          <w:szCs w:val="28"/>
        </w:rPr>
        <w:t>https://nmrs.org.uk/mines-map/index/</w:t>
      </w:r>
      <w:r w:rsidR="00161B2E" w:rsidRPr="00161B2E">
        <w:rPr>
          <w:rFonts w:ascii="Arial" w:hAnsi="Arial" w:cs="Arial"/>
          <w:color w:val="auto"/>
          <w:sz w:val="28"/>
          <w:szCs w:val="28"/>
        </w:rPr>
        <w:br/>
      </w:r>
      <w:r w:rsidR="00161B2E" w:rsidRPr="00161B2E">
        <w:rPr>
          <w:rFonts w:ascii="Arial" w:hAnsi="Arial" w:cs="Arial"/>
          <w:color w:val="auto"/>
          <w:sz w:val="28"/>
          <w:szCs w:val="28"/>
        </w:rPr>
        <w:br/>
        <w:t>Fig 2.Census 2021, Education in Wales</w:t>
      </w:r>
      <w:r w:rsidR="00161B2E" w:rsidRPr="00161B2E">
        <w:rPr>
          <w:rFonts w:ascii="Arial" w:hAnsi="Arial" w:cs="Arial"/>
          <w:color w:val="auto"/>
          <w:sz w:val="28"/>
          <w:szCs w:val="28"/>
        </w:rPr>
        <w:br/>
      </w:r>
      <w:hyperlink r:id="rId12" w:history="1">
        <w:r w:rsidR="00161B2E" w:rsidRPr="00161B2E">
          <w:rPr>
            <w:rStyle w:val="Hyperlink"/>
            <w:rFonts w:ascii="Arial" w:hAnsi="Arial" w:cs="Arial"/>
            <w:color w:val="auto"/>
            <w:sz w:val="28"/>
            <w:szCs w:val="28"/>
          </w:rPr>
          <w:t>https://www.ons.gov.uk/peoplepopulationandcommunity/educationandchildcare/bulletins/educationenglandandwales/census2021</w:t>
        </w:r>
      </w:hyperlink>
      <w:r w:rsidR="00161B2E" w:rsidRPr="00161B2E">
        <w:rPr>
          <w:rFonts w:ascii="Arial" w:hAnsi="Arial" w:cs="Arial"/>
          <w:color w:val="auto"/>
          <w:sz w:val="28"/>
          <w:szCs w:val="28"/>
        </w:rPr>
        <w:br/>
      </w:r>
      <w:r w:rsidR="00161B2E" w:rsidRPr="00161B2E">
        <w:rPr>
          <w:rFonts w:ascii="Arial" w:hAnsi="Arial" w:cs="Arial"/>
          <w:color w:val="auto"/>
          <w:sz w:val="28"/>
          <w:szCs w:val="28"/>
        </w:rPr>
        <w:br/>
        <w:t>Fig 3. NHS activity and performance summary 2024</w:t>
      </w:r>
      <w:r w:rsidR="00161B2E" w:rsidRPr="00161B2E">
        <w:rPr>
          <w:rFonts w:ascii="Arial" w:hAnsi="Arial" w:cs="Arial"/>
          <w:color w:val="auto"/>
          <w:sz w:val="28"/>
          <w:szCs w:val="28"/>
        </w:rPr>
        <w:br/>
      </w:r>
      <w:hyperlink r:id="rId13" w:history="1">
        <w:r w:rsidR="00161B2E" w:rsidRPr="00161B2E">
          <w:rPr>
            <w:rStyle w:val="Hyperlink"/>
            <w:rFonts w:ascii="Arial" w:hAnsi="Arial" w:cs="Arial"/>
            <w:color w:val="auto"/>
            <w:sz w:val="28"/>
            <w:szCs w:val="28"/>
          </w:rPr>
          <w:t>https://www.gov.wales/nhs-activity-and-performance-summary-may-and-june-2024-html</w:t>
        </w:r>
      </w:hyperlink>
      <w:r w:rsidR="00161B2E" w:rsidRPr="00161B2E">
        <w:rPr>
          <w:rFonts w:ascii="Arial" w:hAnsi="Arial" w:cs="Arial"/>
          <w:color w:val="auto"/>
          <w:sz w:val="28"/>
          <w:szCs w:val="28"/>
        </w:rPr>
        <w:br/>
      </w:r>
      <w:r w:rsidR="00161B2E" w:rsidRPr="00161B2E">
        <w:rPr>
          <w:rFonts w:ascii="Arial" w:hAnsi="Arial" w:cs="Arial"/>
          <w:color w:val="auto"/>
          <w:sz w:val="28"/>
          <w:szCs w:val="28"/>
        </w:rPr>
        <w:br/>
        <w:t xml:space="preserve">Fig 4. Preparations for replacing EU funding in Wales, institute of Fiscal Studies </w:t>
      </w:r>
      <w:hyperlink r:id="rId14" w:history="1">
        <w:r w:rsidR="00161B2E" w:rsidRPr="00161B2E">
          <w:rPr>
            <w:rStyle w:val="Hyperlink"/>
            <w:rFonts w:ascii="Arial" w:hAnsi="Arial" w:cs="Arial"/>
            <w:color w:val="auto"/>
            <w:sz w:val="28"/>
            <w:szCs w:val="28"/>
          </w:rPr>
          <w:t>https://ifs.org.uk/sites/default/files/output_url_files/IFS%252520Response%252520to%252520the%252520Finance%252520Committee%252520of%252520the%252520National%252520Assembly%252520of%252520Wales%2525E2%252580%252599s%252520Call%252520for%252520Evidence.pdf</w:t>
        </w:r>
      </w:hyperlink>
    </w:p>
    <w:p w14:paraId="00B91F2D" w14:textId="77777777" w:rsidR="00161B2E" w:rsidRPr="00161B2E" w:rsidRDefault="00161B2E" w:rsidP="00161B2E"/>
    <w:p w14:paraId="4F53C147" w14:textId="5A057DFB" w:rsidR="000549CD" w:rsidRDefault="000549CD"/>
    <w:p w14:paraId="4293030D" w14:textId="1C7E3630" w:rsidR="008E4F8B" w:rsidRPr="00922EF5" w:rsidRDefault="008E4F8B" w:rsidP="000549CD">
      <w:pPr>
        <w:pStyle w:val="Heading1"/>
      </w:pPr>
    </w:p>
    <w:sectPr w:rsidR="008E4F8B" w:rsidRPr="00922EF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885FD1" w14:textId="77777777" w:rsidR="001F298B" w:rsidRDefault="001F298B" w:rsidP="000549CD">
      <w:pPr>
        <w:spacing w:after="0" w:line="240" w:lineRule="auto"/>
      </w:pPr>
      <w:r>
        <w:separator/>
      </w:r>
    </w:p>
  </w:endnote>
  <w:endnote w:type="continuationSeparator" w:id="0">
    <w:p w14:paraId="6B5A6C0C" w14:textId="77777777" w:rsidR="001F298B" w:rsidRDefault="001F298B" w:rsidP="00054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8452873"/>
      <w:docPartObj>
        <w:docPartGallery w:val="Page Numbers (Bottom of Page)"/>
        <w:docPartUnique/>
      </w:docPartObj>
    </w:sdtPr>
    <w:sdtEndPr>
      <w:rPr>
        <w:noProof/>
      </w:rPr>
    </w:sdtEndPr>
    <w:sdtContent>
      <w:p w14:paraId="634750E8" w14:textId="576C5B16" w:rsidR="000549CD" w:rsidRDefault="000549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FB83B7" w14:textId="77777777" w:rsidR="000549CD" w:rsidRDefault="00054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AC2A4" w14:textId="77777777" w:rsidR="001F298B" w:rsidRDefault="001F298B" w:rsidP="000549CD">
      <w:pPr>
        <w:spacing w:after="0" w:line="240" w:lineRule="auto"/>
      </w:pPr>
      <w:r>
        <w:separator/>
      </w:r>
    </w:p>
  </w:footnote>
  <w:footnote w:type="continuationSeparator" w:id="0">
    <w:p w14:paraId="2E43DE90" w14:textId="77777777" w:rsidR="001F298B" w:rsidRDefault="001F298B" w:rsidP="000549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90"/>
    <w:rsid w:val="000549CD"/>
    <w:rsid w:val="00073D53"/>
    <w:rsid w:val="000A0F32"/>
    <w:rsid w:val="00102699"/>
    <w:rsid w:val="00161B2E"/>
    <w:rsid w:val="00172ABA"/>
    <w:rsid w:val="001815FD"/>
    <w:rsid w:val="001F153D"/>
    <w:rsid w:val="001F298B"/>
    <w:rsid w:val="001F3B6A"/>
    <w:rsid w:val="0020631A"/>
    <w:rsid w:val="0024291D"/>
    <w:rsid w:val="002534B9"/>
    <w:rsid w:val="002B7B6E"/>
    <w:rsid w:val="002E19E0"/>
    <w:rsid w:val="002F34E0"/>
    <w:rsid w:val="00417B81"/>
    <w:rsid w:val="00422B5D"/>
    <w:rsid w:val="00431BF1"/>
    <w:rsid w:val="0043682D"/>
    <w:rsid w:val="004751D5"/>
    <w:rsid w:val="00504623"/>
    <w:rsid w:val="00542BC3"/>
    <w:rsid w:val="005728A5"/>
    <w:rsid w:val="005B74BF"/>
    <w:rsid w:val="005F7079"/>
    <w:rsid w:val="00611196"/>
    <w:rsid w:val="00634E81"/>
    <w:rsid w:val="00710412"/>
    <w:rsid w:val="00741EE3"/>
    <w:rsid w:val="00780D41"/>
    <w:rsid w:val="008A3946"/>
    <w:rsid w:val="008E4F8B"/>
    <w:rsid w:val="00922EF5"/>
    <w:rsid w:val="00930D90"/>
    <w:rsid w:val="009343FE"/>
    <w:rsid w:val="00942BFE"/>
    <w:rsid w:val="009834D9"/>
    <w:rsid w:val="009C25E2"/>
    <w:rsid w:val="009C46D7"/>
    <w:rsid w:val="009D1562"/>
    <w:rsid w:val="00A86F68"/>
    <w:rsid w:val="00AB2B90"/>
    <w:rsid w:val="00AB7DA2"/>
    <w:rsid w:val="00AC03B0"/>
    <w:rsid w:val="00BB1616"/>
    <w:rsid w:val="00CB44C6"/>
    <w:rsid w:val="00D8711C"/>
    <w:rsid w:val="00DB0479"/>
    <w:rsid w:val="00DE41F4"/>
    <w:rsid w:val="00E12464"/>
    <w:rsid w:val="00E12742"/>
    <w:rsid w:val="00E2515A"/>
    <w:rsid w:val="00EA6CF0"/>
    <w:rsid w:val="00EE2853"/>
    <w:rsid w:val="00F0414C"/>
    <w:rsid w:val="00F07BA2"/>
    <w:rsid w:val="00F464D7"/>
    <w:rsid w:val="00F65928"/>
    <w:rsid w:val="00F84E1C"/>
    <w:rsid w:val="00FC78D9"/>
    <w:rsid w:val="00FD205E"/>
    <w:rsid w:val="00FF4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30C2"/>
  <w15:chartTrackingRefBased/>
  <w15:docId w15:val="{B64920B8-DB70-47ED-BA29-F84E1F531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B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B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B90"/>
    <w:rPr>
      <w:rFonts w:eastAsiaTheme="majorEastAsia" w:cstheme="majorBidi"/>
      <w:color w:val="272727" w:themeColor="text1" w:themeTint="D8"/>
    </w:rPr>
  </w:style>
  <w:style w:type="paragraph" w:styleId="Title">
    <w:name w:val="Title"/>
    <w:basedOn w:val="Normal"/>
    <w:next w:val="Normal"/>
    <w:link w:val="TitleChar"/>
    <w:uiPriority w:val="10"/>
    <w:qFormat/>
    <w:rsid w:val="00AB2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B90"/>
    <w:pPr>
      <w:spacing w:before="160"/>
      <w:jc w:val="center"/>
    </w:pPr>
    <w:rPr>
      <w:i/>
      <w:iCs/>
      <w:color w:val="404040" w:themeColor="text1" w:themeTint="BF"/>
    </w:rPr>
  </w:style>
  <w:style w:type="character" w:customStyle="1" w:styleId="QuoteChar">
    <w:name w:val="Quote Char"/>
    <w:basedOn w:val="DefaultParagraphFont"/>
    <w:link w:val="Quote"/>
    <w:uiPriority w:val="29"/>
    <w:rsid w:val="00AB2B90"/>
    <w:rPr>
      <w:i/>
      <w:iCs/>
      <w:color w:val="404040" w:themeColor="text1" w:themeTint="BF"/>
    </w:rPr>
  </w:style>
  <w:style w:type="paragraph" w:styleId="ListParagraph">
    <w:name w:val="List Paragraph"/>
    <w:basedOn w:val="Normal"/>
    <w:uiPriority w:val="34"/>
    <w:qFormat/>
    <w:rsid w:val="00AB2B90"/>
    <w:pPr>
      <w:ind w:left="720"/>
      <w:contextualSpacing/>
    </w:pPr>
  </w:style>
  <w:style w:type="character" w:styleId="IntenseEmphasis">
    <w:name w:val="Intense Emphasis"/>
    <w:basedOn w:val="DefaultParagraphFont"/>
    <w:uiPriority w:val="21"/>
    <w:qFormat/>
    <w:rsid w:val="00AB2B90"/>
    <w:rPr>
      <w:i/>
      <w:iCs/>
      <w:color w:val="0F4761" w:themeColor="accent1" w:themeShade="BF"/>
    </w:rPr>
  </w:style>
  <w:style w:type="paragraph" w:styleId="IntenseQuote">
    <w:name w:val="Intense Quote"/>
    <w:basedOn w:val="Normal"/>
    <w:next w:val="Normal"/>
    <w:link w:val="IntenseQuoteChar"/>
    <w:uiPriority w:val="30"/>
    <w:qFormat/>
    <w:rsid w:val="00AB2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B90"/>
    <w:rPr>
      <w:i/>
      <w:iCs/>
      <w:color w:val="0F4761" w:themeColor="accent1" w:themeShade="BF"/>
    </w:rPr>
  </w:style>
  <w:style w:type="character" w:styleId="IntenseReference">
    <w:name w:val="Intense Reference"/>
    <w:basedOn w:val="DefaultParagraphFont"/>
    <w:uiPriority w:val="32"/>
    <w:qFormat/>
    <w:rsid w:val="00AB2B90"/>
    <w:rPr>
      <w:b/>
      <w:bCs/>
      <w:smallCaps/>
      <w:color w:val="0F4761" w:themeColor="accent1" w:themeShade="BF"/>
      <w:spacing w:val="5"/>
    </w:rPr>
  </w:style>
  <w:style w:type="paragraph" w:styleId="Caption">
    <w:name w:val="caption"/>
    <w:basedOn w:val="Normal"/>
    <w:next w:val="Normal"/>
    <w:uiPriority w:val="35"/>
    <w:unhideWhenUsed/>
    <w:qFormat/>
    <w:rsid w:val="00542BC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549C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549CD"/>
    <w:pPr>
      <w:spacing w:after="100"/>
    </w:pPr>
  </w:style>
  <w:style w:type="paragraph" w:styleId="TOC2">
    <w:name w:val="toc 2"/>
    <w:basedOn w:val="Normal"/>
    <w:next w:val="Normal"/>
    <w:autoRedefine/>
    <w:uiPriority w:val="39"/>
    <w:unhideWhenUsed/>
    <w:rsid w:val="000549CD"/>
    <w:pPr>
      <w:spacing w:after="100"/>
      <w:ind w:left="240"/>
    </w:pPr>
  </w:style>
  <w:style w:type="character" w:styleId="Hyperlink">
    <w:name w:val="Hyperlink"/>
    <w:basedOn w:val="DefaultParagraphFont"/>
    <w:uiPriority w:val="99"/>
    <w:unhideWhenUsed/>
    <w:rsid w:val="000549CD"/>
    <w:rPr>
      <w:color w:val="467886" w:themeColor="hyperlink"/>
      <w:u w:val="single"/>
    </w:rPr>
  </w:style>
  <w:style w:type="paragraph" w:styleId="Bibliography">
    <w:name w:val="Bibliography"/>
    <w:basedOn w:val="Normal"/>
    <w:next w:val="Normal"/>
    <w:uiPriority w:val="37"/>
    <w:semiHidden/>
    <w:unhideWhenUsed/>
    <w:rsid w:val="000549CD"/>
  </w:style>
  <w:style w:type="paragraph" w:styleId="Header">
    <w:name w:val="header"/>
    <w:basedOn w:val="Normal"/>
    <w:link w:val="HeaderChar"/>
    <w:uiPriority w:val="99"/>
    <w:unhideWhenUsed/>
    <w:rsid w:val="00054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9CD"/>
  </w:style>
  <w:style w:type="paragraph" w:styleId="Footer">
    <w:name w:val="footer"/>
    <w:basedOn w:val="Normal"/>
    <w:link w:val="FooterChar"/>
    <w:uiPriority w:val="99"/>
    <w:unhideWhenUsed/>
    <w:rsid w:val="00054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9CD"/>
  </w:style>
  <w:style w:type="character" w:styleId="UnresolvedMention">
    <w:name w:val="Unresolved Mention"/>
    <w:basedOn w:val="DefaultParagraphFont"/>
    <w:uiPriority w:val="99"/>
    <w:semiHidden/>
    <w:unhideWhenUsed/>
    <w:rsid w:val="00161B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54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wales/nhs-activity-and-performance-summary-may-and-june-2024-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educationandchildcare/bulletins/educationenglandandwales/census202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fs.org.uk/sites/default/files/output_url_files/IFS%252520Response%252520to%252520the%252520Finance%252520Committee%252520of%252520the%252520National%252520Assembly%252520of%252520Wales%2525E2%252580%252599s%252520Call%252520for%252520Evid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4164F-03A3-4781-9C28-3119DA4AB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21648</TotalTime>
  <Pages>20</Pages>
  <Words>5330</Words>
  <Characters>30383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16</cp:revision>
  <dcterms:created xsi:type="dcterms:W3CDTF">2024-10-07T18:47:00Z</dcterms:created>
  <dcterms:modified xsi:type="dcterms:W3CDTF">2024-11-11T13:27:00Z</dcterms:modified>
</cp:coreProperties>
</file>