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2B47A" w14:textId="77777777" w:rsidR="00026AB8" w:rsidRPr="00026AB8" w:rsidRDefault="00026AB8" w:rsidP="00026AB8">
      <w:pPr>
        <w:spacing w:line="360" w:lineRule="auto"/>
        <w:rPr>
          <w:rFonts w:ascii="Arial" w:hAnsi="Arial" w:cs="Arial"/>
          <w:sz w:val="24"/>
          <w:szCs w:val="24"/>
        </w:rPr>
      </w:pPr>
      <w:r w:rsidRPr="00026AB8">
        <w:rPr>
          <w:rFonts w:ascii="Arial" w:hAnsi="Arial" w:cs="Arial"/>
          <w:noProof/>
          <w:sz w:val="24"/>
          <w:szCs w:val="24"/>
        </w:rPr>
        <w:drawing>
          <wp:inline distT="0" distB="0" distL="0" distR="0" wp14:anchorId="470D716B" wp14:editId="69C4F806">
            <wp:extent cx="1809750" cy="723900"/>
            <wp:effectExtent l="0" t="0" r="6985" b="0"/>
            <wp:docPr id="271" name="Picture 27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71" name="Picture 271" descr="A black background with white text&#10;&#10;AI-generated content may be incorrect."/>
                    <pic:cNvPicPr/>
                  </pic:nvPicPr>
                  <pic:blipFill>
                    <a:blip r:embed="rId8"/>
                    <a:stretch>
                      <a:fillRect/>
                    </a:stretch>
                  </pic:blipFill>
                  <pic:spPr>
                    <a:xfrm>
                      <a:off x="0" y="0"/>
                      <a:ext cx="1809750" cy="723900"/>
                    </a:xfrm>
                    <a:prstGeom prst="rect">
                      <a:avLst/>
                    </a:prstGeom>
                  </pic:spPr>
                </pic:pic>
              </a:graphicData>
            </a:graphic>
          </wp:inline>
        </w:drawing>
      </w:r>
    </w:p>
    <w:p w14:paraId="70A26C02" w14:textId="77777777" w:rsidR="00026AB8" w:rsidRPr="00026AB8" w:rsidRDefault="00026AB8" w:rsidP="00026AB8">
      <w:pPr>
        <w:spacing w:line="360" w:lineRule="auto"/>
        <w:rPr>
          <w:rFonts w:ascii="Arial" w:hAnsi="Arial" w:cs="Arial"/>
          <w:sz w:val="24"/>
          <w:szCs w:val="24"/>
        </w:rPr>
      </w:pPr>
    </w:p>
    <w:p w14:paraId="221671B4" w14:textId="77777777" w:rsidR="00026AB8" w:rsidRPr="00026AB8" w:rsidRDefault="00026AB8" w:rsidP="00026AB8">
      <w:pPr>
        <w:spacing w:line="360" w:lineRule="auto"/>
        <w:rPr>
          <w:rFonts w:ascii="Arial" w:hAnsi="Arial" w:cs="Arial"/>
          <w:sz w:val="24"/>
          <w:szCs w:val="24"/>
        </w:rPr>
      </w:pPr>
    </w:p>
    <w:p w14:paraId="5214CC4C" w14:textId="77777777" w:rsidR="00026AB8" w:rsidRPr="00026AB8" w:rsidRDefault="00026AB8" w:rsidP="00026AB8">
      <w:pPr>
        <w:spacing w:line="360" w:lineRule="auto"/>
        <w:rPr>
          <w:rFonts w:ascii="Arial" w:hAnsi="Arial" w:cs="Arial"/>
          <w:sz w:val="24"/>
          <w:szCs w:val="24"/>
        </w:rPr>
      </w:pPr>
    </w:p>
    <w:p w14:paraId="02EE6B83" w14:textId="77777777" w:rsidR="00026AB8" w:rsidRPr="00026AB8" w:rsidRDefault="00026AB8" w:rsidP="00026AB8">
      <w:pPr>
        <w:spacing w:line="360" w:lineRule="auto"/>
        <w:rPr>
          <w:rFonts w:ascii="Arial" w:hAnsi="Arial" w:cs="Arial"/>
          <w:sz w:val="24"/>
          <w:szCs w:val="24"/>
        </w:rPr>
      </w:pPr>
    </w:p>
    <w:p w14:paraId="0F9F2349" w14:textId="77777777" w:rsidR="00026AB8" w:rsidRPr="00026AB8" w:rsidRDefault="00026AB8" w:rsidP="00026AB8">
      <w:pPr>
        <w:spacing w:line="360" w:lineRule="auto"/>
        <w:rPr>
          <w:rFonts w:ascii="Arial" w:hAnsi="Arial" w:cs="Arial"/>
          <w:sz w:val="24"/>
          <w:szCs w:val="24"/>
        </w:rPr>
      </w:pPr>
    </w:p>
    <w:p w14:paraId="67195ED1"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Programme: Master of Business Administration</w:t>
      </w:r>
    </w:p>
    <w:p w14:paraId="53576AB7"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 xml:space="preserve"> </w:t>
      </w:r>
    </w:p>
    <w:p w14:paraId="5BA5D2CF"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Module: International Business Concepts</w:t>
      </w:r>
    </w:p>
    <w:p w14:paraId="0395315C" w14:textId="77777777" w:rsidR="00026AB8" w:rsidRPr="00FD1312" w:rsidRDefault="00026AB8" w:rsidP="00026AB8">
      <w:pPr>
        <w:pStyle w:val="NoSpacing"/>
        <w:spacing w:line="360" w:lineRule="auto"/>
        <w:jc w:val="center"/>
        <w:rPr>
          <w:rFonts w:ascii="Arial" w:hAnsi="Arial" w:cs="Arial"/>
          <w:b/>
          <w:bCs/>
          <w:sz w:val="28"/>
          <w:szCs w:val="28"/>
        </w:rPr>
      </w:pPr>
    </w:p>
    <w:p w14:paraId="0D9347F4"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Module code: LCMB7034</w:t>
      </w:r>
    </w:p>
    <w:p w14:paraId="663C1196" w14:textId="77777777" w:rsidR="00026AB8" w:rsidRPr="00FD1312" w:rsidRDefault="00026AB8" w:rsidP="00026AB8">
      <w:pPr>
        <w:pStyle w:val="NoSpacing"/>
        <w:spacing w:line="360" w:lineRule="auto"/>
        <w:jc w:val="center"/>
        <w:rPr>
          <w:rFonts w:ascii="Arial" w:hAnsi="Arial" w:cs="Arial"/>
          <w:b/>
          <w:bCs/>
          <w:sz w:val="28"/>
          <w:szCs w:val="28"/>
        </w:rPr>
      </w:pPr>
    </w:p>
    <w:p w14:paraId="297B9F4E"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Lecturer: Jean Wang</w:t>
      </w:r>
    </w:p>
    <w:p w14:paraId="069B37D3" w14:textId="77777777" w:rsidR="00026AB8" w:rsidRPr="00FD1312" w:rsidRDefault="00026AB8" w:rsidP="00026AB8">
      <w:pPr>
        <w:pStyle w:val="NoSpacing"/>
        <w:spacing w:line="360" w:lineRule="auto"/>
        <w:jc w:val="center"/>
        <w:rPr>
          <w:rFonts w:ascii="Arial" w:hAnsi="Arial" w:cs="Arial"/>
          <w:b/>
          <w:bCs/>
          <w:sz w:val="28"/>
          <w:szCs w:val="28"/>
        </w:rPr>
      </w:pPr>
    </w:p>
    <w:p w14:paraId="0BB94DE2"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Student Name: Vedika Ganesh Bhoite</w:t>
      </w:r>
    </w:p>
    <w:p w14:paraId="5EED7B5E" w14:textId="77777777" w:rsidR="00026AB8" w:rsidRPr="00FD1312" w:rsidRDefault="00026AB8" w:rsidP="00026AB8">
      <w:pPr>
        <w:pStyle w:val="NoSpacing"/>
        <w:spacing w:line="360" w:lineRule="auto"/>
        <w:jc w:val="center"/>
        <w:rPr>
          <w:rFonts w:ascii="Arial" w:hAnsi="Arial" w:cs="Arial"/>
          <w:b/>
          <w:bCs/>
          <w:sz w:val="28"/>
          <w:szCs w:val="28"/>
        </w:rPr>
      </w:pPr>
    </w:p>
    <w:p w14:paraId="57A29BB1"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Student ID: 2422538</w:t>
      </w:r>
    </w:p>
    <w:p w14:paraId="143BA746" w14:textId="77777777" w:rsidR="00026AB8" w:rsidRPr="00FD1312" w:rsidRDefault="00026AB8" w:rsidP="00026AB8">
      <w:pPr>
        <w:pStyle w:val="NoSpacing"/>
        <w:spacing w:line="360" w:lineRule="auto"/>
        <w:jc w:val="center"/>
        <w:rPr>
          <w:rFonts w:ascii="Arial" w:hAnsi="Arial" w:cs="Arial"/>
          <w:b/>
          <w:bCs/>
          <w:sz w:val="28"/>
          <w:szCs w:val="28"/>
        </w:rPr>
      </w:pPr>
    </w:p>
    <w:p w14:paraId="4F8CF754" w14:textId="34B90B99"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 xml:space="preserve">Word count: </w:t>
      </w:r>
      <w:r w:rsidR="00B623FF">
        <w:rPr>
          <w:rFonts w:ascii="Arial" w:hAnsi="Arial" w:cs="Arial"/>
          <w:b/>
          <w:bCs/>
          <w:sz w:val="28"/>
          <w:szCs w:val="28"/>
        </w:rPr>
        <w:t>5183</w:t>
      </w:r>
    </w:p>
    <w:p w14:paraId="6DF9359E" w14:textId="77777777" w:rsidR="00026AB8" w:rsidRPr="00FD1312" w:rsidRDefault="00026AB8" w:rsidP="00026AB8">
      <w:pPr>
        <w:pStyle w:val="NoSpacing"/>
        <w:spacing w:line="360" w:lineRule="auto"/>
        <w:jc w:val="center"/>
        <w:rPr>
          <w:rFonts w:ascii="Arial" w:hAnsi="Arial" w:cs="Arial"/>
          <w:b/>
          <w:bCs/>
          <w:sz w:val="28"/>
          <w:szCs w:val="28"/>
        </w:rPr>
      </w:pPr>
    </w:p>
    <w:p w14:paraId="0C8AE204" w14:textId="77777777" w:rsidR="00026AB8" w:rsidRPr="00FD1312" w:rsidRDefault="00026AB8" w:rsidP="00026AB8">
      <w:pPr>
        <w:pStyle w:val="NoSpacing"/>
        <w:spacing w:line="360" w:lineRule="auto"/>
        <w:jc w:val="center"/>
        <w:rPr>
          <w:rFonts w:ascii="Arial" w:hAnsi="Arial" w:cs="Arial"/>
          <w:b/>
          <w:bCs/>
          <w:sz w:val="28"/>
          <w:szCs w:val="28"/>
        </w:rPr>
      </w:pPr>
      <w:r w:rsidRPr="00FD1312">
        <w:rPr>
          <w:rFonts w:ascii="Arial" w:hAnsi="Arial" w:cs="Arial"/>
          <w:b/>
          <w:bCs/>
          <w:sz w:val="28"/>
          <w:szCs w:val="28"/>
        </w:rPr>
        <w:t>Submission deadline: 15 December 2025 ,14:00 (2PM)</w:t>
      </w:r>
    </w:p>
    <w:p w14:paraId="105613C6" w14:textId="7092D367" w:rsidR="00C81EBB" w:rsidRPr="00026AB8" w:rsidRDefault="00C81EBB" w:rsidP="00026AB8">
      <w:pPr>
        <w:spacing w:line="360" w:lineRule="auto"/>
        <w:rPr>
          <w:rFonts w:ascii="Arial" w:hAnsi="Arial" w:cs="Arial"/>
          <w:sz w:val="24"/>
          <w:szCs w:val="24"/>
        </w:rPr>
      </w:pPr>
    </w:p>
    <w:p w14:paraId="4689C151" w14:textId="77777777" w:rsidR="00026AB8" w:rsidRPr="00026AB8" w:rsidRDefault="00026AB8" w:rsidP="00026AB8">
      <w:pPr>
        <w:spacing w:line="360" w:lineRule="auto"/>
        <w:rPr>
          <w:rFonts w:ascii="Arial" w:hAnsi="Arial" w:cs="Arial"/>
          <w:sz w:val="24"/>
          <w:szCs w:val="24"/>
        </w:rPr>
      </w:pPr>
    </w:p>
    <w:p w14:paraId="3D41B5AB" w14:textId="77777777" w:rsidR="00026AB8" w:rsidRPr="00026AB8" w:rsidRDefault="00026AB8" w:rsidP="00026AB8">
      <w:pPr>
        <w:spacing w:line="360" w:lineRule="auto"/>
        <w:rPr>
          <w:rFonts w:ascii="Arial" w:hAnsi="Arial" w:cs="Arial"/>
          <w:sz w:val="24"/>
          <w:szCs w:val="24"/>
        </w:rPr>
      </w:pPr>
    </w:p>
    <w:p w14:paraId="54B5BCE6" w14:textId="77777777" w:rsidR="00026AB8" w:rsidRPr="00026AB8" w:rsidRDefault="00026AB8" w:rsidP="00026AB8">
      <w:pPr>
        <w:spacing w:line="360" w:lineRule="auto"/>
        <w:rPr>
          <w:rFonts w:ascii="Arial" w:hAnsi="Arial" w:cs="Arial"/>
          <w:sz w:val="24"/>
          <w:szCs w:val="24"/>
        </w:rPr>
      </w:pPr>
    </w:p>
    <w:p w14:paraId="76F998E4" w14:textId="77777777" w:rsidR="00026AB8" w:rsidRPr="00026AB8" w:rsidRDefault="00026AB8" w:rsidP="00026AB8">
      <w:pPr>
        <w:spacing w:line="360" w:lineRule="auto"/>
        <w:rPr>
          <w:rFonts w:ascii="Arial" w:hAnsi="Arial" w:cs="Arial"/>
          <w:sz w:val="24"/>
          <w:szCs w:val="24"/>
        </w:rPr>
      </w:pPr>
    </w:p>
    <w:p w14:paraId="11028FD5" w14:textId="77777777" w:rsidR="00026AB8" w:rsidRPr="00026AB8" w:rsidRDefault="00026AB8" w:rsidP="00026AB8">
      <w:pPr>
        <w:spacing w:line="360" w:lineRule="auto"/>
        <w:rPr>
          <w:rFonts w:ascii="Arial" w:hAnsi="Arial" w:cs="Arial"/>
          <w:sz w:val="24"/>
          <w:szCs w:val="24"/>
        </w:rPr>
      </w:pPr>
    </w:p>
    <w:p w14:paraId="0901F505" w14:textId="77777777" w:rsidR="00026AB8" w:rsidRPr="00026AB8" w:rsidRDefault="00026AB8" w:rsidP="00026AB8">
      <w:pPr>
        <w:spacing w:line="360" w:lineRule="auto"/>
        <w:rPr>
          <w:rFonts w:ascii="Arial" w:hAnsi="Arial" w:cs="Arial"/>
          <w:sz w:val="24"/>
          <w:szCs w:val="24"/>
        </w:rPr>
      </w:pPr>
    </w:p>
    <w:p w14:paraId="17606D92" w14:textId="77777777" w:rsidR="00026AB8" w:rsidRPr="00026AB8" w:rsidRDefault="00026AB8" w:rsidP="00026AB8">
      <w:pPr>
        <w:spacing w:line="360" w:lineRule="auto"/>
        <w:rPr>
          <w:rFonts w:ascii="Arial" w:hAnsi="Arial" w:cs="Arial"/>
          <w:sz w:val="24"/>
          <w:szCs w:val="24"/>
        </w:rPr>
      </w:pPr>
    </w:p>
    <w:p w14:paraId="21536C09" w14:textId="77777777" w:rsidR="00026AB8" w:rsidRPr="00026AB8" w:rsidRDefault="00026AB8" w:rsidP="00026AB8">
      <w:pPr>
        <w:spacing w:line="360" w:lineRule="auto"/>
        <w:rPr>
          <w:rFonts w:ascii="Arial" w:hAnsi="Arial" w:cs="Arial"/>
          <w:sz w:val="24"/>
          <w:szCs w:val="24"/>
        </w:rPr>
      </w:pPr>
    </w:p>
    <w:p w14:paraId="5D35D74E" w14:textId="77777777" w:rsidR="00026AB8" w:rsidRPr="00026AB8" w:rsidRDefault="00026AB8" w:rsidP="00026AB8">
      <w:pPr>
        <w:spacing w:line="360" w:lineRule="auto"/>
        <w:rPr>
          <w:rFonts w:ascii="Arial" w:hAnsi="Arial" w:cs="Arial"/>
          <w:sz w:val="24"/>
          <w:szCs w:val="24"/>
        </w:rPr>
      </w:pPr>
    </w:p>
    <w:p w14:paraId="6F32A440" w14:textId="77777777" w:rsidR="00026AB8" w:rsidRPr="00026AB8" w:rsidRDefault="00026AB8" w:rsidP="00026AB8">
      <w:pPr>
        <w:spacing w:line="360" w:lineRule="auto"/>
        <w:rPr>
          <w:rFonts w:ascii="Arial" w:hAnsi="Arial" w:cs="Arial"/>
          <w:sz w:val="24"/>
          <w:szCs w:val="24"/>
        </w:rPr>
      </w:pPr>
    </w:p>
    <w:p w14:paraId="58B6A85B" w14:textId="77777777" w:rsidR="00026AB8" w:rsidRPr="00026AB8" w:rsidRDefault="00026AB8" w:rsidP="00026AB8">
      <w:pPr>
        <w:spacing w:line="360" w:lineRule="auto"/>
        <w:rPr>
          <w:rFonts w:ascii="Arial" w:hAnsi="Arial" w:cs="Arial"/>
          <w:sz w:val="24"/>
          <w:szCs w:val="24"/>
        </w:rPr>
      </w:pPr>
    </w:p>
    <w:p w14:paraId="3BAB1D19" w14:textId="77777777" w:rsidR="00026AB8" w:rsidRPr="00026AB8" w:rsidRDefault="00026AB8" w:rsidP="00026AB8">
      <w:pPr>
        <w:spacing w:line="360" w:lineRule="auto"/>
        <w:rPr>
          <w:rFonts w:ascii="Arial" w:hAnsi="Arial" w:cs="Arial"/>
          <w:sz w:val="24"/>
          <w:szCs w:val="24"/>
        </w:rPr>
      </w:pPr>
    </w:p>
    <w:p w14:paraId="36DDB42B" w14:textId="77777777" w:rsidR="00026AB8" w:rsidRPr="00026AB8" w:rsidRDefault="00026AB8" w:rsidP="00026AB8">
      <w:pPr>
        <w:spacing w:line="360" w:lineRule="auto"/>
        <w:rPr>
          <w:rFonts w:ascii="Arial" w:hAnsi="Arial" w:cs="Arial"/>
          <w:sz w:val="24"/>
          <w:szCs w:val="24"/>
        </w:rPr>
      </w:pPr>
    </w:p>
    <w:p w14:paraId="58F7790B" w14:textId="77777777" w:rsidR="00026AB8" w:rsidRPr="00026AB8" w:rsidRDefault="00026AB8" w:rsidP="00026AB8">
      <w:pPr>
        <w:spacing w:line="360" w:lineRule="auto"/>
        <w:rPr>
          <w:rFonts w:ascii="Arial" w:hAnsi="Arial" w:cs="Arial"/>
          <w:b/>
          <w:sz w:val="24"/>
          <w:szCs w:val="24"/>
        </w:rPr>
      </w:pPr>
    </w:p>
    <w:p w14:paraId="69583874" w14:textId="77777777" w:rsidR="00026AB8" w:rsidRPr="00026AB8" w:rsidRDefault="00026AB8" w:rsidP="00026AB8">
      <w:pPr>
        <w:spacing w:line="360" w:lineRule="auto"/>
        <w:jc w:val="center"/>
        <w:rPr>
          <w:rFonts w:ascii="Arial" w:hAnsi="Arial" w:cs="Arial"/>
          <w:b/>
          <w:sz w:val="24"/>
          <w:szCs w:val="24"/>
        </w:rPr>
      </w:pPr>
    </w:p>
    <w:p w14:paraId="787A9FBE" w14:textId="77777777" w:rsidR="00026AB8" w:rsidRPr="00FD1312" w:rsidRDefault="00026AB8" w:rsidP="00026AB8">
      <w:pPr>
        <w:spacing w:line="360" w:lineRule="auto"/>
        <w:jc w:val="center"/>
        <w:rPr>
          <w:rFonts w:ascii="Arial" w:hAnsi="Arial" w:cs="Arial"/>
          <w:b/>
          <w:sz w:val="40"/>
          <w:szCs w:val="40"/>
        </w:rPr>
      </w:pPr>
    </w:p>
    <w:p w14:paraId="134F218E" w14:textId="77777777" w:rsidR="00026AB8" w:rsidRPr="00FD1312" w:rsidRDefault="00026AB8" w:rsidP="00026AB8">
      <w:pPr>
        <w:spacing w:line="360" w:lineRule="auto"/>
        <w:jc w:val="center"/>
        <w:rPr>
          <w:rFonts w:ascii="Arial" w:hAnsi="Arial" w:cs="Arial"/>
          <w:b/>
          <w:sz w:val="40"/>
          <w:szCs w:val="40"/>
        </w:rPr>
      </w:pPr>
      <w:r w:rsidRPr="00FD1312">
        <w:rPr>
          <w:rFonts w:ascii="Arial" w:hAnsi="Arial" w:cs="Arial"/>
          <w:b/>
          <w:sz w:val="40"/>
          <w:szCs w:val="40"/>
        </w:rPr>
        <w:t>INTERNATIONAL BUSINESS CONCEPTS</w:t>
      </w:r>
    </w:p>
    <w:p w14:paraId="5DC6FCDB" w14:textId="77777777" w:rsidR="00026AB8" w:rsidRPr="00026AB8" w:rsidRDefault="00026AB8" w:rsidP="00026AB8">
      <w:pPr>
        <w:spacing w:line="360" w:lineRule="auto"/>
        <w:rPr>
          <w:rFonts w:ascii="Arial" w:hAnsi="Arial" w:cs="Arial"/>
          <w:sz w:val="24"/>
          <w:szCs w:val="24"/>
        </w:rPr>
      </w:pPr>
      <w:r w:rsidRPr="00026AB8">
        <w:rPr>
          <w:rFonts w:ascii="Arial" w:hAnsi="Arial" w:cs="Arial"/>
          <w:sz w:val="24"/>
          <w:szCs w:val="24"/>
        </w:rPr>
        <w:br w:type="page"/>
      </w:r>
    </w:p>
    <w:sdt>
      <w:sdtPr>
        <w:rPr>
          <w:rFonts w:ascii="Arial" w:eastAsiaTheme="minorHAnsi" w:hAnsi="Arial" w:cs="Arial"/>
          <w:color w:val="auto"/>
          <w:sz w:val="24"/>
          <w:szCs w:val="24"/>
        </w:rPr>
        <w:id w:val="1161512082"/>
        <w:docPartObj>
          <w:docPartGallery w:val="Table of Contents"/>
          <w:docPartUnique/>
        </w:docPartObj>
      </w:sdtPr>
      <w:sdtEndPr>
        <w:rPr>
          <w:b/>
          <w:bCs/>
          <w:noProof/>
        </w:rPr>
      </w:sdtEndPr>
      <w:sdtContent>
        <w:p w14:paraId="35DF4735" w14:textId="77777777" w:rsidR="00026AB8" w:rsidRPr="00026AB8" w:rsidRDefault="00026AB8" w:rsidP="00026AB8">
          <w:pPr>
            <w:pStyle w:val="TOCHeading"/>
            <w:spacing w:line="360" w:lineRule="auto"/>
            <w:jc w:val="center"/>
            <w:rPr>
              <w:rFonts w:ascii="Arial" w:hAnsi="Arial" w:cs="Arial"/>
              <w:b/>
              <w:color w:val="auto"/>
              <w:sz w:val="24"/>
              <w:szCs w:val="24"/>
            </w:rPr>
          </w:pPr>
          <w:r w:rsidRPr="00026AB8">
            <w:rPr>
              <w:rFonts w:ascii="Arial" w:eastAsiaTheme="minorHAnsi" w:hAnsi="Arial" w:cs="Arial"/>
              <w:b/>
              <w:color w:val="auto"/>
              <w:sz w:val="24"/>
              <w:szCs w:val="24"/>
            </w:rPr>
            <w:t xml:space="preserve">TABLE OF </w:t>
          </w:r>
          <w:r w:rsidRPr="00026AB8">
            <w:rPr>
              <w:rFonts w:ascii="Arial" w:hAnsi="Arial" w:cs="Arial"/>
              <w:b/>
              <w:color w:val="auto"/>
              <w:sz w:val="24"/>
              <w:szCs w:val="24"/>
            </w:rPr>
            <w:t>CONTENTS</w:t>
          </w:r>
        </w:p>
        <w:p w14:paraId="25531FE4" w14:textId="50A8EC71" w:rsidR="00363F98" w:rsidRDefault="00026AB8">
          <w:pPr>
            <w:pStyle w:val="TOC1"/>
            <w:tabs>
              <w:tab w:val="right" w:leader="dot" w:pos="9016"/>
            </w:tabs>
            <w:rPr>
              <w:rFonts w:eastAsiaTheme="minorEastAsia"/>
              <w:noProof/>
              <w:kern w:val="2"/>
              <w:sz w:val="24"/>
              <w:szCs w:val="24"/>
              <w:lang w:val="en-US" w:bidi="ml-IN"/>
              <w14:ligatures w14:val="standardContextual"/>
            </w:rPr>
          </w:pPr>
          <w:r w:rsidRPr="00026AB8">
            <w:rPr>
              <w:rFonts w:ascii="Arial" w:hAnsi="Arial" w:cs="Arial"/>
              <w:sz w:val="24"/>
              <w:szCs w:val="24"/>
            </w:rPr>
            <w:fldChar w:fldCharType="begin"/>
          </w:r>
          <w:r w:rsidRPr="00026AB8">
            <w:rPr>
              <w:rFonts w:ascii="Arial" w:hAnsi="Arial" w:cs="Arial"/>
              <w:sz w:val="24"/>
              <w:szCs w:val="24"/>
            </w:rPr>
            <w:instrText xml:space="preserve"> TOC \o "1-3" \h \z \u </w:instrText>
          </w:r>
          <w:r w:rsidRPr="00026AB8">
            <w:rPr>
              <w:rFonts w:ascii="Arial" w:hAnsi="Arial" w:cs="Arial"/>
              <w:sz w:val="24"/>
              <w:szCs w:val="24"/>
            </w:rPr>
            <w:fldChar w:fldCharType="separate"/>
          </w:r>
          <w:hyperlink w:anchor="_Toc216654127" w:history="1">
            <w:r w:rsidR="00363F98" w:rsidRPr="001C5EC3">
              <w:rPr>
                <w:rStyle w:val="Hyperlink"/>
                <w:rFonts w:ascii="Arial" w:hAnsi="Arial" w:cs="Arial"/>
                <w:b/>
                <w:noProof/>
              </w:rPr>
              <w:t>1. INTRODUCTION</w:t>
            </w:r>
            <w:r w:rsidR="00363F98">
              <w:rPr>
                <w:noProof/>
                <w:webHidden/>
              </w:rPr>
              <w:tab/>
            </w:r>
            <w:r w:rsidR="00363F98">
              <w:rPr>
                <w:rStyle w:val="Hyperlink"/>
                <w:noProof/>
              </w:rPr>
              <w:fldChar w:fldCharType="begin"/>
            </w:r>
            <w:r w:rsidR="00363F98">
              <w:rPr>
                <w:noProof/>
                <w:webHidden/>
              </w:rPr>
              <w:instrText xml:space="preserve"> PAGEREF _Toc216654127 \h </w:instrText>
            </w:r>
            <w:r w:rsidR="00363F98">
              <w:rPr>
                <w:rStyle w:val="Hyperlink"/>
                <w:noProof/>
              </w:rPr>
            </w:r>
            <w:r w:rsidR="00363F98">
              <w:rPr>
                <w:rStyle w:val="Hyperlink"/>
                <w:noProof/>
              </w:rPr>
              <w:fldChar w:fldCharType="separate"/>
            </w:r>
            <w:r w:rsidR="00363F98">
              <w:rPr>
                <w:noProof/>
                <w:webHidden/>
              </w:rPr>
              <w:t>5</w:t>
            </w:r>
            <w:r w:rsidR="00363F98">
              <w:rPr>
                <w:rStyle w:val="Hyperlink"/>
                <w:noProof/>
              </w:rPr>
              <w:fldChar w:fldCharType="end"/>
            </w:r>
          </w:hyperlink>
        </w:p>
        <w:p w14:paraId="00FB32FE" w14:textId="7FDE6CE0"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28" w:history="1">
            <w:r w:rsidRPr="001C5EC3">
              <w:rPr>
                <w:rStyle w:val="Hyperlink"/>
                <w:rFonts w:ascii="Arial" w:hAnsi="Arial" w:cs="Arial"/>
                <w:b/>
                <w:noProof/>
              </w:rPr>
              <w:t>2. INTERNATIONAL OPERATIONS OF TOYOTA</w:t>
            </w:r>
            <w:r>
              <w:rPr>
                <w:noProof/>
                <w:webHidden/>
              </w:rPr>
              <w:tab/>
            </w:r>
            <w:r>
              <w:rPr>
                <w:rStyle w:val="Hyperlink"/>
                <w:noProof/>
              </w:rPr>
              <w:fldChar w:fldCharType="begin"/>
            </w:r>
            <w:r>
              <w:rPr>
                <w:noProof/>
                <w:webHidden/>
              </w:rPr>
              <w:instrText xml:space="preserve"> PAGEREF _Toc216654128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3FDFE07D" w14:textId="13DB798D"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29" w:history="1">
            <w:r w:rsidRPr="001C5EC3">
              <w:rPr>
                <w:rStyle w:val="Hyperlink"/>
                <w:rFonts w:ascii="Arial" w:hAnsi="Arial" w:cs="Arial"/>
                <w:b/>
                <w:noProof/>
              </w:rPr>
              <w:t>2.1 Toyota as a multinational and transnational Corporation</w:t>
            </w:r>
            <w:r>
              <w:rPr>
                <w:noProof/>
                <w:webHidden/>
              </w:rPr>
              <w:tab/>
            </w:r>
            <w:r>
              <w:rPr>
                <w:rStyle w:val="Hyperlink"/>
                <w:noProof/>
              </w:rPr>
              <w:fldChar w:fldCharType="begin"/>
            </w:r>
            <w:r>
              <w:rPr>
                <w:noProof/>
                <w:webHidden/>
              </w:rPr>
              <w:instrText xml:space="preserve"> PAGEREF _Toc216654129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0AB3E751" w14:textId="62BBC7C2"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0" w:history="1">
            <w:r w:rsidRPr="001C5EC3">
              <w:rPr>
                <w:rStyle w:val="Hyperlink"/>
                <w:rFonts w:ascii="Arial" w:hAnsi="Arial" w:cs="Arial"/>
                <w:b/>
                <w:noProof/>
              </w:rPr>
              <w:t>2.2 Nature of Toyota’s Global operations (Value Chain Analysis)</w:t>
            </w:r>
            <w:r>
              <w:rPr>
                <w:noProof/>
                <w:webHidden/>
              </w:rPr>
              <w:tab/>
            </w:r>
            <w:r>
              <w:rPr>
                <w:rStyle w:val="Hyperlink"/>
                <w:noProof/>
              </w:rPr>
              <w:fldChar w:fldCharType="begin"/>
            </w:r>
            <w:r>
              <w:rPr>
                <w:noProof/>
                <w:webHidden/>
              </w:rPr>
              <w:instrText xml:space="preserve"> PAGEREF _Toc216654130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32BDCD71" w14:textId="54E0B723"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1" w:history="1">
            <w:r w:rsidRPr="001C5EC3">
              <w:rPr>
                <w:rStyle w:val="Hyperlink"/>
                <w:rFonts w:ascii="Arial" w:hAnsi="Arial" w:cs="Arial"/>
                <w:b/>
                <w:noProof/>
              </w:rPr>
              <w:t>2.3 Market Entry Modes used by Toyota</w:t>
            </w:r>
            <w:r>
              <w:rPr>
                <w:noProof/>
                <w:webHidden/>
              </w:rPr>
              <w:tab/>
            </w:r>
            <w:r>
              <w:rPr>
                <w:rStyle w:val="Hyperlink"/>
                <w:noProof/>
              </w:rPr>
              <w:fldChar w:fldCharType="begin"/>
            </w:r>
            <w:r>
              <w:rPr>
                <w:noProof/>
                <w:webHidden/>
              </w:rPr>
              <w:instrText xml:space="preserve"> PAGEREF _Toc216654131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367F38AD" w14:textId="36480F51"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2" w:history="1">
            <w:r w:rsidRPr="001C5EC3">
              <w:rPr>
                <w:rStyle w:val="Hyperlink"/>
                <w:rFonts w:ascii="Arial" w:hAnsi="Arial" w:cs="Arial"/>
                <w:b/>
                <w:noProof/>
              </w:rPr>
              <w:t>2.4 Benefits of Toyota’s International operations</w:t>
            </w:r>
            <w:r>
              <w:rPr>
                <w:noProof/>
                <w:webHidden/>
              </w:rPr>
              <w:tab/>
            </w:r>
            <w:r>
              <w:rPr>
                <w:rStyle w:val="Hyperlink"/>
                <w:noProof/>
              </w:rPr>
              <w:fldChar w:fldCharType="begin"/>
            </w:r>
            <w:r>
              <w:rPr>
                <w:noProof/>
                <w:webHidden/>
              </w:rPr>
              <w:instrText xml:space="preserve"> PAGEREF _Toc216654132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49AE0968" w14:textId="2AE417F0"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3" w:history="1">
            <w:r w:rsidRPr="001C5EC3">
              <w:rPr>
                <w:rStyle w:val="Hyperlink"/>
                <w:rFonts w:ascii="Arial" w:hAnsi="Arial" w:cs="Arial"/>
                <w:b/>
                <w:noProof/>
              </w:rPr>
              <w:t>2.5 Challenges in Toyota’s International Operations</w:t>
            </w:r>
            <w:r>
              <w:rPr>
                <w:noProof/>
                <w:webHidden/>
              </w:rPr>
              <w:tab/>
            </w:r>
            <w:r>
              <w:rPr>
                <w:rStyle w:val="Hyperlink"/>
                <w:noProof/>
              </w:rPr>
              <w:fldChar w:fldCharType="begin"/>
            </w:r>
            <w:r>
              <w:rPr>
                <w:noProof/>
                <w:webHidden/>
              </w:rPr>
              <w:instrText xml:space="preserve"> PAGEREF _Toc216654133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34ABBC57" w14:textId="739F1435"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34" w:history="1">
            <w:r w:rsidRPr="001C5EC3">
              <w:rPr>
                <w:rStyle w:val="Hyperlink"/>
                <w:rFonts w:ascii="Arial" w:hAnsi="Arial" w:cs="Arial"/>
                <w:b/>
                <w:noProof/>
              </w:rPr>
              <w:t>3. OLI FACTORS AND MARKET ENTRY STRATEGY: TOYOTA IN INDIA</w:t>
            </w:r>
            <w:r>
              <w:rPr>
                <w:noProof/>
                <w:webHidden/>
              </w:rPr>
              <w:tab/>
            </w:r>
            <w:r>
              <w:rPr>
                <w:rStyle w:val="Hyperlink"/>
                <w:noProof/>
              </w:rPr>
              <w:fldChar w:fldCharType="begin"/>
            </w:r>
            <w:r>
              <w:rPr>
                <w:noProof/>
                <w:webHidden/>
              </w:rPr>
              <w:instrText xml:space="preserve"> PAGEREF _Toc216654134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3B651C1D" w14:textId="30C096FB"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5" w:history="1">
            <w:r w:rsidRPr="001C5EC3">
              <w:rPr>
                <w:rStyle w:val="Hyperlink"/>
                <w:rFonts w:ascii="Arial" w:hAnsi="Arial" w:cs="Arial"/>
                <w:b/>
                <w:noProof/>
              </w:rPr>
              <w:t>3.1 Ownership Advantages (O)</w:t>
            </w:r>
            <w:r>
              <w:rPr>
                <w:noProof/>
                <w:webHidden/>
              </w:rPr>
              <w:tab/>
            </w:r>
            <w:r>
              <w:rPr>
                <w:rStyle w:val="Hyperlink"/>
                <w:noProof/>
              </w:rPr>
              <w:fldChar w:fldCharType="begin"/>
            </w:r>
            <w:r>
              <w:rPr>
                <w:noProof/>
                <w:webHidden/>
              </w:rPr>
              <w:instrText xml:space="preserve"> PAGEREF _Toc216654135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30F45B74" w14:textId="5A7C534A"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6" w:history="1">
            <w:r w:rsidRPr="001C5EC3">
              <w:rPr>
                <w:rStyle w:val="Hyperlink"/>
                <w:rFonts w:ascii="Arial" w:hAnsi="Arial" w:cs="Arial"/>
                <w:b/>
                <w:noProof/>
              </w:rPr>
              <w:t>3.2 Location Advantages (L)</w:t>
            </w:r>
            <w:r>
              <w:rPr>
                <w:noProof/>
                <w:webHidden/>
              </w:rPr>
              <w:tab/>
            </w:r>
            <w:r>
              <w:rPr>
                <w:rStyle w:val="Hyperlink"/>
                <w:noProof/>
              </w:rPr>
              <w:fldChar w:fldCharType="begin"/>
            </w:r>
            <w:r>
              <w:rPr>
                <w:noProof/>
                <w:webHidden/>
              </w:rPr>
              <w:instrText xml:space="preserve"> PAGEREF _Toc216654136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29653F98" w14:textId="447E2D70"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7" w:history="1">
            <w:r w:rsidRPr="001C5EC3">
              <w:rPr>
                <w:rStyle w:val="Hyperlink"/>
                <w:rFonts w:ascii="Arial" w:hAnsi="Arial" w:cs="Arial"/>
                <w:b/>
                <w:noProof/>
              </w:rPr>
              <w:t>3.3 Internalisation Advantages (I)</w:t>
            </w:r>
            <w:r>
              <w:rPr>
                <w:noProof/>
                <w:webHidden/>
              </w:rPr>
              <w:tab/>
            </w:r>
            <w:r>
              <w:rPr>
                <w:rStyle w:val="Hyperlink"/>
                <w:noProof/>
              </w:rPr>
              <w:fldChar w:fldCharType="begin"/>
            </w:r>
            <w:r>
              <w:rPr>
                <w:noProof/>
                <w:webHidden/>
              </w:rPr>
              <w:instrText xml:space="preserve"> PAGEREF _Toc216654137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2C456484" w14:textId="5A6F5068"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38" w:history="1">
            <w:r w:rsidRPr="001C5EC3">
              <w:rPr>
                <w:rStyle w:val="Hyperlink"/>
                <w:rFonts w:ascii="Arial" w:hAnsi="Arial" w:cs="Arial"/>
                <w:b/>
                <w:noProof/>
              </w:rPr>
              <w:t>3.4 OLI and Entry Mode of Toyota</w:t>
            </w:r>
            <w:r>
              <w:rPr>
                <w:noProof/>
                <w:webHidden/>
              </w:rPr>
              <w:tab/>
            </w:r>
            <w:r>
              <w:rPr>
                <w:rStyle w:val="Hyperlink"/>
                <w:noProof/>
              </w:rPr>
              <w:fldChar w:fldCharType="begin"/>
            </w:r>
            <w:r>
              <w:rPr>
                <w:noProof/>
                <w:webHidden/>
              </w:rPr>
              <w:instrText xml:space="preserve"> PAGEREF _Toc216654138 \h </w:instrText>
            </w:r>
            <w:r>
              <w:rPr>
                <w:rStyle w:val="Hyperlink"/>
                <w:noProof/>
              </w:rPr>
            </w:r>
            <w:r>
              <w:rPr>
                <w:rStyle w:val="Hyperlink"/>
                <w:noProof/>
              </w:rPr>
              <w:fldChar w:fldCharType="separate"/>
            </w:r>
            <w:r>
              <w:rPr>
                <w:noProof/>
                <w:webHidden/>
              </w:rPr>
              <w:t>13</w:t>
            </w:r>
            <w:r>
              <w:rPr>
                <w:rStyle w:val="Hyperlink"/>
                <w:noProof/>
              </w:rPr>
              <w:fldChar w:fldCharType="end"/>
            </w:r>
          </w:hyperlink>
        </w:p>
        <w:p w14:paraId="7D2DDB90" w14:textId="0D6B7CCC"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39" w:history="1">
            <w:r w:rsidRPr="001C5EC3">
              <w:rPr>
                <w:rStyle w:val="Hyperlink"/>
                <w:rFonts w:ascii="Arial" w:hAnsi="Arial" w:cs="Arial"/>
                <w:b/>
                <w:noProof/>
              </w:rPr>
              <w:t>Figure 4: Hybrid Car Sales in India (Jan–July 2025) (Team-BHP, 2025)</w:t>
            </w:r>
            <w:r>
              <w:rPr>
                <w:noProof/>
                <w:webHidden/>
              </w:rPr>
              <w:tab/>
            </w:r>
            <w:r>
              <w:rPr>
                <w:rStyle w:val="Hyperlink"/>
                <w:noProof/>
              </w:rPr>
              <w:fldChar w:fldCharType="begin"/>
            </w:r>
            <w:r>
              <w:rPr>
                <w:noProof/>
                <w:webHidden/>
              </w:rPr>
              <w:instrText xml:space="preserve"> PAGEREF _Toc216654139 \h </w:instrText>
            </w:r>
            <w:r>
              <w:rPr>
                <w:rStyle w:val="Hyperlink"/>
                <w:noProof/>
              </w:rPr>
            </w:r>
            <w:r>
              <w:rPr>
                <w:rStyle w:val="Hyperlink"/>
                <w:noProof/>
              </w:rPr>
              <w:fldChar w:fldCharType="separate"/>
            </w:r>
            <w:r>
              <w:rPr>
                <w:noProof/>
                <w:webHidden/>
              </w:rPr>
              <w:t>15</w:t>
            </w:r>
            <w:r>
              <w:rPr>
                <w:rStyle w:val="Hyperlink"/>
                <w:noProof/>
              </w:rPr>
              <w:fldChar w:fldCharType="end"/>
            </w:r>
          </w:hyperlink>
        </w:p>
        <w:p w14:paraId="634D2BAE" w14:textId="4FE123F4"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40" w:history="1">
            <w:r w:rsidRPr="001C5EC3">
              <w:rPr>
                <w:rStyle w:val="Hyperlink"/>
                <w:rFonts w:ascii="Arial" w:hAnsi="Arial" w:cs="Arial"/>
                <w:b/>
                <w:noProof/>
              </w:rPr>
              <w:t>4. CULTURAL DIFFERENCES AND MARKET IMPACT</w:t>
            </w:r>
            <w:r>
              <w:rPr>
                <w:noProof/>
                <w:webHidden/>
              </w:rPr>
              <w:tab/>
            </w:r>
            <w:r>
              <w:rPr>
                <w:rStyle w:val="Hyperlink"/>
                <w:noProof/>
              </w:rPr>
              <w:fldChar w:fldCharType="begin"/>
            </w:r>
            <w:r>
              <w:rPr>
                <w:noProof/>
                <w:webHidden/>
              </w:rPr>
              <w:instrText xml:space="preserve"> PAGEREF _Toc216654140 \h </w:instrText>
            </w:r>
            <w:r>
              <w:rPr>
                <w:rStyle w:val="Hyperlink"/>
                <w:noProof/>
              </w:rPr>
            </w:r>
            <w:r>
              <w:rPr>
                <w:rStyle w:val="Hyperlink"/>
                <w:noProof/>
              </w:rPr>
              <w:fldChar w:fldCharType="separate"/>
            </w:r>
            <w:r>
              <w:rPr>
                <w:noProof/>
                <w:webHidden/>
              </w:rPr>
              <w:t>17</w:t>
            </w:r>
            <w:r>
              <w:rPr>
                <w:rStyle w:val="Hyperlink"/>
                <w:noProof/>
              </w:rPr>
              <w:fldChar w:fldCharType="end"/>
            </w:r>
          </w:hyperlink>
        </w:p>
        <w:p w14:paraId="2291A288" w14:textId="5F922486"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41" w:history="1">
            <w:r w:rsidRPr="001C5EC3">
              <w:rPr>
                <w:rStyle w:val="Hyperlink"/>
                <w:rFonts w:ascii="Arial" w:hAnsi="Arial" w:cs="Arial"/>
                <w:b/>
                <w:noProof/>
              </w:rPr>
              <w:t>5. CRITICAL DISCUSSION AND RECOMMENDATIONS SOP ADJUSTMENTS IN INDIA IN TOYOTA</w:t>
            </w:r>
            <w:r>
              <w:rPr>
                <w:noProof/>
                <w:webHidden/>
              </w:rPr>
              <w:tab/>
            </w:r>
            <w:r>
              <w:rPr>
                <w:rStyle w:val="Hyperlink"/>
                <w:noProof/>
              </w:rPr>
              <w:fldChar w:fldCharType="begin"/>
            </w:r>
            <w:r>
              <w:rPr>
                <w:noProof/>
                <w:webHidden/>
              </w:rPr>
              <w:instrText xml:space="preserve"> PAGEREF _Toc216654141 \h </w:instrText>
            </w:r>
            <w:r>
              <w:rPr>
                <w:rStyle w:val="Hyperlink"/>
                <w:noProof/>
              </w:rPr>
            </w:r>
            <w:r>
              <w:rPr>
                <w:rStyle w:val="Hyperlink"/>
                <w:noProof/>
              </w:rPr>
              <w:fldChar w:fldCharType="separate"/>
            </w:r>
            <w:r>
              <w:rPr>
                <w:noProof/>
                <w:webHidden/>
              </w:rPr>
              <w:t>21</w:t>
            </w:r>
            <w:r>
              <w:rPr>
                <w:rStyle w:val="Hyperlink"/>
                <w:noProof/>
              </w:rPr>
              <w:fldChar w:fldCharType="end"/>
            </w:r>
          </w:hyperlink>
        </w:p>
        <w:p w14:paraId="4814F999" w14:textId="25D421F0"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42" w:history="1">
            <w:r w:rsidRPr="001C5EC3">
              <w:rPr>
                <w:rStyle w:val="Hyperlink"/>
                <w:rFonts w:ascii="Arial" w:hAnsi="Arial" w:cs="Arial"/>
                <w:b/>
                <w:noProof/>
              </w:rPr>
              <w:t>5.1 SOP Adjustment 1 Localisation of People-Management and Workplace SOPs</w:t>
            </w:r>
            <w:r>
              <w:rPr>
                <w:noProof/>
                <w:webHidden/>
              </w:rPr>
              <w:tab/>
            </w:r>
            <w:r>
              <w:rPr>
                <w:rStyle w:val="Hyperlink"/>
                <w:noProof/>
              </w:rPr>
              <w:fldChar w:fldCharType="begin"/>
            </w:r>
            <w:r>
              <w:rPr>
                <w:noProof/>
                <w:webHidden/>
              </w:rPr>
              <w:instrText xml:space="preserve"> PAGEREF _Toc216654142 \h </w:instrText>
            </w:r>
            <w:r>
              <w:rPr>
                <w:rStyle w:val="Hyperlink"/>
                <w:noProof/>
              </w:rPr>
            </w:r>
            <w:r>
              <w:rPr>
                <w:rStyle w:val="Hyperlink"/>
                <w:noProof/>
              </w:rPr>
              <w:fldChar w:fldCharType="separate"/>
            </w:r>
            <w:r>
              <w:rPr>
                <w:noProof/>
                <w:webHidden/>
              </w:rPr>
              <w:t>22</w:t>
            </w:r>
            <w:r>
              <w:rPr>
                <w:rStyle w:val="Hyperlink"/>
                <w:noProof/>
              </w:rPr>
              <w:fldChar w:fldCharType="end"/>
            </w:r>
          </w:hyperlink>
        </w:p>
        <w:p w14:paraId="67B83347" w14:textId="240675EA"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43" w:history="1">
            <w:r w:rsidRPr="001C5EC3">
              <w:rPr>
                <w:rStyle w:val="Hyperlink"/>
                <w:rFonts w:ascii="Arial" w:hAnsi="Arial" w:cs="Arial"/>
                <w:b/>
                <w:noProof/>
              </w:rPr>
              <w:t>5.2 SOP Adjustment 2: Adopting Flexible Operational SOPs as a way of balancing TPS Standardisation and the Low Uncertainty Avoidance Culture in India</w:t>
            </w:r>
            <w:r>
              <w:rPr>
                <w:noProof/>
                <w:webHidden/>
              </w:rPr>
              <w:tab/>
            </w:r>
            <w:r>
              <w:rPr>
                <w:rStyle w:val="Hyperlink"/>
                <w:noProof/>
              </w:rPr>
              <w:fldChar w:fldCharType="begin"/>
            </w:r>
            <w:r>
              <w:rPr>
                <w:noProof/>
                <w:webHidden/>
              </w:rPr>
              <w:instrText xml:space="preserve"> PAGEREF _Toc216654143 \h </w:instrText>
            </w:r>
            <w:r>
              <w:rPr>
                <w:rStyle w:val="Hyperlink"/>
                <w:noProof/>
              </w:rPr>
            </w:r>
            <w:r>
              <w:rPr>
                <w:rStyle w:val="Hyperlink"/>
                <w:noProof/>
              </w:rPr>
              <w:fldChar w:fldCharType="separate"/>
            </w:r>
            <w:r>
              <w:rPr>
                <w:noProof/>
                <w:webHidden/>
              </w:rPr>
              <w:t>23</w:t>
            </w:r>
            <w:r>
              <w:rPr>
                <w:rStyle w:val="Hyperlink"/>
                <w:noProof/>
              </w:rPr>
              <w:fldChar w:fldCharType="end"/>
            </w:r>
          </w:hyperlink>
        </w:p>
        <w:p w14:paraId="20941CB0" w14:textId="6E3A92BB" w:rsidR="00363F98" w:rsidRDefault="00363F98">
          <w:pPr>
            <w:pStyle w:val="TOC2"/>
            <w:tabs>
              <w:tab w:val="right" w:leader="dot" w:pos="9016"/>
            </w:tabs>
            <w:rPr>
              <w:rFonts w:eastAsiaTheme="minorEastAsia"/>
              <w:noProof/>
              <w:kern w:val="2"/>
              <w:sz w:val="24"/>
              <w:szCs w:val="24"/>
              <w:lang w:val="en-US" w:bidi="ml-IN"/>
              <w14:ligatures w14:val="standardContextual"/>
            </w:rPr>
          </w:pPr>
          <w:hyperlink w:anchor="_Toc216654144" w:history="1">
            <w:r w:rsidRPr="001C5EC3">
              <w:rPr>
                <w:rStyle w:val="Hyperlink"/>
                <w:rFonts w:ascii="Arial" w:hAnsi="Arial" w:cs="Arial"/>
                <w:b/>
                <w:noProof/>
              </w:rPr>
              <w:t>5.3 SOP Adjustment 3: Intensifying Supply Chain, Localisation, and Hybrid-Technology Integration SOPs in Line with India Location and Internalisation Benefits.</w:t>
            </w:r>
            <w:r>
              <w:rPr>
                <w:noProof/>
                <w:webHidden/>
              </w:rPr>
              <w:tab/>
            </w:r>
            <w:r>
              <w:rPr>
                <w:rStyle w:val="Hyperlink"/>
                <w:noProof/>
              </w:rPr>
              <w:fldChar w:fldCharType="begin"/>
            </w:r>
            <w:r>
              <w:rPr>
                <w:noProof/>
                <w:webHidden/>
              </w:rPr>
              <w:instrText xml:space="preserve"> PAGEREF _Toc216654144 \h </w:instrText>
            </w:r>
            <w:r>
              <w:rPr>
                <w:rStyle w:val="Hyperlink"/>
                <w:noProof/>
              </w:rPr>
            </w:r>
            <w:r>
              <w:rPr>
                <w:rStyle w:val="Hyperlink"/>
                <w:noProof/>
              </w:rPr>
              <w:fldChar w:fldCharType="separate"/>
            </w:r>
            <w:r>
              <w:rPr>
                <w:noProof/>
                <w:webHidden/>
              </w:rPr>
              <w:t>24</w:t>
            </w:r>
            <w:r>
              <w:rPr>
                <w:rStyle w:val="Hyperlink"/>
                <w:noProof/>
              </w:rPr>
              <w:fldChar w:fldCharType="end"/>
            </w:r>
          </w:hyperlink>
        </w:p>
        <w:p w14:paraId="6D1D4302" w14:textId="436B1117"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45" w:history="1">
            <w:r w:rsidRPr="001C5EC3">
              <w:rPr>
                <w:rStyle w:val="Hyperlink"/>
                <w:rFonts w:ascii="Arial" w:hAnsi="Arial" w:cs="Arial"/>
                <w:b/>
                <w:noProof/>
              </w:rPr>
              <w:t>6. CONCLUSION</w:t>
            </w:r>
            <w:r>
              <w:rPr>
                <w:noProof/>
                <w:webHidden/>
              </w:rPr>
              <w:tab/>
            </w:r>
            <w:r>
              <w:rPr>
                <w:rStyle w:val="Hyperlink"/>
                <w:noProof/>
              </w:rPr>
              <w:fldChar w:fldCharType="begin"/>
            </w:r>
            <w:r>
              <w:rPr>
                <w:noProof/>
                <w:webHidden/>
              </w:rPr>
              <w:instrText xml:space="preserve"> PAGEREF _Toc216654145 \h </w:instrText>
            </w:r>
            <w:r>
              <w:rPr>
                <w:rStyle w:val="Hyperlink"/>
                <w:noProof/>
              </w:rPr>
            </w:r>
            <w:r>
              <w:rPr>
                <w:rStyle w:val="Hyperlink"/>
                <w:noProof/>
              </w:rPr>
              <w:fldChar w:fldCharType="separate"/>
            </w:r>
            <w:r>
              <w:rPr>
                <w:noProof/>
                <w:webHidden/>
              </w:rPr>
              <w:t>26</w:t>
            </w:r>
            <w:r>
              <w:rPr>
                <w:rStyle w:val="Hyperlink"/>
                <w:noProof/>
              </w:rPr>
              <w:fldChar w:fldCharType="end"/>
            </w:r>
          </w:hyperlink>
        </w:p>
        <w:p w14:paraId="16A090FA" w14:textId="025E81F0" w:rsidR="00363F98" w:rsidRDefault="00363F98">
          <w:pPr>
            <w:pStyle w:val="TOC1"/>
            <w:tabs>
              <w:tab w:val="right" w:leader="dot" w:pos="9016"/>
            </w:tabs>
            <w:rPr>
              <w:rFonts w:eastAsiaTheme="minorEastAsia"/>
              <w:noProof/>
              <w:kern w:val="2"/>
              <w:sz w:val="24"/>
              <w:szCs w:val="24"/>
              <w:lang w:val="en-US" w:bidi="ml-IN"/>
              <w14:ligatures w14:val="standardContextual"/>
            </w:rPr>
          </w:pPr>
          <w:hyperlink w:anchor="_Toc216654146" w:history="1">
            <w:r w:rsidRPr="001C5EC3">
              <w:rPr>
                <w:rStyle w:val="Hyperlink"/>
                <w:rFonts w:ascii="Arial" w:hAnsi="Arial" w:cs="Arial"/>
                <w:b/>
                <w:noProof/>
              </w:rPr>
              <w:t>REFERENCE</w:t>
            </w:r>
            <w:r>
              <w:rPr>
                <w:noProof/>
                <w:webHidden/>
              </w:rPr>
              <w:tab/>
            </w:r>
            <w:r>
              <w:rPr>
                <w:rStyle w:val="Hyperlink"/>
                <w:noProof/>
              </w:rPr>
              <w:fldChar w:fldCharType="begin"/>
            </w:r>
            <w:r>
              <w:rPr>
                <w:noProof/>
                <w:webHidden/>
              </w:rPr>
              <w:instrText xml:space="preserve"> PAGEREF _Toc216654146 \h </w:instrText>
            </w:r>
            <w:r>
              <w:rPr>
                <w:rStyle w:val="Hyperlink"/>
                <w:noProof/>
              </w:rPr>
            </w:r>
            <w:r>
              <w:rPr>
                <w:rStyle w:val="Hyperlink"/>
                <w:noProof/>
              </w:rPr>
              <w:fldChar w:fldCharType="separate"/>
            </w:r>
            <w:r>
              <w:rPr>
                <w:noProof/>
                <w:webHidden/>
              </w:rPr>
              <w:t>27</w:t>
            </w:r>
            <w:r>
              <w:rPr>
                <w:rStyle w:val="Hyperlink"/>
                <w:noProof/>
              </w:rPr>
              <w:fldChar w:fldCharType="end"/>
            </w:r>
          </w:hyperlink>
        </w:p>
        <w:p w14:paraId="71A0B1F9" w14:textId="28E67401" w:rsidR="00026AB8" w:rsidRPr="00026AB8" w:rsidRDefault="00026AB8" w:rsidP="00026AB8">
          <w:pPr>
            <w:spacing w:line="360" w:lineRule="auto"/>
            <w:rPr>
              <w:rFonts w:ascii="Arial" w:hAnsi="Arial" w:cs="Arial"/>
              <w:sz w:val="24"/>
              <w:szCs w:val="24"/>
            </w:rPr>
          </w:pPr>
          <w:r w:rsidRPr="00026AB8">
            <w:rPr>
              <w:rFonts w:ascii="Arial" w:hAnsi="Arial" w:cs="Arial"/>
              <w:b/>
              <w:bCs/>
              <w:noProof/>
              <w:sz w:val="24"/>
              <w:szCs w:val="24"/>
            </w:rPr>
            <w:fldChar w:fldCharType="end"/>
          </w:r>
        </w:p>
      </w:sdtContent>
    </w:sdt>
    <w:p w14:paraId="3CD89BB6" w14:textId="77777777" w:rsidR="00026AB8" w:rsidRPr="00026AB8" w:rsidRDefault="00026AB8" w:rsidP="00026AB8">
      <w:pPr>
        <w:spacing w:line="360" w:lineRule="auto"/>
        <w:rPr>
          <w:rFonts w:ascii="Arial" w:hAnsi="Arial" w:cs="Arial"/>
          <w:sz w:val="24"/>
          <w:szCs w:val="24"/>
        </w:rPr>
      </w:pPr>
    </w:p>
    <w:p w14:paraId="5CDA7181" w14:textId="77777777" w:rsidR="00026AB8" w:rsidRPr="00026AB8" w:rsidRDefault="00026AB8" w:rsidP="00026AB8">
      <w:pPr>
        <w:spacing w:line="360" w:lineRule="auto"/>
        <w:rPr>
          <w:rFonts w:ascii="Arial" w:hAnsi="Arial" w:cs="Arial"/>
          <w:sz w:val="24"/>
          <w:szCs w:val="24"/>
        </w:rPr>
      </w:pPr>
      <w:r w:rsidRPr="00026AB8">
        <w:rPr>
          <w:rFonts w:ascii="Arial" w:hAnsi="Arial" w:cs="Arial"/>
          <w:sz w:val="24"/>
          <w:szCs w:val="24"/>
        </w:rPr>
        <w:br w:type="page"/>
      </w:r>
    </w:p>
    <w:p w14:paraId="43413A47" w14:textId="77777777" w:rsidR="00026AB8" w:rsidRPr="00026AB8" w:rsidRDefault="00026AB8" w:rsidP="00026AB8">
      <w:pPr>
        <w:tabs>
          <w:tab w:val="left" w:pos="2844"/>
        </w:tabs>
        <w:spacing w:line="360" w:lineRule="auto"/>
        <w:jc w:val="center"/>
        <w:rPr>
          <w:rFonts w:ascii="Arial" w:hAnsi="Arial" w:cs="Arial"/>
          <w:b/>
          <w:sz w:val="24"/>
          <w:szCs w:val="24"/>
        </w:rPr>
      </w:pPr>
      <w:r w:rsidRPr="00026AB8">
        <w:rPr>
          <w:rFonts w:ascii="Arial" w:hAnsi="Arial" w:cs="Arial"/>
          <w:b/>
          <w:sz w:val="24"/>
          <w:szCs w:val="24"/>
        </w:rPr>
        <w:lastRenderedPageBreak/>
        <w:t>LIST OF FIGURES</w:t>
      </w:r>
    </w:p>
    <w:p w14:paraId="38659C85"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r w:rsidRPr="00026AB8">
        <w:rPr>
          <w:rFonts w:ascii="Arial" w:hAnsi="Arial" w:cs="Arial"/>
          <w:b/>
          <w:sz w:val="24"/>
          <w:szCs w:val="24"/>
        </w:rPr>
        <w:fldChar w:fldCharType="begin"/>
      </w:r>
      <w:r w:rsidRPr="00026AB8">
        <w:rPr>
          <w:rFonts w:ascii="Arial" w:hAnsi="Arial" w:cs="Arial"/>
          <w:b/>
          <w:sz w:val="24"/>
          <w:szCs w:val="24"/>
        </w:rPr>
        <w:instrText xml:space="preserve"> TOC \f F \h \z \t "Caption" \c </w:instrText>
      </w:r>
      <w:r w:rsidRPr="00026AB8">
        <w:rPr>
          <w:rFonts w:ascii="Arial" w:hAnsi="Arial" w:cs="Arial"/>
          <w:b/>
          <w:sz w:val="24"/>
          <w:szCs w:val="24"/>
        </w:rPr>
        <w:fldChar w:fldCharType="separate"/>
      </w:r>
      <w:hyperlink r:id="rId9" w:anchor="_Toc176208730" w:history="1">
        <w:r w:rsidRPr="00026AB8">
          <w:rPr>
            <w:rStyle w:val="Hyperlink"/>
            <w:rFonts w:ascii="Arial" w:hAnsi="Arial" w:cs="Arial"/>
            <w:b/>
            <w:noProof/>
            <w:sz w:val="24"/>
            <w:szCs w:val="24"/>
          </w:rPr>
          <w:t xml:space="preserve">Figure 1: </w:t>
        </w:r>
        <w:r w:rsidRPr="00026AB8">
          <w:rPr>
            <w:rFonts w:ascii="Arial" w:hAnsi="Arial" w:cs="Arial"/>
            <w:b/>
            <w:sz w:val="24"/>
            <w:szCs w:val="24"/>
          </w:rPr>
          <w:t>Toyota Motor Corporation</w:t>
        </w:r>
        <w:r w:rsidRPr="00026AB8">
          <w:rPr>
            <w:rFonts w:ascii="Arial" w:hAnsi="Arial" w:cs="Arial"/>
            <w:b/>
            <w:noProof/>
            <w:webHidden/>
            <w:sz w:val="24"/>
            <w:szCs w:val="24"/>
          </w:rPr>
          <w:tab/>
          <w:t>4</w:t>
        </w:r>
      </w:hyperlink>
    </w:p>
    <w:p w14:paraId="2D327548"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hyperlink r:id="rId10" w:anchor="_Toc176208731" w:history="1">
        <w:r w:rsidRPr="00026AB8">
          <w:rPr>
            <w:rStyle w:val="Hyperlink"/>
            <w:rFonts w:ascii="Arial" w:hAnsi="Arial" w:cs="Arial"/>
            <w:b/>
            <w:noProof/>
            <w:sz w:val="24"/>
            <w:szCs w:val="24"/>
          </w:rPr>
          <w:t xml:space="preserve">Figure 2: </w:t>
        </w:r>
        <w:r w:rsidRPr="00026AB8">
          <w:rPr>
            <w:rFonts w:ascii="Arial" w:hAnsi="Arial" w:cs="Arial"/>
            <w:b/>
            <w:sz w:val="24"/>
            <w:szCs w:val="24"/>
          </w:rPr>
          <w:t>Toyota’s country wise sale from 2020- 2024</w:t>
        </w:r>
        <w:r w:rsidRPr="00026AB8">
          <w:rPr>
            <w:rFonts w:ascii="Arial" w:hAnsi="Arial" w:cs="Arial"/>
            <w:b/>
            <w:noProof/>
            <w:webHidden/>
            <w:sz w:val="24"/>
            <w:szCs w:val="24"/>
          </w:rPr>
          <w:tab/>
          <w:t>7</w:t>
        </w:r>
      </w:hyperlink>
    </w:p>
    <w:p w14:paraId="03CA1244"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hyperlink w:anchor="_Toc176208732" w:history="1">
        <w:r w:rsidRPr="00026AB8">
          <w:rPr>
            <w:rStyle w:val="Hyperlink"/>
            <w:rFonts w:ascii="Arial" w:hAnsi="Arial" w:cs="Arial"/>
            <w:b/>
            <w:noProof/>
            <w:sz w:val="24"/>
            <w:szCs w:val="24"/>
          </w:rPr>
          <w:t xml:space="preserve">Figure 3: </w:t>
        </w:r>
        <w:r w:rsidRPr="00026AB8">
          <w:rPr>
            <w:rFonts w:ascii="Arial" w:hAnsi="Arial" w:cs="Arial"/>
            <w:b/>
            <w:sz w:val="24"/>
            <w:szCs w:val="24"/>
          </w:rPr>
          <w:t>Toyota Motor Corporation Market Capitalization</w:t>
        </w:r>
        <w:r w:rsidRPr="00026AB8">
          <w:rPr>
            <w:rFonts w:ascii="Arial" w:hAnsi="Arial" w:cs="Arial"/>
            <w:b/>
            <w:noProof/>
            <w:webHidden/>
            <w:sz w:val="24"/>
            <w:szCs w:val="24"/>
          </w:rPr>
          <w:tab/>
          <w:t>8</w:t>
        </w:r>
      </w:hyperlink>
    </w:p>
    <w:p w14:paraId="7A2B7CA3"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hyperlink r:id="rId11" w:anchor="_Toc176208733" w:history="1">
        <w:r w:rsidRPr="00026AB8">
          <w:rPr>
            <w:rStyle w:val="Hyperlink"/>
            <w:rFonts w:ascii="Arial" w:hAnsi="Arial" w:cs="Arial"/>
            <w:b/>
            <w:noProof/>
            <w:sz w:val="24"/>
            <w:szCs w:val="24"/>
          </w:rPr>
          <w:t>Figure 4:</w:t>
        </w:r>
        <w:r w:rsidRPr="00026AB8">
          <w:rPr>
            <w:rFonts w:ascii="Arial" w:hAnsi="Arial" w:cs="Arial"/>
            <w:b/>
            <w:sz w:val="24"/>
            <w:szCs w:val="24"/>
          </w:rPr>
          <w:t xml:space="preserve"> Hybrid Car Sales in India (Jan–July 2025)</w:t>
        </w:r>
        <w:r w:rsidRPr="00026AB8">
          <w:rPr>
            <w:rFonts w:ascii="Arial" w:hAnsi="Arial" w:cs="Arial"/>
            <w:b/>
            <w:noProof/>
            <w:webHidden/>
            <w:sz w:val="24"/>
            <w:szCs w:val="24"/>
          </w:rPr>
          <w:tab/>
          <w:t>12</w:t>
        </w:r>
      </w:hyperlink>
    </w:p>
    <w:p w14:paraId="7159736C"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hyperlink w:anchor="_Toc176208734" w:history="1">
        <w:r w:rsidRPr="00026AB8">
          <w:rPr>
            <w:rStyle w:val="Hyperlink"/>
            <w:rFonts w:ascii="Arial" w:hAnsi="Arial" w:cs="Arial"/>
            <w:b/>
            <w:noProof/>
            <w:sz w:val="24"/>
            <w:szCs w:val="24"/>
          </w:rPr>
          <w:t xml:space="preserve">Figure 5: </w:t>
        </w:r>
        <w:r w:rsidRPr="00026AB8">
          <w:rPr>
            <w:rFonts w:ascii="Arial" w:hAnsi="Arial" w:cs="Arial"/>
            <w:b/>
            <w:sz w:val="24"/>
            <w:szCs w:val="24"/>
          </w:rPr>
          <w:t xml:space="preserve">Figure 5: </w:t>
        </w:r>
        <w:r w:rsidRPr="00026AB8">
          <w:rPr>
            <w:rFonts w:ascii="Arial" w:hAnsi="Arial" w:cs="Arial"/>
            <w:b/>
            <w:bCs/>
            <w:sz w:val="24"/>
            <w:szCs w:val="24"/>
          </w:rPr>
          <w:t>Toyota Kirloskar Motor – Domestic and Total Sales</w:t>
        </w:r>
        <w:r w:rsidRPr="00026AB8">
          <w:rPr>
            <w:rFonts w:ascii="Arial" w:hAnsi="Arial" w:cs="Arial"/>
            <w:b/>
            <w:noProof/>
            <w:webHidden/>
            <w:sz w:val="24"/>
            <w:szCs w:val="24"/>
          </w:rPr>
          <w:tab/>
          <w:t>13</w:t>
        </w:r>
      </w:hyperlink>
    </w:p>
    <w:p w14:paraId="0FADD9F8" w14:textId="77777777" w:rsidR="00026AB8" w:rsidRPr="00026AB8" w:rsidRDefault="00026AB8" w:rsidP="00026AB8">
      <w:pPr>
        <w:pStyle w:val="TableofFigures"/>
        <w:tabs>
          <w:tab w:val="right" w:leader="dot" w:pos="9016"/>
        </w:tabs>
        <w:spacing w:line="360" w:lineRule="auto"/>
        <w:rPr>
          <w:rFonts w:ascii="Arial" w:eastAsiaTheme="minorEastAsia" w:hAnsi="Arial" w:cs="Arial"/>
          <w:b/>
          <w:noProof/>
          <w:sz w:val="24"/>
          <w:szCs w:val="24"/>
          <w:lang w:eastAsia="en-IN"/>
        </w:rPr>
      </w:pPr>
      <w:hyperlink w:anchor="_Toc176208735" w:history="1">
        <w:r w:rsidRPr="00026AB8">
          <w:rPr>
            <w:rStyle w:val="Hyperlink"/>
            <w:rFonts w:ascii="Arial" w:hAnsi="Arial" w:cs="Arial"/>
            <w:b/>
            <w:noProof/>
            <w:sz w:val="24"/>
            <w:szCs w:val="24"/>
          </w:rPr>
          <w:t xml:space="preserve">Figure 6: </w:t>
        </w:r>
        <w:r w:rsidRPr="00026AB8">
          <w:rPr>
            <w:rFonts w:ascii="Arial" w:eastAsia="Times New Roman" w:hAnsi="Arial" w:cs="Arial"/>
            <w:b/>
            <w:sz w:val="24"/>
            <w:szCs w:val="24"/>
            <w:lang w:eastAsia="en-IN"/>
          </w:rPr>
          <w:t>Figure 6: Toyota India PV Sales (units)</w:t>
        </w:r>
        <w:r w:rsidRPr="00026AB8">
          <w:rPr>
            <w:rFonts w:ascii="Arial" w:hAnsi="Arial" w:cs="Arial"/>
            <w:b/>
            <w:noProof/>
            <w:webHidden/>
            <w:sz w:val="24"/>
            <w:szCs w:val="24"/>
          </w:rPr>
          <w:tab/>
          <w:t>17</w:t>
        </w:r>
      </w:hyperlink>
    </w:p>
    <w:p w14:paraId="1B8FA995" w14:textId="77777777" w:rsidR="00026AB8" w:rsidRPr="00026AB8" w:rsidRDefault="00026AB8" w:rsidP="00026AB8">
      <w:pPr>
        <w:spacing w:line="360" w:lineRule="auto"/>
        <w:rPr>
          <w:rFonts w:ascii="Arial" w:hAnsi="Arial" w:cs="Arial"/>
          <w:sz w:val="24"/>
          <w:szCs w:val="24"/>
        </w:rPr>
      </w:pPr>
      <w:r w:rsidRPr="00026AB8">
        <w:rPr>
          <w:rFonts w:ascii="Arial" w:hAnsi="Arial" w:cs="Arial"/>
          <w:b/>
          <w:sz w:val="24"/>
          <w:szCs w:val="24"/>
        </w:rPr>
        <w:fldChar w:fldCharType="end"/>
      </w:r>
      <w:r w:rsidRPr="00026AB8">
        <w:rPr>
          <w:rFonts w:ascii="Arial" w:hAnsi="Arial" w:cs="Arial"/>
          <w:sz w:val="24"/>
          <w:szCs w:val="24"/>
        </w:rPr>
        <w:br w:type="page"/>
      </w:r>
    </w:p>
    <w:p w14:paraId="71696C3A" w14:textId="77777777" w:rsidR="00026AB8" w:rsidRPr="00026AB8" w:rsidRDefault="00026AB8" w:rsidP="00026AB8">
      <w:pPr>
        <w:pStyle w:val="Heading1"/>
        <w:spacing w:line="360" w:lineRule="auto"/>
        <w:rPr>
          <w:rFonts w:ascii="Arial" w:hAnsi="Arial" w:cs="Arial"/>
          <w:b/>
          <w:color w:val="auto"/>
          <w:sz w:val="24"/>
          <w:szCs w:val="24"/>
        </w:rPr>
      </w:pPr>
      <w:bookmarkStart w:id="0" w:name="_Toc216654127"/>
      <w:r w:rsidRPr="00026AB8">
        <w:rPr>
          <w:rFonts w:ascii="Arial" w:hAnsi="Arial" w:cs="Arial"/>
          <w:b/>
          <w:color w:val="auto"/>
          <w:sz w:val="24"/>
          <w:szCs w:val="24"/>
        </w:rPr>
        <w:lastRenderedPageBreak/>
        <w:t>1. INTRODUCTION</w:t>
      </w:r>
      <w:bookmarkEnd w:id="0"/>
    </w:p>
    <w:p w14:paraId="7469E8A0"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Motor Corporation is an automobile manufacturing company based in Toyota City, Japan, founded in 1937, and is known worldwide due to its innovations in the hybrid technology, lean production and quality management </w:t>
      </w:r>
      <w:r w:rsidRPr="00026AB8">
        <w:rPr>
          <w:rFonts w:ascii="Arial" w:hAnsi="Arial" w:cs="Arial"/>
          <w:sz w:val="24"/>
          <w:szCs w:val="24"/>
          <w:shd w:val="clear" w:color="auto" w:fill="FFFFFF"/>
        </w:rPr>
        <w:t>(Volti, 2021)</w:t>
      </w:r>
      <w:r w:rsidRPr="00026AB8">
        <w:rPr>
          <w:rFonts w:ascii="Arial" w:hAnsi="Arial" w:cs="Arial"/>
          <w:sz w:val="24"/>
          <w:szCs w:val="24"/>
        </w:rPr>
        <w:t xml:space="preserve">. As an enterprise that operates in more than 170 countries with established emerging markets like India, Brazil, and Thailand, Toyota is an example of a well-integrated and receptive multinational corporation (MNC) </w:t>
      </w:r>
      <w:r w:rsidRPr="00026AB8">
        <w:rPr>
          <w:rFonts w:ascii="Arial" w:hAnsi="Arial" w:cs="Arial"/>
          <w:sz w:val="24"/>
          <w:szCs w:val="24"/>
          <w:shd w:val="clear" w:color="auto" w:fill="FFFFFF"/>
        </w:rPr>
        <w:t>(Rahman and Acharya, 2020)</w:t>
      </w:r>
      <w:r w:rsidRPr="00026AB8">
        <w:rPr>
          <w:rFonts w:ascii="Arial" w:hAnsi="Arial" w:cs="Arial"/>
          <w:sz w:val="24"/>
          <w:szCs w:val="24"/>
        </w:rPr>
        <w:t>.</w:t>
      </w:r>
    </w:p>
    <w:p w14:paraId="1E0E3032" w14:textId="1D3870BE" w:rsidR="00026AB8" w:rsidRPr="00026AB8" w:rsidRDefault="00026AB8" w:rsidP="00026AB8">
      <w:pPr>
        <w:spacing w:before="240" w:line="360" w:lineRule="auto"/>
        <w:jc w:val="both"/>
        <w:rPr>
          <w:rFonts w:ascii="Arial" w:hAnsi="Arial" w:cs="Arial"/>
          <w:sz w:val="24"/>
          <w:szCs w:val="24"/>
        </w:rPr>
      </w:pPr>
      <w:r w:rsidRPr="00026AB8">
        <w:rPr>
          <w:rFonts w:ascii="Arial" w:hAnsi="Arial" w:cs="Arial"/>
          <w:sz w:val="24"/>
          <w:szCs w:val="24"/>
        </w:rPr>
        <w:t xml:space="preserve">This report is a critical analysis of the international business strategy employed by Toyota with </w:t>
      </w:r>
      <w:r w:rsidRPr="00026AB8">
        <w:rPr>
          <w:rFonts w:ascii="Arial" w:hAnsi="Arial" w:cs="Arial"/>
          <w:sz w:val="24"/>
          <w:szCs w:val="24"/>
        </w:rPr>
        <w:t>reference</w:t>
      </w:r>
      <w:r w:rsidRPr="00026AB8">
        <w:rPr>
          <w:rFonts w:ascii="Arial" w:hAnsi="Arial" w:cs="Arial"/>
          <w:sz w:val="24"/>
          <w:szCs w:val="24"/>
        </w:rPr>
        <w:t xml:space="preserve"> to its business in India being a representative of emerging markets. The discussion examines the advantages and difficulties of international operations, value chain operations, and entry mode. The OLI (Ownership, Location, Internalization) model is used to </w:t>
      </w:r>
      <w:r w:rsidRPr="00026AB8">
        <w:rPr>
          <w:rFonts w:ascii="Arial" w:hAnsi="Arial" w:cs="Arial"/>
          <w:sz w:val="24"/>
          <w:szCs w:val="24"/>
        </w:rPr>
        <w:t>analyse</w:t>
      </w:r>
      <w:r w:rsidRPr="00026AB8">
        <w:rPr>
          <w:rFonts w:ascii="Arial" w:hAnsi="Arial" w:cs="Arial"/>
          <w:sz w:val="24"/>
          <w:szCs w:val="24"/>
        </w:rPr>
        <w:t xml:space="preserve"> the entry strategy of Toyota, and cultural differences between Japan and India are reviewed to understand how this could affect market success. The report ends by giving three strategic suggestions on how the Toyota Standard Operating Procedures (SOPs) can be adjusted to ensure that the company performs and is competitive in the Indian market.</w:t>
      </w:r>
    </w:p>
    <w:p w14:paraId="215BC190" w14:textId="77777777" w:rsidR="00026AB8" w:rsidRPr="00026AB8" w:rsidRDefault="00026AB8" w:rsidP="00026AB8">
      <w:pPr>
        <w:spacing w:line="360" w:lineRule="auto"/>
        <w:jc w:val="center"/>
        <w:rPr>
          <w:rFonts w:ascii="Arial" w:hAnsi="Arial" w:cs="Arial"/>
          <w:sz w:val="24"/>
          <w:szCs w:val="24"/>
        </w:rPr>
      </w:pPr>
      <w:r w:rsidRPr="00026AB8">
        <w:rPr>
          <w:rFonts w:ascii="Arial" w:hAnsi="Arial" w:cs="Arial"/>
          <w:noProof/>
          <w:sz w:val="24"/>
          <w:szCs w:val="24"/>
        </w:rPr>
        <w:drawing>
          <wp:inline distT="0" distB="0" distL="0" distR="0" wp14:anchorId="7ADB4F57" wp14:editId="4A7FBE9B">
            <wp:extent cx="5001803" cy="2750820"/>
            <wp:effectExtent l="0" t="0" r="8890" b="0"/>
            <wp:docPr id="8" name="Picture 8" descr="Toyota Global Production Declines for 10th Consecutive Month Despite Sale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oyota Global Production Declines for 10th Consecutive Month Despite Sales  Growth"/>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0970" b="10254"/>
                    <a:stretch/>
                  </pic:blipFill>
                  <pic:spPr bwMode="auto">
                    <a:xfrm>
                      <a:off x="0" y="0"/>
                      <a:ext cx="5019442" cy="2760521"/>
                    </a:xfrm>
                    <a:prstGeom prst="rect">
                      <a:avLst/>
                    </a:prstGeom>
                    <a:noFill/>
                    <a:ln>
                      <a:noFill/>
                    </a:ln>
                    <a:extLst>
                      <a:ext uri="{53640926-AAD7-44D8-BBD7-CCE9431645EC}">
                        <a14:shadowObscured xmlns:a14="http://schemas.microsoft.com/office/drawing/2010/main"/>
                      </a:ext>
                    </a:extLst>
                  </pic:spPr>
                </pic:pic>
              </a:graphicData>
            </a:graphic>
          </wp:inline>
        </w:drawing>
      </w:r>
    </w:p>
    <w:p w14:paraId="581D6B28" w14:textId="77777777" w:rsidR="00026AB8" w:rsidRPr="00026AB8" w:rsidRDefault="00026AB8" w:rsidP="00026AB8">
      <w:pPr>
        <w:spacing w:line="360" w:lineRule="auto"/>
        <w:jc w:val="center"/>
        <w:rPr>
          <w:rFonts w:ascii="Arial" w:hAnsi="Arial" w:cs="Arial"/>
          <w:b/>
          <w:sz w:val="24"/>
          <w:szCs w:val="24"/>
        </w:rPr>
      </w:pPr>
      <w:r w:rsidRPr="00026AB8">
        <w:rPr>
          <w:rFonts w:ascii="Arial" w:hAnsi="Arial" w:cs="Arial"/>
          <w:b/>
          <w:sz w:val="24"/>
          <w:szCs w:val="24"/>
        </w:rPr>
        <w:t>Figure 1: Toyota Motor Corporation (Toyota Motor Corporation, 2023)</w:t>
      </w:r>
    </w:p>
    <w:p w14:paraId="7BA4C00F" w14:textId="77777777" w:rsidR="00026AB8" w:rsidRPr="00026AB8" w:rsidRDefault="00026AB8" w:rsidP="00026AB8">
      <w:pPr>
        <w:pStyle w:val="Heading1"/>
        <w:spacing w:line="360" w:lineRule="auto"/>
        <w:rPr>
          <w:rFonts w:ascii="Arial" w:hAnsi="Arial" w:cs="Arial"/>
          <w:b/>
          <w:color w:val="auto"/>
          <w:sz w:val="24"/>
          <w:szCs w:val="24"/>
        </w:rPr>
      </w:pPr>
      <w:bookmarkStart w:id="1" w:name="_Toc216654128"/>
      <w:r w:rsidRPr="00026AB8">
        <w:rPr>
          <w:rFonts w:ascii="Arial" w:hAnsi="Arial" w:cs="Arial"/>
          <w:b/>
          <w:color w:val="auto"/>
          <w:sz w:val="24"/>
          <w:szCs w:val="24"/>
        </w:rPr>
        <w:lastRenderedPageBreak/>
        <w:t>2. INTERNATIONAL OPERATIONS OF TOYOTA</w:t>
      </w:r>
      <w:bookmarkEnd w:id="1"/>
    </w:p>
    <w:p w14:paraId="7A68FA2E" w14:textId="77777777" w:rsidR="00026AB8" w:rsidRPr="00026AB8" w:rsidRDefault="00026AB8" w:rsidP="00026AB8">
      <w:pPr>
        <w:pStyle w:val="Heading2"/>
        <w:spacing w:line="360" w:lineRule="auto"/>
        <w:rPr>
          <w:rFonts w:ascii="Arial" w:hAnsi="Arial" w:cs="Arial"/>
          <w:b/>
          <w:color w:val="auto"/>
          <w:sz w:val="24"/>
          <w:szCs w:val="24"/>
        </w:rPr>
      </w:pPr>
      <w:bookmarkStart w:id="2" w:name="_Toc216654129"/>
      <w:r w:rsidRPr="00026AB8">
        <w:rPr>
          <w:rFonts w:ascii="Arial" w:hAnsi="Arial" w:cs="Arial"/>
          <w:b/>
          <w:color w:val="auto"/>
          <w:sz w:val="24"/>
          <w:szCs w:val="24"/>
        </w:rPr>
        <w:t>2.1 Toyota as a multinational and transnational Corporation</w:t>
      </w:r>
      <w:bookmarkEnd w:id="2"/>
    </w:p>
    <w:p w14:paraId="2852A4EF"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Motor Corporation is a multinational company (MNC) and a transnational company (TNC) based in Toyota City, Japan. It is an MNC as it has a high presence in more than 170 countries and has more than 370,000 employees worldwide (Toyota Motor Corporation, 2023). Multinational corporations can be characterized by the capacity to organize the complex activities beyond the national boundaries that combine production, marketing, and distribution to have a global competitive advantage </w:t>
      </w:r>
      <w:r w:rsidRPr="00026AB8">
        <w:rPr>
          <w:rFonts w:ascii="Arial" w:hAnsi="Arial" w:cs="Arial"/>
          <w:sz w:val="24"/>
          <w:szCs w:val="24"/>
          <w:shd w:val="clear" w:color="auto" w:fill="FFFFFF"/>
        </w:rPr>
        <w:t>(Singh, 2025)</w:t>
      </w:r>
      <w:r w:rsidRPr="00026AB8">
        <w:rPr>
          <w:rFonts w:ascii="Arial" w:hAnsi="Arial" w:cs="Arial"/>
          <w:sz w:val="24"/>
          <w:szCs w:val="24"/>
        </w:rPr>
        <w:t xml:space="preserve">. An example of this is Toyota with its international manufacturing plants in Japan, United States, the United Kingdom, India, Brazil, Thailand, and Europe all augmented by network of subsidiaries, joint ventures and strategic alliances allowing it to reach out to and operate in a wide market </w:t>
      </w:r>
      <w:r w:rsidRPr="00026AB8">
        <w:rPr>
          <w:rFonts w:ascii="Arial" w:hAnsi="Arial" w:cs="Arial"/>
          <w:sz w:val="24"/>
          <w:szCs w:val="24"/>
          <w:shd w:val="clear" w:color="auto" w:fill="FFFFFF"/>
        </w:rPr>
        <w:t>(Rashmi, 2018)</w:t>
      </w:r>
      <w:r w:rsidRPr="00026AB8">
        <w:rPr>
          <w:rFonts w:ascii="Arial" w:hAnsi="Arial" w:cs="Arial"/>
          <w:sz w:val="24"/>
          <w:szCs w:val="24"/>
        </w:rPr>
        <w:t>.</w:t>
      </w:r>
    </w:p>
    <w:p w14:paraId="058E1FCC" w14:textId="44E1668A"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Toyota being a TNC is a global-local responsive enterprise. All markets adopt standardised international practices such as lean production, Kaizen philosophy and strict quality management systems</w:t>
      </w:r>
      <w:r w:rsidRPr="00026AB8">
        <w:rPr>
          <w:rFonts w:ascii="Arial" w:hAnsi="Arial" w:cs="Arial"/>
          <w:sz w:val="24"/>
          <w:szCs w:val="24"/>
          <w:shd w:val="clear" w:color="auto" w:fill="FFFFFF"/>
        </w:rPr>
        <w:t xml:space="preserve"> (Pervin and Khan, 2022)</w:t>
      </w:r>
      <w:r w:rsidRPr="00026AB8">
        <w:rPr>
          <w:rFonts w:ascii="Arial" w:hAnsi="Arial" w:cs="Arial"/>
          <w:sz w:val="24"/>
          <w:szCs w:val="24"/>
        </w:rPr>
        <w:t xml:space="preserve">. At the same time, Toyota adjusts a product, marketing and operations to fit regional consumer tastes, regulatory environments and cultural standards </w:t>
      </w:r>
      <w:r w:rsidRPr="00026AB8">
        <w:rPr>
          <w:rFonts w:ascii="Arial" w:hAnsi="Arial" w:cs="Arial"/>
          <w:sz w:val="24"/>
          <w:szCs w:val="24"/>
          <w:shd w:val="clear" w:color="auto" w:fill="FFFFFF"/>
        </w:rPr>
        <w:t>(Miroshnik, 2008).</w:t>
      </w:r>
      <w:r w:rsidRPr="00026AB8">
        <w:rPr>
          <w:rFonts w:ascii="Arial" w:hAnsi="Arial" w:cs="Arial"/>
          <w:sz w:val="24"/>
          <w:szCs w:val="24"/>
        </w:rPr>
        <w:t xml:space="preserve"> Its headquarters </w:t>
      </w:r>
      <w:r w:rsidRPr="00026AB8">
        <w:rPr>
          <w:rFonts w:ascii="Arial" w:hAnsi="Arial" w:cs="Arial"/>
          <w:sz w:val="24"/>
          <w:szCs w:val="24"/>
        </w:rPr>
        <w:t>are in</w:t>
      </w:r>
      <w:r w:rsidRPr="00026AB8">
        <w:rPr>
          <w:rFonts w:ascii="Arial" w:hAnsi="Arial" w:cs="Arial"/>
          <w:sz w:val="24"/>
          <w:szCs w:val="24"/>
        </w:rPr>
        <w:t xml:space="preserve"> Japan, the USA, Germany, China, and India, which allows it to transfer innovation and technology, especially in hybrid, hydrogen fuel-cell, and autonomous vehicle technology, which strengthens the transnational capacity and strategic flexibility of Toyota (</w:t>
      </w:r>
      <w:r w:rsidRPr="00026AB8">
        <w:rPr>
          <w:rFonts w:ascii="Arial" w:hAnsi="Arial" w:cs="Arial"/>
          <w:sz w:val="24"/>
          <w:szCs w:val="24"/>
          <w:shd w:val="clear" w:color="auto" w:fill="FFFFFF"/>
        </w:rPr>
        <w:t>Volti, 2021)</w:t>
      </w:r>
      <w:r w:rsidRPr="00026AB8">
        <w:rPr>
          <w:rFonts w:ascii="Arial" w:hAnsi="Arial" w:cs="Arial"/>
          <w:sz w:val="24"/>
          <w:szCs w:val="24"/>
        </w:rPr>
        <w:t>.</w:t>
      </w:r>
    </w:p>
    <w:p w14:paraId="386686B6" w14:textId="77777777" w:rsidR="00026AB8" w:rsidRPr="00026AB8" w:rsidRDefault="00026AB8" w:rsidP="00026AB8">
      <w:pPr>
        <w:pStyle w:val="Heading2"/>
        <w:spacing w:line="360" w:lineRule="auto"/>
        <w:rPr>
          <w:rFonts w:ascii="Arial" w:hAnsi="Arial" w:cs="Arial"/>
          <w:b/>
          <w:color w:val="auto"/>
          <w:sz w:val="24"/>
          <w:szCs w:val="24"/>
        </w:rPr>
      </w:pPr>
      <w:bookmarkStart w:id="3" w:name="_Toc216654130"/>
      <w:r w:rsidRPr="00026AB8">
        <w:rPr>
          <w:rFonts w:ascii="Arial" w:hAnsi="Arial" w:cs="Arial"/>
          <w:b/>
          <w:color w:val="auto"/>
          <w:sz w:val="24"/>
          <w:szCs w:val="24"/>
        </w:rPr>
        <w:t>2.2 Nature of Toyota’s Global operations (Value Chain Analysis)</w:t>
      </w:r>
      <w:bookmarkEnd w:id="3"/>
    </w:p>
    <w:p w14:paraId="504AD766"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1. Research &amp; Development (R&amp;D):</w:t>
      </w:r>
    </w:p>
    <w:p w14:paraId="62363161" w14:textId="77777777" w:rsid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global R&amp;D approach of Toyota is based on innovation, especially ideas of hybrid and hydrogen fuel-cell automobiles. Japan, the USA, Germany, China, and India, research centres work together with local universities, start-ups, and technology partners to co-create solutions in autonomous driving and vehicle safety systems </w:t>
      </w:r>
      <w:r w:rsidRPr="00026AB8">
        <w:rPr>
          <w:rFonts w:ascii="Arial" w:hAnsi="Arial" w:cs="Arial"/>
          <w:sz w:val="24"/>
          <w:szCs w:val="24"/>
          <w:shd w:val="clear" w:color="auto" w:fill="FFFFFF"/>
        </w:rPr>
        <w:t>(Rashmi, 2018</w:t>
      </w:r>
      <w:r w:rsidRPr="00026AB8">
        <w:rPr>
          <w:rFonts w:ascii="Arial" w:hAnsi="Arial" w:cs="Arial"/>
          <w:sz w:val="24"/>
          <w:szCs w:val="24"/>
        </w:rPr>
        <w:t xml:space="preserve">). Such a network enables Toyota to keep ahead of all competitors and adapt with R&amp;D to the needs of local markets </w:t>
      </w:r>
      <w:r w:rsidRPr="00026AB8">
        <w:rPr>
          <w:rFonts w:ascii="Arial" w:hAnsi="Arial" w:cs="Arial"/>
          <w:sz w:val="24"/>
          <w:szCs w:val="24"/>
          <w:shd w:val="clear" w:color="auto" w:fill="FFFFFF"/>
        </w:rPr>
        <w:t>(Fleming, 2019)</w:t>
      </w:r>
      <w:r w:rsidRPr="00026AB8">
        <w:rPr>
          <w:rFonts w:ascii="Arial" w:hAnsi="Arial" w:cs="Arial"/>
          <w:sz w:val="24"/>
          <w:szCs w:val="24"/>
        </w:rPr>
        <w:t>.</w:t>
      </w:r>
    </w:p>
    <w:p w14:paraId="4D87B6C5" w14:textId="77777777" w:rsidR="00FD1312" w:rsidRPr="00026AB8" w:rsidRDefault="00FD1312" w:rsidP="00026AB8">
      <w:pPr>
        <w:spacing w:line="360" w:lineRule="auto"/>
        <w:jc w:val="both"/>
        <w:rPr>
          <w:rFonts w:ascii="Arial" w:hAnsi="Arial" w:cs="Arial"/>
          <w:sz w:val="24"/>
          <w:szCs w:val="24"/>
        </w:rPr>
      </w:pPr>
    </w:p>
    <w:p w14:paraId="54114176"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lastRenderedPageBreak/>
        <w:t>2. Sourcing &amp; Supply Chain</w:t>
      </w:r>
    </w:p>
    <w:p w14:paraId="350922EF"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has a globally integrated supply chain that is responsive to the region. Engines, electronics, and vehicle materials are among the main components, which are sourced in Japan, China, and India/Thailand, respectively (Toyota Motor Corporation, 2023). Indian local sourcing lowers the cost of operations, decreases the time to production and increases the responsiveness to market demand </w:t>
      </w:r>
      <w:r w:rsidRPr="00026AB8">
        <w:rPr>
          <w:rFonts w:ascii="Arial" w:hAnsi="Arial" w:cs="Arial"/>
          <w:sz w:val="24"/>
          <w:szCs w:val="24"/>
          <w:shd w:val="clear" w:color="auto" w:fill="FFFFFF"/>
        </w:rPr>
        <w:t>(Dutta, 2021)</w:t>
      </w:r>
      <w:r w:rsidRPr="00026AB8">
        <w:rPr>
          <w:rFonts w:ascii="Arial" w:hAnsi="Arial" w:cs="Arial"/>
          <w:sz w:val="24"/>
          <w:szCs w:val="24"/>
        </w:rPr>
        <w:t xml:space="preserve">. The resilience of the supply chain was specifically reflected during the COVID-19 pandemic when Toyota changed networks and inventory control to adapt to disruption </w:t>
      </w:r>
      <w:r w:rsidRPr="00026AB8">
        <w:rPr>
          <w:rFonts w:ascii="Arial" w:hAnsi="Arial" w:cs="Arial"/>
          <w:sz w:val="24"/>
          <w:szCs w:val="24"/>
          <w:shd w:val="clear" w:color="auto" w:fill="FFFFFF"/>
        </w:rPr>
        <w:t>(Yang, 2022).</w:t>
      </w:r>
    </w:p>
    <w:p w14:paraId="3A8E0736"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3. Production &amp; Manufacturing</w:t>
      </w:r>
    </w:p>
    <w:p w14:paraId="75B77B08"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adheres to the principles of lean production and Kaizen in all its plants, making it highly efficient and quality </w:t>
      </w:r>
      <w:r w:rsidRPr="00026AB8">
        <w:rPr>
          <w:rFonts w:ascii="Arial" w:hAnsi="Arial" w:cs="Arial"/>
          <w:sz w:val="24"/>
          <w:szCs w:val="24"/>
          <w:shd w:val="clear" w:color="auto" w:fill="FFFFFF"/>
        </w:rPr>
        <w:t>(Volti, 2021</w:t>
      </w:r>
      <w:r w:rsidRPr="00026AB8">
        <w:rPr>
          <w:rFonts w:ascii="Arial" w:hAnsi="Arial" w:cs="Arial"/>
          <w:sz w:val="24"/>
          <w:szCs w:val="24"/>
        </w:rPr>
        <w:t xml:space="preserve">). In India, Toyota Kirloskar motor produces such models as the Corolla, Innova Crysta and Fortuner </w:t>
      </w:r>
      <w:r w:rsidRPr="00026AB8">
        <w:rPr>
          <w:rFonts w:ascii="Arial" w:hAnsi="Arial" w:cs="Arial"/>
          <w:sz w:val="24"/>
          <w:szCs w:val="24"/>
          <w:shd w:val="clear" w:color="auto" w:fill="FFFFFF"/>
        </w:rPr>
        <w:t>(Rashmi, 2018)</w:t>
      </w:r>
      <w:r w:rsidRPr="00026AB8">
        <w:rPr>
          <w:rFonts w:ascii="Arial" w:hAnsi="Arial" w:cs="Arial"/>
          <w:sz w:val="24"/>
          <w:szCs w:val="24"/>
        </w:rPr>
        <w:t xml:space="preserve">. Toyota has a transnational approach to production processes, which are modified to local labour skills, infrastructure and market requirements. Risk of disruptions is also distributed in the global production network, including natural disasters or political instability on a local scale </w:t>
      </w:r>
      <w:r w:rsidRPr="00026AB8">
        <w:rPr>
          <w:rFonts w:ascii="Arial" w:hAnsi="Arial" w:cs="Arial"/>
          <w:sz w:val="24"/>
          <w:szCs w:val="24"/>
          <w:shd w:val="clear" w:color="auto" w:fill="FFFFFF"/>
        </w:rPr>
        <w:t>(Singh, 2025)</w:t>
      </w:r>
      <w:r w:rsidRPr="00026AB8">
        <w:rPr>
          <w:rFonts w:ascii="Arial" w:hAnsi="Arial" w:cs="Arial"/>
          <w:sz w:val="24"/>
          <w:szCs w:val="24"/>
          <w:u w:val="single"/>
        </w:rPr>
        <w:t>.</w:t>
      </w:r>
    </w:p>
    <w:p w14:paraId="1AF7C8A3"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4. Sales &amp; Marketing</w:t>
      </w:r>
    </w:p>
    <w:p w14:paraId="2ED8C9E4"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integrates internationalised brand communication and domestic marketing tactics. In India, advertising focuses on prices, fuel consumption, and after-sales services, which meet the demands of the consumer </w:t>
      </w:r>
      <w:r w:rsidRPr="00026AB8">
        <w:rPr>
          <w:rFonts w:ascii="Arial" w:hAnsi="Arial" w:cs="Arial"/>
          <w:sz w:val="24"/>
          <w:szCs w:val="24"/>
          <w:shd w:val="clear" w:color="auto" w:fill="FFFFFF"/>
        </w:rPr>
        <w:t>(Tillu et al., 2024</w:t>
      </w:r>
      <w:r w:rsidRPr="00026AB8">
        <w:rPr>
          <w:rFonts w:ascii="Arial" w:hAnsi="Arial" w:cs="Arial"/>
          <w:sz w:val="24"/>
          <w:szCs w:val="24"/>
        </w:rPr>
        <w:t>). The system of regional distribution channels and customer contact programs are adapted to local culture and market conditions.</w:t>
      </w:r>
    </w:p>
    <w:p w14:paraId="4DC5FDE7"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5. Finance &amp; Investment</w:t>
      </w:r>
    </w:p>
    <w:p w14:paraId="3FAA6B19"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Financial Services is providing localized financing. Joint ventures, such as Toyota Kirloskar Motor, enable them to make strategic investments in the new markets and reduce risks </w:t>
      </w:r>
      <w:r w:rsidRPr="00026AB8">
        <w:rPr>
          <w:rFonts w:ascii="Arial" w:hAnsi="Arial" w:cs="Arial"/>
          <w:sz w:val="24"/>
          <w:szCs w:val="24"/>
          <w:shd w:val="clear" w:color="auto" w:fill="FFFFFF"/>
        </w:rPr>
        <w:t>(Rahman and Acharya, 2020</w:t>
      </w:r>
      <w:r w:rsidRPr="00026AB8">
        <w:rPr>
          <w:rFonts w:ascii="Arial" w:hAnsi="Arial" w:cs="Arial"/>
          <w:sz w:val="24"/>
          <w:szCs w:val="24"/>
        </w:rPr>
        <w:t>). These services increase availability of vehicles to customers and promote customer relationships in the long term.</w:t>
      </w:r>
    </w:p>
    <w:p w14:paraId="07DB724E" w14:textId="77777777" w:rsidR="00026AB8" w:rsidRPr="00026AB8" w:rsidRDefault="00026AB8" w:rsidP="00026AB8">
      <w:pPr>
        <w:pStyle w:val="Heading2"/>
        <w:spacing w:line="360" w:lineRule="auto"/>
        <w:rPr>
          <w:rFonts w:ascii="Arial" w:hAnsi="Arial" w:cs="Arial"/>
          <w:b/>
          <w:color w:val="auto"/>
          <w:sz w:val="24"/>
          <w:szCs w:val="24"/>
        </w:rPr>
      </w:pPr>
      <w:bookmarkStart w:id="4" w:name="_Toc216654131"/>
      <w:r w:rsidRPr="00026AB8">
        <w:rPr>
          <w:rFonts w:ascii="Arial" w:hAnsi="Arial" w:cs="Arial"/>
          <w:b/>
          <w:color w:val="auto"/>
          <w:sz w:val="24"/>
          <w:szCs w:val="24"/>
        </w:rPr>
        <w:lastRenderedPageBreak/>
        <w:t>2.3 Market Entry Modes used by Toyota</w:t>
      </w:r>
      <w:bookmarkEnd w:id="4"/>
    </w:p>
    <w:p w14:paraId="08BCD41C" w14:textId="0621B51C"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uses many market entry strategies which is based on the specifics, opportunities and risks of the </w:t>
      </w:r>
      <w:r w:rsidRPr="00026AB8">
        <w:rPr>
          <w:rFonts w:ascii="Arial" w:hAnsi="Arial" w:cs="Arial"/>
          <w:sz w:val="24"/>
          <w:szCs w:val="24"/>
        </w:rPr>
        <w:t>market</w:t>
      </w:r>
      <w:r w:rsidRPr="00026AB8">
        <w:rPr>
          <w:rFonts w:ascii="Arial" w:hAnsi="Arial" w:cs="Arial"/>
          <w:sz w:val="24"/>
          <w:szCs w:val="24"/>
        </w:rPr>
        <w:t xml:space="preserve">. The company uses joint ventures mostly in the emerging economies like India and China with examples being Toyota Kirloskar Motor in India and FAW Toyota in China </w:t>
      </w:r>
      <w:r w:rsidRPr="00026AB8">
        <w:rPr>
          <w:rFonts w:ascii="Arial" w:hAnsi="Arial" w:cs="Arial"/>
          <w:sz w:val="24"/>
          <w:szCs w:val="24"/>
          <w:shd w:val="clear" w:color="auto" w:fill="FFFFFF"/>
        </w:rPr>
        <w:t>(Volti, 2021)</w:t>
      </w:r>
      <w:r w:rsidRPr="00026AB8">
        <w:rPr>
          <w:rFonts w:ascii="Arial" w:hAnsi="Arial" w:cs="Arial"/>
          <w:sz w:val="24"/>
          <w:szCs w:val="24"/>
        </w:rPr>
        <w:t xml:space="preserve">. Such alliances enable Toyota to take advantage of local expertise, circumvent complicated legal systems, and learn about consumer preferences with a high level of managerial control and operational discipline </w:t>
      </w:r>
      <w:r w:rsidRPr="00026AB8">
        <w:rPr>
          <w:rFonts w:ascii="Arial" w:hAnsi="Arial" w:cs="Arial"/>
          <w:sz w:val="24"/>
          <w:szCs w:val="24"/>
          <w:shd w:val="clear" w:color="auto" w:fill="FFFFFF"/>
        </w:rPr>
        <w:t>(Fleming, 2019)</w:t>
      </w:r>
      <w:r w:rsidRPr="00026AB8">
        <w:rPr>
          <w:rFonts w:ascii="Arial" w:hAnsi="Arial" w:cs="Arial"/>
          <w:sz w:val="24"/>
          <w:szCs w:val="24"/>
        </w:rPr>
        <w:t xml:space="preserve">. Through established local partners, Toyota would be able to minimize the risks of investing, speedy penetration into the market, and suitability of its products and services to the requirements of the region </w:t>
      </w:r>
      <w:r w:rsidRPr="00026AB8">
        <w:rPr>
          <w:rFonts w:ascii="Arial" w:hAnsi="Arial" w:cs="Arial"/>
          <w:sz w:val="24"/>
          <w:szCs w:val="24"/>
          <w:shd w:val="clear" w:color="auto" w:fill="FFFFFF"/>
        </w:rPr>
        <w:t>(Sosnovskikh, 2019)</w:t>
      </w:r>
      <w:r w:rsidRPr="00026AB8">
        <w:rPr>
          <w:rFonts w:ascii="Arial" w:hAnsi="Arial" w:cs="Arial"/>
          <w:sz w:val="24"/>
          <w:szCs w:val="24"/>
        </w:rPr>
        <w:t>.</w:t>
      </w:r>
    </w:p>
    <w:p w14:paraId="4F21EB5F" w14:textId="2FE92548"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By contrast, in developed markets like the United States and the United Kingdom, Toyota tends to have </w:t>
      </w:r>
      <w:r w:rsidRPr="00026AB8">
        <w:rPr>
          <w:rFonts w:ascii="Arial" w:hAnsi="Arial" w:cs="Arial"/>
          <w:sz w:val="24"/>
          <w:szCs w:val="24"/>
        </w:rPr>
        <w:t>wholly owned</w:t>
      </w:r>
      <w:r w:rsidRPr="00026AB8">
        <w:rPr>
          <w:rFonts w:ascii="Arial" w:hAnsi="Arial" w:cs="Arial"/>
          <w:sz w:val="24"/>
          <w:szCs w:val="24"/>
        </w:rPr>
        <w:t xml:space="preserve"> subsidiaries where it has complete control over production, branding, marketing, and strategic decision-making </w:t>
      </w:r>
      <w:r w:rsidRPr="00026AB8">
        <w:rPr>
          <w:rFonts w:ascii="Arial" w:hAnsi="Arial" w:cs="Arial"/>
          <w:sz w:val="24"/>
          <w:szCs w:val="24"/>
          <w:shd w:val="clear" w:color="auto" w:fill="FFFFFF"/>
        </w:rPr>
        <w:t>(Dutta, 2021)</w:t>
      </w:r>
      <w:r w:rsidRPr="00026AB8">
        <w:rPr>
          <w:rFonts w:ascii="Arial" w:hAnsi="Arial" w:cs="Arial"/>
          <w:sz w:val="24"/>
          <w:szCs w:val="24"/>
        </w:rPr>
        <w:t xml:space="preserve">. In addition to these strategies, the company also engages in strategic partnerships with technology companies and suppliers to design advanced components, hybrid and hydrogen technologies and inventive mobility solutions </w:t>
      </w:r>
      <w:r w:rsidRPr="00026AB8">
        <w:rPr>
          <w:rFonts w:ascii="Arial" w:hAnsi="Arial" w:cs="Arial"/>
          <w:sz w:val="24"/>
          <w:szCs w:val="24"/>
          <w:shd w:val="clear" w:color="auto" w:fill="FFFFFF"/>
        </w:rPr>
        <w:t>(Sosnovskikh, 2019)</w:t>
      </w:r>
      <w:r w:rsidRPr="00026AB8">
        <w:rPr>
          <w:rFonts w:ascii="Arial" w:hAnsi="Arial" w:cs="Arial"/>
          <w:sz w:val="24"/>
          <w:szCs w:val="24"/>
        </w:rPr>
        <w:t>. In general, joint venture proves to be the most prevalent entry mode in emerging markets as it provides a balance of market entry, risk reduction, and control over operations without compromising Toyota global standards and strategic goals (Toma and Naruo, 2017).</w:t>
      </w:r>
    </w:p>
    <w:p w14:paraId="634F7400" w14:textId="77777777" w:rsidR="00026AB8" w:rsidRPr="00026AB8" w:rsidRDefault="00026AB8" w:rsidP="00026AB8">
      <w:pPr>
        <w:spacing w:line="360" w:lineRule="auto"/>
        <w:jc w:val="center"/>
        <w:rPr>
          <w:rFonts w:ascii="Arial" w:hAnsi="Arial" w:cs="Arial"/>
          <w:sz w:val="24"/>
          <w:szCs w:val="24"/>
        </w:rPr>
      </w:pPr>
      <w:r w:rsidRPr="00026AB8">
        <w:rPr>
          <w:rFonts w:ascii="Arial" w:hAnsi="Arial" w:cs="Arial"/>
          <w:noProof/>
          <w:sz w:val="24"/>
          <w:szCs w:val="24"/>
        </w:rPr>
        <w:drawing>
          <wp:inline distT="0" distB="0" distL="0" distR="0" wp14:anchorId="21C01FD8" wp14:editId="62926BA5">
            <wp:extent cx="4663440" cy="2743200"/>
            <wp:effectExtent l="0" t="0" r="3810" b="0"/>
            <wp:docPr id="7" name="Picture 7" descr="Toyota's country-wise sales over the last fiv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Toyota's country-wise sales over the last five yea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01444" cy="2765555"/>
                    </a:xfrm>
                    <a:prstGeom prst="rect">
                      <a:avLst/>
                    </a:prstGeom>
                    <a:noFill/>
                    <a:ln>
                      <a:noFill/>
                    </a:ln>
                  </pic:spPr>
                </pic:pic>
              </a:graphicData>
            </a:graphic>
          </wp:inline>
        </w:drawing>
      </w:r>
    </w:p>
    <w:p w14:paraId="7A2211B1" w14:textId="77777777" w:rsidR="00026AB8" w:rsidRPr="00026AB8" w:rsidRDefault="00026AB8" w:rsidP="00026AB8">
      <w:pPr>
        <w:spacing w:line="360" w:lineRule="auto"/>
        <w:jc w:val="center"/>
        <w:rPr>
          <w:rFonts w:ascii="Arial" w:hAnsi="Arial" w:cs="Arial"/>
          <w:b/>
          <w:sz w:val="24"/>
          <w:szCs w:val="24"/>
        </w:rPr>
      </w:pPr>
      <w:r w:rsidRPr="00026AB8">
        <w:rPr>
          <w:rFonts w:ascii="Arial" w:hAnsi="Arial" w:cs="Arial"/>
          <w:b/>
          <w:sz w:val="24"/>
          <w:szCs w:val="24"/>
        </w:rPr>
        <w:lastRenderedPageBreak/>
        <w:t>Figure 2: Toyota’s country wise sale from 2020- 2024 (Thakkar &amp; Radhey Shyam, 2025)</w:t>
      </w:r>
    </w:p>
    <w:p w14:paraId="080DB082"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In 2024, India became the fourth largest global market of Toyota due to the strong demand in SUVs and successful partnership with Suzuki. In a span of one year, India surpassed Canada, Indonesia, and Thailand in the Toyota country-wise sales ranking, becoming the quickest expanding business external the top three markets of the firm (China, US and Japan) (Thakkar and Shyam, 2025).</w:t>
      </w:r>
    </w:p>
    <w:p w14:paraId="103932C9" w14:textId="77777777" w:rsidR="00026AB8" w:rsidRPr="00026AB8" w:rsidRDefault="00026AB8" w:rsidP="00026AB8">
      <w:pPr>
        <w:pStyle w:val="Heading2"/>
        <w:spacing w:line="360" w:lineRule="auto"/>
        <w:rPr>
          <w:rFonts w:ascii="Arial" w:hAnsi="Arial" w:cs="Arial"/>
          <w:b/>
          <w:color w:val="auto"/>
          <w:sz w:val="24"/>
          <w:szCs w:val="24"/>
        </w:rPr>
      </w:pPr>
      <w:bookmarkStart w:id="5" w:name="_Toc216654132"/>
      <w:r w:rsidRPr="00026AB8">
        <w:rPr>
          <w:rFonts w:ascii="Arial" w:hAnsi="Arial" w:cs="Arial"/>
          <w:b/>
          <w:color w:val="auto"/>
          <w:sz w:val="24"/>
          <w:szCs w:val="24"/>
        </w:rPr>
        <w:t>2.4 Benefits of Toyota’s International operations</w:t>
      </w:r>
      <w:bookmarkEnd w:id="5"/>
    </w:p>
    <w:p w14:paraId="36D71669" w14:textId="77777777" w:rsidR="001A7257" w:rsidRDefault="00026AB8" w:rsidP="001A7257">
      <w:pPr>
        <w:spacing w:line="360" w:lineRule="auto"/>
        <w:jc w:val="both"/>
        <w:rPr>
          <w:rFonts w:ascii="Arial" w:hAnsi="Arial" w:cs="Arial"/>
          <w:sz w:val="24"/>
          <w:szCs w:val="24"/>
        </w:rPr>
      </w:pPr>
      <w:r w:rsidRPr="00026AB8">
        <w:rPr>
          <w:rFonts w:ascii="Arial" w:hAnsi="Arial" w:cs="Arial"/>
          <w:sz w:val="24"/>
          <w:szCs w:val="24"/>
        </w:rPr>
        <w:t xml:space="preserve">The global activities by Toyota give it enormous strategic benefits, which form the foundation of its competitiveness around the globe. One of its advantages is that it has realized the economies of scale due to its large global production network that ensures that the unit cost of production is low and the company is able to offer competitive prices in various markets </w:t>
      </w:r>
      <w:r w:rsidRPr="00026AB8">
        <w:rPr>
          <w:rFonts w:ascii="Arial" w:hAnsi="Arial" w:cs="Arial"/>
          <w:sz w:val="24"/>
          <w:szCs w:val="24"/>
          <w:shd w:val="clear" w:color="auto" w:fill="FFFFFF"/>
        </w:rPr>
        <w:t>(Sugathan, 2021)</w:t>
      </w:r>
      <w:r w:rsidRPr="00026AB8">
        <w:rPr>
          <w:rFonts w:ascii="Arial" w:hAnsi="Arial" w:cs="Arial"/>
          <w:sz w:val="24"/>
          <w:szCs w:val="24"/>
        </w:rPr>
        <w:t xml:space="preserve">. Market diversification also enhances the strength of Toyota, because income is sourced across several markets to reduce the risks of economic recessions or shifts in demand in any one market </w:t>
      </w:r>
      <w:r w:rsidRPr="00026AB8">
        <w:rPr>
          <w:rFonts w:ascii="Arial" w:hAnsi="Arial" w:cs="Arial"/>
          <w:sz w:val="24"/>
          <w:szCs w:val="24"/>
          <w:shd w:val="clear" w:color="auto" w:fill="FFFFFF"/>
        </w:rPr>
        <w:t>(Sosnovskikh, 2019)</w:t>
      </w:r>
      <w:r w:rsidRPr="00026AB8">
        <w:rPr>
          <w:rFonts w:ascii="Arial" w:hAnsi="Arial" w:cs="Arial"/>
          <w:sz w:val="24"/>
          <w:szCs w:val="24"/>
        </w:rPr>
        <w:t>. Transfer of knowledge among subsidiaries improves the capability of the organization and this facilitates the transfer of best practice, technological advances and managerial skills throughout the organization.</w:t>
      </w:r>
      <w:bookmarkStart w:id="6" w:name="_Toc215274199"/>
      <w:bookmarkStart w:id="7" w:name="_Toc215316615"/>
      <w:bookmarkStart w:id="8" w:name="_Toc216449006"/>
    </w:p>
    <w:p w14:paraId="1C5B66E7" w14:textId="4DB86A69" w:rsidR="00026AB8" w:rsidRPr="00026AB8" w:rsidRDefault="00026AB8" w:rsidP="001A7257">
      <w:pPr>
        <w:spacing w:line="360" w:lineRule="auto"/>
        <w:jc w:val="both"/>
        <w:rPr>
          <w:rFonts w:ascii="Arial" w:hAnsi="Arial" w:cs="Arial"/>
          <w:sz w:val="24"/>
          <w:szCs w:val="24"/>
        </w:rPr>
      </w:pPr>
      <w:r w:rsidRPr="00026AB8">
        <w:rPr>
          <w:rFonts w:ascii="Arial" w:hAnsi="Arial" w:cs="Arial"/>
          <w:sz w:val="24"/>
          <w:szCs w:val="24"/>
        </w:rPr>
        <w:t xml:space="preserve">Availability of local resources such as labour, raw materials, and government incentive enhances efficiency in the operations and in the emerging economies, the cost of production is relatively low </w:t>
      </w:r>
      <w:r w:rsidRPr="00026AB8">
        <w:rPr>
          <w:rFonts w:ascii="Arial" w:hAnsi="Arial" w:cs="Arial"/>
          <w:sz w:val="24"/>
          <w:szCs w:val="24"/>
          <w:shd w:val="clear" w:color="auto" w:fill="FFFFFF"/>
        </w:rPr>
        <w:t>(Singh, 2025)</w:t>
      </w:r>
      <w:r w:rsidRPr="00026AB8">
        <w:rPr>
          <w:rFonts w:ascii="Arial" w:hAnsi="Arial" w:cs="Arial"/>
          <w:sz w:val="24"/>
          <w:szCs w:val="24"/>
        </w:rPr>
        <w:t xml:space="preserve">. In addition, the global presence of Toyota strengthens brand recognition, credibility, and consumer trust, easing market penetration and customer loyalty </w:t>
      </w:r>
      <w:r w:rsidRPr="00026AB8">
        <w:rPr>
          <w:rFonts w:ascii="Arial" w:hAnsi="Arial" w:cs="Arial"/>
          <w:sz w:val="24"/>
          <w:szCs w:val="24"/>
          <w:shd w:val="clear" w:color="auto" w:fill="FFFFFF"/>
        </w:rPr>
        <w:t>(Pervin and Khan, 2022)</w:t>
      </w:r>
      <w:r w:rsidRPr="00026AB8">
        <w:rPr>
          <w:rFonts w:ascii="Arial" w:hAnsi="Arial" w:cs="Arial"/>
          <w:sz w:val="24"/>
          <w:szCs w:val="24"/>
        </w:rPr>
        <w:t xml:space="preserve">. The combined effects of these benefits allow Toyota to retain its leadership status in the competitive global automotive market </w:t>
      </w:r>
      <w:r w:rsidRPr="00026AB8">
        <w:rPr>
          <w:rFonts w:ascii="Arial" w:hAnsi="Arial" w:cs="Arial"/>
          <w:sz w:val="24"/>
          <w:szCs w:val="24"/>
          <w:shd w:val="clear" w:color="auto" w:fill="FFFFFF"/>
        </w:rPr>
        <w:t>(Park and Lee, 2023)</w:t>
      </w:r>
      <w:r w:rsidRPr="00026AB8">
        <w:rPr>
          <w:rFonts w:ascii="Arial" w:hAnsi="Arial" w:cs="Arial"/>
          <w:sz w:val="24"/>
          <w:szCs w:val="24"/>
        </w:rPr>
        <w:t>.</w:t>
      </w:r>
      <w:bookmarkEnd w:id="6"/>
      <w:bookmarkEnd w:id="7"/>
      <w:bookmarkEnd w:id="8"/>
    </w:p>
    <w:p w14:paraId="79876B87" w14:textId="77777777" w:rsidR="00026AB8" w:rsidRPr="00026AB8" w:rsidRDefault="00026AB8" w:rsidP="00026AB8">
      <w:pPr>
        <w:spacing w:line="360" w:lineRule="auto"/>
        <w:rPr>
          <w:rFonts w:ascii="Arial" w:hAnsi="Arial" w:cs="Arial"/>
          <w:b/>
          <w:sz w:val="24"/>
          <w:szCs w:val="24"/>
        </w:rPr>
      </w:pPr>
    </w:p>
    <w:p w14:paraId="5B352269" w14:textId="77777777" w:rsidR="00026AB8" w:rsidRPr="00026AB8" w:rsidRDefault="00026AB8" w:rsidP="00026AB8">
      <w:pPr>
        <w:spacing w:line="360" w:lineRule="auto"/>
        <w:jc w:val="center"/>
        <w:rPr>
          <w:rFonts w:ascii="Arial" w:hAnsi="Arial" w:cs="Arial"/>
          <w:b/>
          <w:sz w:val="24"/>
          <w:szCs w:val="24"/>
        </w:rPr>
      </w:pPr>
      <w:r w:rsidRPr="00026AB8">
        <w:rPr>
          <w:rFonts w:ascii="Arial" w:hAnsi="Arial" w:cs="Arial"/>
          <w:b/>
          <w:noProof/>
          <w:sz w:val="24"/>
          <w:szCs w:val="24"/>
        </w:rPr>
        <w:lastRenderedPageBreak/>
        <w:drawing>
          <wp:inline distT="0" distB="0" distL="0" distR="0" wp14:anchorId="26389267" wp14:editId="63553DC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026AB8">
        <w:rPr>
          <w:rFonts w:ascii="Arial" w:hAnsi="Arial" w:cs="Arial"/>
          <w:b/>
          <w:sz w:val="24"/>
          <w:szCs w:val="24"/>
        </w:rPr>
        <w:t>Figure 3: Toyota Motor Corporation Market Capitalization (2019-2025 in USD billion) (Carlier, 2025)</w:t>
      </w:r>
    </w:p>
    <w:p w14:paraId="20760677"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According to Carlier, 2025, the global strategy of Toyota has resulted in high financial performance, with a market capitalization of USD 228 billion in March 2025 indicating its resilience, innovation, and global brand strength.</w:t>
      </w:r>
    </w:p>
    <w:p w14:paraId="6AE2C16B" w14:textId="77777777" w:rsidR="00026AB8" w:rsidRPr="00026AB8" w:rsidRDefault="00026AB8" w:rsidP="00026AB8">
      <w:pPr>
        <w:pStyle w:val="Heading2"/>
        <w:spacing w:line="360" w:lineRule="auto"/>
        <w:rPr>
          <w:rFonts w:ascii="Arial" w:hAnsi="Arial" w:cs="Arial"/>
          <w:b/>
          <w:color w:val="auto"/>
          <w:sz w:val="24"/>
          <w:szCs w:val="24"/>
        </w:rPr>
      </w:pPr>
      <w:bookmarkStart w:id="9" w:name="_Toc216654133"/>
      <w:r w:rsidRPr="00026AB8">
        <w:rPr>
          <w:rFonts w:ascii="Arial" w:hAnsi="Arial" w:cs="Arial"/>
          <w:b/>
          <w:color w:val="auto"/>
          <w:sz w:val="24"/>
          <w:szCs w:val="24"/>
        </w:rPr>
        <w:t>2.5 Challenges in Toyota’s International Operations</w:t>
      </w:r>
      <w:bookmarkEnd w:id="9"/>
      <w:r w:rsidRPr="00026AB8">
        <w:rPr>
          <w:rFonts w:ascii="Arial" w:hAnsi="Arial" w:cs="Arial"/>
          <w:b/>
          <w:color w:val="auto"/>
          <w:sz w:val="24"/>
          <w:szCs w:val="24"/>
        </w:rPr>
        <w:t xml:space="preserve"> </w:t>
      </w:r>
    </w:p>
    <w:p w14:paraId="18231CEF" w14:textId="77777777" w:rsid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Even though there are global benefits to Toyota, there are </w:t>
      </w:r>
      <w:proofErr w:type="gramStart"/>
      <w:r w:rsidRPr="00026AB8">
        <w:rPr>
          <w:rFonts w:ascii="Arial" w:hAnsi="Arial" w:cs="Arial"/>
          <w:sz w:val="24"/>
          <w:szCs w:val="24"/>
        </w:rPr>
        <w:t>a number of</w:t>
      </w:r>
      <w:proofErr w:type="gramEnd"/>
      <w:r w:rsidRPr="00026AB8">
        <w:rPr>
          <w:rFonts w:ascii="Arial" w:hAnsi="Arial" w:cs="Arial"/>
          <w:sz w:val="24"/>
          <w:szCs w:val="24"/>
        </w:rPr>
        <w:t xml:space="preserve"> challenges that it encounters in international operations. Events like the COVID-19 pandemic, shortages of semiconductors, natural disasters, and geopolitical tensions have prompted the creation of more resilient and flexible logistics systems (Toyota Motor Corporation, 2023). Also, regional cultural distinctions necessitate Toyota to do as the locals do in terms of leadership, motivational tactics, and negotiation types to maintain the efficiency of operations and fit in the market </w:t>
      </w:r>
      <w:r w:rsidRPr="00026AB8">
        <w:rPr>
          <w:rFonts w:ascii="Arial" w:hAnsi="Arial" w:cs="Arial"/>
          <w:sz w:val="24"/>
          <w:szCs w:val="24"/>
          <w:shd w:val="clear" w:color="auto" w:fill="FFFFFF"/>
        </w:rPr>
        <w:t>(Dutta, 2021</w:t>
      </w:r>
      <w:r w:rsidRPr="00026AB8">
        <w:rPr>
          <w:rFonts w:ascii="Arial" w:hAnsi="Arial" w:cs="Arial"/>
          <w:sz w:val="24"/>
          <w:szCs w:val="24"/>
        </w:rPr>
        <w:t xml:space="preserve">). Also, the regulation compliance is an additionally demanding factor, as compliance to different environmental policies, labour regulations, safety standards, and import-export regulations requires constant monitoring, capital investments, and changes, particularly in developing markets </w:t>
      </w:r>
      <w:r w:rsidRPr="00026AB8">
        <w:rPr>
          <w:rFonts w:ascii="Arial" w:hAnsi="Arial" w:cs="Arial"/>
          <w:sz w:val="24"/>
          <w:szCs w:val="24"/>
          <w:shd w:val="clear" w:color="auto" w:fill="FFFFFF"/>
        </w:rPr>
        <w:t>(Fleming, 2019</w:t>
      </w:r>
      <w:r w:rsidRPr="00026AB8">
        <w:rPr>
          <w:rFonts w:ascii="Arial" w:hAnsi="Arial" w:cs="Arial"/>
          <w:sz w:val="24"/>
          <w:szCs w:val="24"/>
        </w:rPr>
        <w:t>).</w:t>
      </w:r>
    </w:p>
    <w:p w14:paraId="1F64267F" w14:textId="77777777" w:rsidR="00FD1312" w:rsidRPr="00026AB8" w:rsidRDefault="00FD1312" w:rsidP="00026AB8">
      <w:pPr>
        <w:spacing w:line="360" w:lineRule="auto"/>
        <w:jc w:val="both"/>
        <w:rPr>
          <w:rFonts w:ascii="Arial" w:hAnsi="Arial" w:cs="Arial"/>
          <w:sz w:val="24"/>
          <w:szCs w:val="24"/>
        </w:rPr>
      </w:pPr>
    </w:p>
    <w:p w14:paraId="1619C86E"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 xml:space="preserve">The global operations of Toyota are also faced by competition and financial risks. Local competitors, including Maruti Suzuki in India or BYD in China, make the company constantly innovate, offer competitive prices, and enhance brand differentiation </w:t>
      </w:r>
      <w:r w:rsidRPr="00026AB8">
        <w:rPr>
          <w:rFonts w:ascii="Arial" w:hAnsi="Arial" w:cs="Arial"/>
          <w:sz w:val="24"/>
          <w:szCs w:val="24"/>
          <w:shd w:val="clear" w:color="auto" w:fill="FFFFFF"/>
        </w:rPr>
        <w:t>(Volti, 2021)</w:t>
      </w:r>
      <w:r w:rsidRPr="00026AB8">
        <w:rPr>
          <w:rFonts w:ascii="Arial" w:hAnsi="Arial" w:cs="Arial"/>
          <w:sz w:val="24"/>
          <w:szCs w:val="24"/>
        </w:rPr>
        <w:t xml:space="preserve">. The volatility of exchange rate also affects profitability, influencing component costs and earnings repatriation </w:t>
      </w:r>
      <w:r w:rsidRPr="00026AB8">
        <w:rPr>
          <w:rFonts w:ascii="Arial" w:hAnsi="Arial" w:cs="Arial"/>
          <w:sz w:val="24"/>
          <w:szCs w:val="24"/>
          <w:shd w:val="clear" w:color="auto" w:fill="FFFFFF"/>
        </w:rPr>
        <w:t>(Yang, 2022</w:t>
      </w:r>
      <w:r w:rsidRPr="00026AB8">
        <w:rPr>
          <w:rFonts w:ascii="Arial" w:hAnsi="Arial" w:cs="Arial"/>
          <w:sz w:val="24"/>
          <w:szCs w:val="24"/>
        </w:rPr>
        <w:t>).</w:t>
      </w:r>
    </w:p>
    <w:p w14:paraId="762AE200" w14:textId="77777777" w:rsidR="00026AB8" w:rsidRPr="00026AB8" w:rsidRDefault="00026AB8" w:rsidP="00026AB8">
      <w:pPr>
        <w:pStyle w:val="Heading1"/>
        <w:spacing w:line="360" w:lineRule="auto"/>
        <w:rPr>
          <w:rFonts w:ascii="Arial" w:hAnsi="Arial" w:cs="Arial"/>
          <w:b/>
          <w:color w:val="auto"/>
          <w:sz w:val="24"/>
          <w:szCs w:val="24"/>
        </w:rPr>
      </w:pPr>
      <w:bookmarkStart w:id="10" w:name="_Toc216654134"/>
      <w:r w:rsidRPr="00026AB8">
        <w:rPr>
          <w:rFonts w:ascii="Arial" w:hAnsi="Arial" w:cs="Arial"/>
          <w:b/>
          <w:color w:val="auto"/>
          <w:sz w:val="24"/>
          <w:szCs w:val="24"/>
        </w:rPr>
        <w:t>3. OLI FACTORS AND MARKET ENTRY STRATEGY: TOYOTA IN INDIA</w:t>
      </w:r>
      <w:bookmarkEnd w:id="10"/>
    </w:p>
    <w:p w14:paraId="662D031F" w14:textId="77777777" w:rsidR="00026AB8" w:rsidRPr="00026AB8" w:rsidRDefault="00026AB8" w:rsidP="00026AB8">
      <w:pPr>
        <w:pStyle w:val="Heading2"/>
        <w:spacing w:line="360" w:lineRule="auto"/>
        <w:rPr>
          <w:rFonts w:ascii="Arial" w:hAnsi="Arial" w:cs="Arial"/>
          <w:b/>
          <w:color w:val="auto"/>
          <w:sz w:val="24"/>
          <w:szCs w:val="24"/>
        </w:rPr>
      </w:pPr>
      <w:bookmarkStart w:id="11" w:name="_Toc216654135"/>
      <w:r w:rsidRPr="00026AB8">
        <w:rPr>
          <w:rFonts w:ascii="Arial" w:hAnsi="Arial" w:cs="Arial"/>
          <w:b/>
          <w:color w:val="auto"/>
          <w:sz w:val="24"/>
          <w:szCs w:val="24"/>
        </w:rPr>
        <w:t>3.1 Ownership Advantages (O)</w:t>
      </w:r>
      <w:bookmarkEnd w:id="11"/>
    </w:p>
    <w:p w14:paraId="67DDB678"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Ownership advantages refer to firm-specific capabilities that allow MNEs to compete successfully in the overseas markets (Singh, 2025). In the case of Toyota, the best ownership strengths are that the company has a globally recognized brand reputation, technological potential, and management systems, particularly, Toyota Production System (TPS) and Toyota Hybrid System (THS). TPS focuses on just-in-time manufacturing, Kaizen, and waste minimization, with high operational efficiency, stable quality, and standardization of processes (Toma and Naruo, 2017). THS is the proprietary hybrid technology owned by Toyota that is tacit and hard to codify, and thus, direct control is critical.</w:t>
      </w:r>
    </w:p>
    <w:p w14:paraId="3FADFD40"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These ownership advantages are associated with the consumer preferences regarding SUVs and MPVs in India where the customers are interested in durability, reliability, and low maintenance, which the Innova Crysta, Fortuner, and Hycross offer (Sugathan, 2021). The hybrid leadership of Toyota is also supported by environmental consciousness and the incentives towards low-emission vehicles. These advantages required a high-control entry mode, because licensing, exporting, or contract manufacturing might jeopardize quality and technology </w:t>
      </w:r>
      <w:r w:rsidRPr="00026AB8">
        <w:rPr>
          <w:rFonts w:ascii="Arial" w:hAnsi="Arial" w:cs="Arial"/>
          <w:sz w:val="24"/>
          <w:szCs w:val="24"/>
          <w:shd w:val="clear" w:color="auto" w:fill="FFFFFF"/>
        </w:rPr>
        <w:t>(Sosnovskikh, 2019)</w:t>
      </w:r>
      <w:r w:rsidRPr="00026AB8">
        <w:rPr>
          <w:rFonts w:ascii="Arial" w:hAnsi="Arial" w:cs="Arial"/>
          <w:sz w:val="24"/>
          <w:szCs w:val="24"/>
        </w:rPr>
        <w:t>. Setting up a majority-owned joint venture (Toyota Kirloskar Motor), Toyota maintained operational control, proprietary systems, and effective transfer of tacit knowledge to the Indian workforce, using local expertise in regulatory compliance and institutional navigation (Dutta, 2021).</w:t>
      </w:r>
    </w:p>
    <w:p w14:paraId="10D94A0F" w14:textId="77777777" w:rsidR="00026AB8" w:rsidRPr="00026AB8" w:rsidRDefault="00026AB8" w:rsidP="00026AB8">
      <w:pPr>
        <w:pStyle w:val="Heading2"/>
        <w:spacing w:line="360" w:lineRule="auto"/>
        <w:rPr>
          <w:rFonts w:ascii="Arial" w:hAnsi="Arial" w:cs="Arial"/>
          <w:b/>
          <w:color w:val="auto"/>
          <w:sz w:val="24"/>
          <w:szCs w:val="24"/>
        </w:rPr>
      </w:pPr>
      <w:bookmarkStart w:id="12" w:name="_Toc216654136"/>
      <w:r w:rsidRPr="00026AB8">
        <w:rPr>
          <w:rFonts w:ascii="Arial" w:hAnsi="Arial" w:cs="Arial"/>
          <w:b/>
          <w:color w:val="auto"/>
          <w:sz w:val="24"/>
          <w:szCs w:val="24"/>
        </w:rPr>
        <w:t>3.2 Location Advantages (L)</w:t>
      </w:r>
      <w:bookmarkEnd w:id="12"/>
    </w:p>
    <w:p w14:paraId="1F3C0E3F" w14:textId="77777777" w:rsidR="00FD1312"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Location advantages are defined as host-country factors which make foreign investment interesting (Dunning and Lundan, 2008). </w:t>
      </w:r>
    </w:p>
    <w:p w14:paraId="7AFAD1B3" w14:textId="6025A51C"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 xml:space="preserve">India provides a strong strategic location due to booming economic growth, rising disposable income, and rising urbanisation that is driving high demand in SUVs, MPVs, and hybrid cars </w:t>
      </w:r>
      <w:r w:rsidRPr="00026AB8">
        <w:rPr>
          <w:rFonts w:ascii="Arial" w:hAnsi="Arial" w:cs="Arial"/>
          <w:sz w:val="24"/>
          <w:szCs w:val="24"/>
          <w:shd w:val="clear" w:color="auto" w:fill="FFFFFF"/>
        </w:rPr>
        <w:t>(Baber, 2018)</w:t>
      </w:r>
      <w:r w:rsidRPr="00026AB8">
        <w:rPr>
          <w:rFonts w:ascii="Arial" w:hAnsi="Arial" w:cs="Arial"/>
          <w:sz w:val="24"/>
          <w:szCs w:val="24"/>
        </w:rPr>
        <w:t xml:space="preserve">. These segments also coincide with the global strengths of Toyota and India is a high-potential market. This appeal is supported by the </w:t>
      </w:r>
      <w:r w:rsidRPr="00026AB8">
        <w:rPr>
          <w:rFonts w:ascii="Arial" w:hAnsi="Arial" w:cs="Arial"/>
          <w:sz w:val="24"/>
          <w:szCs w:val="24"/>
        </w:rPr>
        <w:t>performance’s</w:t>
      </w:r>
      <w:r w:rsidRPr="00026AB8">
        <w:rPr>
          <w:rFonts w:ascii="Arial" w:hAnsi="Arial" w:cs="Arial"/>
          <w:sz w:val="24"/>
          <w:szCs w:val="24"/>
        </w:rPr>
        <w:t xml:space="preserve"> indicators of Toyota itself: the company achieved 53% year-on-year growth in September 2023 and 35% growth in April-September 2023, reflecting growing demand and brand acceptance (Toyota Motor Corporation, 2023).</w:t>
      </w:r>
    </w:p>
    <w:p w14:paraId="034BBF56" w14:textId="0D398E16"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Another significant location advantage is India which has a labour force. Large scale production is enabled by the availability of low-cost, skilled labour, and costs are maintained at competitive levels </w:t>
      </w:r>
      <w:r w:rsidRPr="00026AB8">
        <w:rPr>
          <w:rFonts w:ascii="Arial" w:hAnsi="Arial" w:cs="Arial"/>
          <w:sz w:val="24"/>
          <w:szCs w:val="24"/>
          <w:shd w:val="clear" w:color="auto" w:fill="FFFFFF"/>
        </w:rPr>
        <w:t>(James, 2024)</w:t>
      </w:r>
      <w:r w:rsidRPr="00026AB8">
        <w:rPr>
          <w:rFonts w:ascii="Arial" w:hAnsi="Arial" w:cs="Arial"/>
          <w:sz w:val="24"/>
          <w:szCs w:val="24"/>
        </w:rPr>
        <w:t xml:space="preserve">. The growing network of automotive suppliers in the country supports Toyota localisation strategy as local sourcing of key components is done </w:t>
      </w:r>
      <w:r w:rsidRPr="00026AB8">
        <w:rPr>
          <w:rFonts w:ascii="Arial" w:hAnsi="Arial" w:cs="Arial"/>
          <w:sz w:val="24"/>
          <w:szCs w:val="24"/>
          <w:shd w:val="clear" w:color="auto" w:fill="FFFFFF"/>
        </w:rPr>
        <w:t>(Rahman and Acharya, 2020)</w:t>
      </w:r>
      <w:r w:rsidRPr="00026AB8">
        <w:rPr>
          <w:rFonts w:ascii="Arial" w:hAnsi="Arial" w:cs="Arial"/>
          <w:sz w:val="24"/>
          <w:szCs w:val="24"/>
        </w:rPr>
        <w:t xml:space="preserve">. India is also more attractive due to policy programs like Remaking in India, reform of GST, and localisation incentives </w:t>
      </w:r>
      <w:r w:rsidRPr="00026AB8">
        <w:rPr>
          <w:rFonts w:ascii="Arial" w:hAnsi="Arial" w:cs="Arial"/>
          <w:sz w:val="24"/>
          <w:szCs w:val="24"/>
          <w:shd w:val="clear" w:color="auto" w:fill="FFFFFF"/>
        </w:rPr>
        <w:t>(Yang, 2022)</w:t>
      </w:r>
      <w:r w:rsidRPr="00026AB8">
        <w:rPr>
          <w:rFonts w:ascii="Arial" w:hAnsi="Arial" w:cs="Arial"/>
          <w:sz w:val="24"/>
          <w:szCs w:val="24"/>
        </w:rPr>
        <w:t xml:space="preserve">. The growing logistics and distribution network in India also allows Toyota to be effective in both metropolitan and the emerging regional markets, </w:t>
      </w:r>
      <w:r w:rsidR="00FD1312" w:rsidRPr="00026AB8">
        <w:rPr>
          <w:rFonts w:ascii="Arial" w:hAnsi="Arial" w:cs="Arial"/>
          <w:sz w:val="24"/>
          <w:szCs w:val="24"/>
        </w:rPr>
        <w:t>opening</w:t>
      </w:r>
      <w:r w:rsidRPr="00026AB8">
        <w:rPr>
          <w:rFonts w:ascii="Arial" w:hAnsi="Arial" w:cs="Arial"/>
          <w:sz w:val="24"/>
          <w:szCs w:val="24"/>
        </w:rPr>
        <w:t xml:space="preserve"> more customers </w:t>
      </w:r>
      <w:r w:rsidRPr="00026AB8">
        <w:rPr>
          <w:rFonts w:ascii="Arial" w:hAnsi="Arial" w:cs="Arial"/>
          <w:sz w:val="24"/>
          <w:szCs w:val="24"/>
          <w:shd w:val="clear" w:color="auto" w:fill="FFFFFF"/>
        </w:rPr>
        <w:t>(Baber, 2018)</w:t>
      </w:r>
      <w:r w:rsidRPr="00026AB8">
        <w:rPr>
          <w:rFonts w:ascii="Arial" w:hAnsi="Arial" w:cs="Arial"/>
          <w:sz w:val="24"/>
          <w:szCs w:val="24"/>
        </w:rPr>
        <w:t>.</w:t>
      </w:r>
    </w:p>
    <w:p w14:paraId="0BF7EABC" w14:textId="77777777" w:rsidR="00026AB8" w:rsidRPr="00026AB8" w:rsidRDefault="00026AB8" w:rsidP="00026AB8">
      <w:pPr>
        <w:pStyle w:val="Heading2"/>
        <w:spacing w:line="360" w:lineRule="auto"/>
        <w:rPr>
          <w:rFonts w:ascii="Arial" w:hAnsi="Arial" w:cs="Arial"/>
          <w:b/>
          <w:color w:val="auto"/>
          <w:sz w:val="24"/>
          <w:szCs w:val="24"/>
        </w:rPr>
      </w:pPr>
      <w:bookmarkStart w:id="13" w:name="_Toc216654137"/>
      <w:r w:rsidRPr="00026AB8">
        <w:rPr>
          <w:rFonts w:ascii="Arial" w:hAnsi="Arial" w:cs="Arial"/>
          <w:b/>
          <w:color w:val="auto"/>
          <w:sz w:val="24"/>
          <w:szCs w:val="24"/>
        </w:rPr>
        <w:t>3.3 Internalisation Advantages (I)</w:t>
      </w:r>
      <w:bookmarkEnd w:id="13"/>
    </w:p>
    <w:p w14:paraId="40F4F362" w14:textId="217B9205"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benefits of internalisation are behind the choice of high-control modes, when firms </w:t>
      </w:r>
      <w:r w:rsidR="00FD1312" w:rsidRPr="00026AB8">
        <w:rPr>
          <w:rFonts w:ascii="Arial" w:hAnsi="Arial" w:cs="Arial"/>
          <w:sz w:val="24"/>
          <w:szCs w:val="24"/>
        </w:rPr>
        <w:t>must</w:t>
      </w:r>
      <w:r w:rsidRPr="00026AB8">
        <w:rPr>
          <w:rFonts w:ascii="Arial" w:hAnsi="Arial" w:cs="Arial"/>
          <w:sz w:val="24"/>
          <w:szCs w:val="24"/>
        </w:rPr>
        <w:t xml:space="preserve"> rely on tacit, complex, and hard-to-protect knowledge. In the case of Toyota, core competitive assets, especially the TPS and THS cannot be transferred safely by licensing or outsourcing, since they are experience-based capabilities that are highly internalized </w:t>
      </w:r>
      <w:r w:rsidRPr="00026AB8">
        <w:rPr>
          <w:rFonts w:ascii="Arial" w:hAnsi="Arial" w:cs="Arial"/>
          <w:sz w:val="24"/>
          <w:szCs w:val="24"/>
          <w:shd w:val="clear" w:color="auto" w:fill="FFFFFF"/>
        </w:rPr>
        <w:t>(Jones, Mathew and James, 2024)</w:t>
      </w:r>
      <w:r w:rsidRPr="00026AB8">
        <w:rPr>
          <w:rFonts w:ascii="Arial" w:hAnsi="Arial" w:cs="Arial"/>
          <w:sz w:val="24"/>
          <w:szCs w:val="24"/>
        </w:rPr>
        <w:t xml:space="preserve">. Contract manufacturing or licensing in India would pose risks of knowledge leakage, lack of consistency in quality and expensive monitoring (Toma and Naruo, 2017). The benefits of internalisation enabled Toyota to save on transaction costs, safeguard the tacit knowledge within TPS and THS, and prevent the risks of licensing or contract manufacturing. This way of proprietary internalisation enables Toyota to control its production systems, quality parameters and hybrid technology to the full extent </w:t>
      </w:r>
      <w:r w:rsidRPr="00026AB8">
        <w:rPr>
          <w:rFonts w:ascii="Arial" w:hAnsi="Arial" w:cs="Arial"/>
          <w:sz w:val="24"/>
          <w:szCs w:val="24"/>
          <w:shd w:val="clear" w:color="auto" w:fill="FFFFFF"/>
        </w:rPr>
        <w:t>(Rashmi, 2018)</w:t>
      </w:r>
      <w:r w:rsidRPr="00026AB8">
        <w:rPr>
          <w:rFonts w:ascii="Arial" w:hAnsi="Arial" w:cs="Arial"/>
          <w:sz w:val="24"/>
          <w:szCs w:val="24"/>
        </w:rPr>
        <w:t>. This theoretical justification supports the choice of a high control, majority owned joint venture in India, since it prevents the loss of core competencies, but it allows the company to work effectively with Kirloskar to overcome local institutional and cultural hurdles.</w:t>
      </w:r>
    </w:p>
    <w:p w14:paraId="1029D335"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 xml:space="preserve">Toyota took a high control, majority owned joint venture, and it established a Toyota Kirloskar Motor (TKM) in which it owns 89 percent </w:t>
      </w:r>
      <w:r w:rsidRPr="00026AB8">
        <w:rPr>
          <w:rFonts w:ascii="Arial" w:hAnsi="Arial" w:cs="Arial"/>
          <w:sz w:val="24"/>
          <w:szCs w:val="24"/>
          <w:shd w:val="clear" w:color="auto" w:fill="FFFFFF"/>
        </w:rPr>
        <w:t>(Dutta, 2021)</w:t>
      </w:r>
      <w:r w:rsidRPr="00026AB8">
        <w:rPr>
          <w:rFonts w:ascii="Arial" w:hAnsi="Arial" w:cs="Arial"/>
          <w:sz w:val="24"/>
          <w:szCs w:val="24"/>
        </w:rPr>
        <w:t xml:space="preserve">. This mode of entry will enable Toyota to execute TPS across the board, secure the hybrid technology, achieve operational efficiency, and transfer tacit knowledge to the local workforce. Meanwhile, the local partner supports regulatory compliance, land acquisition, and institutional navigation, which makes Toyota work in the Indian market </w:t>
      </w:r>
      <w:r w:rsidRPr="00026AB8">
        <w:rPr>
          <w:rFonts w:ascii="Arial" w:hAnsi="Arial" w:cs="Arial"/>
          <w:sz w:val="24"/>
          <w:szCs w:val="24"/>
          <w:shd w:val="clear" w:color="auto" w:fill="FFFFFF"/>
        </w:rPr>
        <w:t>(Miroshnik, 2008)</w:t>
      </w:r>
      <w:r w:rsidRPr="00026AB8">
        <w:rPr>
          <w:rFonts w:ascii="Arial" w:hAnsi="Arial" w:cs="Arial"/>
          <w:sz w:val="24"/>
          <w:szCs w:val="24"/>
        </w:rPr>
        <w:t xml:space="preserve">. </w:t>
      </w:r>
    </w:p>
    <w:p w14:paraId="2F984FED" w14:textId="77777777" w:rsidR="00026AB8" w:rsidRPr="00026AB8" w:rsidRDefault="00026AB8" w:rsidP="00026AB8">
      <w:pPr>
        <w:pStyle w:val="Heading2"/>
        <w:spacing w:line="360" w:lineRule="auto"/>
        <w:rPr>
          <w:rFonts w:ascii="Arial" w:hAnsi="Arial" w:cs="Arial"/>
          <w:b/>
          <w:color w:val="auto"/>
          <w:sz w:val="24"/>
          <w:szCs w:val="24"/>
        </w:rPr>
      </w:pPr>
      <w:bookmarkStart w:id="14" w:name="_Toc216654138"/>
      <w:r w:rsidRPr="00026AB8">
        <w:rPr>
          <w:rFonts w:ascii="Arial" w:hAnsi="Arial" w:cs="Arial"/>
          <w:b/>
          <w:color w:val="auto"/>
          <w:sz w:val="24"/>
          <w:szCs w:val="24"/>
        </w:rPr>
        <w:t>3.4 OLI and Entry Mode of Toyota</w:t>
      </w:r>
      <w:bookmarkEnd w:id="14"/>
    </w:p>
    <w:p w14:paraId="013F0F5E" w14:textId="539A6820" w:rsidR="00026AB8" w:rsidRPr="00026AB8" w:rsidRDefault="00026AB8" w:rsidP="00026AB8">
      <w:pPr>
        <w:spacing w:before="240" w:line="360" w:lineRule="auto"/>
        <w:jc w:val="both"/>
        <w:rPr>
          <w:rFonts w:ascii="Arial" w:hAnsi="Arial" w:cs="Arial"/>
          <w:sz w:val="24"/>
          <w:szCs w:val="24"/>
          <w:highlight w:val="yellow"/>
        </w:rPr>
      </w:pPr>
      <w:r w:rsidRPr="00026AB8">
        <w:rPr>
          <w:rFonts w:ascii="Arial" w:hAnsi="Arial" w:cs="Arial"/>
          <w:sz w:val="24"/>
          <w:szCs w:val="24"/>
        </w:rPr>
        <w:t xml:space="preserve">In 1997, Toyota started operating in India as a joint venture with Kirloskar group to establish Toyota Kirloskar Motor (TKM). This JV is a high-control entry mode that is consistent with the need by Toyota to internalise its proprietary production and quality management </w:t>
      </w:r>
      <w:r w:rsidRPr="00026AB8">
        <w:rPr>
          <w:rFonts w:ascii="Arial" w:hAnsi="Arial" w:cs="Arial"/>
          <w:sz w:val="24"/>
          <w:szCs w:val="24"/>
          <w:shd w:val="clear" w:color="auto" w:fill="FFFFFF"/>
        </w:rPr>
        <w:t>(Miroshnik, 2008)</w:t>
      </w:r>
      <w:r w:rsidRPr="00026AB8">
        <w:rPr>
          <w:rFonts w:ascii="Arial" w:hAnsi="Arial" w:cs="Arial"/>
          <w:sz w:val="24"/>
          <w:szCs w:val="24"/>
        </w:rPr>
        <w:t xml:space="preserve">. The </w:t>
      </w:r>
      <w:r w:rsidRPr="00026AB8">
        <w:rPr>
          <w:rFonts w:ascii="Arial" w:hAnsi="Arial" w:cs="Arial"/>
          <w:sz w:val="24"/>
          <w:szCs w:val="24"/>
        </w:rPr>
        <w:t>wholly owned</w:t>
      </w:r>
      <w:r w:rsidRPr="00026AB8">
        <w:rPr>
          <w:rFonts w:ascii="Arial" w:hAnsi="Arial" w:cs="Arial"/>
          <w:sz w:val="24"/>
          <w:szCs w:val="24"/>
        </w:rPr>
        <w:t xml:space="preserve"> subsidiary (WOS) would have provided Toyota complete control but would have created very severe challenges in dealings with the Indian regulatory approvals, labour dealings and supplier dealings </w:t>
      </w:r>
      <w:r w:rsidRPr="00026AB8">
        <w:rPr>
          <w:rFonts w:ascii="Arial" w:hAnsi="Arial" w:cs="Arial"/>
          <w:sz w:val="24"/>
          <w:szCs w:val="24"/>
          <w:shd w:val="clear" w:color="auto" w:fill="FFFFFF"/>
        </w:rPr>
        <w:t>(Chakravorty, 2009)</w:t>
      </w:r>
      <w:r w:rsidRPr="00026AB8">
        <w:rPr>
          <w:rFonts w:ascii="Arial" w:hAnsi="Arial" w:cs="Arial"/>
          <w:sz w:val="24"/>
          <w:szCs w:val="24"/>
        </w:rPr>
        <w:t xml:space="preserve">. Licensing or contract manufacturing would decrease control over TPS and THS with the risk of knowledge leakage, poor quality and increased transaction costs </w:t>
      </w:r>
      <w:r w:rsidRPr="00026AB8">
        <w:rPr>
          <w:rFonts w:ascii="Arial" w:hAnsi="Arial" w:cs="Arial"/>
          <w:sz w:val="24"/>
          <w:szCs w:val="24"/>
          <w:shd w:val="clear" w:color="auto" w:fill="FFFFFF"/>
        </w:rPr>
        <w:t>(Volti, 2021</w:t>
      </w:r>
      <w:r w:rsidRPr="00026AB8">
        <w:rPr>
          <w:rFonts w:ascii="Arial" w:hAnsi="Arial" w:cs="Arial"/>
          <w:sz w:val="24"/>
          <w:szCs w:val="24"/>
        </w:rPr>
        <w:t>). These options were hence less acceptable. The JV would enable Toyota to enjoy ownership benefits (proprietary systems), internalisation benefits (control over tacit knowledge) and location benefits (tapping into Kirloskar local expertise) which offers a balance of control, efficiency, and flexibility in the Indian context.</w:t>
      </w:r>
    </w:p>
    <w:p w14:paraId="6B3D3B93" w14:textId="77777777" w:rsidR="00026AB8" w:rsidRDefault="00026AB8" w:rsidP="00026AB8">
      <w:pPr>
        <w:spacing w:before="240" w:line="360" w:lineRule="auto"/>
        <w:jc w:val="both"/>
        <w:rPr>
          <w:rFonts w:ascii="Arial" w:hAnsi="Arial" w:cs="Arial"/>
          <w:sz w:val="24"/>
          <w:szCs w:val="24"/>
        </w:rPr>
      </w:pPr>
      <w:r w:rsidRPr="00026AB8">
        <w:rPr>
          <w:rFonts w:ascii="Arial" w:hAnsi="Arial" w:cs="Arial"/>
          <w:sz w:val="24"/>
          <w:szCs w:val="24"/>
          <w:shd w:val="clear" w:color="auto" w:fill="FFFFFF"/>
        </w:rPr>
        <w:t>Power distance, collectivism, and the relationship-focused nature of Indian business institutions make independent entry risky</w:t>
      </w:r>
      <w:r w:rsidRPr="00026AB8">
        <w:rPr>
          <w:rFonts w:ascii="Arial" w:hAnsi="Arial" w:cs="Arial"/>
          <w:sz w:val="24"/>
          <w:szCs w:val="24"/>
        </w:rPr>
        <w:t xml:space="preserve">. Through its collaborative efforts with Kirloskar, Toyota can resonate with local standards, gain trust among stakeholders and be able to navigate hierarchical and community-focused institutions without losing majority control </w:t>
      </w:r>
      <w:r w:rsidRPr="00026AB8">
        <w:rPr>
          <w:rFonts w:ascii="Arial" w:hAnsi="Arial" w:cs="Arial"/>
          <w:sz w:val="24"/>
          <w:szCs w:val="24"/>
          <w:shd w:val="clear" w:color="auto" w:fill="FFFFFF"/>
        </w:rPr>
        <w:t>(James, 2024)</w:t>
      </w:r>
      <w:r w:rsidRPr="00026AB8">
        <w:rPr>
          <w:rFonts w:ascii="Arial" w:hAnsi="Arial" w:cs="Arial"/>
          <w:sz w:val="24"/>
          <w:szCs w:val="24"/>
        </w:rPr>
        <w:t xml:space="preserve">. Therefore, the joint venture has been chosen precisely because it meets the OLI requirements of Toyota and it fits well within the cultural and institutional context of India which allows efficient, credible, and scalable market penetration </w:t>
      </w:r>
      <w:r w:rsidRPr="00026AB8">
        <w:rPr>
          <w:rFonts w:ascii="Arial" w:hAnsi="Arial" w:cs="Arial"/>
          <w:sz w:val="24"/>
          <w:szCs w:val="24"/>
          <w:shd w:val="clear" w:color="auto" w:fill="FFFFFF"/>
        </w:rPr>
        <w:t>(Rahman and Acharya, 2020)</w:t>
      </w:r>
      <w:r w:rsidRPr="00026AB8">
        <w:rPr>
          <w:rFonts w:ascii="Arial" w:hAnsi="Arial" w:cs="Arial"/>
          <w:sz w:val="24"/>
          <w:szCs w:val="24"/>
        </w:rPr>
        <w:t>.</w:t>
      </w:r>
    </w:p>
    <w:p w14:paraId="6177B0EF" w14:textId="77777777" w:rsidR="00FD1312" w:rsidRPr="00026AB8" w:rsidRDefault="00FD1312" w:rsidP="00026AB8">
      <w:pPr>
        <w:spacing w:before="240" w:line="360" w:lineRule="auto"/>
        <w:jc w:val="both"/>
        <w:rPr>
          <w:rFonts w:ascii="Arial" w:hAnsi="Arial" w:cs="Arial"/>
          <w:sz w:val="24"/>
          <w:szCs w:val="24"/>
        </w:rPr>
      </w:pPr>
    </w:p>
    <w:tbl>
      <w:tblPr>
        <w:tblStyle w:val="TableGridLight"/>
        <w:tblW w:w="0" w:type="auto"/>
        <w:tblLook w:val="04A0" w:firstRow="1" w:lastRow="0" w:firstColumn="1" w:lastColumn="0" w:noHBand="0" w:noVBand="1"/>
      </w:tblPr>
      <w:tblGrid>
        <w:gridCol w:w="1874"/>
        <w:gridCol w:w="3383"/>
        <w:gridCol w:w="3759"/>
      </w:tblGrid>
      <w:tr w:rsidR="00026AB8" w:rsidRPr="00026AB8" w14:paraId="2E471952" w14:textId="77777777" w:rsidTr="009F26A5">
        <w:tc>
          <w:tcPr>
            <w:tcW w:w="0" w:type="auto"/>
            <w:shd w:val="clear" w:color="auto" w:fill="D5DCE4" w:themeFill="text2" w:themeFillTint="33"/>
            <w:hideMark/>
          </w:tcPr>
          <w:p w14:paraId="2723599C"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lastRenderedPageBreak/>
              <w:t>OLI Factor</w:t>
            </w:r>
          </w:p>
        </w:tc>
        <w:tc>
          <w:tcPr>
            <w:tcW w:w="0" w:type="auto"/>
            <w:shd w:val="clear" w:color="auto" w:fill="D5DCE4" w:themeFill="text2" w:themeFillTint="33"/>
            <w:hideMark/>
          </w:tcPr>
          <w:p w14:paraId="12318792"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Key Advantages</w:t>
            </w:r>
          </w:p>
        </w:tc>
        <w:tc>
          <w:tcPr>
            <w:tcW w:w="0" w:type="auto"/>
            <w:shd w:val="clear" w:color="auto" w:fill="D5DCE4" w:themeFill="text2" w:themeFillTint="33"/>
            <w:hideMark/>
          </w:tcPr>
          <w:p w14:paraId="112AB3F9"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Impact on Entry Mode</w:t>
            </w:r>
          </w:p>
        </w:tc>
      </w:tr>
      <w:tr w:rsidR="00026AB8" w:rsidRPr="00026AB8" w14:paraId="5EACB771" w14:textId="77777777" w:rsidTr="009F26A5">
        <w:tc>
          <w:tcPr>
            <w:tcW w:w="0" w:type="auto"/>
            <w:hideMark/>
          </w:tcPr>
          <w:p w14:paraId="78A32BAA"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Ownership (O)</w:t>
            </w:r>
          </w:p>
        </w:tc>
        <w:tc>
          <w:tcPr>
            <w:tcW w:w="0" w:type="auto"/>
            <w:hideMark/>
          </w:tcPr>
          <w:p w14:paraId="26CF0089" w14:textId="77777777" w:rsidR="00026AB8" w:rsidRPr="00026AB8" w:rsidRDefault="00026AB8" w:rsidP="00026AB8">
            <w:pPr>
              <w:pStyle w:val="ListParagraph"/>
              <w:numPr>
                <w:ilvl w:val="0"/>
                <w:numId w:val="30"/>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Global brand recognition</w:t>
            </w:r>
          </w:p>
          <w:p w14:paraId="6E545146" w14:textId="77777777" w:rsidR="00026AB8" w:rsidRPr="00026AB8" w:rsidRDefault="00026AB8" w:rsidP="00026AB8">
            <w:pPr>
              <w:pStyle w:val="ListParagraph"/>
              <w:numPr>
                <w:ilvl w:val="0"/>
                <w:numId w:val="30"/>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Proprietary hybrid/fuel-cell tech</w:t>
            </w:r>
          </w:p>
          <w:p w14:paraId="33BECB8A" w14:textId="77777777" w:rsidR="00026AB8" w:rsidRPr="00026AB8" w:rsidRDefault="00026AB8" w:rsidP="00026AB8">
            <w:pPr>
              <w:pStyle w:val="ListParagraph"/>
              <w:numPr>
                <w:ilvl w:val="0"/>
                <w:numId w:val="30"/>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Lean manufacturing &amp; Kaizen systems</w:t>
            </w:r>
          </w:p>
        </w:tc>
        <w:tc>
          <w:tcPr>
            <w:tcW w:w="0" w:type="auto"/>
            <w:hideMark/>
          </w:tcPr>
          <w:p w14:paraId="39933032"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 xml:space="preserve">Protects core assets &amp; technology; enables direct operational control </w:t>
            </w:r>
            <w:r w:rsidRPr="00026AB8">
              <w:rPr>
                <w:rFonts w:ascii="Arial" w:hAnsi="Arial" w:cs="Arial"/>
                <w:sz w:val="24"/>
                <w:szCs w:val="24"/>
                <w:shd w:val="clear" w:color="auto" w:fill="FFFFFF"/>
              </w:rPr>
              <w:t>(Sosnovskikh, 2019)</w:t>
            </w:r>
            <w:r w:rsidRPr="00026AB8">
              <w:rPr>
                <w:rFonts w:ascii="Arial" w:hAnsi="Arial" w:cs="Arial"/>
                <w:sz w:val="24"/>
                <w:szCs w:val="24"/>
              </w:rPr>
              <w:t>.</w:t>
            </w:r>
          </w:p>
        </w:tc>
      </w:tr>
      <w:tr w:rsidR="00026AB8" w:rsidRPr="00026AB8" w14:paraId="40CE7E35" w14:textId="77777777" w:rsidTr="009F26A5">
        <w:tc>
          <w:tcPr>
            <w:tcW w:w="0" w:type="auto"/>
            <w:hideMark/>
          </w:tcPr>
          <w:p w14:paraId="23065C9E"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Location (L)</w:t>
            </w:r>
          </w:p>
        </w:tc>
        <w:tc>
          <w:tcPr>
            <w:tcW w:w="0" w:type="auto"/>
            <w:hideMark/>
          </w:tcPr>
          <w:p w14:paraId="461BE8D3" w14:textId="77777777" w:rsidR="00026AB8" w:rsidRPr="00026AB8" w:rsidRDefault="00026AB8" w:rsidP="00026AB8">
            <w:pPr>
              <w:pStyle w:val="ListParagraph"/>
              <w:numPr>
                <w:ilvl w:val="0"/>
                <w:numId w:val="31"/>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Growing automotive market in India</w:t>
            </w:r>
          </w:p>
          <w:p w14:paraId="37BFAECF" w14:textId="77777777" w:rsidR="00026AB8" w:rsidRPr="00026AB8" w:rsidRDefault="00026AB8" w:rsidP="00026AB8">
            <w:pPr>
              <w:pStyle w:val="ListParagraph"/>
              <w:numPr>
                <w:ilvl w:val="0"/>
                <w:numId w:val="31"/>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Cost-effective labour &amp; local suppliers</w:t>
            </w:r>
          </w:p>
          <w:p w14:paraId="4FA211F7" w14:textId="77777777" w:rsidR="00026AB8" w:rsidRPr="00026AB8" w:rsidRDefault="00026AB8" w:rsidP="00026AB8">
            <w:pPr>
              <w:pStyle w:val="ListParagraph"/>
              <w:numPr>
                <w:ilvl w:val="0"/>
                <w:numId w:val="31"/>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Government incentives (Make in India)</w:t>
            </w:r>
          </w:p>
        </w:tc>
        <w:tc>
          <w:tcPr>
            <w:tcW w:w="0" w:type="auto"/>
            <w:hideMark/>
          </w:tcPr>
          <w:p w14:paraId="1798179C"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 xml:space="preserve">Justifies local production; reduces operational costs; accelerates market penetration </w:t>
            </w:r>
            <w:r w:rsidRPr="00026AB8">
              <w:rPr>
                <w:rFonts w:ascii="Arial" w:hAnsi="Arial" w:cs="Arial"/>
                <w:sz w:val="24"/>
                <w:szCs w:val="24"/>
                <w:shd w:val="clear" w:color="auto" w:fill="FFFFFF"/>
              </w:rPr>
              <w:t>(Yang, 2022)</w:t>
            </w:r>
            <w:r w:rsidRPr="00026AB8">
              <w:rPr>
                <w:rFonts w:ascii="Arial" w:hAnsi="Arial" w:cs="Arial"/>
                <w:sz w:val="24"/>
                <w:szCs w:val="24"/>
              </w:rPr>
              <w:t>.</w:t>
            </w:r>
          </w:p>
        </w:tc>
      </w:tr>
      <w:tr w:rsidR="00026AB8" w:rsidRPr="00026AB8" w14:paraId="539E6FE3" w14:textId="77777777" w:rsidTr="009F26A5">
        <w:tc>
          <w:tcPr>
            <w:tcW w:w="0" w:type="auto"/>
            <w:hideMark/>
          </w:tcPr>
          <w:p w14:paraId="4CCC9C7B"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Internalization (I)</w:t>
            </w:r>
          </w:p>
        </w:tc>
        <w:tc>
          <w:tcPr>
            <w:tcW w:w="0" w:type="auto"/>
            <w:hideMark/>
          </w:tcPr>
          <w:p w14:paraId="609C03BB" w14:textId="77777777" w:rsidR="00026AB8" w:rsidRPr="00026AB8" w:rsidRDefault="00026AB8" w:rsidP="00026AB8">
            <w:pPr>
              <w:pStyle w:val="ListParagraph"/>
              <w:numPr>
                <w:ilvl w:val="0"/>
                <w:numId w:val="32"/>
              </w:numPr>
              <w:spacing w:after="0"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Core technologies and processes (TPS, THS) are experience based, complex and hard to codify.</w:t>
            </w:r>
          </w:p>
        </w:tc>
        <w:tc>
          <w:tcPr>
            <w:tcW w:w="0" w:type="auto"/>
            <w:hideMark/>
          </w:tcPr>
          <w:p w14:paraId="5C481019"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 xml:space="preserve">Licensing, exporting, or contract manufacturing avoided; JV enables direct control over production, quality, and operational processes while mitigating knowledge leakage </w:t>
            </w:r>
            <w:r w:rsidRPr="00026AB8">
              <w:rPr>
                <w:rFonts w:ascii="Arial" w:hAnsi="Arial" w:cs="Arial"/>
                <w:sz w:val="24"/>
                <w:szCs w:val="24"/>
                <w:shd w:val="clear" w:color="auto" w:fill="FFFFFF"/>
              </w:rPr>
              <w:t>(Pervin and Khan, 2022)</w:t>
            </w:r>
            <w:r w:rsidRPr="00026AB8">
              <w:rPr>
                <w:rFonts w:ascii="Arial" w:hAnsi="Arial" w:cs="Arial"/>
                <w:sz w:val="24"/>
                <w:szCs w:val="24"/>
              </w:rPr>
              <w:t>.</w:t>
            </w:r>
          </w:p>
        </w:tc>
      </w:tr>
    </w:tbl>
    <w:p w14:paraId="00374B62" w14:textId="77777777" w:rsidR="00026AB8" w:rsidRPr="00026AB8" w:rsidRDefault="00026AB8" w:rsidP="00026AB8">
      <w:pPr>
        <w:spacing w:before="240" w:line="360" w:lineRule="auto"/>
        <w:jc w:val="center"/>
        <w:rPr>
          <w:rFonts w:ascii="Arial" w:hAnsi="Arial" w:cs="Arial"/>
          <w:b/>
          <w:noProof/>
          <w:sz w:val="24"/>
          <w:szCs w:val="24"/>
        </w:rPr>
      </w:pPr>
      <w:r w:rsidRPr="00026AB8">
        <w:rPr>
          <w:rFonts w:ascii="Arial" w:hAnsi="Arial" w:cs="Arial"/>
          <w:b/>
          <w:noProof/>
          <w:sz w:val="24"/>
          <w:szCs w:val="24"/>
        </w:rPr>
        <w:lastRenderedPageBreak/>
        <w:drawing>
          <wp:anchor distT="0" distB="0" distL="114300" distR="114300" simplePos="0" relativeHeight="251659264" behindDoc="0" locked="0" layoutInCell="1" allowOverlap="1" wp14:anchorId="582EE1C4" wp14:editId="1997EF14">
            <wp:simplePos x="0" y="0"/>
            <wp:positionH relativeFrom="column">
              <wp:posOffset>0</wp:posOffset>
            </wp:positionH>
            <wp:positionV relativeFrom="paragraph">
              <wp:posOffset>395605</wp:posOffset>
            </wp:positionV>
            <wp:extent cx="5714365" cy="3139440"/>
            <wp:effectExtent l="0" t="0" r="635" b="3810"/>
            <wp:wrapSquare wrapText="bothSides"/>
            <wp:docPr id="1" name="Picture 1" descr="Hybrid car sales up 118% in Q1 of FY2026; Toyota leads the pack-hybrid-s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ybrid car sales up 118% in Q1 of FY2026; Toyota leads the pack-hybrid-sales.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2260" r="2513" b="9585"/>
                    <a:stretch/>
                  </pic:blipFill>
                  <pic:spPr bwMode="auto">
                    <a:xfrm>
                      <a:off x="0" y="0"/>
                      <a:ext cx="5714365" cy="313944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026AB8">
        <w:rPr>
          <w:rFonts w:ascii="Arial" w:hAnsi="Arial" w:cs="Arial"/>
          <w:b/>
          <w:noProof/>
          <w:sz w:val="24"/>
          <w:szCs w:val="24"/>
        </w:rPr>
        <w:t xml:space="preserve">Table 1: OLI Factors Entry mode Summary </w:t>
      </w:r>
      <w:r w:rsidRPr="00026AB8">
        <w:rPr>
          <w:rFonts w:ascii="Arial" w:hAnsi="Arial" w:cs="Arial"/>
          <w:b/>
          <w:sz w:val="24"/>
          <w:szCs w:val="24"/>
          <w:shd w:val="clear" w:color="auto" w:fill="FFFFFF"/>
        </w:rPr>
        <w:t>(Yang, 2022)</w:t>
      </w:r>
      <w:r w:rsidRPr="00026AB8">
        <w:rPr>
          <w:rFonts w:ascii="Arial" w:hAnsi="Arial" w:cs="Arial"/>
          <w:b/>
          <w:sz w:val="24"/>
          <w:szCs w:val="24"/>
        </w:rPr>
        <w:t xml:space="preserve">, </w:t>
      </w:r>
      <w:r w:rsidRPr="00026AB8">
        <w:rPr>
          <w:rFonts w:ascii="Arial" w:hAnsi="Arial" w:cs="Arial"/>
          <w:b/>
          <w:sz w:val="24"/>
          <w:szCs w:val="24"/>
          <w:shd w:val="clear" w:color="auto" w:fill="FFFFFF"/>
        </w:rPr>
        <w:t>(Sosnovskikh, 2019)</w:t>
      </w:r>
    </w:p>
    <w:p w14:paraId="6453A200" w14:textId="77777777" w:rsidR="00026AB8" w:rsidRPr="00026AB8" w:rsidRDefault="00026AB8" w:rsidP="00026AB8">
      <w:pPr>
        <w:spacing w:after="100" w:afterAutospacing="1" w:line="360" w:lineRule="auto"/>
        <w:outlineLvl w:val="0"/>
        <w:rPr>
          <w:rFonts w:ascii="Arial" w:hAnsi="Arial" w:cs="Arial"/>
          <w:b/>
          <w:sz w:val="24"/>
          <w:szCs w:val="24"/>
        </w:rPr>
      </w:pPr>
      <w:bookmarkStart w:id="15" w:name="_Toc215274206"/>
    </w:p>
    <w:p w14:paraId="777ACB11" w14:textId="77777777" w:rsidR="00026AB8" w:rsidRPr="00026AB8" w:rsidRDefault="00026AB8" w:rsidP="00026AB8">
      <w:pPr>
        <w:spacing w:after="100" w:afterAutospacing="1" w:line="360" w:lineRule="auto"/>
        <w:jc w:val="center"/>
        <w:outlineLvl w:val="0"/>
        <w:rPr>
          <w:rFonts w:ascii="Arial" w:eastAsia="Times New Roman" w:hAnsi="Arial" w:cs="Arial"/>
          <w:b/>
          <w:bCs/>
          <w:kern w:val="36"/>
          <w:sz w:val="24"/>
          <w:szCs w:val="24"/>
          <w:lang w:eastAsia="en-IN"/>
        </w:rPr>
      </w:pPr>
      <w:bookmarkStart w:id="16" w:name="_Toc215316622"/>
      <w:bookmarkStart w:id="17" w:name="_Toc216449013"/>
      <w:bookmarkStart w:id="18" w:name="_Toc216654139"/>
      <w:r w:rsidRPr="00026AB8">
        <w:rPr>
          <w:rFonts w:ascii="Arial" w:hAnsi="Arial" w:cs="Arial"/>
          <w:b/>
          <w:sz w:val="24"/>
          <w:szCs w:val="24"/>
        </w:rPr>
        <w:t>Figure 4: Hybrid Car Sales in India (Jan–July 2025) (Team-BHP, 2025)</w:t>
      </w:r>
      <w:bookmarkEnd w:id="15"/>
      <w:bookmarkEnd w:id="16"/>
      <w:bookmarkEnd w:id="17"/>
      <w:bookmarkEnd w:id="18"/>
    </w:p>
    <w:p w14:paraId="3CCD3713"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Figure illustrates the sales of Honda, Maruti Suzuki and Toyota hybrid cars in India in relation to monthly sales between January and July FY2025 (Team-BHP, 2025). It is evident that Toyota has a lead in the market and therefore relates to its ownership advantages, location advantages and internalisation benefits (control over production and proprietary systems) </w:t>
      </w:r>
      <w:r w:rsidRPr="00026AB8">
        <w:rPr>
          <w:rFonts w:ascii="Arial" w:hAnsi="Arial" w:cs="Arial"/>
          <w:sz w:val="24"/>
          <w:szCs w:val="24"/>
          <w:shd w:val="clear" w:color="auto" w:fill="FFFFFF"/>
        </w:rPr>
        <w:t>(Pervin and Khan, 2022)</w:t>
      </w:r>
      <w:r w:rsidRPr="00026AB8">
        <w:rPr>
          <w:rFonts w:ascii="Arial" w:hAnsi="Arial" w:cs="Arial"/>
          <w:sz w:val="24"/>
          <w:szCs w:val="24"/>
        </w:rPr>
        <w:t>. The graph aids in supporting the discussion of the strategic fit of Toyota in the OLI framework by exhibiting steady dominance over the competition.</w:t>
      </w:r>
    </w:p>
    <w:tbl>
      <w:tblPr>
        <w:tblStyle w:val="TableGridLight"/>
        <w:tblW w:w="0" w:type="auto"/>
        <w:jc w:val="center"/>
        <w:tblLook w:val="04A0" w:firstRow="1" w:lastRow="0" w:firstColumn="1" w:lastColumn="0" w:noHBand="0" w:noVBand="1"/>
      </w:tblPr>
      <w:tblGrid>
        <w:gridCol w:w="1972"/>
        <w:gridCol w:w="1963"/>
        <w:gridCol w:w="3724"/>
        <w:gridCol w:w="1357"/>
      </w:tblGrid>
      <w:tr w:rsidR="00026AB8" w:rsidRPr="00026AB8" w14:paraId="23732629" w14:textId="77777777" w:rsidTr="009F26A5">
        <w:trPr>
          <w:jc w:val="center"/>
        </w:trPr>
        <w:tc>
          <w:tcPr>
            <w:tcW w:w="0" w:type="auto"/>
            <w:hideMark/>
          </w:tcPr>
          <w:p w14:paraId="27C69CF6"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Year/Month</w:t>
            </w:r>
          </w:p>
        </w:tc>
        <w:tc>
          <w:tcPr>
            <w:tcW w:w="0" w:type="auto"/>
            <w:hideMark/>
          </w:tcPr>
          <w:p w14:paraId="098040AB"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Domestic Sales</w:t>
            </w:r>
          </w:p>
        </w:tc>
        <w:tc>
          <w:tcPr>
            <w:tcW w:w="0" w:type="auto"/>
            <w:hideMark/>
          </w:tcPr>
          <w:p w14:paraId="183D958C"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Total Sales (Domestic + Export)</w:t>
            </w:r>
          </w:p>
        </w:tc>
        <w:tc>
          <w:tcPr>
            <w:tcW w:w="0" w:type="auto"/>
            <w:hideMark/>
          </w:tcPr>
          <w:p w14:paraId="0D9EE2E5" w14:textId="77777777" w:rsidR="00026AB8" w:rsidRPr="00026AB8" w:rsidRDefault="00026AB8" w:rsidP="00026AB8">
            <w:pPr>
              <w:spacing w:line="360" w:lineRule="auto"/>
              <w:jc w:val="center"/>
              <w:rPr>
                <w:rFonts w:ascii="Arial" w:eastAsia="Times New Roman" w:hAnsi="Arial" w:cs="Arial"/>
                <w:b/>
                <w:bCs/>
                <w:sz w:val="24"/>
                <w:szCs w:val="24"/>
                <w:lang w:eastAsia="en-IN"/>
              </w:rPr>
            </w:pPr>
            <w:r w:rsidRPr="00026AB8">
              <w:rPr>
                <w:rFonts w:ascii="Arial" w:eastAsia="Times New Roman" w:hAnsi="Arial" w:cs="Arial"/>
                <w:b/>
                <w:bCs/>
                <w:sz w:val="24"/>
                <w:szCs w:val="24"/>
                <w:lang w:eastAsia="en-IN"/>
              </w:rPr>
              <w:t>Growth %</w:t>
            </w:r>
          </w:p>
        </w:tc>
      </w:tr>
      <w:tr w:rsidR="00026AB8" w:rsidRPr="00026AB8" w14:paraId="44A10FF5" w14:textId="77777777" w:rsidTr="009F26A5">
        <w:trPr>
          <w:jc w:val="center"/>
        </w:trPr>
        <w:tc>
          <w:tcPr>
            <w:tcW w:w="0" w:type="auto"/>
            <w:hideMark/>
          </w:tcPr>
          <w:p w14:paraId="138BCADD"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March 2014</w:t>
            </w:r>
          </w:p>
        </w:tc>
        <w:tc>
          <w:tcPr>
            <w:tcW w:w="0" w:type="auto"/>
            <w:hideMark/>
          </w:tcPr>
          <w:p w14:paraId="74F23D33"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8,206</w:t>
            </w:r>
          </w:p>
        </w:tc>
        <w:tc>
          <w:tcPr>
            <w:tcW w:w="0" w:type="auto"/>
            <w:hideMark/>
          </w:tcPr>
          <w:p w14:paraId="0C22C138"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9,018</w:t>
            </w:r>
          </w:p>
        </w:tc>
        <w:tc>
          <w:tcPr>
            <w:tcW w:w="0" w:type="auto"/>
            <w:hideMark/>
          </w:tcPr>
          <w:p w14:paraId="2C5B4634"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w:t>
            </w:r>
          </w:p>
        </w:tc>
      </w:tr>
      <w:tr w:rsidR="00026AB8" w:rsidRPr="00026AB8" w14:paraId="6F8DF496" w14:textId="77777777" w:rsidTr="009F26A5">
        <w:trPr>
          <w:jc w:val="center"/>
        </w:trPr>
        <w:tc>
          <w:tcPr>
            <w:tcW w:w="0" w:type="auto"/>
            <w:hideMark/>
          </w:tcPr>
          <w:p w14:paraId="71EE0663"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March 2015</w:t>
            </w:r>
          </w:p>
        </w:tc>
        <w:tc>
          <w:tcPr>
            <w:tcW w:w="0" w:type="auto"/>
            <w:hideMark/>
          </w:tcPr>
          <w:p w14:paraId="537802BE"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13,333</w:t>
            </w:r>
          </w:p>
        </w:tc>
        <w:tc>
          <w:tcPr>
            <w:tcW w:w="0" w:type="auto"/>
            <w:hideMark/>
          </w:tcPr>
          <w:p w14:paraId="3E0E19C0"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14,623</w:t>
            </w:r>
          </w:p>
        </w:tc>
        <w:tc>
          <w:tcPr>
            <w:tcW w:w="0" w:type="auto"/>
            <w:hideMark/>
          </w:tcPr>
          <w:p w14:paraId="3DFEB5B7"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+62% YoY</w:t>
            </w:r>
          </w:p>
        </w:tc>
      </w:tr>
      <w:tr w:rsidR="00026AB8" w:rsidRPr="00026AB8" w14:paraId="09179D50" w14:textId="77777777" w:rsidTr="009F26A5">
        <w:trPr>
          <w:jc w:val="center"/>
        </w:trPr>
        <w:tc>
          <w:tcPr>
            <w:tcW w:w="0" w:type="auto"/>
          </w:tcPr>
          <w:p w14:paraId="33ED06CB"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January 2018</w:t>
            </w:r>
          </w:p>
        </w:tc>
        <w:tc>
          <w:tcPr>
            <w:tcW w:w="0" w:type="auto"/>
          </w:tcPr>
          <w:p w14:paraId="272A6D98"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12,351</w:t>
            </w:r>
          </w:p>
        </w:tc>
        <w:tc>
          <w:tcPr>
            <w:tcW w:w="0" w:type="auto"/>
          </w:tcPr>
          <w:p w14:paraId="21BB1D83"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13,239</w:t>
            </w:r>
          </w:p>
        </w:tc>
        <w:tc>
          <w:tcPr>
            <w:tcW w:w="0" w:type="auto"/>
          </w:tcPr>
          <w:p w14:paraId="2267F465"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+20% YoY</w:t>
            </w:r>
          </w:p>
        </w:tc>
      </w:tr>
      <w:tr w:rsidR="00026AB8" w:rsidRPr="00026AB8" w14:paraId="1D6235F0" w14:textId="77777777" w:rsidTr="009F26A5">
        <w:trPr>
          <w:jc w:val="center"/>
        </w:trPr>
        <w:tc>
          <w:tcPr>
            <w:tcW w:w="0" w:type="auto"/>
            <w:hideMark/>
          </w:tcPr>
          <w:p w14:paraId="69FAB8A3"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lastRenderedPageBreak/>
              <w:t>September 2023</w:t>
            </w:r>
          </w:p>
        </w:tc>
        <w:tc>
          <w:tcPr>
            <w:tcW w:w="0" w:type="auto"/>
            <w:hideMark/>
          </w:tcPr>
          <w:p w14:paraId="528A365B"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22,168</w:t>
            </w:r>
          </w:p>
        </w:tc>
        <w:tc>
          <w:tcPr>
            <w:tcW w:w="0" w:type="auto"/>
            <w:hideMark/>
          </w:tcPr>
          <w:p w14:paraId="1B54258A"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23,590</w:t>
            </w:r>
          </w:p>
        </w:tc>
        <w:tc>
          <w:tcPr>
            <w:tcW w:w="0" w:type="auto"/>
            <w:hideMark/>
          </w:tcPr>
          <w:p w14:paraId="0630E8DE"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+53% YoY</w:t>
            </w:r>
          </w:p>
        </w:tc>
      </w:tr>
      <w:tr w:rsidR="00026AB8" w:rsidRPr="00026AB8" w14:paraId="77D5475A" w14:textId="77777777" w:rsidTr="009F26A5">
        <w:trPr>
          <w:jc w:val="center"/>
        </w:trPr>
        <w:tc>
          <w:tcPr>
            <w:tcW w:w="0" w:type="auto"/>
            <w:hideMark/>
          </w:tcPr>
          <w:p w14:paraId="5BBBEEE2"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August 2025</w:t>
            </w:r>
          </w:p>
        </w:tc>
        <w:tc>
          <w:tcPr>
            <w:tcW w:w="0" w:type="auto"/>
            <w:hideMark/>
          </w:tcPr>
          <w:p w14:paraId="53C844DE"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29,302</w:t>
            </w:r>
          </w:p>
        </w:tc>
        <w:tc>
          <w:tcPr>
            <w:tcW w:w="0" w:type="auto"/>
            <w:hideMark/>
          </w:tcPr>
          <w:p w14:paraId="4506E0A6"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34,236</w:t>
            </w:r>
          </w:p>
        </w:tc>
        <w:tc>
          <w:tcPr>
            <w:tcW w:w="0" w:type="auto"/>
            <w:hideMark/>
          </w:tcPr>
          <w:p w14:paraId="33E51EA4"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+11% YoY</w:t>
            </w:r>
          </w:p>
        </w:tc>
      </w:tr>
      <w:tr w:rsidR="00026AB8" w:rsidRPr="00026AB8" w14:paraId="4FD2FF54" w14:textId="77777777" w:rsidTr="009F26A5">
        <w:trPr>
          <w:jc w:val="center"/>
        </w:trPr>
        <w:tc>
          <w:tcPr>
            <w:tcW w:w="0" w:type="auto"/>
            <w:hideMark/>
          </w:tcPr>
          <w:p w14:paraId="4C1F365D"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October 2025</w:t>
            </w:r>
          </w:p>
        </w:tc>
        <w:tc>
          <w:tcPr>
            <w:tcW w:w="0" w:type="auto"/>
            <w:hideMark/>
          </w:tcPr>
          <w:p w14:paraId="64757290"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40,257</w:t>
            </w:r>
          </w:p>
        </w:tc>
        <w:tc>
          <w:tcPr>
            <w:tcW w:w="0" w:type="auto"/>
            <w:hideMark/>
          </w:tcPr>
          <w:p w14:paraId="08B8E3EB"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42,892</w:t>
            </w:r>
          </w:p>
        </w:tc>
        <w:tc>
          <w:tcPr>
            <w:tcW w:w="0" w:type="auto"/>
            <w:hideMark/>
          </w:tcPr>
          <w:p w14:paraId="380C6D89"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b/>
                <w:bCs/>
                <w:sz w:val="24"/>
                <w:szCs w:val="24"/>
                <w:lang w:eastAsia="en-IN"/>
              </w:rPr>
              <w:t>+39% YoY</w:t>
            </w:r>
          </w:p>
        </w:tc>
      </w:tr>
    </w:tbl>
    <w:p w14:paraId="6C9A1C32" w14:textId="77777777" w:rsidR="00026AB8" w:rsidRPr="00026AB8" w:rsidRDefault="00026AB8" w:rsidP="00026AB8">
      <w:pPr>
        <w:spacing w:before="240" w:line="360" w:lineRule="auto"/>
        <w:jc w:val="center"/>
        <w:rPr>
          <w:rFonts w:ascii="Arial" w:hAnsi="Arial" w:cs="Arial"/>
          <w:b/>
          <w:sz w:val="24"/>
          <w:szCs w:val="24"/>
        </w:rPr>
      </w:pPr>
      <w:r w:rsidRPr="00026AB8">
        <w:rPr>
          <w:rFonts w:ascii="Arial" w:hAnsi="Arial" w:cs="Arial"/>
          <w:b/>
          <w:sz w:val="24"/>
          <w:szCs w:val="24"/>
        </w:rPr>
        <w:t xml:space="preserve">Toyota Kirloskar Motor – Domestic and Total Sales with Year-on-Year Growth </w:t>
      </w:r>
      <w:r w:rsidRPr="00026AB8">
        <w:rPr>
          <w:rFonts w:ascii="Arial" w:hAnsi="Arial" w:cs="Arial"/>
          <w:b/>
          <w:bCs/>
          <w:sz w:val="24"/>
          <w:szCs w:val="24"/>
        </w:rPr>
        <w:t>(Toyota Kirloskar Motor, 2018, 2015, 2023,2025)</w:t>
      </w:r>
    </w:p>
    <w:p w14:paraId="6F388C78" w14:textId="77777777" w:rsidR="00026AB8" w:rsidRPr="00026AB8" w:rsidRDefault="00026AB8" w:rsidP="00026AB8">
      <w:pPr>
        <w:spacing w:line="360" w:lineRule="auto"/>
        <w:jc w:val="both"/>
        <w:rPr>
          <w:rFonts w:ascii="Arial" w:hAnsi="Arial" w:cs="Arial"/>
          <w:sz w:val="24"/>
          <w:szCs w:val="24"/>
        </w:rPr>
      </w:pPr>
      <w:r w:rsidRPr="00026AB8">
        <w:rPr>
          <w:rFonts w:ascii="Arial" w:eastAsia="Times New Roman" w:hAnsi="Arial" w:cs="Arial"/>
          <w:noProof/>
          <w:sz w:val="24"/>
          <w:szCs w:val="24"/>
          <w:lang w:eastAsia="en-IN"/>
        </w:rPr>
        <w:drawing>
          <wp:inline distT="0" distB="0" distL="0" distR="0" wp14:anchorId="74BB81B1" wp14:editId="586B62A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771BD6B" w14:textId="77777777" w:rsidR="00026AB8" w:rsidRPr="00026AB8" w:rsidRDefault="00026AB8" w:rsidP="00026AB8">
      <w:pPr>
        <w:spacing w:line="360" w:lineRule="auto"/>
        <w:jc w:val="center"/>
        <w:rPr>
          <w:rFonts w:ascii="Arial" w:hAnsi="Arial" w:cs="Arial"/>
          <w:b/>
          <w:bCs/>
          <w:sz w:val="24"/>
          <w:szCs w:val="24"/>
        </w:rPr>
      </w:pPr>
      <w:r w:rsidRPr="00026AB8">
        <w:rPr>
          <w:rFonts w:ascii="Arial" w:hAnsi="Arial" w:cs="Arial"/>
          <w:b/>
          <w:sz w:val="24"/>
          <w:szCs w:val="24"/>
        </w:rPr>
        <w:t xml:space="preserve">Figure 5: </w:t>
      </w:r>
      <w:r w:rsidRPr="00026AB8">
        <w:rPr>
          <w:rFonts w:ascii="Arial" w:hAnsi="Arial" w:cs="Arial"/>
          <w:b/>
          <w:bCs/>
          <w:sz w:val="24"/>
          <w:szCs w:val="24"/>
        </w:rPr>
        <w:t>Toyota Kirloskar Motor – Domestic and Total Sales (Toyota Kirloskar Motor, 2018, 2015, 2023)</w:t>
      </w:r>
    </w:p>
    <w:p w14:paraId="6A0D3103" w14:textId="77777777" w:rsidR="00FD1312"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table shows Toyota Kirloskar Motor (TKM) sales in India between 2014 and 2025 depending on press releases. The growth in sales is gradual, as there were moderate growths between 2014 and 2015, yet rapid expansion was achieved since 2022. Major milestones are 62% and 53% in March 2015 and September 2023, respectively, which show an increase in utility and hybrid cars demand </w:t>
      </w:r>
      <w:r w:rsidRPr="00026AB8">
        <w:rPr>
          <w:rFonts w:ascii="Arial" w:hAnsi="Arial" w:cs="Arial"/>
          <w:bCs/>
          <w:sz w:val="24"/>
          <w:szCs w:val="24"/>
        </w:rPr>
        <w:t>(Toyota Kirloskar Motor, 2023)</w:t>
      </w:r>
      <w:r w:rsidRPr="00026AB8">
        <w:rPr>
          <w:rFonts w:ascii="Arial" w:hAnsi="Arial" w:cs="Arial"/>
          <w:sz w:val="24"/>
          <w:szCs w:val="24"/>
        </w:rPr>
        <w:t xml:space="preserve">. </w:t>
      </w:r>
    </w:p>
    <w:p w14:paraId="7CB82462" w14:textId="77777777" w:rsidR="00FD1312" w:rsidRDefault="00FD1312" w:rsidP="00026AB8">
      <w:pPr>
        <w:spacing w:line="360" w:lineRule="auto"/>
        <w:jc w:val="both"/>
        <w:rPr>
          <w:rFonts w:ascii="Arial" w:hAnsi="Arial" w:cs="Arial"/>
          <w:sz w:val="24"/>
          <w:szCs w:val="24"/>
        </w:rPr>
      </w:pPr>
    </w:p>
    <w:p w14:paraId="117CAC62" w14:textId="171E33DB" w:rsidR="00026AB8" w:rsidRPr="00026AB8" w:rsidRDefault="00026AB8" w:rsidP="00026AB8">
      <w:pPr>
        <w:spacing w:line="360" w:lineRule="auto"/>
        <w:jc w:val="both"/>
        <w:rPr>
          <w:rFonts w:ascii="Arial" w:hAnsi="Arial" w:cs="Arial"/>
          <w:bCs/>
          <w:sz w:val="24"/>
          <w:szCs w:val="24"/>
        </w:rPr>
      </w:pPr>
      <w:r w:rsidRPr="00026AB8">
        <w:rPr>
          <w:rFonts w:ascii="Arial" w:hAnsi="Arial" w:cs="Arial"/>
          <w:sz w:val="24"/>
          <w:szCs w:val="24"/>
        </w:rPr>
        <w:lastRenderedPageBreak/>
        <w:t xml:space="preserve">Strong growth persists through 2025, with August and October registering growth of 11 percent and 39 percent respectively on a </w:t>
      </w:r>
      <w:r w:rsidRPr="00026AB8">
        <w:rPr>
          <w:rFonts w:ascii="Arial" w:hAnsi="Arial" w:cs="Arial"/>
          <w:sz w:val="24"/>
          <w:szCs w:val="24"/>
        </w:rPr>
        <w:t>year-to-year</w:t>
      </w:r>
      <w:r w:rsidRPr="00026AB8">
        <w:rPr>
          <w:rFonts w:ascii="Arial" w:hAnsi="Arial" w:cs="Arial"/>
          <w:sz w:val="24"/>
          <w:szCs w:val="24"/>
        </w:rPr>
        <w:t xml:space="preserve"> basis, as hybrid uptake, seasonal demand, and diversification drive Toyota to increased competitiveness in India </w:t>
      </w:r>
      <w:r w:rsidRPr="00026AB8">
        <w:rPr>
          <w:rFonts w:ascii="Arial" w:hAnsi="Arial" w:cs="Arial"/>
          <w:bCs/>
          <w:sz w:val="24"/>
          <w:szCs w:val="24"/>
        </w:rPr>
        <w:t>(Toyota Kirloskar Motor, 2025)</w:t>
      </w:r>
      <w:r w:rsidRPr="00026AB8">
        <w:rPr>
          <w:rFonts w:ascii="Arial" w:hAnsi="Arial" w:cs="Arial"/>
          <w:sz w:val="24"/>
          <w:szCs w:val="24"/>
        </w:rPr>
        <w:t>.</w:t>
      </w:r>
    </w:p>
    <w:p w14:paraId="76EDDE66" w14:textId="77777777" w:rsidR="00026AB8" w:rsidRPr="00026AB8" w:rsidRDefault="00026AB8" w:rsidP="00026AB8">
      <w:pPr>
        <w:pStyle w:val="Heading1"/>
        <w:spacing w:line="360" w:lineRule="auto"/>
        <w:rPr>
          <w:rFonts w:ascii="Arial" w:hAnsi="Arial" w:cs="Arial"/>
          <w:b/>
          <w:color w:val="auto"/>
          <w:sz w:val="24"/>
          <w:szCs w:val="24"/>
        </w:rPr>
      </w:pPr>
      <w:bookmarkStart w:id="19" w:name="_Toc216654140"/>
      <w:r w:rsidRPr="00026AB8">
        <w:rPr>
          <w:rFonts w:ascii="Arial" w:hAnsi="Arial" w:cs="Arial"/>
          <w:b/>
          <w:color w:val="auto"/>
          <w:sz w:val="24"/>
          <w:szCs w:val="24"/>
        </w:rPr>
        <w:t>4. CULTURAL DIFFERENCES AND MARKET IMPACT</w:t>
      </w:r>
      <w:bookmarkEnd w:id="19"/>
      <w:r w:rsidRPr="00026AB8">
        <w:rPr>
          <w:rFonts w:ascii="Arial" w:hAnsi="Arial" w:cs="Arial"/>
          <w:b/>
          <w:color w:val="auto"/>
          <w:sz w:val="24"/>
          <w:szCs w:val="24"/>
        </w:rPr>
        <w:t xml:space="preserve"> </w:t>
      </w:r>
    </w:p>
    <w:p w14:paraId="1E79F51B"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cultural variation between Japan and India has a crucial role in defining the entry strategy of Toyota and the general performance in India. The cultural dimensions developed by Hofstede demonstrate how the two societies are similar and different, which in turn affect the organisational practices, leadership strategies, consumer engagement, and decision-making processes at Toyota (Hofstede, 1991). </w:t>
      </w:r>
    </w:p>
    <w:tbl>
      <w:tblPr>
        <w:tblStyle w:val="GridTable4-Accent5"/>
        <w:tblW w:w="0" w:type="auto"/>
        <w:jc w:val="center"/>
        <w:tblLook w:val="04A0" w:firstRow="1" w:lastRow="0" w:firstColumn="1" w:lastColumn="0" w:noHBand="0" w:noVBand="1"/>
      </w:tblPr>
      <w:tblGrid>
        <w:gridCol w:w="2817"/>
        <w:gridCol w:w="910"/>
        <w:gridCol w:w="777"/>
      </w:tblGrid>
      <w:tr w:rsidR="00026AB8" w:rsidRPr="00026AB8" w14:paraId="52B22090" w14:textId="77777777" w:rsidTr="009F26A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BCBEA3" w14:textId="77777777" w:rsidR="00026AB8" w:rsidRPr="00026AB8" w:rsidRDefault="00026AB8" w:rsidP="00026AB8">
            <w:pPr>
              <w:spacing w:line="360" w:lineRule="auto"/>
              <w:jc w:val="center"/>
              <w:rPr>
                <w:rFonts w:ascii="Arial" w:eastAsia="Times New Roman" w:hAnsi="Arial" w:cs="Arial"/>
                <w:sz w:val="24"/>
                <w:szCs w:val="24"/>
                <w:lang w:eastAsia="en-IN"/>
              </w:rPr>
            </w:pPr>
            <w:r w:rsidRPr="00026AB8">
              <w:rPr>
                <w:rFonts w:ascii="Arial" w:eastAsia="Times New Roman" w:hAnsi="Arial" w:cs="Arial"/>
                <w:sz w:val="24"/>
                <w:szCs w:val="24"/>
                <w:lang w:eastAsia="en-IN"/>
              </w:rPr>
              <w:t>Dimension</w:t>
            </w:r>
          </w:p>
        </w:tc>
        <w:tc>
          <w:tcPr>
            <w:tcW w:w="0" w:type="auto"/>
            <w:hideMark/>
          </w:tcPr>
          <w:p w14:paraId="2EEA450A" w14:textId="77777777" w:rsidR="00026AB8" w:rsidRPr="00026AB8" w:rsidRDefault="00026AB8" w:rsidP="00026AB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Japan</w:t>
            </w:r>
          </w:p>
        </w:tc>
        <w:tc>
          <w:tcPr>
            <w:tcW w:w="0" w:type="auto"/>
            <w:hideMark/>
          </w:tcPr>
          <w:p w14:paraId="6C675198" w14:textId="77777777" w:rsidR="00026AB8" w:rsidRPr="00026AB8" w:rsidRDefault="00026AB8" w:rsidP="00026AB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India</w:t>
            </w:r>
          </w:p>
        </w:tc>
      </w:tr>
      <w:tr w:rsidR="00026AB8" w:rsidRPr="00026AB8" w14:paraId="64823E7D" w14:textId="77777777" w:rsidTr="009F26A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6982755"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Power Distance</w:t>
            </w:r>
          </w:p>
        </w:tc>
        <w:tc>
          <w:tcPr>
            <w:tcW w:w="0" w:type="auto"/>
            <w:hideMark/>
          </w:tcPr>
          <w:p w14:paraId="66299462"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54</w:t>
            </w:r>
          </w:p>
        </w:tc>
        <w:tc>
          <w:tcPr>
            <w:tcW w:w="0" w:type="auto"/>
            <w:hideMark/>
          </w:tcPr>
          <w:p w14:paraId="642E6FC1"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77</w:t>
            </w:r>
          </w:p>
        </w:tc>
      </w:tr>
      <w:tr w:rsidR="00026AB8" w:rsidRPr="00026AB8" w14:paraId="77E01595" w14:textId="77777777" w:rsidTr="009F26A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A43984"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Individualism</w:t>
            </w:r>
          </w:p>
        </w:tc>
        <w:tc>
          <w:tcPr>
            <w:tcW w:w="0" w:type="auto"/>
            <w:hideMark/>
          </w:tcPr>
          <w:p w14:paraId="7E3F83AC"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46</w:t>
            </w:r>
          </w:p>
        </w:tc>
        <w:tc>
          <w:tcPr>
            <w:tcW w:w="0" w:type="auto"/>
            <w:hideMark/>
          </w:tcPr>
          <w:p w14:paraId="65AB4E1A"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48</w:t>
            </w:r>
          </w:p>
        </w:tc>
      </w:tr>
      <w:tr w:rsidR="00026AB8" w:rsidRPr="00026AB8" w14:paraId="43863FB4" w14:textId="77777777" w:rsidTr="009F26A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A8E2AC"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Uncertainty Avoidance</w:t>
            </w:r>
          </w:p>
        </w:tc>
        <w:tc>
          <w:tcPr>
            <w:tcW w:w="0" w:type="auto"/>
            <w:hideMark/>
          </w:tcPr>
          <w:p w14:paraId="6C0CCFE6"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92</w:t>
            </w:r>
          </w:p>
        </w:tc>
        <w:tc>
          <w:tcPr>
            <w:tcW w:w="0" w:type="auto"/>
            <w:hideMark/>
          </w:tcPr>
          <w:p w14:paraId="4290AE94"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40</w:t>
            </w:r>
          </w:p>
        </w:tc>
      </w:tr>
      <w:tr w:rsidR="00026AB8" w:rsidRPr="00026AB8" w14:paraId="062D8594" w14:textId="77777777" w:rsidTr="009F26A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46B15D"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Masculinity</w:t>
            </w:r>
          </w:p>
        </w:tc>
        <w:tc>
          <w:tcPr>
            <w:tcW w:w="0" w:type="auto"/>
            <w:hideMark/>
          </w:tcPr>
          <w:p w14:paraId="030EEF84"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95</w:t>
            </w:r>
          </w:p>
        </w:tc>
        <w:tc>
          <w:tcPr>
            <w:tcW w:w="0" w:type="auto"/>
            <w:hideMark/>
          </w:tcPr>
          <w:p w14:paraId="6F074D4D"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56</w:t>
            </w:r>
          </w:p>
        </w:tc>
      </w:tr>
      <w:tr w:rsidR="00026AB8" w:rsidRPr="00026AB8" w14:paraId="78029B7D" w14:textId="77777777" w:rsidTr="009F26A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6A39E3" w14:textId="77777777" w:rsidR="00026AB8" w:rsidRPr="00026AB8" w:rsidRDefault="00026AB8" w:rsidP="00026AB8">
            <w:pPr>
              <w:spacing w:line="360" w:lineRule="auto"/>
              <w:rPr>
                <w:rFonts w:ascii="Arial" w:eastAsia="Times New Roman" w:hAnsi="Arial" w:cs="Arial"/>
                <w:sz w:val="24"/>
                <w:szCs w:val="24"/>
                <w:lang w:eastAsia="en-IN"/>
              </w:rPr>
            </w:pPr>
            <w:r w:rsidRPr="00026AB8">
              <w:rPr>
                <w:rFonts w:ascii="Arial" w:eastAsia="Times New Roman" w:hAnsi="Arial" w:cs="Arial"/>
                <w:sz w:val="24"/>
                <w:szCs w:val="24"/>
                <w:lang w:eastAsia="en-IN"/>
              </w:rPr>
              <w:t>Long-Term Orientation</w:t>
            </w:r>
          </w:p>
        </w:tc>
        <w:tc>
          <w:tcPr>
            <w:tcW w:w="0" w:type="auto"/>
            <w:hideMark/>
          </w:tcPr>
          <w:p w14:paraId="553B7901"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88</w:t>
            </w:r>
          </w:p>
        </w:tc>
        <w:tc>
          <w:tcPr>
            <w:tcW w:w="0" w:type="auto"/>
            <w:hideMark/>
          </w:tcPr>
          <w:p w14:paraId="659DF666"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51</w:t>
            </w:r>
          </w:p>
        </w:tc>
      </w:tr>
    </w:tbl>
    <w:p w14:paraId="171414F5" w14:textId="77777777" w:rsidR="00026AB8" w:rsidRPr="00026AB8" w:rsidRDefault="00026AB8" w:rsidP="00026AB8">
      <w:pPr>
        <w:spacing w:before="240" w:line="360" w:lineRule="auto"/>
        <w:jc w:val="center"/>
        <w:rPr>
          <w:rFonts w:ascii="Arial" w:hAnsi="Arial" w:cs="Arial"/>
          <w:b/>
          <w:sz w:val="24"/>
          <w:szCs w:val="24"/>
        </w:rPr>
      </w:pPr>
      <w:r w:rsidRPr="00026AB8">
        <w:rPr>
          <w:rFonts w:ascii="Arial" w:hAnsi="Arial" w:cs="Arial"/>
          <w:b/>
          <w:sz w:val="24"/>
          <w:szCs w:val="24"/>
        </w:rPr>
        <w:t xml:space="preserve">Table 2: Cultural Differences Japan and India </w:t>
      </w:r>
      <w:r w:rsidRPr="00026AB8">
        <w:rPr>
          <w:rFonts w:ascii="Arial" w:hAnsi="Arial" w:cs="Arial"/>
          <w:b/>
          <w:sz w:val="24"/>
          <w:szCs w:val="24"/>
          <w:shd w:val="clear" w:color="auto" w:fill="FFFFFF"/>
        </w:rPr>
        <w:t>(Hofstede Insights, 2023)</w:t>
      </w:r>
    </w:p>
    <w:p w14:paraId="7874A8EF"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(a) Power Distance: Japan (54) and India (77)</w:t>
      </w:r>
    </w:p>
    <w:p w14:paraId="2E81BFED"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Higher power distance in India indicates a cultural preference of hierarchy, centralisation and clearly defined managerial control over Japan balancing hierarchy with group consultation </w:t>
      </w:r>
      <w:r w:rsidRPr="00026AB8">
        <w:rPr>
          <w:rFonts w:ascii="Arial" w:hAnsi="Arial" w:cs="Arial"/>
          <w:sz w:val="24"/>
          <w:szCs w:val="24"/>
          <w:shd w:val="clear" w:color="auto" w:fill="FFFFFF"/>
        </w:rPr>
        <w:t>(Hofstede Insights, 2023)</w:t>
      </w:r>
      <w:r w:rsidRPr="00026AB8">
        <w:rPr>
          <w:rFonts w:ascii="Arial" w:hAnsi="Arial" w:cs="Arial"/>
          <w:sz w:val="24"/>
          <w:szCs w:val="24"/>
        </w:rPr>
        <w:t xml:space="preserve">. The impact of this is directly experienced in the internal operations of Toyota in India. Although the tradition of Japanese management is based on bottom-up involvement and constant improvement based on Kaizen, Indian employees tend to demand top-down management, authoritative leadership and formalised organisation </w:t>
      </w:r>
      <w:r w:rsidRPr="00026AB8">
        <w:rPr>
          <w:rFonts w:ascii="Arial" w:hAnsi="Arial" w:cs="Arial"/>
          <w:sz w:val="24"/>
          <w:szCs w:val="24"/>
          <w:shd w:val="clear" w:color="auto" w:fill="FFFFFF"/>
        </w:rPr>
        <w:t>(Park and Lee, 2023)</w:t>
      </w:r>
      <w:r w:rsidRPr="00026AB8">
        <w:rPr>
          <w:rFonts w:ascii="Arial" w:hAnsi="Arial" w:cs="Arial"/>
          <w:sz w:val="24"/>
          <w:szCs w:val="24"/>
        </w:rPr>
        <w:t xml:space="preserve">. </w:t>
      </w:r>
    </w:p>
    <w:p w14:paraId="42ACBE8A" w14:textId="5BCB34E5"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 xml:space="preserve">The stronger power distance in India would also imply that Toyota would experience hierarchical state institutions, centralised decision-making, relationship-based, and regulatory systems </w:t>
      </w:r>
      <w:r w:rsidRPr="00026AB8">
        <w:rPr>
          <w:rFonts w:ascii="Arial" w:hAnsi="Arial" w:cs="Arial"/>
          <w:sz w:val="24"/>
          <w:szCs w:val="24"/>
          <w:shd w:val="clear" w:color="auto" w:fill="FFFFFF"/>
        </w:rPr>
        <w:t>(Tillu et al., 2024)</w:t>
      </w:r>
      <w:r w:rsidRPr="00026AB8">
        <w:rPr>
          <w:rFonts w:ascii="Arial" w:hAnsi="Arial" w:cs="Arial"/>
          <w:sz w:val="24"/>
          <w:szCs w:val="24"/>
        </w:rPr>
        <w:t xml:space="preserve">. Full ownership would have exposed Toyota to bureaucratic delays and institutionalized processes. Hence, Toyota decided to use majority-owned joint venture with the Kirloskar Group through their local influence, political contacts and knowledge in hierarchical processes to negotiate approvals, labour legislation and supplier deals </w:t>
      </w:r>
      <w:r w:rsidRPr="00026AB8">
        <w:rPr>
          <w:rFonts w:ascii="Arial" w:hAnsi="Arial" w:cs="Arial"/>
          <w:sz w:val="24"/>
          <w:szCs w:val="24"/>
          <w:shd w:val="clear" w:color="auto" w:fill="FFFFFF"/>
        </w:rPr>
        <w:t>(Jones, Mathew and James, 2024)</w:t>
      </w:r>
      <w:r w:rsidRPr="00026AB8">
        <w:rPr>
          <w:rFonts w:ascii="Arial" w:hAnsi="Arial" w:cs="Arial"/>
          <w:sz w:val="24"/>
          <w:szCs w:val="24"/>
        </w:rPr>
        <w:t xml:space="preserve">. The reason why this cultural difference influenced the decision to choose a JV directly was because a local partner would decrease the risks of </w:t>
      </w:r>
      <w:r w:rsidRPr="00026AB8">
        <w:rPr>
          <w:rFonts w:ascii="Arial" w:hAnsi="Arial" w:cs="Arial"/>
          <w:sz w:val="24"/>
          <w:szCs w:val="24"/>
        </w:rPr>
        <w:t>mostly entering</w:t>
      </w:r>
      <w:r w:rsidRPr="00026AB8">
        <w:rPr>
          <w:rFonts w:ascii="Arial" w:hAnsi="Arial" w:cs="Arial"/>
          <w:sz w:val="24"/>
          <w:szCs w:val="24"/>
        </w:rPr>
        <w:t>.</w:t>
      </w:r>
    </w:p>
    <w:p w14:paraId="78168CFF"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(b) Individualism: Japan (46) and India (48)</w:t>
      </w:r>
    </w:p>
    <w:p w14:paraId="142BFCD0"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Both nations are relatively collectivists, and they emphasize group harmony, loyalty, and long-term relationships </w:t>
      </w:r>
      <w:r w:rsidRPr="00026AB8">
        <w:rPr>
          <w:rFonts w:ascii="Arial" w:hAnsi="Arial" w:cs="Arial"/>
          <w:sz w:val="24"/>
          <w:szCs w:val="24"/>
          <w:shd w:val="clear" w:color="auto" w:fill="FFFFFF"/>
        </w:rPr>
        <w:t>(Hofstede Insights, 2023)</w:t>
      </w:r>
      <w:r w:rsidRPr="00026AB8">
        <w:rPr>
          <w:rFonts w:ascii="Arial" w:hAnsi="Arial" w:cs="Arial"/>
          <w:sz w:val="24"/>
          <w:szCs w:val="24"/>
        </w:rPr>
        <w:t xml:space="preserve">. Their collectivism is however different. Japanese organisational loyalty and long-term employment are associated with harmony and group cohesion </w:t>
      </w:r>
      <w:r w:rsidRPr="00026AB8">
        <w:rPr>
          <w:rFonts w:ascii="Arial" w:hAnsi="Arial" w:cs="Arial"/>
          <w:sz w:val="24"/>
          <w:szCs w:val="24"/>
          <w:shd w:val="clear" w:color="auto" w:fill="FFFFFF"/>
        </w:rPr>
        <w:t>(Park and Lee, 2023)</w:t>
      </w:r>
      <w:r w:rsidRPr="00026AB8">
        <w:rPr>
          <w:rFonts w:ascii="Arial" w:hAnsi="Arial" w:cs="Arial"/>
          <w:sz w:val="24"/>
          <w:szCs w:val="24"/>
        </w:rPr>
        <w:t>. Collectivism in India is more family- and community-based and this has an impact on purchasing behaviour and work relationships.</w:t>
      </w:r>
    </w:p>
    <w:p w14:paraId="768E79DF" w14:textId="77777777" w:rsid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collectivism aspect of cultural differences directly affected the selection of a joint venture as the mode of entry by Toyota in India. Due to the high reliance on trust-based relationships, family-based networks, and long-time interpersonal obligations of the Indian business culture, going it alone would have made it hard for Toyota to establish supplier relationships, negotiate with institutions that are hierarchical, and gain consumer trust </w:t>
      </w:r>
      <w:r w:rsidRPr="00026AB8">
        <w:rPr>
          <w:rFonts w:ascii="Arial" w:hAnsi="Arial" w:cs="Arial"/>
          <w:sz w:val="24"/>
          <w:szCs w:val="24"/>
          <w:shd w:val="clear" w:color="auto" w:fill="FFFFFF"/>
        </w:rPr>
        <w:t>(Pervin and Khan, 2022)</w:t>
      </w:r>
      <w:r w:rsidRPr="00026AB8">
        <w:rPr>
          <w:rFonts w:ascii="Arial" w:hAnsi="Arial" w:cs="Arial"/>
          <w:sz w:val="24"/>
          <w:szCs w:val="24"/>
        </w:rPr>
        <w:t xml:space="preserve">. The collectivist belief that local established relationships should be used to undertake business activity implied that Toyota required an embedded and credible partner </w:t>
      </w:r>
      <w:r w:rsidRPr="00026AB8">
        <w:rPr>
          <w:rFonts w:ascii="Arial" w:hAnsi="Arial" w:cs="Arial"/>
          <w:sz w:val="24"/>
          <w:szCs w:val="24"/>
          <w:shd w:val="clear" w:color="auto" w:fill="FFFFFF"/>
        </w:rPr>
        <w:t>(Pathak, 2022)</w:t>
      </w:r>
      <w:r w:rsidRPr="00026AB8">
        <w:rPr>
          <w:rFonts w:ascii="Arial" w:hAnsi="Arial" w:cs="Arial"/>
          <w:sz w:val="24"/>
          <w:szCs w:val="24"/>
        </w:rPr>
        <w:t xml:space="preserve">. Hence, Toyota opted to have a majority-owned joint venture with the Kirloskar Group which already had extensive social networks, relational capital and institutional familiarity (Toma and Naruo, 2017). The entry mode enabled Toyota to overcome cultural differences, penetrated trusted local channels easily and fit easily into the relational and community-based mode of doing business in India </w:t>
      </w:r>
      <w:r w:rsidRPr="00026AB8">
        <w:rPr>
          <w:rFonts w:ascii="Arial" w:hAnsi="Arial" w:cs="Arial"/>
          <w:sz w:val="24"/>
          <w:szCs w:val="24"/>
          <w:shd w:val="clear" w:color="auto" w:fill="FFFFFF"/>
        </w:rPr>
        <w:t>(Baber, 2018)</w:t>
      </w:r>
      <w:r w:rsidRPr="00026AB8">
        <w:rPr>
          <w:rFonts w:ascii="Arial" w:hAnsi="Arial" w:cs="Arial"/>
          <w:sz w:val="24"/>
          <w:szCs w:val="24"/>
        </w:rPr>
        <w:t>.</w:t>
      </w:r>
    </w:p>
    <w:p w14:paraId="4A54137B" w14:textId="77777777" w:rsidR="00FD1312" w:rsidRDefault="00FD1312" w:rsidP="00026AB8">
      <w:pPr>
        <w:spacing w:line="360" w:lineRule="auto"/>
        <w:jc w:val="both"/>
        <w:rPr>
          <w:rFonts w:ascii="Arial" w:hAnsi="Arial" w:cs="Arial"/>
          <w:sz w:val="24"/>
          <w:szCs w:val="24"/>
        </w:rPr>
      </w:pPr>
    </w:p>
    <w:p w14:paraId="358595DC" w14:textId="77777777" w:rsidR="00FD1312" w:rsidRPr="00026AB8" w:rsidRDefault="00FD1312" w:rsidP="00026AB8">
      <w:pPr>
        <w:spacing w:line="360" w:lineRule="auto"/>
        <w:jc w:val="both"/>
        <w:rPr>
          <w:rFonts w:ascii="Arial" w:hAnsi="Arial" w:cs="Arial"/>
          <w:sz w:val="24"/>
          <w:szCs w:val="24"/>
        </w:rPr>
      </w:pPr>
    </w:p>
    <w:p w14:paraId="52E656B3"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lastRenderedPageBreak/>
        <w:t>(c) Uncertainty Avoidance: Japan (92) vs India (40)</w:t>
      </w:r>
    </w:p>
    <w:p w14:paraId="6998E013"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Very high uncertainty avoidance of Japan leads to its risk-aversion, standardisation and highly organised processes-characteristics of the Toyota Production System (TPS). The low uncertainty avoidance of India, though, indicates a tolerance of ambiguity, flexibility, and fluid problem-solving. This is a difference that puts operational pressure on Toyota, since Japanese managers value strict process compliance, whereas Indian employees tend to improvise to solve everyday problems </w:t>
      </w:r>
      <w:r w:rsidRPr="00026AB8">
        <w:rPr>
          <w:rFonts w:ascii="Arial" w:hAnsi="Arial" w:cs="Arial"/>
          <w:sz w:val="24"/>
          <w:szCs w:val="24"/>
          <w:shd w:val="clear" w:color="auto" w:fill="FFFFFF"/>
        </w:rPr>
        <w:t>(James, 2024)</w:t>
      </w:r>
      <w:r w:rsidRPr="00026AB8">
        <w:rPr>
          <w:rFonts w:ascii="Arial" w:hAnsi="Arial" w:cs="Arial"/>
          <w:sz w:val="24"/>
          <w:szCs w:val="24"/>
        </w:rPr>
        <w:t xml:space="preserve">. To address this disparity, the Bidadi plants of Toyota have been slowly localised, incorporating TPS discipline with Indian-style pragmatic flexibility and global quality standards </w:t>
      </w:r>
      <w:r w:rsidRPr="00026AB8">
        <w:rPr>
          <w:rFonts w:ascii="Arial" w:hAnsi="Arial" w:cs="Arial"/>
          <w:sz w:val="24"/>
          <w:szCs w:val="24"/>
          <w:shd w:val="clear" w:color="auto" w:fill="FFFFFF"/>
        </w:rPr>
        <w:t>(Yang, 2022)</w:t>
      </w:r>
      <w:r w:rsidRPr="00026AB8">
        <w:rPr>
          <w:rFonts w:ascii="Arial" w:hAnsi="Arial" w:cs="Arial"/>
          <w:sz w:val="24"/>
          <w:szCs w:val="24"/>
        </w:rPr>
        <w:t>.</w:t>
      </w:r>
    </w:p>
    <w:p w14:paraId="28D92AF2"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Such a hybrid operating model, when operating across significant cultural differences, like the high process orientation of Japan and the flexible and improvisational process orientation of India, demanded local mediation that could not be rapid with a wholly owned subsidiary </w:t>
      </w:r>
      <w:r w:rsidRPr="00026AB8">
        <w:rPr>
          <w:rFonts w:ascii="Arial" w:hAnsi="Arial" w:cs="Arial"/>
          <w:sz w:val="24"/>
          <w:szCs w:val="24"/>
          <w:shd w:val="clear" w:color="auto" w:fill="FFFFFF"/>
        </w:rPr>
        <w:t>(Rashmi, 2018)</w:t>
      </w:r>
      <w:r w:rsidRPr="00026AB8">
        <w:rPr>
          <w:rFonts w:ascii="Arial" w:hAnsi="Arial" w:cs="Arial"/>
          <w:sz w:val="24"/>
          <w:szCs w:val="24"/>
        </w:rPr>
        <w:t xml:space="preserve">. Toyota gained vital cultural knowledge, local management expertise, and business contacts through a joint venture with Kirloskar, facilitating easier TPS adaptation and minimizing operational and cultural risk </w:t>
      </w:r>
      <w:r w:rsidRPr="00026AB8">
        <w:rPr>
          <w:rFonts w:ascii="Arial" w:hAnsi="Arial" w:cs="Arial"/>
          <w:sz w:val="24"/>
          <w:szCs w:val="24"/>
          <w:shd w:val="clear" w:color="auto" w:fill="FFFFFF"/>
        </w:rPr>
        <w:t>(Jones, Mathew and James, 2024)</w:t>
      </w:r>
      <w:r w:rsidRPr="00026AB8">
        <w:rPr>
          <w:rFonts w:ascii="Arial" w:hAnsi="Arial" w:cs="Arial"/>
          <w:sz w:val="24"/>
          <w:szCs w:val="24"/>
        </w:rPr>
        <w:t>. Therefore, the JV was the best entry mode since there is a difference in culture.</w:t>
      </w:r>
    </w:p>
    <w:p w14:paraId="2E514AED"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(d) Masculinity: Japan (95) vs India (56)</w:t>
      </w:r>
    </w:p>
    <w:p w14:paraId="7FB424BC"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culture of Japan is very masculine, and it focuses on competition, achievement, and performance. These characteristics are carried over to the corporate culture of Toyota as efficiency targets, continuous improvement, and long-term superiority of products </w:t>
      </w:r>
      <w:r w:rsidRPr="00026AB8">
        <w:rPr>
          <w:rFonts w:ascii="Arial" w:hAnsi="Arial" w:cs="Arial"/>
          <w:sz w:val="24"/>
          <w:szCs w:val="24"/>
          <w:shd w:val="clear" w:color="auto" w:fill="FFFFFF"/>
        </w:rPr>
        <w:t>(Pervin and Khan, 2022)</w:t>
      </w:r>
      <w:r w:rsidRPr="00026AB8">
        <w:rPr>
          <w:rFonts w:ascii="Arial" w:hAnsi="Arial" w:cs="Arial"/>
          <w:sz w:val="24"/>
          <w:szCs w:val="24"/>
        </w:rPr>
        <w:t xml:space="preserve">. Although India is moderately masculine, this is more relationship oriented, with social harmony and relations being valued </w:t>
      </w:r>
      <w:r w:rsidRPr="00026AB8">
        <w:rPr>
          <w:rFonts w:ascii="Arial" w:hAnsi="Arial" w:cs="Arial"/>
          <w:sz w:val="24"/>
          <w:szCs w:val="24"/>
          <w:shd w:val="clear" w:color="auto" w:fill="FFFFFF"/>
        </w:rPr>
        <w:t>(James, 2024)</w:t>
      </w:r>
      <w:r w:rsidRPr="00026AB8">
        <w:rPr>
          <w:rFonts w:ascii="Arial" w:hAnsi="Arial" w:cs="Arial"/>
          <w:sz w:val="24"/>
          <w:szCs w:val="24"/>
        </w:rPr>
        <w:t xml:space="preserve">. This disparity influences leadership in Toyota India. Japanese managers might be more oriented on performance, process optimisation, but Indian teams require relationship-oriented leadership that is emphatic, mentoring and warm </w:t>
      </w:r>
      <w:r w:rsidRPr="00026AB8">
        <w:rPr>
          <w:rFonts w:ascii="Arial" w:hAnsi="Arial" w:cs="Arial"/>
          <w:sz w:val="24"/>
          <w:szCs w:val="24"/>
          <w:shd w:val="clear" w:color="auto" w:fill="FFFFFF"/>
        </w:rPr>
        <w:t>(Pathak, 2022)</w:t>
      </w:r>
      <w:r w:rsidRPr="00026AB8">
        <w:rPr>
          <w:rFonts w:ascii="Arial" w:hAnsi="Arial" w:cs="Arial"/>
          <w:sz w:val="24"/>
          <w:szCs w:val="24"/>
        </w:rPr>
        <w:t xml:space="preserve">. </w:t>
      </w:r>
    </w:p>
    <w:p w14:paraId="18394EB2" w14:textId="77777777" w:rsidR="00FD1312"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entry-mode implication is that the combination of competitive, metric oriented practices at Toyota and relationship-based leadership norms in India necessitated the need to partner with a culturally instilled local company </w:t>
      </w:r>
      <w:r w:rsidRPr="00026AB8">
        <w:rPr>
          <w:rFonts w:ascii="Arial" w:hAnsi="Arial" w:cs="Arial"/>
          <w:sz w:val="24"/>
          <w:szCs w:val="24"/>
          <w:shd w:val="clear" w:color="auto" w:fill="FFFFFF"/>
        </w:rPr>
        <w:t>(Pervin and Khan, 2022)</w:t>
      </w:r>
      <w:r w:rsidRPr="00026AB8">
        <w:rPr>
          <w:rFonts w:ascii="Arial" w:hAnsi="Arial" w:cs="Arial"/>
          <w:sz w:val="24"/>
          <w:szCs w:val="24"/>
        </w:rPr>
        <w:t xml:space="preserve">. </w:t>
      </w:r>
    </w:p>
    <w:p w14:paraId="3CF23ACE" w14:textId="60D2F622"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The credibility of Kirloskar, contextual knowledge and people-management strengths helped to minimize resistance to Japanese management styles and facilitated a smoother and more successful roll out of performance and operational practices compared to a pure entry.</w:t>
      </w:r>
    </w:p>
    <w:p w14:paraId="33C6CA14"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(e) Long-Term Orientation: Japan (88) vs India (51)</w:t>
      </w:r>
    </w:p>
    <w:p w14:paraId="6C43218D"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Japanese possess one of the highest long-term orientation scores, which emphasize perseverance, continuous improvement and long-term investments </w:t>
      </w:r>
      <w:r w:rsidRPr="00026AB8">
        <w:rPr>
          <w:rFonts w:ascii="Arial" w:hAnsi="Arial" w:cs="Arial"/>
          <w:sz w:val="24"/>
          <w:szCs w:val="24"/>
          <w:shd w:val="clear" w:color="auto" w:fill="FFFFFF"/>
        </w:rPr>
        <w:t>(Park and Lee, 2023)</w:t>
      </w:r>
      <w:r w:rsidRPr="00026AB8">
        <w:rPr>
          <w:rFonts w:ascii="Arial" w:hAnsi="Arial" w:cs="Arial"/>
          <w:sz w:val="24"/>
          <w:szCs w:val="24"/>
        </w:rPr>
        <w:t xml:space="preserve">. The more moderate score of India is an indicator of balance between long-term planning and short-term needs. The long-term strategic orientation of Toyota fits well in the Japanese cultural orientation. In India, however, consumers tend to focus more on short-term value, low prices, low maintenance, and short-term financing provisions </w:t>
      </w:r>
      <w:r w:rsidRPr="00026AB8">
        <w:rPr>
          <w:rFonts w:ascii="Arial" w:hAnsi="Arial" w:cs="Arial"/>
          <w:sz w:val="24"/>
          <w:szCs w:val="24"/>
          <w:shd w:val="clear" w:color="auto" w:fill="FFFFFF"/>
        </w:rPr>
        <w:t>(Pathak, 2022)</w:t>
      </w:r>
      <w:r w:rsidRPr="00026AB8">
        <w:rPr>
          <w:rFonts w:ascii="Arial" w:hAnsi="Arial" w:cs="Arial"/>
          <w:sz w:val="24"/>
          <w:szCs w:val="24"/>
        </w:rPr>
        <w:t xml:space="preserve">. Toyota has been dynamic to provide customized financing terms, long-term services and hybrid models that are affordable to offer instant fuel-saving benefits </w:t>
      </w:r>
      <w:r w:rsidRPr="00026AB8">
        <w:rPr>
          <w:rFonts w:ascii="Arial" w:hAnsi="Arial" w:cs="Arial"/>
          <w:sz w:val="24"/>
          <w:szCs w:val="24"/>
          <w:shd w:val="clear" w:color="auto" w:fill="FFFFFF"/>
        </w:rPr>
        <w:t>(Rahman and Acharya, 2020)</w:t>
      </w:r>
      <w:r w:rsidRPr="00026AB8">
        <w:rPr>
          <w:rFonts w:ascii="Arial" w:hAnsi="Arial" w:cs="Arial"/>
          <w:sz w:val="24"/>
          <w:szCs w:val="24"/>
        </w:rPr>
        <w:t xml:space="preserve">. </w:t>
      </w:r>
    </w:p>
    <w:p w14:paraId="666B1894" w14:textId="62AD131B"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high long-term orientation at Toyota demanded patient capital, supplier building and slow localisation whereas Indian consumers were focused on short term value, affordability and flexible financing </w:t>
      </w:r>
      <w:r w:rsidRPr="00026AB8">
        <w:rPr>
          <w:rFonts w:ascii="Arial" w:hAnsi="Arial" w:cs="Arial"/>
          <w:sz w:val="24"/>
          <w:szCs w:val="24"/>
          <w:shd w:val="clear" w:color="auto" w:fill="FFFFFF"/>
        </w:rPr>
        <w:t>(Sugathan, 2021)</w:t>
      </w:r>
      <w:r w:rsidRPr="00026AB8">
        <w:rPr>
          <w:rFonts w:ascii="Arial" w:hAnsi="Arial" w:cs="Arial"/>
          <w:sz w:val="24"/>
          <w:szCs w:val="24"/>
        </w:rPr>
        <w:t xml:space="preserve">. Exporting or full ownership was not a way of balancing these conflicting cultural expectations. A partnership with the Kirloskar Group gave the </w:t>
      </w:r>
      <w:r w:rsidRPr="00026AB8">
        <w:rPr>
          <w:rFonts w:ascii="Arial" w:hAnsi="Arial" w:cs="Arial"/>
          <w:sz w:val="24"/>
          <w:szCs w:val="24"/>
        </w:rPr>
        <w:t>much-needed</w:t>
      </w:r>
      <w:r w:rsidRPr="00026AB8">
        <w:rPr>
          <w:rFonts w:ascii="Arial" w:hAnsi="Arial" w:cs="Arial"/>
          <w:sz w:val="24"/>
          <w:szCs w:val="24"/>
        </w:rPr>
        <w:t xml:space="preserve"> local legitimacy, cultural fit, and market understanding which enabled Toyota to share risks, tailor decisions to the Indian culture and market ascendancy into the market </w:t>
      </w:r>
      <w:r w:rsidRPr="00026AB8">
        <w:rPr>
          <w:rFonts w:ascii="Arial" w:hAnsi="Arial" w:cs="Arial"/>
          <w:sz w:val="24"/>
          <w:szCs w:val="24"/>
          <w:shd w:val="clear" w:color="auto" w:fill="FFFFFF"/>
        </w:rPr>
        <w:t>(Jones, Mathew and James, 2024)</w:t>
      </w:r>
      <w:r w:rsidRPr="00026AB8">
        <w:rPr>
          <w:rFonts w:ascii="Arial" w:hAnsi="Arial" w:cs="Arial"/>
          <w:sz w:val="24"/>
          <w:szCs w:val="24"/>
        </w:rPr>
        <w:t xml:space="preserve">. </w:t>
      </w:r>
    </w:p>
    <w:tbl>
      <w:tblPr>
        <w:tblStyle w:val="GridTable3-Accent4"/>
        <w:tblW w:w="0" w:type="auto"/>
        <w:tblLook w:val="04A0" w:firstRow="1" w:lastRow="0" w:firstColumn="1" w:lastColumn="0" w:noHBand="0" w:noVBand="1"/>
      </w:tblPr>
      <w:tblGrid>
        <w:gridCol w:w="1393"/>
        <w:gridCol w:w="2992"/>
        <w:gridCol w:w="3097"/>
        <w:gridCol w:w="1544"/>
      </w:tblGrid>
      <w:tr w:rsidR="00026AB8" w:rsidRPr="00026AB8" w14:paraId="2B6DA095" w14:textId="77777777" w:rsidTr="009F26A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59AD76F" w14:textId="77777777" w:rsidR="00026AB8" w:rsidRPr="00026AB8" w:rsidRDefault="00026AB8" w:rsidP="00026AB8">
            <w:pPr>
              <w:spacing w:before="240" w:line="360" w:lineRule="auto"/>
              <w:jc w:val="center"/>
              <w:rPr>
                <w:rFonts w:ascii="Arial" w:eastAsia="Times New Roman" w:hAnsi="Arial" w:cs="Arial"/>
                <w:i w:val="0"/>
                <w:sz w:val="24"/>
                <w:szCs w:val="24"/>
                <w:lang w:eastAsia="en-IN"/>
              </w:rPr>
            </w:pPr>
            <w:r w:rsidRPr="00026AB8">
              <w:rPr>
                <w:rFonts w:ascii="Arial" w:eastAsia="Times New Roman" w:hAnsi="Arial" w:cs="Arial"/>
                <w:i w:val="0"/>
                <w:sz w:val="24"/>
                <w:szCs w:val="24"/>
                <w:lang w:eastAsia="en-IN"/>
              </w:rPr>
              <w:t>Fiscal Year</w:t>
            </w:r>
          </w:p>
        </w:tc>
        <w:tc>
          <w:tcPr>
            <w:tcW w:w="0" w:type="auto"/>
            <w:hideMark/>
          </w:tcPr>
          <w:p w14:paraId="104785DC" w14:textId="77777777" w:rsidR="00026AB8" w:rsidRPr="00026AB8" w:rsidRDefault="00026AB8" w:rsidP="00026AB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Toyota India PV Sales (units)</w:t>
            </w:r>
          </w:p>
        </w:tc>
        <w:tc>
          <w:tcPr>
            <w:tcW w:w="0" w:type="auto"/>
            <w:hideMark/>
          </w:tcPr>
          <w:p w14:paraId="22E6F5CE" w14:textId="77777777" w:rsidR="00026AB8" w:rsidRPr="00026AB8" w:rsidRDefault="00026AB8" w:rsidP="00026AB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Total Indian PV Market (units)</w:t>
            </w:r>
          </w:p>
        </w:tc>
        <w:tc>
          <w:tcPr>
            <w:tcW w:w="0" w:type="auto"/>
            <w:hideMark/>
          </w:tcPr>
          <w:p w14:paraId="1170B21C" w14:textId="77777777" w:rsidR="00026AB8" w:rsidRPr="00026AB8" w:rsidRDefault="00026AB8" w:rsidP="00026AB8">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UV Share (%)</w:t>
            </w:r>
          </w:p>
        </w:tc>
      </w:tr>
      <w:tr w:rsidR="00026AB8" w:rsidRPr="00026AB8" w14:paraId="3A62EA8A" w14:textId="77777777" w:rsidTr="009F2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B647C0" w14:textId="77777777" w:rsidR="00026AB8" w:rsidRPr="00026AB8" w:rsidRDefault="00026AB8" w:rsidP="00026AB8">
            <w:pPr>
              <w:spacing w:line="360" w:lineRule="auto"/>
              <w:jc w:val="center"/>
              <w:rPr>
                <w:rFonts w:ascii="Arial" w:eastAsia="Times New Roman" w:hAnsi="Arial" w:cs="Arial"/>
                <w:b/>
                <w:i w:val="0"/>
                <w:sz w:val="24"/>
                <w:szCs w:val="24"/>
                <w:lang w:eastAsia="en-IN"/>
              </w:rPr>
            </w:pPr>
            <w:r w:rsidRPr="00026AB8">
              <w:rPr>
                <w:rFonts w:ascii="Arial" w:eastAsia="Times New Roman" w:hAnsi="Arial" w:cs="Arial"/>
                <w:b/>
                <w:i w:val="0"/>
                <w:sz w:val="24"/>
                <w:szCs w:val="24"/>
                <w:lang w:eastAsia="en-IN"/>
              </w:rPr>
              <w:t>FY2024</w:t>
            </w:r>
          </w:p>
        </w:tc>
        <w:tc>
          <w:tcPr>
            <w:tcW w:w="0" w:type="auto"/>
            <w:hideMark/>
          </w:tcPr>
          <w:p w14:paraId="16EB5F81"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245,676</w:t>
            </w:r>
          </w:p>
        </w:tc>
        <w:tc>
          <w:tcPr>
            <w:tcW w:w="0" w:type="auto"/>
            <w:hideMark/>
          </w:tcPr>
          <w:p w14:paraId="5EBB87AA"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4,218,750</w:t>
            </w:r>
          </w:p>
        </w:tc>
        <w:tc>
          <w:tcPr>
            <w:tcW w:w="0" w:type="auto"/>
            <w:hideMark/>
          </w:tcPr>
          <w:p w14:paraId="5B50809D" w14:textId="77777777" w:rsidR="00026AB8" w:rsidRPr="00026AB8" w:rsidRDefault="00026AB8" w:rsidP="00026AB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60%</w:t>
            </w:r>
          </w:p>
        </w:tc>
      </w:tr>
      <w:tr w:rsidR="00026AB8" w:rsidRPr="00026AB8" w14:paraId="185F2F18" w14:textId="77777777" w:rsidTr="009F26A5">
        <w:tc>
          <w:tcPr>
            <w:cnfStyle w:val="001000000000" w:firstRow="0" w:lastRow="0" w:firstColumn="1" w:lastColumn="0" w:oddVBand="0" w:evenVBand="0" w:oddHBand="0" w:evenHBand="0" w:firstRowFirstColumn="0" w:firstRowLastColumn="0" w:lastRowFirstColumn="0" w:lastRowLastColumn="0"/>
            <w:tcW w:w="0" w:type="auto"/>
            <w:hideMark/>
          </w:tcPr>
          <w:p w14:paraId="7FCC925C" w14:textId="77777777" w:rsidR="00026AB8" w:rsidRPr="00026AB8" w:rsidRDefault="00026AB8" w:rsidP="00026AB8">
            <w:pPr>
              <w:spacing w:line="360" w:lineRule="auto"/>
              <w:jc w:val="center"/>
              <w:rPr>
                <w:rFonts w:ascii="Arial" w:eastAsia="Times New Roman" w:hAnsi="Arial" w:cs="Arial"/>
                <w:b/>
                <w:i w:val="0"/>
                <w:sz w:val="24"/>
                <w:szCs w:val="24"/>
                <w:lang w:eastAsia="en-IN"/>
              </w:rPr>
            </w:pPr>
            <w:r w:rsidRPr="00026AB8">
              <w:rPr>
                <w:rFonts w:ascii="Arial" w:eastAsia="Times New Roman" w:hAnsi="Arial" w:cs="Arial"/>
                <w:b/>
                <w:i w:val="0"/>
                <w:sz w:val="24"/>
                <w:szCs w:val="24"/>
                <w:lang w:eastAsia="en-IN"/>
              </w:rPr>
              <w:t>FY2025</w:t>
            </w:r>
          </w:p>
        </w:tc>
        <w:tc>
          <w:tcPr>
            <w:tcW w:w="0" w:type="auto"/>
            <w:hideMark/>
          </w:tcPr>
          <w:p w14:paraId="6617D8A4"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309,334</w:t>
            </w:r>
          </w:p>
        </w:tc>
        <w:tc>
          <w:tcPr>
            <w:tcW w:w="0" w:type="auto"/>
            <w:hideMark/>
          </w:tcPr>
          <w:p w14:paraId="3BDF0A48"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4,301,848</w:t>
            </w:r>
          </w:p>
        </w:tc>
        <w:tc>
          <w:tcPr>
            <w:tcW w:w="0" w:type="auto"/>
            <w:hideMark/>
          </w:tcPr>
          <w:p w14:paraId="769A4BE9" w14:textId="77777777" w:rsidR="00026AB8" w:rsidRPr="00026AB8" w:rsidRDefault="00026AB8" w:rsidP="00026AB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026AB8">
              <w:rPr>
                <w:rFonts w:ascii="Arial" w:eastAsia="Times New Roman" w:hAnsi="Arial" w:cs="Arial"/>
                <w:sz w:val="24"/>
                <w:szCs w:val="24"/>
                <w:lang w:eastAsia="en-IN"/>
              </w:rPr>
              <w:t>65%</w:t>
            </w:r>
          </w:p>
        </w:tc>
      </w:tr>
    </w:tbl>
    <w:p w14:paraId="169E7287" w14:textId="77777777" w:rsidR="00026AB8" w:rsidRPr="00026AB8" w:rsidRDefault="00026AB8" w:rsidP="00026AB8">
      <w:pPr>
        <w:spacing w:before="240" w:line="360" w:lineRule="auto"/>
        <w:jc w:val="center"/>
        <w:rPr>
          <w:rFonts w:ascii="Arial" w:hAnsi="Arial" w:cs="Arial"/>
          <w:b/>
          <w:sz w:val="24"/>
          <w:szCs w:val="24"/>
        </w:rPr>
      </w:pPr>
      <w:r w:rsidRPr="00026AB8">
        <w:rPr>
          <w:rFonts w:ascii="Arial" w:hAnsi="Arial" w:cs="Arial"/>
          <w:b/>
          <w:sz w:val="24"/>
          <w:szCs w:val="24"/>
          <w:shd w:val="clear" w:color="auto" w:fill="FFFFFF"/>
        </w:rPr>
        <w:t xml:space="preserve">Table 3: </w:t>
      </w:r>
      <w:r w:rsidRPr="00026AB8">
        <w:rPr>
          <w:rFonts w:ascii="Arial" w:eastAsia="Times New Roman" w:hAnsi="Arial" w:cs="Arial"/>
          <w:b/>
          <w:sz w:val="24"/>
          <w:szCs w:val="24"/>
          <w:lang w:eastAsia="en-IN"/>
        </w:rPr>
        <w:t>Toyota India PV Sales (units)</w:t>
      </w:r>
      <w:r w:rsidRPr="00026AB8">
        <w:rPr>
          <w:rFonts w:ascii="Arial" w:hAnsi="Arial" w:cs="Arial"/>
          <w:b/>
          <w:sz w:val="24"/>
          <w:szCs w:val="24"/>
          <w:shd w:val="clear" w:color="auto" w:fill="FFFFFF"/>
        </w:rPr>
        <w:t xml:space="preserve"> </w:t>
      </w:r>
      <w:r w:rsidRPr="00026AB8">
        <w:rPr>
          <w:rFonts w:ascii="Arial" w:hAnsi="Arial" w:cs="Arial"/>
          <w:b/>
          <w:sz w:val="24"/>
          <w:szCs w:val="24"/>
        </w:rPr>
        <w:t>(Autocar Professional, 2025)</w:t>
      </w:r>
    </w:p>
    <w:p w14:paraId="579C7178" w14:textId="77777777" w:rsidR="00026AB8" w:rsidRPr="00026AB8" w:rsidRDefault="00026AB8" w:rsidP="00026AB8">
      <w:pPr>
        <w:spacing w:line="360" w:lineRule="auto"/>
        <w:jc w:val="center"/>
        <w:rPr>
          <w:rFonts w:ascii="Arial" w:hAnsi="Arial" w:cs="Arial"/>
          <w:sz w:val="24"/>
          <w:szCs w:val="24"/>
        </w:rPr>
      </w:pPr>
      <w:r w:rsidRPr="00026AB8">
        <w:rPr>
          <w:rFonts w:ascii="Arial" w:hAnsi="Arial" w:cs="Arial"/>
          <w:noProof/>
          <w:sz w:val="24"/>
          <w:szCs w:val="24"/>
        </w:rPr>
        <w:lastRenderedPageBreak/>
        <w:drawing>
          <wp:inline distT="0" distB="0" distL="0" distR="0" wp14:anchorId="2AB57EF6" wp14:editId="0FD45D5D">
            <wp:extent cx="5181600" cy="2766060"/>
            <wp:effectExtent l="0" t="0" r="0" b="1524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B9ECED" w14:textId="77777777" w:rsidR="00026AB8" w:rsidRPr="00026AB8" w:rsidRDefault="00026AB8" w:rsidP="00026AB8">
      <w:pPr>
        <w:spacing w:line="360" w:lineRule="auto"/>
        <w:jc w:val="center"/>
        <w:rPr>
          <w:rFonts w:ascii="Arial" w:hAnsi="Arial" w:cs="Arial"/>
          <w:b/>
          <w:sz w:val="24"/>
          <w:szCs w:val="24"/>
        </w:rPr>
      </w:pPr>
      <w:r w:rsidRPr="00026AB8">
        <w:rPr>
          <w:rFonts w:ascii="Arial" w:eastAsia="Times New Roman" w:hAnsi="Arial" w:cs="Arial"/>
          <w:b/>
          <w:sz w:val="24"/>
          <w:szCs w:val="24"/>
          <w:lang w:eastAsia="en-IN"/>
        </w:rPr>
        <w:t>Figure 6: Toyota India PV Sales (units)</w:t>
      </w:r>
      <w:r w:rsidRPr="00026AB8">
        <w:rPr>
          <w:rFonts w:ascii="Arial" w:hAnsi="Arial" w:cs="Arial"/>
          <w:b/>
          <w:sz w:val="24"/>
          <w:szCs w:val="24"/>
          <w:shd w:val="clear" w:color="auto" w:fill="FFFFFF"/>
        </w:rPr>
        <w:t xml:space="preserve"> </w:t>
      </w:r>
      <w:r w:rsidRPr="00026AB8">
        <w:rPr>
          <w:rFonts w:ascii="Arial" w:hAnsi="Arial" w:cs="Arial"/>
          <w:b/>
          <w:sz w:val="24"/>
          <w:szCs w:val="24"/>
        </w:rPr>
        <w:t>(Autocar Professional, 2025)</w:t>
      </w:r>
    </w:p>
    <w:p w14:paraId="22C2FBE4" w14:textId="64311FEF" w:rsidR="00026AB8" w:rsidRPr="00026AB8" w:rsidRDefault="00026AB8" w:rsidP="00026AB8">
      <w:pPr>
        <w:spacing w:line="360" w:lineRule="auto"/>
        <w:jc w:val="both"/>
        <w:rPr>
          <w:rFonts w:ascii="Arial" w:hAnsi="Arial" w:cs="Arial"/>
          <w:b/>
          <w:sz w:val="24"/>
          <w:szCs w:val="24"/>
        </w:rPr>
      </w:pPr>
      <w:r w:rsidRPr="00026AB8">
        <w:rPr>
          <w:rFonts w:ascii="Arial" w:hAnsi="Arial" w:cs="Arial"/>
          <w:sz w:val="24"/>
          <w:szCs w:val="24"/>
        </w:rPr>
        <w:t>The table indicates the increase in sales of Toyota India, 245,676 units (FY2024) to 309,334 units (FY2025), and the increase in share of UVs (60%→65%), which in turn proves the cultural-market analysis (Autocar Professional, 2025). It demonstrates that Toyota SUV/MPV strategy corresponds with the Indian collectivistic, family-</w:t>
      </w:r>
      <w:r w:rsidRPr="00026AB8">
        <w:rPr>
          <w:rFonts w:ascii="Arial" w:hAnsi="Arial" w:cs="Arial"/>
          <w:sz w:val="24"/>
          <w:szCs w:val="24"/>
        </w:rPr>
        <w:t>centred</w:t>
      </w:r>
      <w:r w:rsidRPr="00026AB8">
        <w:rPr>
          <w:rFonts w:ascii="Arial" w:hAnsi="Arial" w:cs="Arial"/>
          <w:sz w:val="24"/>
          <w:szCs w:val="24"/>
        </w:rPr>
        <w:t>, and status-oriented tastes, and the analysis of the comparison with the total PV market indicates the quantitative data on influence of cultural factors on operations and marketing and consumer adoption.</w:t>
      </w:r>
    </w:p>
    <w:p w14:paraId="2D4631B8" w14:textId="77777777" w:rsidR="00026AB8" w:rsidRPr="00026AB8" w:rsidRDefault="00026AB8" w:rsidP="00026AB8">
      <w:pPr>
        <w:pStyle w:val="Heading1"/>
        <w:spacing w:line="360" w:lineRule="auto"/>
        <w:rPr>
          <w:rFonts w:ascii="Arial" w:hAnsi="Arial" w:cs="Arial"/>
          <w:b/>
          <w:color w:val="auto"/>
          <w:sz w:val="24"/>
          <w:szCs w:val="24"/>
        </w:rPr>
      </w:pPr>
      <w:bookmarkStart w:id="20" w:name="_Toc216654141"/>
      <w:r w:rsidRPr="00026AB8">
        <w:rPr>
          <w:rFonts w:ascii="Arial" w:hAnsi="Arial" w:cs="Arial"/>
          <w:b/>
          <w:color w:val="auto"/>
          <w:sz w:val="24"/>
          <w:szCs w:val="24"/>
        </w:rPr>
        <w:t>5. CRITICAL DISCUSSION AND RECOMMENDATIONS SOP ADJUSTMENTS IN INDIA IN TOYOTA</w:t>
      </w:r>
      <w:bookmarkEnd w:id="20"/>
    </w:p>
    <w:p w14:paraId="78EE3C27"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success of Toyota in India, particularly in hybrid technology, quality of products, and operational excellence, is based on its ability to capitalize on the Ownership, Location, and Internalisation (OLI) benefits through its majority owned joint venture with the Kirloskar Group </w:t>
      </w:r>
      <w:r w:rsidRPr="00026AB8">
        <w:rPr>
          <w:rFonts w:ascii="Arial" w:hAnsi="Arial" w:cs="Arial"/>
          <w:sz w:val="24"/>
          <w:szCs w:val="24"/>
          <w:shd w:val="clear" w:color="auto" w:fill="FFFFFF"/>
        </w:rPr>
        <w:t>(Park and Lee, 2023)</w:t>
      </w:r>
      <w:r w:rsidRPr="00026AB8">
        <w:rPr>
          <w:rFonts w:ascii="Arial" w:hAnsi="Arial" w:cs="Arial"/>
          <w:sz w:val="24"/>
          <w:szCs w:val="24"/>
        </w:rPr>
        <w:t>. Nevertheless, such OLI benefits can be realised only in case Toyota synchronises its Standard Operating Procedures (SOPs) to the cultural and institutional realities of India. High power distance, uncertainty avoidance, relationship orientation, and workforce expectations imply that global SOPs cannot be directly transferred; rather, they need to be localised to favour OLI benefits and support the preferred JV entry mode.</w:t>
      </w:r>
    </w:p>
    <w:p w14:paraId="66869BFA" w14:textId="77777777" w:rsidR="00026AB8" w:rsidRPr="00026AB8" w:rsidRDefault="00026AB8" w:rsidP="00026AB8">
      <w:pPr>
        <w:pStyle w:val="Heading2"/>
        <w:spacing w:line="360" w:lineRule="auto"/>
        <w:rPr>
          <w:rFonts w:ascii="Arial" w:hAnsi="Arial" w:cs="Arial"/>
          <w:b/>
          <w:color w:val="auto"/>
          <w:sz w:val="24"/>
          <w:szCs w:val="24"/>
        </w:rPr>
      </w:pPr>
      <w:bookmarkStart w:id="21" w:name="_Toc216654142"/>
      <w:r w:rsidRPr="00026AB8">
        <w:rPr>
          <w:rFonts w:ascii="Arial" w:hAnsi="Arial" w:cs="Arial"/>
          <w:b/>
          <w:color w:val="auto"/>
          <w:sz w:val="24"/>
          <w:szCs w:val="24"/>
        </w:rPr>
        <w:lastRenderedPageBreak/>
        <w:t>5.1 SOP Adjustment 1 Localisation of People-Management and Workplace SOPs</w:t>
      </w:r>
      <w:bookmarkEnd w:id="21"/>
    </w:p>
    <w:p w14:paraId="551AB0BE" w14:textId="61065D60"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ownership advantages associated with Toyota TPS, THS, and lean managerial systems demand efficient and strict transfer of knowledge among the employees. The internalisation benefits also require Toyota to exercise a high level of control over the application of these systems to guard the tacit knowledge </w:t>
      </w:r>
      <w:r w:rsidRPr="00026AB8">
        <w:rPr>
          <w:rFonts w:ascii="Arial" w:hAnsi="Arial" w:cs="Arial"/>
          <w:sz w:val="24"/>
          <w:szCs w:val="24"/>
        </w:rPr>
        <w:t>and</w:t>
      </w:r>
      <w:r w:rsidRPr="00026AB8">
        <w:rPr>
          <w:rFonts w:ascii="Arial" w:hAnsi="Arial" w:cs="Arial"/>
          <w:sz w:val="24"/>
          <w:szCs w:val="24"/>
        </w:rPr>
        <w:t xml:space="preserve"> achieve operational uniformity (Toma and Naruo, 2017). </w:t>
      </w:r>
      <w:r w:rsidRPr="00026AB8">
        <w:rPr>
          <w:rFonts w:ascii="Arial" w:hAnsi="Arial" w:cs="Arial"/>
          <w:sz w:val="24"/>
          <w:szCs w:val="24"/>
        </w:rPr>
        <w:t>But</w:t>
      </w:r>
      <w:r w:rsidRPr="00026AB8">
        <w:rPr>
          <w:rFonts w:ascii="Arial" w:hAnsi="Arial" w:cs="Arial"/>
          <w:sz w:val="24"/>
          <w:szCs w:val="24"/>
        </w:rPr>
        <w:t xml:space="preserve"> the high-power-distance culture in India influences the expectations of employees in terms of authority, decision-making, and communication </w:t>
      </w:r>
      <w:r w:rsidRPr="00026AB8">
        <w:rPr>
          <w:rFonts w:ascii="Arial" w:hAnsi="Arial" w:cs="Arial"/>
          <w:sz w:val="24"/>
          <w:szCs w:val="24"/>
          <w:shd w:val="clear" w:color="auto" w:fill="FFFFFF"/>
        </w:rPr>
        <w:t>(Ahn, 2020)</w:t>
      </w:r>
      <w:r w:rsidRPr="00026AB8">
        <w:rPr>
          <w:rFonts w:ascii="Arial" w:hAnsi="Arial" w:cs="Arial"/>
          <w:sz w:val="24"/>
          <w:szCs w:val="24"/>
        </w:rPr>
        <w:t xml:space="preserve">. In contrast to the more moderate hierarchy and a collaborative problem-solving culture of Japan, the Indian employees are more attracted to clear instructions, visible leadership and reported lines. </w:t>
      </w:r>
    </w:p>
    <w:p w14:paraId="7BFB4A94"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globally standardised SOPs of Toyota, namely ones that focus on nemawashi, consensus-building, and distributed problem-solving, can thus form ambiguity and restrict compliance when transferred directly to an Indian setting. Consequently, the majority-owned JV between Toyota and Kirloskar depends on culture-adapted people-management SOPs to access the full benefits of internalisation and ease the introduction of the proprietary Toyota systems </w:t>
      </w:r>
      <w:r w:rsidRPr="00026AB8">
        <w:rPr>
          <w:rFonts w:ascii="Arial" w:hAnsi="Arial" w:cs="Arial"/>
          <w:sz w:val="24"/>
          <w:szCs w:val="24"/>
          <w:shd w:val="clear" w:color="auto" w:fill="FFFFFF"/>
        </w:rPr>
        <w:t>(K Radhika and Kar, 2023)</w:t>
      </w:r>
      <w:r w:rsidRPr="00026AB8">
        <w:rPr>
          <w:rFonts w:ascii="Arial" w:hAnsi="Arial" w:cs="Arial"/>
          <w:sz w:val="24"/>
          <w:szCs w:val="24"/>
        </w:rPr>
        <w:t>.</w:t>
      </w:r>
    </w:p>
    <w:p w14:paraId="7268FCA2"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SOP Modifications Recommended</w:t>
      </w:r>
    </w:p>
    <w:p w14:paraId="40B0D035" w14:textId="450669CF" w:rsidR="00026AB8" w:rsidRPr="00026AB8" w:rsidRDefault="00026AB8" w:rsidP="00026AB8">
      <w:pPr>
        <w:pStyle w:val="ListParagraph"/>
        <w:numPr>
          <w:ilvl w:val="0"/>
          <w:numId w:val="27"/>
        </w:numPr>
        <w:spacing w:line="360" w:lineRule="auto"/>
        <w:jc w:val="both"/>
        <w:rPr>
          <w:rFonts w:ascii="Arial" w:hAnsi="Arial" w:cs="Arial"/>
          <w:sz w:val="24"/>
          <w:szCs w:val="24"/>
        </w:rPr>
      </w:pPr>
      <w:r w:rsidRPr="00026AB8">
        <w:rPr>
          <w:rFonts w:ascii="Arial" w:hAnsi="Arial" w:cs="Arial"/>
          <w:b/>
          <w:sz w:val="24"/>
          <w:szCs w:val="24"/>
        </w:rPr>
        <w:t>Organise Leadership Structure:</w:t>
      </w:r>
      <w:r w:rsidRPr="00026AB8">
        <w:rPr>
          <w:rFonts w:ascii="Arial" w:hAnsi="Arial" w:cs="Arial"/>
          <w:sz w:val="24"/>
          <w:szCs w:val="24"/>
        </w:rPr>
        <w:t xml:space="preserve"> Determine positions, authority to make decisions, approval chains, supervisors, and channels of escalation </w:t>
      </w:r>
      <w:r w:rsidRPr="00026AB8">
        <w:rPr>
          <w:rFonts w:ascii="Arial" w:hAnsi="Arial" w:cs="Arial"/>
          <w:sz w:val="24"/>
          <w:szCs w:val="24"/>
        </w:rPr>
        <w:t>to</w:t>
      </w:r>
      <w:r w:rsidRPr="00026AB8">
        <w:rPr>
          <w:rFonts w:ascii="Arial" w:hAnsi="Arial" w:cs="Arial"/>
          <w:sz w:val="24"/>
          <w:szCs w:val="24"/>
        </w:rPr>
        <w:t xml:space="preserve"> enhance predictability in operations. This will make employees understand the reporting structures and improve accountability and less confusion (Toma and Naruo, 2017).</w:t>
      </w:r>
    </w:p>
    <w:p w14:paraId="5A3056BF" w14:textId="77777777" w:rsidR="00026AB8" w:rsidRPr="00026AB8" w:rsidRDefault="00026AB8" w:rsidP="00026AB8">
      <w:pPr>
        <w:pStyle w:val="ListParagraph"/>
        <w:numPr>
          <w:ilvl w:val="0"/>
          <w:numId w:val="27"/>
        </w:numPr>
        <w:spacing w:line="360" w:lineRule="auto"/>
        <w:jc w:val="both"/>
        <w:rPr>
          <w:rFonts w:ascii="Arial" w:hAnsi="Arial" w:cs="Arial"/>
          <w:sz w:val="24"/>
          <w:szCs w:val="24"/>
        </w:rPr>
      </w:pPr>
      <w:r w:rsidRPr="00026AB8">
        <w:rPr>
          <w:rFonts w:ascii="Arial" w:hAnsi="Arial" w:cs="Arial"/>
          <w:b/>
          <w:sz w:val="24"/>
          <w:szCs w:val="24"/>
        </w:rPr>
        <w:t>Implement Dependency Relationship Practices</w:t>
      </w:r>
      <w:r w:rsidRPr="00026AB8">
        <w:rPr>
          <w:rFonts w:ascii="Arial" w:hAnsi="Arial" w:cs="Arial"/>
          <w:sz w:val="24"/>
          <w:szCs w:val="24"/>
        </w:rPr>
        <w:t xml:space="preserve">: Initiate SOP elements of frequent supervisor- employee gatherings, welfare and family involvement arrangements and systematic rapport construction to increase the trust and alignment. These practices encourage employee loyalty and facilitating the way changes in an organisation are implemented by creating interpersonal relations </w:t>
      </w:r>
      <w:r w:rsidRPr="00026AB8">
        <w:rPr>
          <w:rFonts w:ascii="Arial" w:hAnsi="Arial" w:cs="Arial"/>
          <w:sz w:val="24"/>
          <w:szCs w:val="24"/>
          <w:shd w:val="clear" w:color="auto" w:fill="FFFFFF"/>
        </w:rPr>
        <w:t>(Teece, 2025)</w:t>
      </w:r>
      <w:r w:rsidRPr="00026AB8">
        <w:rPr>
          <w:rFonts w:ascii="Arial" w:hAnsi="Arial" w:cs="Arial"/>
          <w:sz w:val="24"/>
          <w:szCs w:val="24"/>
        </w:rPr>
        <w:t>.</w:t>
      </w:r>
    </w:p>
    <w:p w14:paraId="57176A88" w14:textId="77777777" w:rsidR="00FD1312" w:rsidRDefault="00026AB8" w:rsidP="00026AB8">
      <w:pPr>
        <w:pStyle w:val="ListParagraph"/>
        <w:numPr>
          <w:ilvl w:val="0"/>
          <w:numId w:val="27"/>
        </w:numPr>
        <w:spacing w:line="360" w:lineRule="auto"/>
        <w:jc w:val="both"/>
        <w:rPr>
          <w:rFonts w:ascii="Arial" w:hAnsi="Arial" w:cs="Arial"/>
          <w:sz w:val="24"/>
          <w:szCs w:val="24"/>
        </w:rPr>
      </w:pPr>
      <w:r w:rsidRPr="00026AB8">
        <w:rPr>
          <w:rFonts w:ascii="Arial" w:hAnsi="Arial" w:cs="Arial"/>
          <w:b/>
          <w:sz w:val="24"/>
          <w:szCs w:val="24"/>
        </w:rPr>
        <w:t>Culturally Adapt Kaizen Participation:</w:t>
      </w:r>
      <w:r w:rsidRPr="00026AB8">
        <w:rPr>
          <w:rFonts w:ascii="Arial" w:hAnsi="Arial" w:cs="Arial"/>
          <w:sz w:val="24"/>
          <w:szCs w:val="24"/>
        </w:rPr>
        <w:t xml:space="preserve"> Introduce ordered Kaizen check points, formalized acknowledgment of enhancement proposals, and facilitated solving problems. </w:t>
      </w:r>
    </w:p>
    <w:p w14:paraId="0B7CC0E5" w14:textId="698CBC0F" w:rsidR="00026AB8" w:rsidRPr="00026AB8" w:rsidRDefault="00026AB8" w:rsidP="00026AB8">
      <w:pPr>
        <w:pStyle w:val="ListParagraph"/>
        <w:numPr>
          <w:ilvl w:val="0"/>
          <w:numId w:val="27"/>
        </w:numPr>
        <w:spacing w:line="360" w:lineRule="auto"/>
        <w:jc w:val="both"/>
        <w:rPr>
          <w:rFonts w:ascii="Arial" w:hAnsi="Arial" w:cs="Arial"/>
          <w:sz w:val="24"/>
          <w:szCs w:val="24"/>
        </w:rPr>
      </w:pPr>
      <w:r w:rsidRPr="00026AB8">
        <w:rPr>
          <w:rFonts w:ascii="Arial" w:hAnsi="Arial" w:cs="Arial"/>
          <w:sz w:val="24"/>
          <w:szCs w:val="24"/>
        </w:rPr>
        <w:lastRenderedPageBreak/>
        <w:t>This promotes involvement and respect of authority at the same time, so that constant improvement is a culture that is effective and acceptable.</w:t>
      </w:r>
    </w:p>
    <w:p w14:paraId="4C00CD0F"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People-management SOPs localisation will enable Toyota to have a strong control over its proprietary systems (internalisation advantage) but relies on the cultural understanding of Kirloskar to negotiate the hierarchical work environment in India (location advantage). This convergence makes the majority-owned JV stronger with clarity of employees, better leader-employee relation, and efficient application of TPS and THS, leading to a smooth operation and compliance of more workforce </w:t>
      </w:r>
      <w:r w:rsidRPr="00026AB8">
        <w:rPr>
          <w:rFonts w:ascii="Arial" w:hAnsi="Arial" w:cs="Arial"/>
          <w:sz w:val="24"/>
          <w:szCs w:val="24"/>
          <w:shd w:val="clear" w:color="auto" w:fill="FFFFFF"/>
        </w:rPr>
        <w:t>(Pervin and Khan, 2022)</w:t>
      </w:r>
      <w:r w:rsidRPr="00026AB8">
        <w:rPr>
          <w:rFonts w:ascii="Arial" w:hAnsi="Arial" w:cs="Arial"/>
          <w:sz w:val="24"/>
          <w:szCs w:val="24"/>
        </w:rPr>
        <w:t>.</w:t>
      </w:r>
    </w:p>
    <w:p w14:paraId="55C7974F" w14:textId="77777777" w:rsidR="00026AB8" w:rsidRPr="00026AB8" w:rsidRDefault="00026AB8" w:rsidP="00026AB8">
      <w:pPr>
        <w:pStyle w:val="Heading2"/>
        <w:spacing w:after="240" w:line="360" w:lineRule="auto"/>
        <w:rPr>
          <w:rFonts w:ascii="Arial" w:hAnsi="Arial" w:cs="Arial"/>
          <w:b/>
          <w:color w:val="auto"/>
          <w:sz w:val="24"/>
          <w:szCs w:val="24"/>
        </w:rPr>
      </w:pPr>
      <w:bookmarkStart w:id="22" w:name="_Toc216654143"/>
      <w:r w:rsidRPr="00026AB8">
        <w:rPr>
          <w:rFonts w:ascii="Arial" w:hAnsi="Arial" w:cs="Arial"/>
          <w:b/>
          <w:color w:val="auto"/>
          <w:sz w:val="24"/>
          <w:szCs w:val="24"/>
        </w:rPr>
        <w:t>5.2 SOP Adjustment 2: Adopting Flexible Operational SOPs as a way of balancing TPS Standardisation and the Low Uncertainty Avoidance Culture in India</w:t>
      </w:r>
      <w:bookmarkEnd w:id="22"/>
    </w:p>
    <w:p w14:paraId="650489E3"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The internalisation advantage of Toyota lies in protecting and properly utilizing tacit TPS knowledge, which involves routine, process discipline and homogeneity of behaviour in solving problems. Yet, the low uncertainty avoidance in India promotes improvisation, situational flexibility, and adaptive decision-making which may be incompatible with the ordered workflows of TPS </w:t>
      </w:r>
      <w:r w:rsidRPr="00026AB8">
        <w:rPr>
          <w:rFonts w:ascii="Arial" w:hAnsi="Arial" w:cs="Arial"/>
          <w:sz w:val="24"/>
          <w:szCs w:val="24"/>
          <w:shd w:val="clear" w:color="auto" w:fill="FFFFFF"/>
        </w:rPr>
        <w:t>(Pervin and Khan, 2022)</w:t>
      </w:r>
      <w:r w:rsidRPr="00026AB8">
        <w:rPr>
          <w:rFonts w:ascii="Arial" w:hAnsi="Arial" w:cs="Arial"/>
          <w:sz w:val="24"/>
          <w:szCs w:val="24"/>
        </w:rPr>
        <w:t xml:space="preserve">. When Toyota introduced a strict global SOPs without localisation, it could create confusion, demoralisation and slowdowns in staff operations because of the discrepancies between the planned and real work procedures </w:t>
      </w:r>
      <w:r w:rsidRPr="00026AB8">
        <w:rPr>
          <w:rFonts w:ascii="Arial" w:hAnsi="Arial" w:cs="Arial"/>
          <w:sz w:val="24"/>
          <w:szCs w:val="24"/>
          <w:shd w:val="clear" w:color="auto" w:fill="FFFFFF"/>
        </w:rPr>
        <w:t>(Srilatha Palekar, Arun Pardhi and Jindal, 2022)</w:t>
      </w:r>
      <w:r w:rsidRPr="00026AB8">
        <w:rPr>
          <w:rFonts w:ascii="Arial" w:hAnsi="Arial" w:cs="Arial"/>
          <w:sz w:val="24"/>
          <w:szCs w:val="24"/>
        </w:rPr>
        <w:t xml:space="preserve">. </w:t>
      </w:r>
    </w:p>
    <w:p w14:paraId="7A2AC1A6" w14:textId="77777777" w:rsid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has maintained its ownership benefits without sacrificing its core TPS principles, allowing them to offer flexible operational SOPs that enable the company to integrate more easily into the environment of the vibrant Indian manufacturing sector </w:t>
      </w:r>
      <w:r w:rsidRPr="00026AB8">
        <w:rPr>
          <w:rFonts w:ascii="Arial" w:hAnsi="Arial" w:cs="Arial"/>
          <w:sz w:val="24"/>
          <w:szCs w:val="24"/>
          <w:shd w:val="clear" w:color="auto" w:fill="FFFFFF"/>
        </w:rPr>
        <w:t>(Jones, Mathew and James, 2024)</w:t>
      </w:r>
      <w:r w:rsidRPr="00026AB8">
        <w:rPr>
          <w:rFonts w:ascii="Arial" w:hAnsi="Arial" w:cs="Arial"/>
          <w:sz w:val="24"/>
          <w:szCs w:val="24"/>
        </w:rPr>
        <w:t>. This adaptability promotes the majority-owned JV model, guaranteeing efficiency, employee involvement, and uniform quality performance.</w:t>
      </w:r>
    </w:p>
    <w:p w14:paraId="2871AA53" w14:textId="77777777" w:rsidR="00FD1312" w:rsidRDefault="00FD1312" w:rsidP="00026AB8">
      <w:pPr>
        <w:spacing w:line="360" w:lineRule="auto"/>
        <w:jc w:val="both"/>
        <w:rPr>
          <w:rFonts w:ascii="Arial" w:hAnsi="Arial" w:cs="Arial"/>
          <w:sz w:val="24"/>
          <w:szCs w:val="24"/>
        </w:rPr>
      </w:pPr>
    </w:p>
    <w:p w14:paraId="3269A9F1" w14:textId="77777777" w:rsidR="00FD1312" w:rsidRDefault="00FD1312" w:rsidP="00026AB8">
      <w:pPr>
        <w:spacing w:line="360" w:lineRule="auto"/>
        <w:jc w:val="both"/>
        <w:rPr>
          <w:rFonts w:ascii="Arial" w:hAnsi="Arial" w:cs="Arial"/>
          <w:sz w:val="24"/>
          <w:szCs w:val="24"/>
        </w:rPr>
      </w:pPr>
    </w:p>
    <w:p w14:paraId="6E869748" w14:textId="4758BDF6" w:rsidR="00FD1312" w:rsidRPr="00026AB8" w:rsidRDefault="00FD1312" w:rsidP="00026AB8">
      <w:pPr>
        <w:spacing w:line="360" w:lineRule="auto"/>
        <w:jc w:val="both"/>
        <w:rPr>
          <w:rFonts w:ascii="Arial" w:hAnsi="Arial" w:cs="Arial"/>
          <w:sz w:val="24"/>
          <w:szCs w:val="24"/>
        </w:rPr>
      </w:pPr>
    </w:p>
    <w:p w14:paraId="5553E4A1"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lastRenderedPageBreak/>
        <w:t>SOP Modifications Recommended</w:t>
      </w:r>
    </w:p>
    <w:p w14:paraId="0E76E0EA" w14:textId="77777777" w:rsidR="00026AB8" w:rsidRPr="00026AB8" w:rsidRDefault="00026AB8" w:rsidP="00026AB8">
      <w:pPr>
        <w:pStyle w:val="ListParagraph"/>
        <w:numPr>
          <w:ilvl w:val="0"/>
          <w:numId w:val="29"/>
        </w:numPr>
        <w:spacing w:line="360" w:lineRule="auto"/>
        <w:jc w:val="both"/>
        <w:rPr>
          <w:rFonts w:ascii="Arial" w:hAnsi="Arial" w:cs="Arial"/>
          <w:sz w:val="24"/>
          <w:szCs w:val="24"/>
        </w:rPr>
      </w:pPr>
      <w:r w:rsidRPr="00026AB8">
        <w:rPr>
          <w:rFonts w:ascii="Arial" w:hAnsi="Arial" w:cs="Arial"/>
          <w:b/>
          <w:sz w:val="24"/>
          <w:szCs w:val="24"/>
        </w:rPr>
        <w:t>Build flexible SOP Modules:</w:t>
      </w:r>
      <w:r w:rsidRPr="00026AB8">
        <w:rPr>
          <w:rFonts w:ascii="Arial" w:hAnsi="Arial" w:cs="Arial"/>
          <w:sz w:val="24"/>
          <w:szCs w:val="24"/>
        </w:rPr>
        <w:t xml:space="preserve"> Design SOPs that combine both mandatory and flexible components such as quality and safety protocols with flexible components such as task sequencing and resource allocation </w:t>
      </w:r>
      <w:r w:rsidRPr="00026AB8">
        <w:rPr>
          <w:rFonts w:ascii="Arial" w:hAnsi="Arial" w:cs="Arial"/>
          <w:sz w:val="24"/>
          <w:szCs w:val="24"/>
          <w:shd w:val="clear" w:color="auto" w:fill="FFFFFF"/>
        </w:rPr>
        <w:t>(Tillu et al., 2024)</w:t>
      </w:r>
      <w:r w:rsidRPr="00026AB8">
        <w:rPr>
          <w:rFonts w:ascii="Arial" w:hAnsi="Arial" w:cs="Arial"/>
          <w:sz w:val="24"/>
          <w:szCs w:val="24"/>
        </w:rPr>
        <w:t>. This practice gives the employees the power to make decisions that are context-specific without compromising the operational standards and TPS integrity.</w:t>
      </w:r>
    </w:p>
    <w:p w14:paraId="019F1E1E" w14:textId="77777777" w:rsidR="00026AB8" w:rsidRPr="00026AB8" w:rsidRDefault="00026AB8" w:rsidP="00026AB8">
      <w:pPr>
        <w:pStyle w:val="ListParagraph"/>
        <w:numPr>
          <w:ilvl w:val="0"/>
          <w:numId w:val="29"/>
        </w:numPr>
        <w:spacing w:line="360" w:lineRule="auto"/>
        <w:jc w:val="both"/>
        <w:rPr>
          <w:rFonts w:ascii="Arial" w:hAnsi="Arial" w:cs="Arial"/>
          <w:sz w:val="24"/>
          <w:szCs w:val="24"/>
        </w:rPr>
      </w:pPr>
      <w:r w:rsidRPr="00026AB8">
        <w:rPr>
          <w:rFonts w:ascii="Arial" w:hAnsi="Arial" w:cs="Arial"/>
          <w:b/>
          <w:sz w:val="24"/>
          <w:szCs w:val="24"/>
        </w:rPr>
        <w:t>Embrace Contingency-Based Protocols of Problem-Solving:</w:t>
      </w:r>
      <w:r w:rsidRPr="00026AB8">
        <w:rPr>
          <w:rFonts w:ascii="Arial" w:hAnsi="Arial" w:cs="Arial"/>
          <w:sz w:val="24"/>
          <w:szCs w:val="24"/>
        </w:rPr>
        <w:t xml:space="preserve"> Implement contingency SOPs against typical operational interruptions in India such power outages, supply chain delays, infrastructure gaps, and labour variability. Planned responses reduce improvisation on the job and ensure steady process flow that minimises inefficiencies and operational risk.</w:t>
      </w:r>
    </w:p>
    <w:p w14:paraId="505325B6" w14:textId="77777777" w:rsidR="00026AB8" w:rsidRPr="00026AB8" w:rsidRDefault="00026AB8" w:rsidP="00026AB8">
      <w:pPr>
        <w:pStyle w:val="ListParagraph"/>
        <w:numPr>
          <w:ilvl w:val="0"/>
          <w:numId w:val="29"/>
        </w:numPr>
        <w:spacing w:line="360" w:lineRule="auto"/>
        <w:jc w:val="both"/>
        <w:rPr>
          <w:rFonts w:ascii="Arial" w:hAnsi="Arial" w:cs="Arial"/>
          <w:sz w:val="24"/>
          <w:szCs w:val="24"/>
        </w:rPr>
      </w:pPr>
      <w:r w:rsidRPr="00026AB8">
        <w:rPr>
          <w:rFonts w:ascii="Arial" w:hAnsi="Arial" w:cs="Arial"/>
          <w:b/>
          <w:sz w:val="24"/>
          <w:szCs w:val="24"/>
        </w:rPr>
        <w:t>Improve Micro-Training SOPs:</w:t>
      </w:r>
      <w:r w:rsidRPr="00026AB8">
        <w:rPr>
          <w:rFonts w:ascii="Arial" w:hAnsi="Arial" w:cs="Arial"/>
          <w:sz w:val="24"/>
          <w:szCs w:val="24"/>
        </w:rPr>
        <w:t xml:space="preserve"> Introduce micro-learning units of essential TPS aspects with the use of real Indian factory cases. Add feedback loops to check understanding so that employees can progressively be inducted into TPS practices but can accommodate local pragmatic orientations and enhance compliance to standardised practices </w:t>
      </w:r>
      <w:r w:rsidRPr="00026AB8">
        <w:rPr>
          <w:rFonts w:ascii="Arial" w:hAnsi="Arial" w:cs="Arial"/>
          <w:sz w:val="24"/>
          <w:szCs w:val="24"/>
          <w:shd w:val="clear" w:color="auto" w:fill="FFFFFF"/>
        </w:rPr>
        <w:t>(Tillu et al., 2024)</w:t>
      </w:r>
      <w:r w:rsidRPr="00026AB8">
        <w:rPr>
          <w:rFonts w:ascii="Arial" w:hAnsi="Arial" w:cs="Arial"/>
          <w:sz w:val="24"/>
          <w:szCs w:val="24"/>
        </w:rPr>
        <w:t>.</w:t>
      </w:r>
    </w:p>
    <w:p w14:paraId="20DA9588" w14:textId="7433F330"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Operational SOPs flexibility enables Toyota to maintain TPS-associated internalisation benefits but adapt to the dynamic manufacturing environment in India </w:t>
      </w:r>
      <w:r w:rsidRPr="00026AB8">
        <w:rPr>
          <w:rFonts w:ascii="Arial" w:hAnsi="Arial" w:cs="Arial"/>
          <w:sz w:val="24"/>
          <w:szCs w:val="24"/>
          <w:shd w:val="clear" w:color="auto" w:fill="FFFFFF"/>
        </w:rPr>
        <w:t>(Chakravorty, 2009)</w:t>
      </w:r>
      <w:r w:rsidRPr="00026AB8">
        <w:rPr>
          <w:rFonts w:ascii="Arial" w:hAnsi="Arial" w:cs="Arial"/>
          <w:sz w:val="24"/>
          <w:szCs w:val="24"/>
        </w:rPr>
        <w:t xml:space="preserve">. This moderate strategy helps the majority-owned JV in protecting the quality and efficiency and in cultural alignment, more streamlined workflow, and increase acceptance among the </w:t>
      </w:r>
      <w:r w:rsidRPr="00026AB8">
        <w:rPr>
          <w:rFonts w:ascii="Arial" w:hAnsi="Arial" w:cs="Arial"/>
          <w:sz w:val="24"/>
          <w:szCs w:val="24"/>
        </w:rPr>
        <w:t>workforces</w:t>
      </w:r>
      <w:r w:rsidRPr="00026AB8">
        <w:rPr>
          <w:rFonts w:ascii="Arial" w:hAnsi="Arial" w:cs="Arial"/>
          <w:sz w:val="24"/>
          <w:szCs w:val="24"/>
        </w:rPr>
        <w:t>.</w:t>
      </w:r>
    </w:p>
    <w:p w14:paraId="7CA73C3F" w14:textId="77777777" w:rsidR="00026AB8" w:rsidRPr="00026AB8" w:rsidRDefault="00026AB8" w:rsidP="00026AB8">
      <w:pPr>
        <w:pStyle w:val="Heading2"/>
        <w:spacing w:line="360" w:lineRule="auto"/>
        <w:jc w:val="both"/>
        <w:rPr>
          <w:rFonts w:ascii="Arial" w:hAnsi="Arial" w:cs="Arial"/>
          <w:b/>
          <w:color w:val="auto"/>
          <w:sz w:val="24"/>
          <w:szCs w:val="24"/>
        </w:rPr>
      </w:pPr>
      <w:bookmarkStart w:id="23" w:name="_Toc216654144"/>
      <w:r w:rsidRPr="00026AB8">
        <w:rPr>
          <w:rFonts w:ascii="Arial" w:hAnsi="Arial" w:cs="Arial"/>
          <w:b/>
          <w:color w:val="auto"/>
          <w:sz w:val="24"/>
          <w:szCs w:val="24"/>
        </w:rPr>
        <w:t>5.3 SOP Adjustment 3: Intensifying Supply Chain, Localisation, and Hybrid-Technology Integration SOPs in Line with India Location and Internalisation Benefits.</w:t>
      </w:r>
      <w:bookmarkEnd w:id="23"/>
    </w:p>
    <w:p w14:paraId="68E83E66" w14:textId="77777777" w:rsidR="00FD1312" w:rsidRDefault="00026AB8" w:rsidP="00026AB8">
      <w:pPr>
        <w:spacing w:before="240" w:line="360" w:lineRule="auto"/>
        <w:jc w:val="both"/>
        <w:rPr>
          <w:rFonts w:ascii="Arial" w:hAnsi="Arial" w:cs="Arial"/>
          <w:sz w:val="24"/>
          <w:szCs w:val="24"/>
        </w:rPr>
      </w:pPr>
      <w:r w:rsidRPr="00026AB8">
        <w:rPr>
          <w:rFonts w:ascii="Arial" w:hAnsi="Arial" w:cs="Arial"/>
          <w:sz w:val="24"/>
          <w:szCs w:val="24"/>
        </w:rPr>
        <w:t xml:space="preserve">The advantages of ownership include the Toyota Hybrid System (THS) and the Toyota Production System (TPS) that rely on an effective supplier network, high-quality standards, and a disciplined approach to implementing processes. The benefits of internalisation also involve protecting the knowledge of hybrid technology, and in this regard, high-control coordination is critical </w:t>
      </w:r>
      <w:r w:rsidRPr="00026AB8">
        <w:rPr>
          <w:rFonts w:ascii="Arial" w:hAnsi="Arial" w:cs="Arial"/>
          <w:sz w:val="24"/>
          <w:szCs w:val="24"/>
          <w:shd w:val="clear" w:color="auto" w:fill="FFFFFF"/>
        </w:rPr>
        <w:t>(Sosnovskikh, 2019)</w:t>
      </w:r>
      <w:r w:rsidRPr="00026AB8">
        <w:rPr>
          <w:rFonts w:ascii="Arial" w:hAnsi="Arial" w:cs="Arial"/>
          <w:sz w:val="24"/>
          <w:szCs w:val="24"/>
        </w:rPr>
        <w:t xml:space="preserve">. </w:t>
      </w:r>
    </w:p>
    <w:p w14:paraId="36BF45C8" w14:textId="327C62D4" w:rsidR="00026AB8" w:rsidRPr="00026AB8" w:rsidRDefault="00026AB8" w:rsidP="00026AB8">
      <w:pPr>
        <w:spacing w:before="240" w:line="360" w:lineRule="auto"/>
        <w:jc w:val="both"/>
        <w:rPr>
          <w:rFonts w:ascii="Arial" w:hAnsi="Arial" w:cs="Arial"/>
          <w:sz w:val="24"/>
          <w:szCs w:val="24"/>
        </w:rPr>
      </w:pPr>
      <w:r w:rsidRPr="00026AB8">
        <w:rPr>
          <w:rFonts w:ascii="Arial" w:hAnsi="Arial" w:cs="Arial"/>
          <w:sz w:val="24"/>
          <w:szCs w:val="24"/>
        </w:rPr>
        <w:lastRenderedPageBreak/>
        <w:t xml:space="preserve">Although India offers excellent location benefits such as a large supplier base, a valuable labour force, and favourable policies, such benefits can be fully realised only when the SOPs, quality systems and technical competencies of suppliers is modernised to the global standards of Toyota </w:t>
      </w:r>
      <w:r w:rsidRPr="00026AB8">
        <w:rPr>
          <w:rFonts w:ascii="Arial" w:hAnsi="Arial" w:cs="Arial"/>
          <w:sz w:val="24"/>
          <w:szCs w:val="24"/>
          <w:shd w:val="clear" w:color="auto" w:fill="FFFFFF"/>
        </w:rPr>
        <w:t>(Ahn, 2020)</w:t>
      </w:r>
      <w:r w:rsidRPr="00026AB8">
        <w:rPr>
          <w:rFonts w:ascii="Arial" w:hAnsi="Arial" w:cs="Arial"/>
          <w:sz w:val="24"/>
          <w:szCs w:val="24"/>
        </w:rPr>
        <w:t>.</w:t>
      </w:r>
    </w:p>
    <w:p w14:paraId="62E4DE19"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Cultural influences also determine the way supplier development is to be conducted. The business culture of India is collectivistic and relationship-based, which implies that capability building cannot be achieved through transactional SOP implementation or strict compliance checks </w:t>
      </w:r>
      <w:r w:rsidRPr="00026AB8">
        <w:rPr>
          <w:rFonts w:ascii="Arial" w:hAnsi="Arial" w:cs="Arial"/>
          <w:sz w:val="24"/>
          <w:szCs w:val="24"/>
          <w:shd w:val="clear" w:color="auto" w:fill="FFFFFF"/>
        </w:rPr>
        <w:t>(Tillu et al., 2024)</w:t>
      </w:r>
      <w:r w:rsidRPr="00026AB8">
        <w:rPr>
          <w:rFonts w:ascii="Arial" w:hAnsi="Arial" w:cs="Arial"/>
          <w:sz w:val="24"/>
          <w:szCs w:val="24"/>
        </w:rPr>
        <w:t xml:space="preserve">. Rather, Toyota should employ a participatory, mentorship-oriented framework that suits the local market with a focus on trust, shared problem-solving and ongoing improvement. Such a culturally sensitive strategy enhances supplier competencies, promotes successful localisation, and helps to make the benefits of ownership and internalisation at Toyota applicable to the continuous performance in the Indian market </w:t>
      </w:r>
      <w:r w:rsidRPr="00026AB8">
        <w:rPr>
          <w:rFonts w:ascii="Arial" w:hAnsi="Arial" w:cs="Arial"/>
          <w:sz w:val="24"/>
          <w:szCs w:val="24"/>
          <w:shd w:val="clear" w:color="auto" w:fill="FFFFFF"/>
        </w:rPr>
        <w:t>(Chakravorty, 2009)</w:t>
      </w:r>
      <w:r w:rsidRPr="00026AB8">
        <w:rPr>
          <w:rFonts w:ascii="Arial" w:hAnsi="Arial" w:cs="Arial"/>
          <w:sz w:val="24"/>
          <w:szCs w:val="24"/>
        </w:rPr>
        <w:t>.</w:t>
      </w:r>
    </w:p>
    <w:p w14:paraId="01295A20" w14:textId="77777777" w:rsidR="00026AB8" w:rsidRPr="00026AB8" w:rsidRDefault="00026AB8" w:rsidP="00026AB8">
      <w:pPr>
        <w:spacing w:line="360" w:lineRule="auto"/>
        <w:jc w:val="both"/>
        <w:rPr>
          <w:rFonts w:ascii="Arial" w:hAnsi="Arial" w:cs="Arial"/>
          <w:b/>
          <w:sz w:val="24"/>
          <w:szCs w:val="24"/>
        </w:rPr>
      </w:pPr>
      <w:r w:rsidRPr="00026AB8">
        <w:rPr>
          <w:rFonts w:ascii="Arial" w:hAnsi="Arial" w:cs="Arial"/>
          <w:b/>
          <w:sz w:val="24"/>
          <w:szCs w:val="24"/>
        </w:rPr>
        <w:t>SOP Modifications Recommended</w:t>
      </w:r>
    </w:p>
    <w:p w14:paraId="2A732676" w14:textId="77777777" w:rsidR="00026AB8" w:rsidRPr="00026AB8" w:rsidRDefault="00026AB8" w:rsidP="00026AB8">
      <w:pPr>
        <w:pStyle w:val="ListParagraph"/>
        <w:numPr>
          <w:ilvl w:val="0"/>
          <w:numId w:val="28"/>
        </w:numPr>
        <w:spacing w:line="360" w:lineRule="auto"/>
        <w:jc w:val="both"/>
        <w:rPr>
          <w:rFonts w:ascii="Arial" w:hAnsi="Arial" w:cs="Arial"/>
          <w:sz w:val="24"/>
          <w:szCs w:val="24"/>
        </w:rPr>
      </w:pPr>
      <w:r w:rsidRPr="00026AB8">
        <w:rPr>
          <w:rFonts w:ascii="Arial" w:hAnsi="Arial" w:cs="Arial"/>
          <w:b/>
          <w:sz w:val="24"/>
          <w:szCs w:val="24"/>
        </w:rPr>
        <w:t>Establish Tiered Supplier Capability SOPs:</w:t>
      </w:r>
      <w:r w:rsidRPr="00026AB8">
        <w:rPr>
          <w:rFonts w:ascii="Arial" w:hAnsi="Arial" w:cs="Arial"/>
          <w:sz w:val="24"/>
          <w:szCs w:val="24"/>
        </w:rPr>
        <w:t xml:space="preserve"> Divide suppliers into capability levels and provide developmental opportunities of improvement with capacity-building goal, hybrid-specific quality measures, mandatory THS training and environmental compliance expectations </w:t>
      </w:r>
      <w:r w:rsidRPr="00026AB8">
        <w:rPr>
          <w:rFonts w:ascii="Arial" w:hAnsi="Arial" w:cs="Arial"/>
          <w:sz w:val="24"/>
          <w:szCs w:val="24"/>
          <w:shd w:val="clear" w:color="auto" w:fill="FFFFFF"/>
        </w:rPr>
        <w:t>(Sugathan, 2021)</w:t>
      </w:r>
      <w:r w:rsidRPr="00026AB8">
        <w:rPr>
          <w:rFonts w:ascii="Arial" w:hAnsi="Arial" w:cs="Arial"/>
          <w:sz w:val="24"/>
          <w:szCs w:val="24"/>
        </w:rPr>
        <w:t>. This guarantees that it meets the long-term localisation objectives of Toyota in terms of hybridisation.</w:t>
      </w:r>
    </w:p>
    <w:p w14:paraId="1E97567C" w14:textId="77777777" w:rsidR="00026AB8" w:rsidRPr="00026AB8" w:rsidRDefault="00026AB8" w:rsidP="00026AB8">
      <w:pPr>
        <w:pStyle w:val="ListParagraph"/>
        <w:numPr>
          <w:ilvl w:val="0"/>
          <w:numId w:val="28"/>
        </w:numPr>
        <w:spacing w:line="360" w:lineRule="auto"/>
        <w:jc w:val="both"/>
        <w:rPr>
          <w:rFonts w:ascii="Arial" w:hAnsi="Arial" w:cs="Arial"/>
          <w:sz w:val="24"/>
          <w:szCs w:val="24"/>
        </w:rPr>
      </w:pPr>
      <w:r w:rsidRPr="00026AB8">
        <w:rPr>
          <w:rFonts w:ascii="Arial" w:hAnsi="Arial" w:cs="Arial"/>
          <w:b/>
          <w:sz w:val="24"/>
          <w:szCs w:val="24"/>
        </w:rPr>
        <w:t>Incorporate Predictive Quality and Risk Controls:</w:t>
      </w:r>
      <w:r w:rsidRPr="00026AB8">
        <w:rPr>
          <w:rFonts w:ascii="Arial" w:hAnsi="Arial" w:cs="Arial"/>
          <w:sz w:val="24"/>
          <w:szCs w:val="24"/>
        </w:rPr>
        <w:t xml:space="preserve"> Incorporate digital SOPs to detect real-time quality variances, predictive defect analysis and synchronisation with TPS kanban flows. Predictive structures minimize leakage of defects, enhance stability of production and global-quality parity.</w:t>
      </w:r>
    </w:p>
    <w:p w14:paraId="2EDD9B51" w14:textId="77777777" w:rsidR="00026AB8" w:rsidRPr="00026AB8" w:rsidRDefault="00026AB8" w:rsidP="00026AB8">
      <w:pPr>
        <w:pStyle w:val="ListParagraph"/>
        <w:numPr>
          <w:ilvl w:val="0"/>
          <w:numId w:val="28"/>
        </w:numPr>
        <w:spacing w:line="360" w:lineRule="auto"/>
        <w:jc w:val="both"/>
        <w:rPr>
          <w:rFonts w:ascii="Arial" w:hAnsi="Arial" w:cs="Arial"/>
          <w:sz w:val="24"/>
          <w:szCs w:val="24"/>
        </w:rPr>
      </w:pPr>
      <w:r w:rsidRPr="00026AB8">
        <w:rPr>
          <w:rFonts w:ascii="Arial" w:hAnsi="Arial" w:cs="Arial"/>
          <w:b/>
          <w:sz w:val="24"/>
          <w:szCs w:val="24"/>
        </w:rPr>
        <w:t>Strengthen Local R&amp;D and Knowledge Transfer SOPS:</w:t>
      </w:r>
      <w:r w:rsidRPr="00026AB8">
        <w:rPr>
          <w:rFonts w:ascii="Arial" w:hAnsi="Arial" w:cs="Arial"/>
          <w:sz w:val="24"/>
          <w:szCs w:val="24"/>
        </w:rPr>
        <w:t xml:space="preserve"> Incorporate formal knowledge-transfer cycles, joint R&amp;D procedures with global centres, Indian engineer benchmarking of competency and hybrid simulation laboratories. These SOPs give India a stronger position as a hub of development in hybrid technology in the future </w:t>
      </w:r>
      <w:r w:rsidRPr="00026AB8">
        <w:rPr>
          <w:rFonts w:ascii="Arial" w:hAnsi="Arial" w:cs="Arial"/>
          <w:sz w:val="24"/>
          <w:szCs w:val="24"/>
          <w:shd w:val="clear" w:color="auto" w:fill="FFFFFF"/>
        </w:rPr>
        <w:t>(Tillu et al., 2024)</w:t>
      </w:r>
      <w:r w:rsidRPr="00026AB8">
        <w:rPr>
          <w:rFonts w:ascii="Arial" w:hAnsi="Arial" w:cs="Arial"/>
          <w:sz w:val="24"/>
          <w:szCs w:val="24"/>
        </w:rPr>
        <w:t>.</w:t>
      </w:r>
    </w:p>
    <w:p w14:paraId="38E27BBC" w14:textId="77777777" w:rsidR="00FD1312"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By enhancing supply chain SOPs, Toyota can secure proprietary hybrid technologies (internalisation advantage) but create a more competent local supplier base (location advantage). </w:t>
      </w:r>
    </w:p>
    <w:p w14:paraId="069C4078" w14:textId="30AEB1A9"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lastRenderedPageBreak/>
        <w:t xml:space="preserve">This orientation guarantees the global-quality production in the majority-owned JV format, which facilitates the effective scaling, dependability, and lasting competitiveness in the Indian market </w:t>
      </w:r>
      <w:r w:rsidRPr="00026AB8">
        <w:rPr>
          <w:rFonts w:ascii="Arial" w:hAnsi="Arial" w:cs="Arial"/>
          <w:sz w:val="24"/>
          <w:szCs w:val="24"/>
          <w:shd w:val="clear" w:color="auto" w:fill="FFFFFF"/>
        </w:rPr>
        <w:t>(Sugathan, 2021)</w:t>
      </w:r>
      <w:r w:rsidRPr="00026AB8">
        <w:rPr>
          <w:rFonts w:ascii="Arial" w:hAnsi="Arial" w:cs="Arial"/>
          <w:sz w:val="24"/>
          <w:szCs w:val="24"/>
        </w:rPr>
        <w:t>.</w:t>
      </w:r>
    </w:p>
    <w:p w14:paraId="3361E2BF" w14:textId="77777777" w:rsidR="00026AB8" w:rsidRPr="00026AB8" w:rsidRDefault="00026AB8" w:rsidP="00026AB8">
      <w:pPr>
        <w:pStyle w:val="Heading1"/>
        <w:spacing w:line="360" w:lineRule="auto"/>
        <w:rPr>
          <w:rFonts w:ascii="Arial" w:hAnsi="Arial" w:cs="Arial"/>
          <w:b/>
          <w:color w:val="auto"/>
          <w:sz w:val="24"/>
          <w:szCs w:val="24"/>
        </w:rPr>
      </w:pPr>
      <w:bookmarkStart w:id="24" w:name="_Toc216654145"/>
      <w:r w:rsidRPr="00026AB8">
        <w:rPr>
          <w:rFonts w:ascii="Arial" w:hAnsi="Arial" w:cs="Arial"/>
          <w:b/>
          <w:color w:val="auto"/>
          <w:sz w:val="24"/>
          <w:szCs w:val="24"/>
        </w:rPr>
        <w:t>6. CONCLUSION</w:t>
      </w:r>
      <w:bookmarkEnd w:id="24"/>
    </w:p>
    <w:p w14:paraId="4D447C7C" w14:textId="690C90D9"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Through global operations, Toyota Motor Corporation has managed to become one of the leading car manufacturers in the world and its presence in India demonstrates the significance of balancing international integration and local responsiveness. Its international value chain with its R&amp;D, sourcing, production and sales activities show that it is efficient in its operations </w:t>
      </w:r>
      <w:r w:rsidRPr="00026AB8">
        <w:rPr>
          <w:rFonts w:ascii="Arial" w:hAnsi="Arial" w:cs="Arial"/>
          <w:sz w:val="24"/>
          <w:szCs w:val="24"/>
        </w:rPr>
        <w:t>and</w:t>
      </w:r>
      <w:r w:rsidRPr="00026AB8">
        <w:rPr>
          <w:rFonts w:ascii="Arial" w:hAnsi="Arial" w:cs="Arial"/>
          <w:sz w:val="24"/>
          <w:szCs w:val="24"/>
        </w:rPr>
        <w:t xml:space="preserve"> that it </w:t>
      </w:r>
      <w:r w:rsidR="00B623FF" w:rsidRPr="00026AB8">
        <w:rPr>
          <w:rFonts w:ascii="Arial" w:hAnsi="Arial" w:cs="Arial"/>
          <w:sz w:val="24"/>
          <w:szCs w:val="24"/>
        </w:rPr>
        <w:t>can</w:t>
      </w:r>
      <w:r w:rsidRPr="00026AB8">
        <w:rPr>
          <w:rFonts w:ascii="Arial" w:hAnsi="Arial" w:cs="Arial"/>
          <w:sz w:val="24"/>
          <w:szCs w:val="24"/>
        </w:rPr>
        <w:t xml:space="preserve"> take advantage of economies of scale. Using the OLI framework, it is demonstrated that the joint venture strategy of Toyota in India successfully incorporates advantages of ownership, location as well as internalisation, allowing the company to enter the market successfully. The cultural differences between Japan and India like power distance, uncertainty avoidance, relational orientation and long-term planning require strategic adjustment in management, HR, operations and marketing practices.</w:t>
      </w:r>
    </w:p>
    <w:p w14:paraId="576880FE" w14:textId="01C2CF66"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needs to make three primary SOP modifications </w:t>
      </w:r>
      <w:r w:rsidRPr="00026AB8">
        <w:rPr>
          <w:rFonts w:ascii="Arial" w:hAnsi="Arial" w:cs="Arial"/>
          <w:sz w:val="24"/>
          <w:szCs w:val="24"/>
        </w:rPr>
        <w:t>to</w:t>
      </w:r>
      <w:r w:rsidRPr="00026AB8">
        <w:rPr>
          <w:rFonts w:ascii="Arial" w:hAnsi="Arial" w:cs="Arial"/>
          <w:sz w:val="24"/>
          <w:szCs w:val="24"/>
        </w:rPr>
        <w:t xml:space="preserve"> remain competitive and operationally excellent. To begin with, the localisation of workforce and leadership SOPs would make the operations to match with the hierarchical and relational workplace culture in India. Second, the flexibility should be integrated into operational SOPs whereby the discipline of TPS will be balanced with the low uncertainty avoidance and improvisational tendencies of India. Third, hybrid-technology SOPS and supply chain SOPS must be enhanced to leverage the benefits of India, its suppliers, and the new hybrid-vehicle market along with global quality benchmarks. Such changes will allow Toyota to get the benefits of globalization without losing the cultural fit and operational sensitivity, which will provide the company with consistent growth, heightened employee engagement, and technological supremacy. </w:t>
      </w:r>
    </w:p>
    <w:p w14:paraId="5F296DA2" w14:textId="77777777" w:rsidR="00026AB8" w:rsidRPr="00026AB8" w:rsidRDefault="00026AB8" w:rsidP="00026AB8">
      <w:pPr>
        <w:spacing w:line="360" w:lineRule="auto"/>
        <w:rPr>
          <w:rFonts w:ascii="Arial" w:hAnsi="Arial" w:cs="Arial"/>
          <w:sz w:val="24"/>
          <w:szCs w:val="24"/>
        </w:rPr>
      </w:pPr>
      <w:r w:rsidRPr="00026AB8">
        <w:rPr>
          <w:rFonts w:ascii="Arial" w:hAnsi="Arial" w:cs="Arial"/>
          <w:sz w:val="24"/>
          <w:szCs w:val="24"/>
        </w:rPr>
        <w:br w:type="page"/>
      </w:r>
    </w:p>
    <w:p w14:paraId="535FC621" w14:textId="77777777" w:rsidR="00026AB8" w:rsidRPr="00026AB8" w:rsidRDefault="00026AB8" w:rsidP="00026AB8">
      <w:pPr>
        <w:pStyle w:val="Heading1"/>
        <w:spacing w:line="360" w:lineRule="auto"/>
        <w:rPr>
          <w:rFonts w:ascii="Arial" w:hAnsi="Arial" w:cs="Arial"/>
          <w:b/>
          <w:color w:val="auto"/>
          <w:sz w:val="24"/>
          <w:szCs w:val="24"/>
        </w:rPr>
      </w:pPr>
      <w:bookmarkStart w:id="25" w:name="_Toc216654146"/>
      <w:r w:rsidRPr="00026AB8">
        <w:rPr>
          <w:rFonts w:ascii="Arial" w:hAnsi="Arial" w:cs="Arial"/>
          <w:b/>
          <w:color w:val="auto"/>
          <w:sz w:val="24"/>
          <w:szCs w:val="24"/>
        </w:rPr>
        <w:lastRenderedPageBreak/>
        <w:t>REFERENCE</w:t>
      </w:r>
      <w:bookmarkEnd w:id="25"/>
    </w:p>
    <w:p w14:paraId="1C40B782" w14:textId="0BB947B4"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 xml:space="preserve">Ahn, J.B. (2020). A Study on Marketing Factors for Successful Entry to India Market by Case of </w:t>
      </w:r>
      <w:r w:rsidR="00FD1312" w:rsidRPr="00026AB8">
        <w:rPr>
          <w:rFonts w:ascii="Arial" w:hAnsi="Arial" w:cs="Arial"/>
          <w:sz w:val="24"/>
          <w:szCs w:val="24"/>
        </w:rPr>
        <w:t>Hyundai</w:t>
      </w:r>
      <w:r w:rsidRPr="00026AB8">
        <w:rPr>
          <w:rFonts w:ascii="Arial" w:hAnsi="Arial" w:cs="Arial"/>
          <w:sz w:val="24"/>
          <w:szCs w:val="24"/>
        </w:rPr>
        <w:t xml:space="preserve"> Motor’s India Entry Marketing. </w:t>
      </w:r>
      <w:r w:rsidRPr="00026AB8">
        <w:rPr>
          <w:rFonts w:ascii="Arial" w:hAnsi="Arial" w:cs="Arial"/>
          <w:i/>
          <w:iCs/>
          <w:sz w:val="24"/>
          <w:szCs w:val="24"/>
        </w:rPr>
        <w:t>Korean Business Education Review</w:t>
      </w:r>
      <w:r w:rsidRPr="00026AB8">
        <w:rPr>
          <w:rFonts w:ascii="Arial" w:hAnsi="Arial" w:cs="Arial"/>
          <w:sz w:val="24"/>
          <w:szCs w:val="24"/>
        </w:rPr>
        <w:t>, 35(2), pp.471–488. doi:https://doi.org/10.23839/kabe.2020.35.2.471.</w:t>
      </w:r>
    </w:p>
    <w:p w14:paraId="79CCAFB2"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3C7D25B8"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 xml:space="preserve">Autocar Professional, 2025. </w:t>
      </w:r>
      <w:r w:rsidRPr="00026AB8">
        <w:rPr>
          <w:rStyle w:val="Emphasis"/>
          <w:rFonts w:ascii="Arial" w:eastAsiaTheme="majorEastAsia" w:hAnsi="Arial" w:cs="Arial"/>
          <w:sz w:val="24"/>
          <w:szCs w:val="24"/>
        </w:rPr>
        <w:t>Toyota India sales hit record levels in FY2025: 309,000 units</w:t>
      </w:r>
      <w:r w:rsidRPr="00026AB8">
        <w:rPr>
          <w:rFonts w:ascii="Arial" w:hAnsi="Arial" w:cs="Arial"/>
          <w:sz w:val="24"/>
          <w:szCs w:val="24"/>
        </w:rPr>
        <w:t xml:space="preserve">. Autocar Pro, 10 April. Available at: </w:t>
      </w:r>
      <w:hyperlink r:id="rId18" w:tgtFrame="_new" w:history="1">
        <w:r w:rsidRPr="00026AB8">
          <w:rPr>
            <w:rStyle w:val="Hyperlink"/>
            <w:rFonts w:ascii="Arial" w:eastAsiaTheme="majorEastAsia" w:hAnsi="Arial" w:cs="Arial"/>
            <w:color w:val="auto"/>
            <w:sz w:val="24"/>
            <w:szCs w:val="24"/>
          </w:rPr>
          <w:t>https://www.autocarpro.in/analysis-sales/toyota-india-sales-hit-record-levels-in-fy2025-309000-units-125680</w:t>
        </w:r>
      </w:hyperlink>
      <w:r w:rsidRPr="00026AB8">
        <w:rPr>
          <w:rFonts w:ascii="Arial" w:hAnsi="Arial" w:cs="Arial"/>
          <w:sz w:val="24"/>
          <w:szCs w:val="24"/>
        </w:rPr>
        <w:t xml:space="preserve"> </w:t>
      </w:r>
    </w:p>
    <w:p w14:paraId="281CC69B"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72FBFC13"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Baber, H. (2018). Service Quality Perception of Customers – a Study of Toyota Motors in India. </w:t>
      </w:r>
      <w:r w:rsidRPr="00026AB8">
        <w:rPr>
          <w:rFonts w:ascii="Arial" w:eastAsia="Times New Roman" w:hAnsi="Arial" w:cs="Arial"/>
          <w:i/>
          <w:iCs/>
          <w:sz w:val="24"/>
          <w:szCs w:val="24"/>
          <w:lang w:eastAsia="en-IN"/>
        </w:rPr>
        <w:t>Organizations and Markets in Emerging Economies</w:t>
      </w:r>
      <w:r w:rsidRPr="00026AB8">
        <w:rPr>
          <w:rFonts w:ascii="Arial" w:eastAsia="Times New Roman" w:hAnsi="Arial" w:cs="Arial"/>
          <w:sz w:val="24"/>
          <w:szCs w:val="24"/>
          <w:lang w:eastAsia="en-IN"/>
        </w:rPr>
        <w:t>, 9(2), pp.311–323. doi:https://doi.org/10.15388/omee.2018.10.00016.</w:t>
      </w:r>
    </w:p>
    <w:p w14:paraId="480267F4"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1F5AC9A5" w14:textId="77777777" w:rsidR="00026AB8" w:rsidRPr="00026AB8" w:rsidRDefault="00026AB8" w:rsidP="00026AB8">
      <w:pPr>
        <w:spacing w:after="0" w:line="360" w:lineRule="auto"/>
        <w:jc w:val="both"/>
        <w:rPr>
          <w:rFonts w:ascii="Arial" w:eastAsia="Times New Roman" w:hAnsi="Arial" w:cs="Arial"/>
          <w:color w:val="000000"/>
          <w:sz w:val="24"/>
          <w:szCs w:val="24"/>
          <w:lang w:eastAsia="en-IN"/>
        </w:rPr>
      </w:pPr>
      <w:r w:rsidRPr="00026AB8">
        <w:rPr>
          <w:rFonts w:ascii="Arial" w:eastAsia="Times New Roman" w:hAnsi="Arial" w:cs="Arial"/>
          <w:color w:val="000000"/>
          <w:sz w:val="24"/>
          <w:szCs w:val="24"/>
          <w:lang w:eastAsia="en-IN"/>
        </w:rPr>
        <w:t>Chakravorty, S.S. (2009). Process Improvement: Using Toyota’s A3 Reports. </w:t>
      </w:r>
      <w:r w:rsidRPr="00026AB8">
        <w:rPr>
          <w:rFonts w:ascii="Arial" w:eastAsia="Times New Roman" w:hAnsi="Arial" w:cs="Arial"/>
          <w:i/>
          <w:iCs/>
          <w:color w:val="000000"/>
          <w:sz w:val="24"/>
          <w:szCs w:val="24"/>
          <w:lang w:eastAsia="en-IN"/>
        </w:rPr>
        <w:t>Quality Management Journal</w:t>
      </w:r>
      <w:r w:rsidRPr="00026AB8">
        <w:rPr>
          <w:rFonts w:ascii="Arial" w:eastAsia="Times New Roman" w:hAnsi="Arial" w:cs="Arial"/>
          <w:color w:val="000000"/>
          <w:sz w:val="24"/>
          <w:szCs w:val="24"/>
          <w:lang w:eastAsia="en-IN"/>
        </w:rPr>
        <w:t>, 16(4), pp.7–26. doi:https://doi.org/10.1080/10686967.2009.11918247.</w:t>
      </w:r>
    </w:p>
    <w:p w14:paraId="78F675C9"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22119EBA"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Dutta, P. (2021). Corporate Sustainability: A Case Study on Toyota Motor Corporation. </w:t>
      </w:r>
      <w:r w:rsidRPr="00026AB8">
        <w:rPr>
          <w:rFonts w:ascii="Arial" w:eastAsia="Times New Roman" w:hAnsi="Arial" w:cs="Arial"/>
          <w:i/>
          <w:iCs/>
          <w:sz w:val="24"/>
          <w:szCs w:val="24"/>
          <w:lang w:eastAsia="en-IN"/>
        </w:rPr>
        <w:t>Indian Journal of Applied Research</w:t>
      </w:r>
      <w:r w:rsidRPr="00026AB8">
        <w:rPr>
          <w:rFonts w:ascii="Arial" w:eastAsia="Times New Roman" w:hAnsi="Arial" w:cs="Arial"/>
          <w:sz w:val="24"/>
          <w:szCs w:val="24"/>
          <w:lang w:eastAsia="en-IN"/>
        </w:rPr>
        <w:t>, 4(8), pp.105–108. doi:https://doi.org/10.15373/2249555x/august2014/28.</w:t>
      </w:r>
    </w:p>
    <w:p w14:paraId="1902FF0B"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22FF08B0" w14:textId="77777777" w:rsidR="00026AB8" w:rsidRPr="00026AB8" w:rsidRDefault="00026AB8" w:rsidP="00026AB8">
      <w:pPr>
        <w:spacing w:line="360" w:lineRule="auto"/>
        <w:jc w:val="both"/>
        <w:rPr>
          <w:rStyle w:val="Hyperlink"/>
          <w:rFonts w:ascii="Arial" w:hAnsi="Arial" w:cs="Arial"/>
          <w:color w:val="auto"/>
          <w:sz w:val="24"/>
          <w:szCs w:val="24"/>
        </w:rPr>
      </w:pPr>
      <w:r w:rsidRPr="00026AB8">
        <w:rPr>
          <w:rFonts w:ascii="Arial" w:hAnsi="Arial" w:cs="Arial"/>
          <w:sz w:val="24"/>
          <w:szCs w:val="24"/>
        </w:rPr>
        <w:t xml:space="preserve">Economic Times. (2025, April 15). </w:t>
      </w:r>
      <w:r w:rsidRPr="00026AB8">
        <w:rPr>
          <w:rStyle w:val="Emphasis"/>
          <w:rFonts w:ascii="Arial" w:hAnsi="Arial" w:cs="Arial"/>
          <w:sz w:val="24"/>
          <w:szCs w:val="24"/>
        </w:rPr>
        <w:t>India’s passenger vehicle sales hit record high at 43 lakh units in FY25, utility vehicles driver of growth: SIAM</w:t>
      </w:r>
      <w:r w:rsidRPr="00026AB8">
        <w:rPr>
          <w:rFonts w:ascii="Arial" w:hAnsi="Arial" w:cs="Arial"/>
          <w:sz w:val="24"/>
          <w:szCs w:val="24"/>
        </w:rPr>
        <w:t xml:space="preserve">. The Economic Times. </w:t>
      </w:r>
      <w:hyperlink r:id="rId19" w:tgtFrame="_new" w:history="1">
        <w:r w:rsidRPr="00026AB8">
          <w:rPr>
            <w:rStyle w:val="Hyperlink"/>
            <w:rFonts w:ascii="Arial" w:hAnsi="Arial" w:cs="Arial"/>
            <w:color w:val="auto"/>
            <w:sz w:val="24"/>
            <w:szCs w:val="24"/>
          </w:rPr>
          <w:t>https://economictimes.indiatimes.com/industry/auto/auto-news/indias-passenger-vehicle-sales-hit-record-high-at-43-lakh-units-in-fy25-utility-vehicles-driver-of-growth-siam/articleshow/120301623.cms</w:t>
        </w:r>
      </w:hyperlink>
    </w:p>
    <w:p w14:paraId="2CFD0A8D" w14:textId="77777777" w:rsidR="00026AB8" w:rsidRPr="00026AB8" w:rsidRDefault="00026AB8" w:rsidP="00026AB8">
      <w:pPr>
        <w:spacing w:after="0" w:line="360" w:lineRule="auto"/>
        <w:jc w:val="both"/>
        <w:rPr>
          <w:rFonts w:ascii="Arial" w:hAnsi="Arial" w:cs="Arial"/>
          <w:sz w:val="24"/>
          <w:szCs w:val="24"/>
          <w:u w:val="single"/>
        </w:rPr>
      </w:pPr>
    </w:p>
    <w:p w14:paraId="028A890F"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Fleming, B. (2019). Electric Vehicle Collaboration-Toyota Motor Corporation and Tesla Motors [Automotive Electronics]. </w:t>
      </w:r>
      <w:r w:rsidRPr="00026AB8">
        <w:rPr>
          <w:rFonts w:ascii="Arial" w:eastAsia="Times New Roman" w:hAnsi="Arial" w:cs="Arial"/>
          <w:i/>
          <w:iCs/>
          <w:sz w:val="24"/>
          <w:szCs w:val="24"/>
          <w:lang w:eastAsia="en-IN"/>
        </w:rPr>
        <w:t>IEEE Vehicular Technology Magazine</w:t>
      </w:r>
      <w:r w:rsidRPr="00026AB8">
        <w:rPr>
          <w:rFonts w:ascii="Arial" w:eastAsia="Times New Roman" w:hAnsi="Arial" w:cs="Arial"/>
          <w:sz w:val="24"/>
          <w:szCs w:val="24"/>
          <w:lang w:eastAsia="en-IN"/>
        </w:rPr>
        <w:t>, 8(1), pp.4–9. doi:https://doi.org/10.1109/mvt.2012.2233933.</w:t>
      </w:r>
    </w:p>
    <w:p w14:paraId="17B8C304"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261E3DA2"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Hofstede Insights (2023). </w:t>
      </w:r>
      <w:r w:rsidRPr="00026AB8">
        <w:rPr>
          <w:rFonts w:ascii="Arial" w:hAnsi="Arial" w:cs="Arial"/>
          <w:i/>
          <w:iCs/>
          <w:sz w:val="24"/>
          <w:szCs w:val="24"/>
        </w:rPr>
        <w:t>Country Comparison</w:t>
      </w:r>
      <w:r w:rsidRPr="00026AB8">
        <w:rPr>
          <w:rFonts w:ascii="Arial" w:hAnsi="Arial" w:cs="Arial"/>
          <w:sz w:val="24"/>
          <w:szCs w:val="24"/>
        </w:rPr>
        <w:t xml:space="preserve">. [online] Hofstede Insights. Available at: </w:t>
      </w:r>
      <w:hyperlink r:id="rId20" w:history="1">
        <w:r w:rsidRPr="00026AB8">
          <w:rPr>
            <w:rStyle w:val="Hyperlink"/>
            <w:rFonts w:ascii="Arial" w:hAnsi="Arial" w:cs="Arial"/>
            <w:color w:val="auto"/>
            <w:sz w:val="24"/>
            <w:szCs w:val="24"/>
          </w:rPr>
          <w:t>https://www.hofstede-insights.com/country-comparison/japan,the-usa/</w:t>
        </w:r>
      </w:hyperlink>
      <w:r w:rsidRPr="00026AB8">
        <w:rPr>
          <w:rFonts w:ascii="Arial" w:hAnsi="Arial" w:cs="Arial"/>
          <w:sz w:val="24"/>
          <w:szCs w:val="24"/>
        </w:rPr>
        <w:t>.</w:t>
      </w:r>
    </w:p>
    <w:p w14:paraId="712F3DC6"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3C61D189"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James, R.P. (2024). International transference of lean production systems: managerial lessons from Toyota transplants in the USA, Australia, and India. </w:t>
      </w:r>
      <w:r w:rsidRPr="00026AB8">
        <w:rPr>
          <w:rFonts w:ascii="Arial" w:eastAsia="Times New Roman" w:hAnsi="Arial" w:cs="Arial"/>
          <w:i/>
          <w:iCs/>
          <w:sz w:val="24"/>
          <w:szCs w:val="24"/>
          <w:lang w:eastAsia="en-IN"/>
        </w:rPr>
        <w:t>Swinburne Research Bank (Swinburne University of Technology)</w:t>
      </w:r>
      <w:r w:rsidRPr="00026AB8">
        <w:rPr>
          <w:rFonts w:ascii="Arial" w:eastAsia="Times New Roman" w:hAnsi="Arial" w:cs="Arial"/>
          <w:sz w:val="24"/>
          <w:szCs w:val="24"/>
          <w:lang w:eastAsia="en-IN"/>
        </w:rPr>
        <w:t>. doi:https://doi.org/10.25916/sut.26286310.v1.</w:t>
      </w:r>
    </w:p>
    <w:p w14:paraId="0FB0514F" w14:textId="77777777" w:rsidR="00026AB8" w:rsidRPr="00026AB8" w:rsidRDefault="00026AB8" w:rsidP="00026AB8">
      <w:pPr>
        <w:pStyle w:val="NormalWeb"/>
        <w:spacing w:before="0" w:beforeAutospacing="0" w:after="0" w:afterAutospacing="0" w:line="360" w:lineRule="auto"/>
        <w:jc w:val="both"/>
        <w:rPr>
          <w:rFonts w:ascii="Arial" w:hAnsi="Arial" w:cs="Arial"/>
          <w:color w:val="000000"/>
          <w:sz w:val="24"/>
          <w:szCs w:val="24"/>
        </w:rPr>
      </w:pPr>
      <w:r w:rsidRPr="00026AB8">
        <w:rPr>
          <w:rFonts w:ascii="Arial" w:hAnsi="Arial" w:cs="Arial"/>
          <w:color w:val="000000"/>
          <w:sz w:val="24"/>
          <w:szCs w:val="24"/>
        </w:rPr>
        <w:t>Jones, R., Mathew, S. and James, R. (2024). HRM readjustment dynamics of an industrial transplant: the case of Toyota in India. </w:t>
      </w:r>
      <w:r w:rsidRPr="00026AB8">
        <w:rPr>
          <w:rFonts w:ascii="Arial" w:hAnsi="Arial" w:cs="Arial"/>
          <w:i/>
          <w:iCs/>
          <w:color w:val="000000"/>
          <w:sz w:val="24"/>
          <w:szCs w:val="24"/>
        </w:rPr>
        <w:t>Swinburne Research Bank (Swinburne University of Technology)</w:t>
      </w:r>
      <w:r w:rsidRPr="00026AB8">
        <w:rPr>
          <w:rFonts w:ascii="Arial" w:hAnsi="Arial" w:cs="Arial"/>
          <w:color w:val="000000"/>
          <w:sz w:val="24"/>
          <w:szCs w:val="24"/>
        </w:rPr>
        <w:t>. doi:https://doi.org/10.25916/sut.26225549.v1.</w:t>
      </w:r>
    </w:p>
    <w:p w14:paraId="7A2C03AF" w14:textId="77777777" w:rsidR="00026AB8" w:rsidRPr="00026AB8" w:rsidRDefault="00026AB8" w:rsidP="00026AB8">
      <w:pPr>
        <w:pStyle w:val="NormalWeb"/>
        <w:spacing w:before="0" w:beforeAutospacing="0" w:after="0" w:afterAutospacing="0" w:line="360" w:lineRule="auto"/>
        <w:jc w:val="both"/>
        <w:rPr>
          <w:rFonts w:ascii="Arial" w:hAnsi="Arial" w:cs="Arial"/>
          <w:color w:val="000000"/>
          <w:sz w:val="24"/>
          <w:szCs w:val="24"/>
        </w:rPr>
      </w:pPr>
    </w:p>
    <w:p w14:paraId="0596556D"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K Radhika and Kar, P. (2023). Toyota Kirloskar Motors: Labor Unrest and Crisis Management. [online] doi:https://doi.org/10.4135/9781529611724.</w:t>
      </w:r>
    </w:p>
    <w:p w14:paraId="7357EC05"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0F066937" w14:textId="0A7AABBF" w:rsidR="00026AB8" w:rsidRPr="00026AB8" w:rsidRDefault="00026AB8" w:rsidP="00026AB8">
      <w:pPr>
        <w:pStyle w:val="NormalWeb"/>
        <w:spacing w:before="0" w:beforeAutospacing="0" w:after="0" w:afterAutospacing="0" w:line="360" w:lineRule="auto"/>
        <w:jc w:val="both"/>
        <w:rPr>
          <w:rFonts w:ascii="Arial" w:hAnsi="Arial" w:cs="Arial"/>
          <w:color w:val="000000"/>
          <w:sz w:val="24"/>
          <w:szCs w:val="24"/>
        </w:rPr>
      </w:pPr>
      <w:r w:rsidRPr="00026AB8">
        <w:rPr>
          <w:rFonts w:ascii="Arial" w:hAnsi="Arial" w:cs="Arial"/>
          <w:color w:val="000000"/>
          <w:sz w:val="24"/>
          <w:szCs w:val="24"/>
        </w:rPr>
        <w:t xml:space="preserve">Miroshnik, V. (2008). Globalization And Creation </w:t>
      </w:r>
      <w:r w:rsidR="00FD1312" w:rsidRPr="00026AB8">
        <w:rPr>
          <w:rFonts w:ascii="Arial" w:hAnsi="Arial" w:cs="Arial"/>
          <w:color w:val="000000"/>
          <w:sz w:val="24"/>
          <w:szCs w:val="24"/>
        </w:rPr>
        <w:t>of</w:t>
      </w:r>
      <w:r w:rsidRPr="00026AB8">
        <w:rPr>
          <w:rFonts w:ascii="Arial" w:hAnsi="Arial" w:cs="Arial"/>
          <w:color w:val="000000"/>
          <w:sz w:val="24"/>
          <w:szCs w:val="24"/>
        </w:rPr>
        <w:t xml:space="preserve"> Organizational Citizenship </w:t>
      </w:r>
      <w:r w:rsidR="00FD1312" w:rsidRPr="00026AB8">
        <w:rPr>
          <w:rFonts w:ascii="Arial" w:hAnsi="Arial" w:cs="Arial"/>
          <w:color w:val="000000"/>
          <w:sz w:val="24"/>
          <w:szCs w:val="24"/>
        </w:rPr>
        <w:t>in</w:t>
      </w:r>
      <w:r w:rsidRPr="00026AB8">
        <w:rPr>
          <w:rFonts w:ascii="Arial" w:hAnsi="Arial" w:cs="Arial"/>
          <w:color w:val="000000"/>
          <w:sz w:val="24"/>
          <w:szCs w:val="24"/>
        </w:rPr>
        <w:t xml:space="preserve"> The Developing Countries: A Case Study </w:t>
      </w:r>
      <w:r w:rsidR="00FD1312" w:rsidRPr="00026AB8">
        <w:rPr>
          <w:rFonts w:ascii="Arial" w:hAnsi="Arial" w:cs="Arial"/>
          <w:color w:val="000000"/>
          <w:sz w:val="24"/>
          <w:szCs w:val="24"/>
        </w:rPr>
        <w:t>of</w:t>
      </w:r>
      <w:r w:rsidRPr="00026AB8">
        <w:rPr>
          <w:rFonts w:ascii="Arial" w:hAnsi="Arial" w:cs="Arial"/>
          <w:color w:val="000000"/>
          <w:sz w:val="24"/>
          <w:szCs w:val="24"/>
        </w:rPr>
        <w:t xml:space="preserve"> Toyota </w:t>
      </w:r>
      <w:r w:rsidR="00FD1312" w:rsidRPr="00026AB8">
        <w:rPr>
          <w:rFonts w:ascii="Arial" w:hAnsi="Arial" w:cs="Arial"/>
          <w:color w:val="000000"/>
          <w:sz w:val="24"/>
          <w:szCs w:val="24"/>
        </w:rPr>
        <w:t>in</w:t>
      </w:r>
      <w:r w:rsidRPr="00026AB8">
        <w:rPr>
          <w:rFonts w:ascii="Arial" w:hAnsi="Arial" w:cs="Arial"/>
          <w:color w:val="000000"/>
          <w:sz w:val="24"/>
          <w:szCs w:val="24"/>
        </w:rPr>
        <w:t xml:space="preserve"> India. </w:t>
      </w:r>
      <w:r w:rsidRPr="00026AB8">
        <w:rPr>
          <w:rFonts w:ascii="Arial" w:hAnsi="Arial" w:cs="Arial"/>
          <w:i/>
          <w:iCs/>
          <w:color w:val="000000"/>
          <w:sz w:val="24"/>
          <w:szCs w:val="24"/>
        </w:rPr>
        <w:t>World Scientific Book Chapters</w:t>
      </w:r>
      <w:r w:rsidRPr="00026AB8">
        <w:rPr>
          <w:rFonts w:ascii="Arial" w:hAnsi="Arial" w:cs="Arial"/>
          <w:color w:val="000000"/>
          <w:sz w:val="24"/>
          <w:szCs w:val="24"/>
        </w:rPr>
        <w:t>, pp.235–257.</w:t>
      </w:r>
    </w:p>
    <w:p w14:paraId="03FF1DF4"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6D2CCB3E"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‌Park, J.-G. and Lee, H.-O. (2023). Japanese Mobility Industry Trends and Toyota Motor Corporation Strategy. 101, pp.19–37. doi:https://doi.org/10.46396/kjem..101.2.</w:t>
      </w:r>
    </w:p>
    <w:p w14:paraId="6A7DECCD"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7BF2683C"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Pathak, S. (2022). Soft power of Japan in India. </w:t>
      </w:r>
      <w:r w:rsidRPr="00026AB8">
        <w:rPr>
          <w:rFonts w:ascii="Arial" w:hAnsi="Arial" w:cs="Arial"/>
          <w:i/>
          <w:iCs/>
          <w:sz w:val="24"/>
          <w:szCs w:val="24"/>
        </w:rPr>
        <w:t>RESEARCH REVIEW International Journal of Multidisciplinary</w:t>
      </w:r>
      <w:r w:rsidRPr="00026AB8">
        <w:rPr>
          <w:rFonts w:ascii="Arial" w:hAnsi="Arial" w:cs="Arial"/>
          <w:sz w:val="24"/>
          <w:szCs w:val="24"/>
        </w:rPr>
        <w:t>, 7(3), pp.54–61. doi:https://doi.org/10.31305/rrijm.2022.v07.i03.010.</w:t>
      </w:r>
    </w:p>
    <w:p w14:paraId="1D95B7FD"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13C037DC"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Pervin, Most.T. and Khan, Md.R. (2022). Technology disruption and its application in organizational management theories: a case study on Toyota motor corporation (TMC). </w:t>
      </w:r>
      <w:r w:rsidRPr="00026AB8">
        <w:rPr>
          <w:rFonts w:ascii="Arial" w:hAnsi="Arial" w:cs="Arial"/>
          <w:i/>
          <w:iCs/>
          <w:sz w:val="24"/>
          <w:szCs w:val="24"/>
        </w:rPr>
        <w:t>International Journal of Services and Operations Management</w:t>
      </w:r>
      <w:r w:rsidRPr="00026AB8">
        <w:rPr>
          <w:rFonts w:ascii="Arial" w:hAnsi="Arial" w:cs="Arial"/>
          <w:sz w:val="24"/>
          <w:szCs w:val="24"/>
        </w:rPr>
        <w:t>, 1(1), p.1. doi:https://doi.org/10.1504/ijsom.2022.10050347.</w:t>
      </w:r>
    </w:p>
    <w:p w14:paraId="502BA952"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360B83AF"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Rahman, A. and Acharya, P. (2020). A Comparative Study on Financial Performance of Tata Motors and Toyota Motor Corporation Cars. </w:t>
      </w:r>
      <w:r w:rsidRPr="00026AB8">
        <w:rPr>
          <w:rFonts w:ascii="Arial" w:eastAsia="Times New Roman" w:hAnsi="Arial" w:cs="Arial"/>
          <w:i/>
          <w:iCs/>
          <w:sz w:val="24"/>
          <w:szCs w:val="24"/>
          <w:lang w:eastAsia="en-IN"/>
        </w:rPr>
        <w:t>SSRN Electronic Journal</w:t>
      </w:r>
      <w:r w:rsidRPr="00026AB8">
        <w:rPr>
          <w:rFonts w:ascii="Arial" w:eastAsia="Times New Roman" w:hAnsi="Arial" w:cs="Arial"/>
          <w:sz w:val="24"/>
          <w:szCs w:val="24"/>
          <w:lang w:eastAsia="en-IN"/>
        </w:rPr>
        <w:t>. doi:https://doi.org/10.2139/ssrn.4173857.</w:t>
      </w:r>
    </w:p>
    <w:p w14:paraId="72C7A2B1"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6FB9637F" w14:textId="0148A5AF"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Rashmi, M.J. (2018). Total Productive Maintenance (TPM) Implementation in Automobile Industry: A Case Study of Toyota Kirloskar Motor, Bangalore. </w:t>
      </w:r>
      <w:r w:rsidRPr="00026AB8">
        <w:rPr>
          <w:rFonts w:ascii="Arial" w:eastAsia="Times New Roman" w:hAnsi="Arial" w:cs="Arial"/>
          <w:i/>
          <w:iCs/>
          <w:sz w:val="24"/>
          <w:szCs w:val="24"/>
          <w:lang w:eastAsia="en-IN"/>
        </w:rPr>
        <w:t xml:space="preserve">International </w:t>
      </w:r>
      <w:r w:rsidRPr="00026AB8">
        <w:rPr>
          <w:rFonts w:ascii="Arial" w:eastAsia="Times New Roman" w:hAnsi="Arial" w:cs="Arial"/>
          <w:i/>
          <w:iCs/>
          <w:sz w:val="24"/>
          <w:szCs w:val="24"/>
          <w:lang w:eastAsia="en-IN"/>
        </w:rPr>
        <w:lastRenderedPageBreak/>
        <w:t>Journal of Management Studies</w:t>
      </w:r>
      <w:r w:rsidRPr="00026AB8">
        <w:rPr>
          <w:rFonts w:ascii="Arial" w:eastAsia="Times New Roman" w:hAnsi="Arial" w:cs="Arial"/>
          <w:sz w:val="24"/>
          <w:szCs w:val="24"/>
          <w:lang w:eastAsia="en-IN"/>
        </w:rPr>
        <w:t xml:space="preserve">, </w:t>
      </w:r>
      <w:r w:rsidR="00FD1312" w:rsidRPr="00026AB8">
        <w:rPr>
          <w:rFonts w:ascii="Arial" w:eastAsia="Times New Roman" w:hAnsi="Arial" w:cs="Arial"/>
          <w:sz w:val="24"/>
          <w:szCs w:val="24"/>
          <w:lang w:eastAsia="en-IN"/>
        </w:rPr>
        <w:t>V (</w:t>
      </w:r>
      <w:r w:rsidRPr="00026AB8">
        <w:rPr>
          <w:rFonts w:ascii="Arial" w:eastAsia="Times New Roman" w:hAnsi="Arial" w:cs="Arial"/>
          <w:sz w:val="24"/>
          <w:szCs w:val="24"/>
          <w:lang w:eastAsia="en-IN"/>
        </w:rPr>
        <w:t>4(1)), p.40. doi:https://doi.org/10.18843/ijms/v5i4(1)/06.</w:t>
      </w:r>
    </w:p>
    <w:p w14:paraId="362B0170"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2AE2FABC"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Singh, N. (2025). Managing Cross- Cultural Teams in Multinational Corporations. </w:t>
      </w:r>
      <w:r w:rsidRPr="00026AB8">
        <w:rPr>
          <w:rFonts w:ascii="Arial" w:eastAsia="Times New Roman" w:hAnsi="Arial" w:cs="Arial"/>
          <w:i/>
          <w:iCs/>
          <w:sz w:val="24"/>
          <w:szCs w:val="24"/>
          <w:lang w:eastAsia="en-IN"/>
        </w:rPr>
        <w:t>International Journal of Research Publication and Reviews</w:t>
      </w:r>
      <w:r w:rsidRPr="00026AB8">
        <w:rPr>
          <w:rFonts w:ascii="Arial" w:eastAsia="Times New Roman" w:hAnsi="Arial" w:cs="Arial"/>
          <w:sz w:val="24"/>
          <w:szCs w:val="24"/>
          <w:lang w:eastAsia="en-IN"/>
        </w:rPr>
        <w:t>, 6(6), pp.8359–8361. doi:https://doi.org/10.55248/gengpi.6.0625.22136.</w:t>
      </w:r>
    </w:p>
    <w:p w14:paraId="60B9B7FD"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4FD45FDE"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Sosnovskikh, S. (2019). Toyota Motor Corporation: Organizational Culture. </w:t>
      </w:r>
      <w:r w:rsidRPr="00026AB8">
        <w:rPr>
          <w:rFonts w:ascii="Arial" w:eastAsia="Times New Roman" w:hAnsi="Arial" w:cs="Arial"/>
          <w:i/>
          <w:iCs/>
          <w:sz w:val="24"/>
          <w:szCs w:val="24"/>
          <w:lang w:eastAsia="en-IN"/>
        </w:rPr>
        <w:t>Philosophy Study</w:t>
      </w:r>
      <w:r w:rsidRPr="00026AB8">
        <w:rPr>
          <w:rFonts w:ascii="Arial" w:eastAsia="Times New Roman" w:hAnsi="Arial" w:cs="Arial"/>
          <w:sz w:val="24"/>
          <w:szCs w:val="24"/>
          <w:lang w:eastAsia="en-IN"/>
        </w:rPr>
        <w:t>, [online] 6(7). doi:https://doi.org/10.17265/2159-5313/2016.07.005.</w:t>
      </w:r>
    </w:p>
    <w:p w14:paraId="216EA443"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2CA0654C"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Srilatha Palekar, Arun Pardhi and Jindal, S. (2022). Can Toyota Regain Its Footing in India? </w:t>
      </w:r>
      <w:r w:rsidRPr="00026AB8">
        <w:rPr>
          <w:rFonts w:ascii="Arial" w:eastAsia="Times New Roman" w:hAnsi="Arial" w:cs="Arial"/>
          <w:i/>
          <w:iCs/>
          <w:sz w:val="24"/>
          <w:szCs w:val="24"/>
          <w:lang w:eastAsia="en-IN"/>
        </w:rPr>
        <w:t>Oxford University Press eBooks</w:t>
      </w:r>
      <w:r w:rsidRPr="00026AB8">
        <w:rPr>
          <w:rFonts w:ascii="Arial" w:eastAsia="Times New Roman" w:hAnsi="Arial" w:cs="Arial"/>
          <w:sz w:val="24"/>
          <w:szCs w:val="24"/>
          <w:lang w:eastAsia="en-IN"/>
        </w:rPr>
        <w:t>, pp.133–140. doi:https://doi.org/10.1093/oso/9780192869449.003.0016.</w:t>
      </w:r>
    </w:p>
    <w:p w14:paraId="205AEEFA"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09FE9168" w14:textId="31091F8B" w:rsidR="00026AB8" w:rsidRDefault="00026AB8" w:rsidP="001A7257">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Sugathan, S. (2021). An empirical study on growth of supply chain management in Toyota Motors. </w:t>
      </w:r>
      <w:r w:rsidRPr="00026AB8">
        <w:rPr>
          <w:rFonts w:ascii="Arial" w:eastAsia="Times New Roman" w:hAnsi="Arial" w:cs="Arial"/>
          <w:i/>
          <w:iCs/>
          <w:sz w:val="24"/>
          <w:szCs w:val="24"/>
          <w:lang w:eastAsia="en-IN"/>
        </w:rPr>
        <w:t>IARJSET</w:t>
      </w:r>
      <w:r w:rsidRPr="00026AB8">
        <w:rPr>
          <w:rFonts w:ascii="Arial" w:eastAsia="Times New Roman" w:hAnsi="Arial" w:cs="Arial"/>
          <w:sz w:val="24"/>
          <w:szCs w:val="24"/>
          <w:lang w:eastAsia="en-IN"/>
        </w:rPr>
        <w:t>, [online] 8(8). doi:https://doi.org/10.17148/iarjset.2021.8802.</w:t>
      </w:r>
    </w:p>
    <w:p w14:paraId="15D8DBD0" w14:textId="77777777" w:rsidR="001A7257" w:rsidRDefault="001A7257" w:rsidP="001A7257">
      <w:pPr>
        <w:spacing w:after="0" w:line="360" w:lineRule="auto"/>
        <w:jc w:val="both"/>
        <w:rPr>
          <w:rFonts w:ascii="Arial" w:eastAsia="Times New Roman" w:hAnsi="Arial" w:cs="Arial"/>
          <w:sz w:val="24"/>
          <w:szCs w:val="24"/>
          <w:lang w:eastAsia="en-IN"/>
        </w:rPr>
      </w:pPr>
    </w:p>
    <w:p w14:paraId="39482013" w14:textId="1F034E66" w:rsidR="001A7257" w:rsidRDefault="001A7257" w:rsidP="001A7257">
      <w:pPr>
        <w:spacing w:after="0" w:line="360" w:lineRule="auto"/>
        <w:jc w:val="both"/>
        <w:rPr>
          <w:rFonts w:ascii="Arial" w:eastAsia="Times New Roman" w:hAnsi="Arial" w:cs="Arial"/>
          <w:sz w:val="24"/>
          <w:szCs w:val="24"/>
          <w:lang w:eastAsia="en-IN"/>
        </w:rPr>
      </w:pPr>
      <w:bookmarkStart w:id="26" w:name="_Toc215316630"/>
      <w:bookmarkStart w:id="27" w:name="_Toc216449021"/>
      <w:r w:rsidRPr="00026AB8">
        <w:rPr>
          <w:rFonts w:ascii="Arial" w:eastAsia="Times New Roman" w:hAnsi="Arial" w:cs="Arial"/>
          <w:bCs/>
          <w:kern w:val="36"/>
          <w:sz w:val="24"/>
          <w:szCs w:val="24"/>
          <w:lang w:eastAsia="en-IN"/>
        </w:rPr>
        <w:t xml:space="preserve">Team-BHP. (2025, July 29). Hybrid car sales up 118% in Q1 FY2026; Toyota leads the pack. Retrieved from </w:t>
      </w:r>
      <w:hyperlink r:id="rId21" w:history="1">
        <w:r w:rsidRPr="00026AB8">
          <w:rPr>
            <w:rStyle w:val="Hyperlink"/>
            <w:rFonts w:ascii="Arial" w:eastAsia="Times New Roman" w:hAnsi="Arial" w:cs="Arial"/>
            <w:bCs/>
            <w:color w:val="auto"/>
            <w:kern w:val="36"/>
            <w:sz w:val="24"/>
            <w:szCs w:val="24"/>
            <w:lang w:eastAsia="en-IN"/>
          </w:rPr>
          <w:t>https://www.team-bhp.com/forum/indian-car-scene/297310-hybrid-car-sales-up-118-q1-fy2026-toyota-leads-pack.html</w:t>
        </w:r>
        <w:bookmarkEnd w:id="26"/>
        <w:bookmarkEnd w:id="27"/>
      </w:hyperlink>
    </w:p>
    <w:p w14:paraId="1954CC66" w14:textId="77777777" w:rsidR="001A7257" w:rsidRPr="001A7257" w:rsidRDefault="001A7257" w:rsidP="001A7257">
      <w:pPr>
        <w:spacing w:after="0" w:line="360" w:lineRule="auto"/>
        <w:jc w:val="both"/>
        <w:rPr>
          <w:rFonts w:ascii="Arial" w:eastAsia="Times New Roman" w:hAnsi="Arial" w:cs="Arial"/>
          <w:sz w:val="24"/>
          <w:szCs w:val="24"/>
          <w:lang w:eastAsia="en-IN"/>
        </w:rPr>
      </w:pPr>
    </w:p>
    <w:p w14:paraId="061CED45"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Teece, D.J. (2025). The multinational enterprise, capabilities, and digitalization: governance and growth with world disorder. </w:t>
      </w:r>
      <w:r w:rsidRPr="00026AB8">
        <w:rPr>
          <w:rFonts w:ascii="Arial" w:eastAsia="Times New Roman" w:hAnsi="Arial" w:cs="Arial"/>
          <w:i/>
          <w:iCs/>
          <w:sz w:val="24"/>
          <w:szCs w:val="24"/>
          <w:lang w:eastAsia="en-IN"/>
        </w:rPr>
        <w:t>Journal of International Business Studies</w:t>
      </w:r>
      <w:r w:rsidRPr="00026AB8">
        <w:rPr>
          <w:rFonts w:ascii="Arial" w:eastAsia="Times New Roman" w:hAnsi="Arial" w:cs="Arial"/>
          <w:sz w:val="24"/>
          <w:szCs w:val="24"/>
          <w:lang w:eastAsia="en-IN"/>
        </w:rPr>
        <w:t>, 56. doi:https://doi.org/10.1057/s41267-024-00767-7.</w:t>
      </w:r>
    </w:p>
    <w:p w14:paraId="1EC7232B"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589CFDD0" w14:textId="77777777" w:rsidR="00026AB8" w:rsidRPr="00026AB8" w:rsidRDefault="00026AB8" w:rsidP="00026AB8">
      <w:pPr>
        <w:spacing w:after="0" w:line="360" w:lineRule="auto"/>
        <w:jc w:val="both"/>
        <w:rPr>
          <w:rStyle w:val="Hyperlink"/>
          <w:rFonts w:ascii="Arial" w:hAnsi="Arial" w:cs="Arial"/>
          <w:color w:val="auto"/>
          <w:sz w:val="24"/>
          <w:szCs w:val="24"/>
        </w:rPr>
      </w:pPr>
      <w:r w:rsidRPr="00026AB8">
        <w:rPr>
          <w:rFonts w:ascii="Arial" w:hAnsi="Arial" w:cs="Arial"/>
          <w:sz w:val="24"/>
          <w:szCs w:val="24"/>
        </w:rPr>
        <w:t xml:space="preserve">Thakkar, K., &amp; Radhey Shyam, A. (2025, March 2). India surges into Toyota’s global top 4 – What’s driving the jump? Autocar Professional. </w:t>
      </w:r>
      <w:hyperlink r:id="rId22" w:history="1">
        <w:r w:rsidRPr="00026AB8">
          <w:rPr>
            <w:rStyle w:val="Hyperlink"/>
            <w:rFonts w:ascii="Arial" w:hAnsi="Arial" w:cs="Arial"/>
            <w:color w:val="auto"/>
            <w:sz w:val="24"/>
            <w:szCs w:val="24"/>
          </w:rPr>
          <w:t>https://www.autocarpro.in/feature/india-surges-into-toyotas-global-top-4-%E2%80%93-whats-driving-the-jump-125203</w:t>
        </w:r>
      </w:hyperlink>
    </w:p>
    <w:p w14:paraId="19C2028F" w14:textId="77777777" w:rsidR="00026AB8" w:rsidRPr="00026AB8" w:rsidRDefault="00026AB8" w:rsidP="00026AB8">
      <w:pPr>
        <w:spacing w:after="0" w:line="360" w:lineRule="auto"/>
        <w:jc w:val="both"/>
        <w:rPr>
          <w:rFonts w:ascii="Arial" w:hAnsi="Arial" w:cs="Arial"/>
          <w:sz w:val="24"/>
          <w:szCs w:val="24"/>
        </w:rPr>
      </w:pPr>
    </w:p>
    <w:p w14:paraId="42E8F44D"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 xml:space="preserve">Tillu, P.G., Digalwar, A.K., Singh, S.R. and Reosekar, R.S. (2024). Towards sustainable automobile ecosystem in India: Integrated analysis of technical, economic, </w:t>
      </w:r>
      <w:r w:rsidRPr="00026AB8">
        <w:rPr>
          <w:rFonts w:ascii="Arial" w:hAnsi="Arial" w:cs="Arial"/>
          <w:sz w:val="24"/>
          <w:szCs w:val="24"/>
        </w:rPr>
        <w:lastRenderedPageBreak/>
        <w:t>and ESG dimensions. </w:t>
      </w:r>
      <w:r w:rsidRPr="00026AB8">
        <w:rPr>
          <w:rFonts w:ascii="Arial" w:hAnsi="Arial" w:cs="Arial"/>
          <w:i/>
          <w:iCs/>
          <w:sz w:val="24"/>
          <w:szCs w:val="24"/>
        </w:rPr>
        <w:t>Cleaner Environmental Systems</w:t>
      </w:r>
      <w:r w:rsidRPr="00026AB8">
        <w:rPr>
          <w:rFonts w:ascii="Arial" w:hAnsi="Arial" w:cs="Arial"/>
          <w:sz w:val="24"/>
          <w:szCs w:val="24"/>
        </w:rPr>
        <w:t>, [online] 14, pp.100210–100210. doi:https://doi.org/10.1016/j.cesys.2024.100210.</w:t>
      </w:r>
    </w:p>
    <w:p w14:paraId="7DF10B54"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234CA228"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 xml:space="preserve">Toma, S.-G. and Naruo, S. (2017) 'Total quality management and business excellence: the best practices at Toyota Motor Corporation,' </w:t>
      </w:r>
      <w:r w:rsidRPr="00026AB8">
        <w:rPr>
          <w:rFonts w:ascii="Arial" w:hAnsi="Arial" w:cs="Arial"/>
          <w:i/>
          <w:iCs/>
          <w:sz w:val="24"/>
          <w:szCs w:val="24"/>
        </w:rPr>
        <w:t>Econstor (Econstor)</w:t>
      </w:r>
      <w:r w:rsidRPr="00026AB8">
        <w:rPr>
          <w:rFonts w:ascii="Arial" w:hAnsi="Arial" w:cs="Arial"/>
          <w:sz w:val="24"/>
          <w:szCs w:val="24"/>
        </w:rPr>
        <w:t xml:space="preserve"> [Preprint]. </w:t>
      </w:r>
      <w:hyperlink r:id="rId23" w:history="1">
        <w:r w:rsidRPr="00026AB8">
          <w:rPr>
            <w:rStyle w:val="Hyperlink"/>
            <w:rFonts w:ascii="Arial" w:hAnsi="Arial" w:cs="Arial"/>
            <w:color w:val="auto"/>
            <w:sz w:val="24"/>
            <w:szCs w:val="24"/>
          </w:rPr>
          <w:t>http://hdl.handle.net/10419/169089</w:t>
        </w:r>
      </w:hyperlink>
      <w:r w:rsidRPr="00026AB8">
        <w:rPr>
          <w:rFonts w:ascii="Arial" w:hAnsi="Arial" w:cs="Arial"/>
          <w:sz w:val="24"/>
          <w:szCs w:val="24"/>
        </w:rPr>
        <w:t>.</w:t>
      </w:r>
    </w:p>
    <w:p w14:paraId="4DF5B01F"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65727C10"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Kirloskar Motor. (2015, March 31). </w:t>
      </w:r>
      <w:r w:rsidRPr="00026AB8">
        <w:rPr>
          <w:rStyle w:val="Emphasis"/>
          <w:rFonts w:ascii="Arial" w:hAnsi="Arial" w:cs="Arial"/>
          <w:sz w:val="24"/>
          <w:szCs w:val="24"/>
        </w:rPr>
        <w:t>Toyota Kirloskar Motor registers 62% growth in March</w:t>
      </w:r>
      <w:r w:rsidRPr="00026AB8">
        <w:rPr>
          <w:rFonts w:ascii="Arial" w:hAnsi="Arial" w:cs="Arial"/>
          <w:sz w:val="24"/>
          <w:szCs w:val="24"/>
        </w:rPr>
        <w:t xml:space="preserve">. ToyotaBharat.com. </w:t>
      </w:r>
    </w:p>
    <w:p w14:paraId="740E53BE" w14:textId="77777777" w:rsidR="00026AB8" w:rsidRPr="00026AB8" w:rsidRDefault="00026AB8" w:rsidP="00026AB8">
      <w:pPr>
        <w:spacing w:line="360" w:lineRule="auto"/>
        <w:jc w:val="both"/>
        <w:rPr>
          <w:rStyle w:val="ms-1"/>
          <w:rFonts w:ascii="Arial" w:hAnsi="Arial" w:cs="Arial"/>
          <w:sz w:val="24"/>
          <w:szCs w:val="24"/>
        </w:rPr>
      </w:pPr>
      <w:r w:rsidRPr="00026AB8">
        <w:rPr>
          <w:rFonts w:ascii="Arial" w:hAnsi="Arial" w:cs="Arial"/>
          <w:sz w:val="24"/>
          <w:szCs w:val="24"/>
        </w:rPr>
        <w:t xml:space="preserve">Toyota Kirloskar Motor. (2023, October 1). </w:t>
      </w:r>
      <w:r w:rsidRPr="00026AB8">
        <w:rPr>
          <w:rStyle w:val="Emphasis"/>
          <w:rFonts w:ascii="Arial" w:hAnsi="Arial" w:cs="Arial"/>
          <w:sz w:val="24"/>
          <w:szCs w:val="24"/>
        </w:rPr>
        <w:t>Toyota Kirloskar Motor continues to report record sales performance, sells 23,590 units in September 2023</w:t>
      </w:r>
      <w:r w:rsidRPr="00026AB8">
        <w:rPr>
          <w:rFonts w:ascii="Arial" w:hAnsi="Arial" w:cs="Arial"/>
          <w:sz w:val="24"/>
          <w:szCs w:val="24"/>
        </w:rPr>
        <w:t xml:space="preserve">. ToyotaBharat.com. </w:t>
      </w:r>
    </w:p>
    <w:p w14:paraId="64AF895F"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Kirloskar Motor. (2025). </w:t>
      </w:r>
      <w:r w:rsidRPr="00026AB8">
        <w:rPr>
          <w:rStyle w:val="Emphasis"/>
          <w:rFonts w:ascii="Arial" w:hAnsi="Arial" w:cs="Arial"/>
          <w:sz w:val="24"/>
          <w:szCs w:val="24"/>
        </w:rPr>
        <w:t>Annual report 2025</w:t>
      </w:r>
      <w:r w:rsidRPr="00026AB8">
        <w:rPr>
          <w:rFonts w:ascii="Arial" w:hAnsi="Arial" w:cs="Arial"/>
          <w:sz w:val="24"/>
          <w:szCs w:val="24"/>
        </w:rPr>
        <w:t xml:space="preserve">. Toyota Kirloskar Motor. </w:t>
      </w:r>
      <w:hyperlink r:id="rId24" w:tgtFrame="_new" w:history="1">
        <w:r w:rsidRPr="00026AB8">
          <w:rPr>
            <w:rStyle w:val="Hyperlink"/>
            <w:rFonts w:ascii="Arial" w:hAnsi="Arial" w:cs="Arial"/>
            <w:color w:val="auto"/>
            <w:sz w:val="24"/>
            <w:szCs w:val="24"/>
          </w:rPr>
          <w:t>https://www.toyotabharat.com</w:t>
        </w:r>
      </w:hyperlink>
    </w:p>
    <w:p w14:paraId="3D35EA56" w14:textId="77777777" w:rsidR="00026AB8" w:rsidRPr="00026AB8" w:rsidRDefault="00026AB8" w:rsidP="00026AB8">
      <w:pPr>
        <w:spacing w:line="360" w:lineRule="auto"/>
        <w:jc w:val="both"/>
        <w:rPr>
          <w:rFonts w:ascii="Arial" w:hAnsi="Arial" w:cs="Arial"/>
          <w:sz w:val="24"/>
          <w:szCs w:val="24"/>
        </w:rPr>
      </w:pPr>
      <w:r w:rsidRPr="00026AB8">
        <w:rPr>
          <w:rFonts w:ascii="Arial" w:hAnsi="Arial" w:cs="Arial"/>
          <w:sz w:val="24"/>
          <w:szCs w:val="24"/>
        </w:rPr>
        <w:t xml:space="preserve">Toyota Kirloskar Motor. (2025, November 1). </w:t>
      </w:r>
      <w:r w:rsidRPr="00026AB8">
        <w:rPr>
          <w:rStyle w:val="Emphasis"/>
          <w:rFonts w:ascii="Arial" w:hAnsi="Arial" w:cs="Arial"/>
          <w:sz w:val="24"/>
          <w:szCs w:val="24"/>
        </w:rPr>
        <w:t>Toyota Kirloskar Motor sells 42,892 units in October 2025</w:t>
      </w:r>
      <w:r w:rsidRPr="00026AB8">
        <w:rPr>
          <w:rFonts w:ascii="Arial" w:hAnsi="Arial" w:cs="Arial"/>
          <w:sz w:val="24"/>
          <w:szCs w:val="24"/>
        </w:rPr>
        <w:t xml:space="preserve">. ToyotaBharat.com. </w:t>
      </w:r>
    </w:p>
    <w:p w14:paraId="586BC380"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r w:rsidRPr="00026AB8">
        <w:rPr>
          <w:rFonts w:ascii="Arial" w:hAnsi="Arial" w:cs="Arial"/>
          <w:sz w:val="24"/>
          <w:szCs w:val="24"/>
        </w:rPr>
        <w:t>Toyotabharat. (n.d.). </w:t>
      </w:r>
      <w:r w:rsidRPr="00026AB8">
        <w:rPr>
          <w:rFonts w:ascii="Arial" w:hAnsi="Arial" w:cs="Arial"/>
          <w:i/>
          <w:iCs/>
          <w:sz w:val="24"/>
          <w:szCs w:val="24"/>
        </w:rPr>
        <w:t>Toyota Glanza</w:t>
      </w:r>
      <w:r w:rsidRPr="00026AB8">
        <w:rPr>
          <w:rFonts w:ascii="Arial" w:hAnsi="Arial" w:cs="Arial"/>
          <w:sz w:val="24"/>
          <w:szCs w:val="24"/>
        </w:rPr>
        <w:t>. [online] Available at: https://www.toyotabharat.com [Accessed 14 Jan. 2021].</w:t>
      </w:r>
    </w:p>
    <w:p w14:paraId="3937F2AC" w14:textId="77777777" w:rsidR="00026AB8" w:rsidRPr="00026AB8" w:rsidRDefault="00026AB8" w:rsidP="00026AB8">
      <w:pPr>
        <w:pStyle w:val="NormalWeb"/>
        <w:spacing w:before="0" w:beforeAutospacing="0" w:after="0" w:afterAutospacing="0" w:line="360" w:lineRule="auto"/>
        <w:jc w:val="both"/>
        <w:rPr>
          <w:rFonts w:ascii="Arial" w:hAnsi="Arial" w:cs="Arial"/>
          <w:sz w:val="24"/>
          <w:szCs w:val="24"/>
        </w:rPr>
      </w:pPr>
    </w:p>
    <w:p w14:paraId="32657CEA" w14:textId="77777777" w:rsidR="00026AB8" w:rsidRPr="00026AB8" w:rsidRDefault="00026AB8" w:rsidP="00026AB8">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Volti, R. (2021). Toyota: a History of the First 50 Years. </w:t>
      </w:r>
      <w:r w:rsidRPr="00026AB8">
        <w:rPr>
          <w:rFonts w:ascii="Arial" w:eastAsia="Times New Roman" w:hAnsi="Arial" w:cs="Arial"/>
          <w:i/>
          <w:iCs/>
          <w:sz w:val="24"/>
          <w:szCs w:val="24"/>
          <w:lang w:eastAsia="en-IN"/>
        </w:rPr>
        <w:t>Technology and Culture</w:t>
      </w:r>
      <w:r w:rsidRPr="00026AB8">
        <w:rPr>
          <w:rFonts w:ascii="Arial" w:eastAsia="Times New Roman" w:hAnsi="Arial" w:cs="Arial"/>
          <w:sz w:val="24"/>
          <w:szCs w:val="24"/>
          <w:lang w:eastAsia="en-IN"/>
        </w:rPr>
        <w:t>, 32(2), p.423. doi:https://doi.org/10.2307/3105734.</w:t>
      </w:r>
    </w:p>
    <w:p w14:paraId="7A75DAF8" w14:textId="77777777" w:rsidR="00026AB8" w:rsidRPr="00026AB8" w:rsidRDefault="00026AB8" w:rsidP="00026AB8">
      <w:pPr>
        <w:spacing w:after="0" w:line="360" w:lineRule="auto"/>
        <w:jc w:val="both"/>
        <w:rPr>
          <w:rFonts w:ascii="Arial" w:eastAsia="Times New Roman" w:hAnsi="Arial" w:cs="Arial"/>
          <w:sz w:val="24"/>
          <w:szCs w:val="24"/>
          <w:lang w:eastAsia="en-IN"/>
        </w:rPr>
      </w:pPr>
    </w:p>
    <w:p w14:paraId="12E0E43D" w14:textId="3FD34E32" w:rsidR="00026AB8" w:rsidRPr="00FD1312" w:rsidRDefault="00026AB8" w:rsidP="00FD1312">
      <w:pPr>
        <w:spacing w:after="0" w:line="360" w:lineRule="auto"/>
        <w:jc w:val="both"/>
        <w:rPr>
          <w:rFonts w:ascii="Arial" w:eastAsia="Times New Roman" w:hAnsi="Arial" w:cs="Arial"/>
          <w:sz w:val="24"/>
          <w:szCs w:val="24"/>
          <w:lang w:eastAsia="en-IN"/>
        </w:rPr>
      </w:pPr>
      <w:r w:rsidRPr="00026AB8">
        <w:rPr>
          <w:rFonts w:ascii="Arial" w:eastAsia="Times New Roman" w:hAnsi="Arial" w:cs="Arial"/>
          <w:sz w:val="24"/>
          <w:szCs w:val="24"/>
          <w:lang w:eastAsia="en-IN"/>
        </w:rPr>
        <w:t>Yang, S. (2022). Analysis for Supply Chain Management: Evidence from Toyota. </w:t>
      </w:r>
      <w:r w:rsidRPr="00026AB8">
        <w:rPr>
          <w:rFonts w:ascii="Arial" w:eastAsia="Times New Roman" w:hAnsi="Arial" w:cs="Arial"/>
          <w:i/>
          <w:iCs/>
          <w:sz w:val="24"/>
          <w:szCs w:val="24"/>
          <w:lang w:eastAsia="en-IN"/>
        </w:rPr>
        <w:t>BCP Business &amp; Management</w:t>
      </w:r>
      <w:r w:rsidRPr="00026AB8">
        <w:rPr>
          <w:rFonts w:ascii="Arial" w:eastAsia="Times New Roman" w:hAnsi="Arial" w:cs="Arial"/>
          <w:sz w:val="24"/>
          <w:szCs w:val="24"/>
          <w:lang w:eastAsia="en-IN"/>
        </w:rPr>
        <w:t>, 34(1), pp.1204–1209. doi:https://doi.org/10.54691/bcpbm.v34i.3160.</w:t>
      </w:r>
    </w:p>
    <w:sectPr w:rsidR="00026AB8" w:rsidRPr="00FD1312" w:rsidSect="009A376C">
      <w:footerReference w:type="even" r:id="rId25"/>
      <w:footerReference w:type="default" r:id="rId2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07C85" w14:textId="77777777" w:rsidR="00C06D90" w:rsidRDefault="00C06D90" w:rsidP="00202792">
      <w:pPr>
        <w:spacing w:after="0" w:line="240" w:lineRule="auto"/>
      </w:pPr>
      <w:r>
        <w:separator/>
      </w:r>
    </w:p>
  </w:endnote>
  <w:endnote w:type="continuationSeparator" w:id="0">
    <w:p w14:paraId="5F2B58CD" w14:textId="77777777" w:rsidR="00C06D90" w:rsidRDefault="00C06D90" w:rsidP="00202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Kartika">
    <w:charset w:val="00"/>
    <w:family w:val="roman"/>
    <w:pitch w:val="variable"/>
    <w:sig w:usb0="008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6586696"/>
      <w:docPartObj>
        <w:docPartGallery w:val="Page Numbers (Bottom of Page)"/>
        <w:docPartUnique/>
      </w:docPartObj>
    </w:sdtPr>
    <w:sdtEndPr>
      <w:rPr>
        <w:noProof/>
      </w:rPr>
    </w:sdtEndPr>
    <w:sdtContent>
      <w:p w14:paraId="64BB5FBC" w14:textId="77777777" w:rsidR="009A376C" w:rsidRDefault="009A37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4ADC8" w14:textId="77777777" w:rsidR="009A376C" w:rsidRDefault="009A37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430049"/>
      <w:docPartObj>
        <w:docPartGallery w:val="Page Numbers (Bottom of Page)"/>
        <w:docPartUnique/>
      </w:docPartObj>
    </w:sdtPr>
    <w:sdtEndPr>
      <w:rPr>
        <w:noProof/>
      </w:rPr>
    </w:sdtEndPr>
    <w:sdtContent>
      <w:p w14:paraId="011054E5" w14:textId="77777777" w:rsidR="009A376C" w:rsidRDefault="009A37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958B70" w14:textId="77777777" w:rsidR="009A376C" w:rsidRDefault="009A3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EA3B8" w14:textId="77777777" w:rsidR="00C06D90" w:rsidRDefault="00C06D90" w:rsidP="00202792">
      <w:pPr>
        <w:spacing w:after="0" w:line="240" w:lineRule="auto"/>
      </w:pPr>
      <w:r>
        <w:separator/>
      </w:r>
    </w:p>
  </w:footnote>
  <w:footnote w:type="continuationSeparator" w:id="0">
    <w:p w14:paraId="0A6BA5DF" w14:textId="77777777" w:rsidR="00C06D90" w:rsidRDefault="00C06D90" w:rsidP="002027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0481F"/>
    <w:multiLevelType w:val="multilevel"/>
    <w:tmpl w:val="23AE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426DD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535173"/>
    <w:multiLevelType w:val="hybridMultilevel"/>
    <w:tmpl w:val="428413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6DC248D"/>
    <w:multiLevelType w:val="hybridMultilevel"/>
    <w:tmpl w:val="FD5E9B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115D45"/>
    <w:multiLevelType w:val="hybridMultilevel"/>
    <w:tmpl w:val="E21CF7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D9B6B74"/>
    <w:multiLevelType w:val="hybridMultilevel"/>
    <w:tmpl w:val="268AC3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0D6C7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AD26D98"/>
    <w:multiLevelType w:val="hybridMultilevel"/>
    <w:tmpl w:val="73FAD0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B686577"/>
    <w:multiLevelType w:val="hybridMultilevel"/>
    <w:tmpl w:val="97147B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D2F0E7B"/>
    <w:multiLevelType w:val="hybridMultilevel"/>
    <w:tmpl w:val="604A5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F700E42"/>
    <w:multiLevelType w:val="hybridMultilevel"/>
    <w:tmpl w:val="592426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4846226"/>
    <w:multiLevelType w:val="multilevel"/>
    <w:tmpl w:val="3FC83720"/>
    <w:lvl w:ilvl="0">
      <w:start w:val="1"/>
      <w:numFmt w:val="lowerLetter"/>
      <w:lvlText w:val="%1."/>
      <w:lvlJc w:val="left"/>
      <w:pPr>
        <w:tabs>
          <w:tab w:val="num" w:pos="643"/>
        </w:tabs>
        <w:ind w:left="643" w:hanging="360"/>
      </w:pPr>
      <w:rPr>
        <w:b/>
        <w:bCs/>
      </w:r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2" w15:restartNumberingAfterBreak="0">
    <w:nsid w:val="38EC7784"/>
    <w:multiLevelType w:val="hybridMultilevel"/>
    <w:tmpl w:val="BCFE1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77A6659"/>
    <w:multiLevelType w:val="hybridMultilevel"/>
    <w:tmpl w:val="7DBE81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338418F"/>
    <w:multiLevelType w:val="multilevel"/>
    <w:tmpl w:val="9AA899F0"/>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536A469B"/>
    <w:multiLevelType w:val="multilevel"/>
    <w:tmpl w:val="D7CE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F44A38"/>
    <w:multiLevelType w:val="multilevel"/>
    <w:tmpl w:val="461287CC"/>
    <w:lvl w:ilvl="0">
      <w:start w:val="2"/>
      <w:numFmt w:val="decimal"/>
      <w:lvlText w:val="%1."/>
      <w:lvlJc w:val="left"/>
      <w:pPr>
        <w:ind w:left="504" w:hanging="504"/>
      </w:pPr>
      <w:rPr>
        <w:rFonts w:asciiTheme="majorHAnsi" w:hAnsiTheme="majorHAnsi" w:cstheme="majorBidi" w:hint="default"/>
      </w:rPr>
    </w:lvl>
    <w:lvl w:ilvl="1">
      <w:start w:val="1"/>
      <w:numFmt w:val="decimal"/>
      <w:lvlText w:val="%1.%2."/>
      <w:lvlJc w:val="left"/>
      <w:pPr>
        <w:ind w:left="1003" w:hanging="720"/>
      </w:pPr>
      <w:rPr>
        <w:rFonts w:asciiTheme="majorHAnsi" w:hAnsiTheme="majorHAnsi" w:cstheme="majorBidi" w:hint="default"/>
        <w:b/>
        <w:bCs/>
        <w:color w:val="000000" w:themeColor="text1"/>
      </w:rPr>
    </w:lvl>
    <w:lvl w:ilvl="2">
      <w:start w:val="1"/>
      <w:numFmt w:val="decimal"/>
      <w:lvlText w:val="%1.%2.%3."/>
      <w:lvlJc w:val="left"/>
      <w:pPr>
        <w:ind w:left="1800" w:hanging="1080"/>
      </w:pPr>
      <w:rPr>
        <w:rFonts w:asciiTheme="majorHAnsi" w:hAnsiTheme="majorHAnsi" w:cstheme="majorBidi" w:hint="default"/>
      </w:rPr>
    </w:lvl>
    <w:lvl w:ilvl="3">
      <w:start w:val="1"/>
      <w:numFmt w:val="decimal"/>
      <w:lvlText w:val="%1.%2.%3.%4."/>
      <w:lvlJc w:val="left"/>
      <w:pPr>
        <w:ind w:left="2160" w:hanging="1080"/>
      </w:pPr>
      <w:rPr>
        <w:rFonts w:asciiTheme="majorHAnsi" w:hAnsiTheme="majorHAnsi" w:cstheme="majorBidi" w:hint="default"/>
      </w:rPr>
    </w:lvl>
    <w:lvl w:ilvl="4">
      <w:start w:val="1"/>
      <w:numFmt w:val="decimal"/>
      <w:lvlText w:val="%1.%2.%3.%4.%5."/>
      <w:lvlJc w:val="left"/>
      <w:pPr>
        <w:ind w:left="2880" w:hanging="1440"/>
      </w:pPr>
      <w:rPr>
        <w:rFonts w:asciiTheme="majorHAnsi" w:hAnsiTheme="majorHAnsi" w:cstheme="majorBidi" w:hint="default"/>
      </w:rPr>
    </w:lvl>
    <w:lvl w:ilvl="5">
      <w:start w:val="1"/>
      <w:numFmt w:val="decimal"/>
      <w:lvlText w:val="%1.%2.%3.%4.%5.%6."/>
      <w:lvlJc w:val="left"/>
      <w:pPr>
        <w:ind w:left="3600" w:hanging="1800"/>
      </w:pPr>
      <w:rPr>
        <w:rFonts w:asciiTheme="majorHAnsi" w:hAnsiTheme="majorHAnsi" w:cstheme="majorBidi" w:hint="default"/>
      </w:rPr>
    </w:lvl>
    <w:lvl w:ilvl="6">
      <w:start w:val="1"/>
      <w:numFmt w:val="decimal"/>
      <w:lvlText w:val="%1.%2.%3.%4.%5.%6.%7."/>
      <w:lvlJc w:val="left"/>
      <w:pPr>
        <w:ind w:left="4320" w:hanging="2160"/>
      </w:pPr>
      <w:rPr>
        <w:rFonts w:asciiTheme="majorHAnsi" w:hAnsiTheme="majorHAnsi" w:cstheme="majorBidi" w:hint="default"/>
      </w:rPr>
    </w:lvl>
    <w:lvl w:ilvl="7">
      <w:start w:val="1"/>
      <w:numFmt w:val="decimal"/>
      <w:lvlText w:val="%1.%2.%3.%4.%5.%6.%7.%8."/>
      <w:lvlJc w:val="left"/>
      <w:pPr>
        <w:ind w:left="4680" w:hanging="2160"/>
      </w:pPr>
      <w:rPr>
        <w:rFonts w:asciiTheme="majorHAnsi" w:hAnsiTheme="majorHAnsi" w:cstheme="majorBidi" w:hint="default"/>
      </w:rPr>
    </w:lvl>
    <w:lvl w:ilvl="8">
      <w:start w:val="1"/>
      <w:numFmt w:val="decimal"/>
      <w:lvlText w:val="%1.%2.%3.%4.%5.%6.%7.%8.%9."/>
      <w:lvlJc w:val="left"/>
      <w:pPr>
        <w:ind w:left="5400" w:hanging="2520"/>
      </w:pPr>
      <w:rPr>
        <w:rFonts w:asciiTheme="majorHAnsi" w:hAnsiTheme="majorHAnsi" w:cstheme="majorBidi" w:hint="default"/>
      </w:rPr>
    </w:lvl>
  </w:abstractNum>
  <w:abstractNum w:abstractNumId="17" w15:restartNumberingAfterBreak="0">
    <w:nsid w:val="5F062412"/>
    <w:multiLevelType w:val="multilevel"/>
    <w:tmpl w:val="0CE898C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5FEA5443"/>
    <w:multiLevelType w:val="multilevel"/>
    <w:tmpl w:val="DF963ACE"/>
    <w:lvl w:ilvl="0">
      <w:start w:val="1"/>
      <w:numFmt w:val="lowerLetter"/>
      <w:lvlText w:val="%1."/>
      <w:lvlJc w:val="left"/>
      <w:pPr>
        <w:tabs>
          <w:tab w:val="num" w:pos="502"/>
        </w:tabs>
        <w:ind w:left="502" w:hanging="360"/>
      </w:pPr>
      <w:rPr>
        <w:b/>
        <w:bCs/>
      </w:r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9" w15:restartNumberingAfterBreak="0">
    <w:nsid w:val="612643B1"/>
    <w:multiLevelType w:val="hybridMultilevel"/>
    <w:tmpl w:val="939C5D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5F23FDB"/>
    <w:multiLevelType w:val="hybridMultilevel"/>
    <w:tmpl w:val="E87EDD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6F927FB"/>
    <w:multiLevelType w:val="multilevel"/>
    <w:tmpl w:val="E888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B302DE"/>
    <w:multiLevelType w:val="multilevel"/>
    <w:tmpl w:val="D598E24C"/>
    <w:lvl w:ilvl="0">
      <w:start w:val="1"/>
      <w:numFmt w:val="lowerLetter"/>
      <w:lvlText w:val="%1."/>
      <w:lvlJc w:val="left"/>
      <w:pPr>
        <w:tabs>
          <w:tab w:val="num" w:pos="502"/>
        </w:tabs>
        <w:ind w:left="502" w:hanging="360"/>
      </w:pPr>
      <w:rPr>
        <w:b/>
        <w:bCs/>
      </w:r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3" w15:restartNumberingAfterBreak="0">
    <w:nsid w:val="6A9C43F4"/>
    <w:multiLevelType w:val="multilevel"/>
    <w:tmpl w:val="52E0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E17829"/>
    <w:multiLevelType w:val="hybridMultilevel"/>
    <w:tmpl w:val="2C0ACF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D6B7C61"/>
    <w:multiLevelType w:val="hybridMultilevel"/>
    <w:tmpl w:val="C5CE09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0AB23E5"/>
    <w:multiLevelType w:val="hybridMultilevel"/>
    <w:tmpl w:val="8CE0E3C8"/>
    <w:lvl w:ilvl="0" w:tplc="96FE23E6">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11340A1"/>
    <w:multiLevelType w:val="hybridMultilevel"/>
    <w:tmpl w:val="ED6CC65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1A87DAC"/>
    <w:multiLevelType w:val="hybridMultilevel"/>
    <w:tmpl w:val="FE70B2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6E0365C"/>
    <w:multiLevelType w:val="hybridMultilevel"/>
    <w:tmpl w:val="2CA89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9047009"/>
    <w:multiLevelType w:val="multilevel"/>
    <w:tmpl w:val="8D487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7847DE"/>
    <w:multiLevelType w:val="multilevel"/>
    <w:tmpl w:val="83AE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4383342">
    <w:abstractNumId w:val="0"/>
  </w:num>
  <w:num w:numId="2" w16cid:durableId="214706343">
    <w:abstractNumId w:val="21"/>
  </w:num>
  <w:num w:numId="3" w16cid:durableId="1159885897">
    <w:abstractNumId w:val="15"/>
  </w:num>
  <w:num w:numId="4" w16cid:durableId="1405032302">
    <w:abstractNumId w:val="23"/>
  </w:num>
  <w:num w:numId="5" w16cid:durableId="472020485">
    <w:abstractNumId w:val="31"/>
  </w:num>
  <w:num w:numId="6" w16cid:durableId="314185736">
    <w:abstractNumId w:val="30"/>
  </w:num>
  <w:num w:numId="7" w16cid:durableId="59330378">
    <w:abstractNumId w:val="11"/>
  </w:num>
  <w:num w:numId="8" w16cid:durableId="65301558">
    <w:abstractNumId w:val="22"/>
  </w:num>
  <w:num w:numId="9" w16cid:durableId="536239241">
    <w:abstractNumId w:val="18"/>
  </w:num>
  <w:num w:numId="10" w16cid:durableId="1064377259">
    <w:abstractNumId w:val="17"/>
  </w:num>
  <w:num w:numId="11" w16cid:durableId="443886428">
    <w:abstractNumId w:val="14"/>
  </w:num>
  <w:num w:numId="12" w16cid:durableId="824859314">
    <w:abstractNumId w:val="6"/>
  </w:num>
  <w:num w:numId="13" w16cid:durableId="840390695">
    <w:abstractNumId w:val="1"/>
  </w:num>
  <w:num w:numId="14" w16cid:durableId="725952746">
    <w:abstractNumId w:val="16"/>
  </w:num>
  <w:num w:numId="15" w16cid:durableId="1583181003">
    <w:abstractNumId w:val="2"/>
  </w:num>
  <w:num w:numId="16" w16cid:durableId="397170562">
    <w:abstractNumId w:val="19"/>
  </w:num>
  <w:num w:numId="17" w16cid:durableId="1288857603">
    <w:abstractNumId w:val="26"/>
  </w:num>
  <w:num w:numId="18" w16cid:durableId="586040416">
    <w:abstractNumId w:val="27"/>
  </w:num>
  <w:num w:numId="19" w16cid:durableId="1028600450">
    <w:abstractNumId w:val="12"/>
  </w:num>
  <w:num w:numId="20" w16cid:durableId="758407672">
    <w:abstractNumId w:val="5"/>
  </w:num>
  <w:num w:numId="21" w16cid:durableId="1135179522">
    <w:abstractNumId w:val="24"/>
  </w:num>
  <w:num w:numId="22" w16cid:durableId="1973561096">
    <w:abstractNumId w:val="25"/>
  </w:num>
  <w:num w:numId="23" w16cid:durableId="1398014315">
    <w:abstractNumId w:val="13"/>
  </w:num>
  <w:num w:numId="24" w16cid:durableId="633367939">
    <w:abstractNumId w:val="28"/>
  </w:num>
  <w:num w:numId="25" w16cid:durableId="374427352">
    <w:abstractNumId w:val="9"/>
  </w:num>
  <w:num w:numId="26" w16cid:durableId="341709406">
    <w:abstractNumId w:val="3"/>
  </w:num>
  <w:num w:numId="27" w16cid:durableId="1156802566">
    <w:abstractNumId w:val="4"/>
  </w:num>
  <w:num w:numId="28" w16cid:durableId="102922481">
    <w:abstractNumId w:val="10"/>
  </w:num>
  <w:num w:numId="29" w16cid:durableId="1811828024">
    <w:abstractNumId w:val="7"/>
  </w:num>
  <w:num w:numId="30" w16cid:durableId="1174998526">
    <w:abstractNumId w:val="29"/>
  </w:num>
  <w:num w:numId="31" w16cid:durableId="627668916">
    <w:abstractNumId w:val="8"/>
  </w:num>
  <w:num w:numId="32" w16cid:durableId="114192550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955"/>
    <w:rsid w:val="00020DCA"/>
    <w:rsid w:val="00026AB8"/>
    <w:rsid w:val="00026DB0"/>
    <w:rsid w:val="000B324E"/>
    <w:rsid w:val="000C69AF"/>
    <w:rsid w:val="001A7257"/>
    <w:rsid w:val="00202792"/>
    <w:rsid w:val="00297D25"/>
    <w:rsid w:val="002C1CD5"/>
    <w:rsid w:val="002F032E"/>
    <w:rsid w:val="002F384C"/>
    <w:rsid w:val="002F44E6"/>
    <w:rsid w:val="00323B7C"/>
    <w:rsid w:val="00351FF6"/>
    <w:rsid w:val="00363F98"/>
    <w:rsid w:val="003D3ABC"/>
    <w:rsid w:val="003F0695"/>
    <w:rsid w:val="004E3954"/>
    <w:rsid w:val="00501B74"/>
    <w:rsid w:val="00510501"/>
    <w:rsid w:val="00521C11"/>
    <w:rsid w:val="00544F59"/>
    <w:rsid w:val="00560FDC"/>
    <w:rsid w:val="005E23F2"/>
    <w:rsid w:val="005F4896"/>
    <w:rsid w:val="00603F10"/>
    <w:rsid w:val="00632DDD"/>
    <w:rsid w:val="0064691D"/>
    <w:rsid w:val="00647421"/>
    <w:rsid w:val="00651ABC"/>
    <w:rsid w:val="006A6132"/>
    <w:rsid w:val="0071039B"/>
    <w:rsid w:val="00755DB2"/>
    <w:rsid w:val="00766CBC"/>
    <w:rsid w:val="007D2AAE"/>
    <w:rsid w:val="007F2940"/>
    <w:rsid w:val="007F35C2"/>
    <w:rsid w:val="008E3E1B"/>
    <w:rsid w:val="008F1CAF"/>
    <w:rsid w:val="008F686A"/>
    <w:rsid w:val="00932CBA"/>
    <w:rsid w:val="00961D21"/>
    <w:rsid w:val="009A376C"/>
    <w:rsid w:val="009B02B3"/>
    <w:rsid w:val="00A347F0"/>
    <w:rsid w:val="00A42AEC"/>
    <w:rsid w:val="00A8356F"/>
    <w:rsid w:val="00B623FF"/>
    <w:rsid w:val="00B93FEF"/>
    <w:rsid w:val="00B971A8"/>
    <w:rsid w:val="00BD4CA6"/>
    <w:rsid w:val="00C06D90"/>
    <w:rsid w:val="00C46F20"/>
    <w:rsid w:val="00C47EB3"/>
    <w:rsid w:val="00C81EBB"/>
    <w:rsid w:val="00C846FD"/>
    <w:rsid w:val="00CD3928"/>
    <w:rsid w:val="00CE01D5"/>
    <w:rsid w:val="00CE2AEA"/>
    <w:rsid w:val="00D53711"/>
    <w:rsid w:val="00DC5955"/>
    <w:rsid w:val="00DE044F"/>
    <w:rsid w:val="00DE7808"/>
    <w:rsid w:val="00EA235D"/>
    <w:rsid w:val="00EC52BC"/>
    <w:rsid w:val="00F15FBF"/>
    <w:rsid w:val="00F4213B"/>
    <w:rsid w:val="00F54E68"/>
    <w:rsid w:val="00F8762E"/>
    <w:rsid w:val="00FD1312"/>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4BF17"/>
  <w15:chartTrackingRefBased/>
  <w15:docId w15:val="{1529E1CE-90A1-49E8-9477-36238681B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ml-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76C"/>
    <w:pPr>
      <w:spacing w:after="200" w:line="276" w:lineRule="auto"/>
    </w:pPr>
    <w:rPr>
      <w:kern w:val="0"/>
      <w:sz w:val="22"/>
      <w:szCs w:val="22"/>
      <w:lang w:val="en-IN" w:bidi="ar-SA"/>
      <w14:ligatures w14:val="none"/>
    </w:rPr>
  </w:style>
  <w:style w:type="paragraph" w:styleId="Heading1">
    <w:name w:val="heading 1"/>
    <w:basedOn w:val="Normal"/>
    <w:next w:val="Normal"/>
    <w:link w:val="Heading1Char"/>
    <w:uiPriority w:val="9"/>
    <w:qFormat/>
    <w:rsid w:val="00DC59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C59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C59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59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59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59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9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9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9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9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C59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C59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59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59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59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9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9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955"/>
    <w:rPr>
      <w:rFonts w:eastAsiaTheme="majorEastAsia" w:cstheme="majorBidi"/>
      <w:color w:val="272727" w:themeColor="text1" w:themeTint="D8"/>
    </w:rPr>
  </w:style>
  <w:style w:type="paragraph" w:styleId="Title">
    <w:name w:val="Title"/>
    <w:basedOn w:val="Normal"/>
    <w:next w:val="Normal"/>
    <w:link w:val="TitleChar"/>
    <w:uiPriority w:val="10"/>
    <w:qFormat/>
    <w:rsid w:val="00DC59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9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9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9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955"/>
    <w:pPr>
      <w:spacing w:before="160"/>
      <w:jc w:val="center"/>
    </w:pPr>
    <w:rPr>
      <w:i/>
      <w:iCs/>
      <w:color w:val="404040" w:themeColor="text1" w:themeTint="BF"/>
    </w:rPr>
  </w:style>
  <w:style w:type="character" w:customStyle="1" w:styleId="QuoteChar">
    <w:name w:val="Quote Char"/>
    <w:basedOn w:val="DefaultParagraphFont"/>
    <w:link w:val="Quote"/>
    <w:uiPriority w:val="29"/>
    <w:rsid w:val="00DC5955"/>
    <w:rPr>
      <w:i/>
      <w:iCs/>
      <w:color w:val="404040" w:themeColor="text1" w:themeTint="BF"/>
    </w:rPr>
  </w:style>
  <w:style w:type="paragraph" w:styleId="ListParagraph">
    <w:name w:val="List Paragraph"/>
    <w:basedOn w:val="Normal"/>
    <w:uiPriority w:val="34"/>
    <w:qFormat/>
    <w:rsid w:val="00DC5955"/>
    <w:pPr>
      <w:ind w:left="720"/>
      <w:contextualSpacing/>
    </w:pPr>
  </w:style>
  <w:style w:type="character" w:styleId="IntenseEmphasis">
    <w:name w:val="Intense Emphasis"/>
    <w:basedOn w:val="DefaultParagraphFont"/>
    <w:uiPriority w:val="21"/>
    <w:qFormat/>
    <w:rsid w:val="00DC5955"/>
    <w:rPr>
      <w:i/>
      <w:iCs/>
      <w:color w:val="2F5496" w:themeColor="accent1" w:themeShade="BF"/>
    </w:rPr>
  </w:style>
  <w:style w:type="paragraph" w:styleId="IntenseQuote">
    <w:name w:val="Intense Quote"/>
    <w:basedOn w:val="Normal"/>
    <w:next w:val="Normal"/>
    <w:link w:val="IntenseQuoteChar"/>
    <w:uiPriority w:val="30"/>
    <w:qFormat/>
    <w:rsid w:val="00DC59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5955"/>
    <w:rPr>
      <w:i/>
      <w:iCs/>
      <w:color w:val="2F5496" w:themeColor="accent1" w:themeShade="BF"/>
    </w:rPr>
  </w:style>
  <w:style w:type="character" w:styleId="IntenseReference">
    <w:name w:val="Intense Reference"/>
    <w:basedOn w:val="DefaultParagraphFont"/>
    <w:uiPriority w:val="32"/>
    <w:qFormat/>
    <w:rsid w:val="00DC5955"/>
    <w:rPr>
      <w:b/>
      <w:bCs/>
      <w:smallCaps/>
      <w:color w:val="2F5496" w:themeColor="accent1" w:themeShade="BF"/>
      <w:spacing w:val="5"/>
    </w:rPr>
  </w:style>
  <w:style w:type="character" w:styleId="Hyperlink">
    <w:name w:val="Hyperlink"/>
    <w:basedOn w:val="DefaultParagraphFont"/>
    <w:uiPriority w:val="99"/>
    <w:unhideWhenUsed/>
    <w:rsid w:val="00C81EBB"/>
    <w:rPr>
      <w:color w:val="0563C1" w:themeColor="hyperlink"/>
      <w:u w:val="single"/>
    </w:rPr>
  </w:style>
  <w:style w:type="character" w:styleId="UnresolvedMention">
    <w:name w:val="Unresolved Mention"/>
    <w:basedOn w:val="DefaultParagraphFont"/>
    <w:uiPriority w:val="99"/>
    <w:semiHidden/>
    <w:unhideWhenUsed/>
    <w:rsid w:val="00C81EBB"/>
    <w:rPr>
      <w:color w:val="605E5C"/>
      <w:shd w:val="clear" w:color="auto" w:fill="E1DFDD"/>
    </w:rPr>
  </w:style>
  <w:style w:type="paragraph" w:styleId="TOCHeading">
    <w:name w:val="TOC Heading"/>
    <w:basedOn w:val="Heading1"/>
    <w:next w:val="Normal"/>
    <w:uiPriority w:val="39"/>
    <w:unhideWhenUsed/>
    <w:qFormat/>
    <w:rsid w:val="00C81EBB"/>
    <w:pPr>
      <w:spacing w:before="240" w:after="0" w:line="259" w:lineRule="auto"/>
      <w:outlineLvl w:val="9"/>
    </w:pPr>
    <w:rPr>
      <w:sz w:val="32"/>
      <w:szCs w:val="32"/>
    </w:rPr>
  </w:style>
  <w:style w:type="paragraph" w:styleId="TOC1">
    <w:name w:val="toc 1"/>
    <w:basedOn w:val="Normal"/>
    <w:next w:val="Normal"/>
    <w:autoRedefine/>
    <w:uiPriority w:val="39"/>
    <w:unhideWhenUsed/>
    <w:rsid w:val="00C81EBB"/>
    <w:pPr>
      <w:spacing w:after="100"/>
    </w:pPr>
  </w:style>
  <w:style w:type="paragraph" w:styleId="TOC2">
    <w:name w:val="toc 2"/>
    <w:basedOn w:val="Normal"/>
    <w:next w:val="Normal"/>
    <w:autoRedefine/>
    <w:uiPriority w:val="39"/>
    <w:unhideWhenUsed/>
    <w:rsid w:val="00C81EBB"/>
    <w:pPr>
      <w:spacing w:after="100"/>
      <w:ind w:left="240"/>
    </w:pPr>
  </w:style>
  <w:style w:type="paragraph" w:styleId="TOC3">
    <w:name w:val="toc 3"/>
    <w:basedOn w:val="Normal"/>
    <w:next w:val="Normal"/>
    <w:autoRedefine/>
    <w:uiPriority w:val="39"/>
    <w:unhideWhenUsed/>
    <w:rsid w:val="00C81EBB"/>
    <w:pPr>
      <w:spacing w:after="100"/>
      <w:ind w:left="480"/>
    </w:pPr>
  </w:style>
  <w:style w:type="table" w:customStyle="1" w:styleId="TableGrid">
    <w:name w:val="TableGrid"/>
    <w:rsid w:val="00297D25"/>
    <w:pPr>
      <w:spacing w:after="0" w:line="240" w:lineRule="auto"/>
    </w:pPr>
    <w:rPr>
      <w:rFonts w:eastAsiaTheme="minorEastAsia"/>
    </w:rPr>
    <w:tblPr>
      <w:tblCellMar>
        <w:top w:w="0" w:type="dxa"/>
        <w:left w:w="0" w:type="dxa"/>
        <w:bottom w:w="0" w:type="dxa"/>
        <w:right w:w="0" w:type="dxa"/>
      </w:tblCellMar>
    </w:tblPr>
  </w:style>
  <w:style w:type="paragraph" w:styleId="NoSpacing">
    <w:name w:val="No Spacing"/>
    <w:uiPriority w:val="1"/>
    <w:qFormat/>
    <w:rsid w:val="00C846FD"/>
    <w:pPr>
      <w:spacing w:after="0" w:line="240" w:lineRule="auto"/>
    </w:pPr>
  </w:style>
  <w:style w:type="table" w:styleId="GridTable4-Accent5">
    <w:name w:val="Grid Table 4 Accent 5"/>
    <w:basedOn w:val="TableNormal"/>
    <w:uiPriority w:val="49"/>
    <w:rsid w:val="00961D21"/>
    <w:pPr>
      <w:spacing w:after="0" w:line="240" w:lineRule="auto"/>
    </w:pPr>
    <w:rPr>
      <w:kern w:val="0"/>
      <w:sz w:val="22"/>
      <w:szCs w:val="22"/>
      <w:lang w:val="en-IN" w:bidi="ar-SA"/>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Light">
    <w:name w:val="Grid Table Light"/>
    <w:basedOn w:val="TableNormal"/>
    <w:uiPriority w:val="40"/>
    <w:rsid w:val="00961D21"/>
    <w:pPr>
      <w:spacing w:after="0" w:line="240" w:lineRule="auto"/>
    </w:pPr>
    <w:rPr>
      <w:kern w:val="0"/>
      <w:sz w:val="22"/>
      <w:szCs w:val="22"/>
      <w:lang w:val="en-IN" w:bidi="ar-SA"/>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5">
    <w:name w:val="Grid Table 3 Accent 5"/>
    <w:basedOn w:val="TableNormal"/>
    <w:uiPriority w:val="48"/>
    <w:rsid w:val="00961D21"/>
    <w:pPr>
      <w:spacing w:after="0" w:line="240" w:lineRule="auto"/>
    </w:pPr>
    <w:rPr>
      <w:kern w:val="0"/>
      <w:sz w:val="22"/>
      <w:szCs w:val="22"/>
      <w:lang w:val="en-IN" w:bidi="ar-SA"/>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katex-mathml">
    <w:name w:val="katex-mathml"/>
    <w:basedOn w:val="DefaultParagraphFont"/>
    <w:rsid w:val="00961D21"/>
  </w:style>
  <w:style w:type="character" w:styleId="Strong">
    <w:name w:val="Strong"/>
    <w:basedOn w:val="DefaultParagraphFont"/>
    <w:uiPriority w:val="22"/>
    <w:qFormat/>
    <w:rsid w:val="00961D21"/>
    <w:rPr>
      <w:b/>
      <w:bCs/>
    </w:rPr>
  </w:style>
  <w:style w:type="table" w:styleId="GridTable3-Accent4">
    <w:name w:val="Grid Table 3 Accent 4"/>
    <w:basedOn w:val="TableNormal"/>
    <w:uiPriority w:val="48"/>
    <w:rsid w:val="00961D21"/>
    <w:pPr>
      <w:spacing w:after="0" w:line="240" w:lineRule="auto"/>
    </w:pPr>
    <w:rPr>
      <w:kern w:val="0"/>
      <w:sz w:val="22"/>
      <w:szCs w:val="22"/>
      <w:lang w:val="en-IN" w:bidi="ar-SA"/>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2-Accent5">
    <w:name w:val="Grid Table 2 Accent 5"/>
    <w:basedOn w:val="TableNormal"/>
    <w:uiPriority w:val="47"/>
    <w:rsid w:val="00961D21"/>
    <w:pPr>
      <w:spacing w:after="0" w:line="240" w:lineRule="auto"/>
    </w:pPr>
    <w:rPr>
      <w:kern w:val="0"/>
      <w:sz w:val="22"/>
      <w:szCs w:val="22"/>
      <w:lang w:val="en-IN" w:bidi="ar-SA"/>
      <w14:ligatures w14:val="none"/>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961D21"/>
    <w:rPr>
      <w:color w:val="808080"/>
    </w:rPr>
  </w:style>
  <w:style w:type="table" w:styleId="GridTable5Dark-Accent2">
    <w:name w:val="Grid Table 5 Dark Accent 2"/>
    <w:basedOn w:val="TableNormal"/>
    <w:uiPriority w:val="50"/>
    <w:rsid w:val="00961D21"/>
    <w:pPr>
      <w:spacing w:after="0" w:line="240" w:lineRule="auto"/>
    </w:pPr>
    <w:rPr>
      <w:kern w:val="0"/>
      <w:sz w:val="22"/>
      <w:szCs w:val="22"/>
      <w:lang w:val="en-IN" w:bidi="ar-SA"/>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3-Accent2">
    <w:name w:val="Grid Table 3 Accent 2"/>
    <w:basedOn w:val="TableNormal"/>
    <w:uiPriority w:val="48"/>
    <w:rsid w:val="00961D21"/>
    <w:pPr>
      <w:spacing w:after="0" w:line="240" w:lineRule="auto"/>
    </w:pPr>
    <w:rPr>
      <w:kern w:val="0"/>
      <w:sz w:val="22"/>
      <w:szCs w:val="22"/>
      <w:lang w:val="en-IN" w:bidi="ar-SA"/>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4">
    <w:name w:val="Grid Table 4 Accent 4"/>
    <w:basedOn w:val="TableNormal"/>
    <w:uiPriority w:val="49"/>
    <w:rsid w:val="00961D21"/>
    <w:pPr>
      <w:spacing w:after="0" w:line="240" w:lineRule="auto"/>
    </w:pPr>
    <w:rPr>
      <w:kern w:val="0"/>
      <w:sz w:val="22"/>
      <w:szCs w:val="22"/>
      <w:lang w:val="en-IN" w:bidi="ar-SA"/>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961D21"/>
    <w:pPr>
      <w:spacing w:after="0" w:line="240" w:lineRule="auto"/>
    </w:pPr>
    <w:rPr>
      <w:kern w:val="0"/>
      <w:sz w:val="22"/>
      <w:szCs w:val="22"/>
      <w:lang w:val="en-IN" w:bidi="ar-SA"/>
      <w14:ligatures w14:val="none"/>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961D21"/>
    <w:rPr>
      <w:i/>
      <w:iCs/>
    </w:rPr>
  </w:style>
  <w:style w:type="paragraph" w:styleId="NormalWeb">
    <w:name w:val="Normal (Web)"/>
    <w:basedOn w:val="Normal"/>
    <w:uiPriority w:val="99"/>
    <w:unhideWhenUsed/>
    <w:rsid w:val="00961D21"/>
    <w:pPr>
      <w:spacing w:before="100" w:beforeAutospacing="1" w:after="100" w:afterAutospacing="1" w:line="240" w:lineRule="auto"/>
    </w:pPr>
    <w:rPr>
      <w:rFonts w:ascii="Times New Roman" w:eastAsia="Times New Roman" w:hAnsi="Times New Roman" w:cs="Times New Roman"/>
      <w:lang w:eastAsia="en-IN"/>
    </w:rPr>
  </w:style>
  <w:style w:type="paragraph" w:styleId="Header">
    <w:name w:val="header"/>
    <w:basedOn w:val="Normal"/>
    <w:link w:val="HeaderChar"/>
    <w:uiPriority w:val="99"/>
    <w:unhideWhenUsed/>
    <w:rsid w:val="00961D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D21"/>
    <w:rPr>
      <w:kern w:val="0"/>
      <w:sz w:val="22"/>
      <w:szCs w:val="22"/>
      <w:lang w:val="en-IN" w:bidi="ar-SA"/>
      <w14:ligatures w14:val="none"/>
    </w:rPr>
  </w:style>
  <w:style w:type="paragraph" w:styleId="Footer">
    <w:name w:val="footer"/>
    <w:basedOn w:val="Normal"/>
    <w:link w:val="FooterChar"/>
    <w:uiPriority w:val="99"/>
    <w:unhideWhenUsed/>
    <w:rsid w:val="00961D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D21"/>
    <w:rPr>
      <w:kern w:val="0"/>
      <w:sz w:val="22"/>
      <w:szCs w:val="22"/>
      <w:lang w:val="en-IN" w:bidi="ar-SA"/>
      <w14:ligatures w14:val="none"/>
    </w:rPr>
  </w:style>
  <w:style w:type="character" w:styleId="FollowedHyperlink">
    <w:name w:val="FollowedHyperlink"/>
    <w:basedOn w:val="DefaultParagraphFont"/>
    <w:uiPriority w:val="99"/>
    <w:semiHidden/>
    <w:unhideWhenUsed/>
    <w:rsid w:val="00961D21"/>
    <w:rPr>
      <w:color w:val="954F72" w:themeColor="followedHyperlink"/>
      <w:u w:val="single"/>
    </w:rPr>
  </w:style>
  <w:style w:type="paragraph" w:styleId="TableofFigures">
    <w:name w:val="table of figures"/>
    <w:basedOn w:val="Normal"/>
    <w:next w:val="Normal"/>
    <w:uiPriority w:val="99"/>
    <w:unhideWhenUsed/>
    <w:rsid w:val="00961D21"/>
    <w:pPr>
      <w:spacing w:after="0"/>
    </w:pPr>
  </w:style>
  <w:style w:type="character" w:customStyle="1" w:styleId="ms-1">
    <w:name w:val="ms-1"/>
    <w:basedOn w:val="DefaultParagraphFont"/>
    <w:rsid w:val="009A3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5866730">
      <w:bodyDiv w:val="1"/>
      <w:marLeft w:val="0"/>
      <w:marRight w:val="0"/>
      <w:marTop w:val="0"/>
      <w:marBottom w:val="0"/>
      <w:divBdr>
        <w:top w:val="none" w:sz="0" w:space="0" w:color="auto"/>
        <w:left w:val="none" w:sz="0" w:space="0" w:color="auto"/>
        <w:bottom w:val="none" w:sz="0" w:space="0" w:color="auto"/>
        <w:right w:val="none" w:sz="0" w:space="0" w:color="auto"/>
      </w:divBdr>
      <w:divsChild>
        <w:div w:id="947660630">
          <w:marLeft w:val="0"/>
          <w:marRight w:val="0"/>
          <w:marTop w:val="0"/>
          <w:marBottom w:val="0"/>
          <w:divBdr>
            <w:top w:val="none" w:sz="0" w:space="0" w:color="auto"/>
            <w:left w:val="none" w:sz="0" w:space="0" w:color="auto"/>
            <w:bottom w:val="none" w:sz="0" w:space="0" w:color="auto"/>
            <w:right w:val="none" w:sz="0" w:space="0" w:color="auto"/>
          </w:divBdr>
          <w:divsChild>
            <w:div w:id="1636137690">
              <w:marLeft w:val="0"/>
              <w:marRight w:val="0"/>
              <w:marTop w:val="0"/>
              <w:marBottom w:val="0"/>
              <w:divBdr>
                <w:top w:val="none" w:sz="0" w:space="0" w:color="auto"/>
                <w:left w:val="none" w:sz="0" w:space="0" w:color="auto"/>
                <w:bottom w:val="none" w:sz="0" w:space="0" w:color="auto"/>
                <w:right w:val="none" w:sz="0" w:space="0" w:color="auto"/>
              </w:divBdr>
              <w:divsChild>
                <w:div w:id="1835609811">
                  <w:marLeft w:val="0"/>
                  <w:marRight w:val="0"/>
                  <w:marTop w:val="0"/>
                  <w:marBottom w:val="0"/>
                  <w:divBdr>
                    <w:top w:val="none" w:sz="0" w:space="0" w:color="auto"/>
                    <w:left w:val="none" w:sz="0" w:space="0" w:color="auto"/>
                    <w:bottom w:val="none" w:sz="0" w:space="0" w:color="auto"/>
                    <w:right w:val="none" w:sz="0" w:space="0" w:color="auto"/>
                  </w:divBdr>
                  <w:divsChild>
                    <w:div w:id="679508870">
                      <w:marLeft w:val="0"/>
                      <w:marRight w:val="0"/>
                      <w:marTop w:val="0"/>
                      <w:marBottom w:val="0"/>
                      <w:divBdr>
                        <w:top w:val="none" w:sz="0" w:space="0" w:color="auto"/>
                        <w:left w:val="none" w:sz="0" w:space="0" w:color="auto"/>
                        <w:bottom w:val="none" w:sz="0" w:space="0" w:color="auto"/>
                        <w:right w:val="none" w:sz="0" w:space="0" w:color="auto"/>
                      </w:divBdr>
                      <w:divsChild>
                        <w:div w:id="2067562252">
                          <w:marLeft w:val="0"/>
                          <w:marRight w:val="0"/>
                          <w:marTop w:val="0"/>
                          <w:marBottom w:val="0"/>
                          <w:divBdr>
                            <w:top w:val="none" w:sz="0" w:space="0" w:color="auto"/>
                            <w:left w:val="none" w:sz="0" w:space="0" w:color="auto"/>
                            <w:bottom w:val="none" w:sz="0" w:space="0" w:color="auto"/>
                            <w:right w:val="none" w:sz="0" w:space="0" w:color="auto"/>
                          </w:divBdr>
                          <w:divsChild>
                            <w:div w:id="2049140543">
                              <w:marLeft w:val="0"/>
                              <w:marRight w:val="0"/>
                              <w:marTop w:val="0"/>
                              <w:marBottom w:val="0"/>
                              <w:divBdr>
                                <w:top w:val="none" w:sz="0" w:space="0" w:color="auto"/>
                                <w:left w:val="none" w:sz="0" w:space="0" w:color="auto"/>
                                <w:bottom w:val="none" w:sz="0" w:space="0" w:color="auto"/>
                                <w:right w:val="none" w:sz="0" w:space="0" w:color="auto"/>
                              </w:divBdr>
                              <w:divsChild>
                                <w:div w:id="583689877">
                                  <w:marLeft w:val="0"/>
                                  <w:marRight w:val="0"/>
                                  <w:marTop w:val="0"/>
                                  <w:marBottom w:val="0"/>
                                  <w:divBdr>
                                    <w:top w:val="none" w:sz="0" w:space="0" w:color="auto"/>
                                    <w:left w:val="none" w:sz="0" w:space="0" w:color="auto"/>
                                    <w:bottom w:val="none" w:sz="0" w:space="0" w:color="auto"/>
                                    <w:right w:val="none" w:sz="0" w:space="0" w:color="auto"/>
                                  </w:divBdr>
                                  <w:divsChild>
                                    <w:div w:id="64292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9612996">
      <w:bodyDiv w:val="1"/>
      <w:marLeft w:val="0"/>
      <w:marRight w:val="0"/>
      <w:marTop w:val="0"/>
      <w:marBottom w:val="0"/>
      <w:divBdr>
        <w:top w:val="none" w:sz="0" w:space="0" w:color="auto"/>
        <w:left w:val="none" w:sz="0" w:space="0" w:color="auto"/>
        <w:bottom w:val="none" w:sz="0" w:space="0" w:color="auto"/>
        <w:right w:val="none" w:sz="0" w:space="0" w:color="auto"/>
      </w:divBdr>
      <w:divsChild>
        <w:div w:id="1308972803">
          <w:marLeft w:val="0"/>
          <w:marRight w:val="0"/>
          <w:marTop w:val="0"/>
          <w:marBottom w:val="0"/>
          <w:divBdr>
            <w:top w:val="none" w:sz="0" w:space="0" w:color="auto"/>
            <w:left w:val="none" w:sz="0" w:space="0" w:color="auto"/>
            <w:bottom w:val="none" w:sz="0" w:space="0" w:color="auto"/>
            <w:right w:val="none" w:sz="0" w:space="0" w:color="auto"/>
          </w:divBdr>
          <w:divsChild>
            <w:div w:id="1335106874">
              <w:marLeft w:val="0"/>
              <w:marRight w:val="0"/>
              <w:marTop w:val="0"/>
              <w:marBottom w:val="0"/>
              <w:divBdr>
                <w:top w:val="none" w:sz="0" w:space="0" w:color="auto"/>
                <w:left w:val="none" w:sz="0" w:space="0" w:color="auto"/>
                <w:bottom w:val="none" w:sz="0" w:space="0" w:color="auto"/>
                <w:right w:val="none" w:sz="0" w:space="0" w:color="auto"/>
              </w:divBdr>
              <w:divsChild>
                <w:div w:id="658508122">
                  <w:marLeft w:val="0"/>
                  <w:marRight w:val="0"/>
                  <w:marTop w:val="0"/>
                  <w:marBottom w:val="0"/>
                  <w:divBdr>
                    <w:top w:val="none" w:sz="0" w:space="0" w:color="auto"/>
                    <w:left w:val="none" w:sz="0" w:space="0" w:color="auto"/>
                    <w:bottom w:val="none" w:sz="0" w:space="0" w:color="auto"/>
                    <w:right w:val="none" w:sz="0" w:space="0" w:color="auto"/>
                  </w:divBdr>
                  <w:divsChild>
                    <w:div w:id="861864417">
                      <w:marLeft w:val="0"/>
                      <w:marRight w:val="0"/>
                      <w:marTop w:val="0"/>
                      <w:marBottom w:val="0"/>
                      <w:divBdr>
                        <w:top w:val="none" w:sz="0" w:space="0" w:color="auto"/>
                        <w:left w:val="none" w:sz="0" w:space="0" w:color="auto"/>
                        <w:bottom w:val="none" w:sz="0" w:space="0" w:color="auto"/>
                        <w:right w:val="none" w:sz="0" w:space="0" w:color="auto"/>
                      </w:divBdr>
                      <w:divsChild>
                        <w:div w:id="523635180">
                          <w:marLeft w:val="0"/>
                          <w:marRight w:val="0"/>
                          <w:marTop w:val="0"/>
                          <w:marBottom w:val="0"/>
                          <w:divBdr>
                            <w:top w:val="none" w:sz="0" w:space="0" w:color="auto"/>
                            <w:left w:val="none" w:sz="0" w:space="0" w:color="auto"/>
                            <w:bottom w:val="none" w:sz="0" w:space="0" w:color="auto"/>
                            <w:right w:val="none" w:sz="0" w:space="0" w:color="auto"/>
                          </w:divBdr>
                          <w:divsChild>
                            <w:div w:id="1034889797">
                              <w:marLeft w:val="0"/>
                              <w:marRight w:val="0"/>
                              <w:marTop w:val="0"/>
                              <w:marBottom w:val="0"/>
                              <w:divBdr>
                                <w:top w:val="none" w:sz="0" w:space="0" w:color="auto"/>
                                <w:left w:val="none" w:sz="0" w:space="0" w:color="auto"/>
                                <w:bottom w:val="none" w:sz="0" w:space="0" w:color="auto"/>
                                <w:right w:val="none" w:sz="0" w:space="0" w:color="auto"/>
                              </w:divBdr>
                              <w:divsChild>
                                <w:div w:id="1724986436">
                                  <w:marLeft w:val="0"/>
                                  <w:marRight w:val="0"/>
                                  <w:marTop w:val="0"/>
                                  <w:marBottom w:val="0"/>
                                  <w:divBdr>
                                    <w:top w:val="none" w:sz="0" w:space="0" w:color="auto"/>
                                    <w:left w:val="none" w:sz="0" w:space="0" w:color="auto"/>
                                    <w:bottom w:val="none" w:sz="0" w:space="0" w:color="auto"/>
                                    <w:right w:val="none" w:sz="0" w:space="0" w:color="auto"/>
                                  </w:divBdr>
                                  <w:divsChild>
                                    <w:div w:id="1916091032">
                                      <w:marLeft w:val="0"/>
                                      <w:marRight w:val="0"/>
                                      <w:marTop w:val="0"/>
                                      <w:marBottom w:val="0"/>
                                      <w:divBdr>
                                        <w:top w:val="none" w:sz="0" w:space="0" w:color="auto"/>
                                        <w:left w:val="none" w:sz="0" w:space="0" w:color="auto"/>
                                        <w:bottom w:val="none" w:sz="0" w:space="0" w:color="auto"/>
                                        <w:right w:val="none" w:sz="0" w:space="0" w:color="auto"/>
                                      </w:divBdr>
                                      <w:divsChild>
                                        <w:div w:id="2078237509">
                                          <w:marLeft w:val="0"/>
                                          <w:marRight w:val="0"/>
                                          <w:marTop w:val="0"/>
                                          <w:marBottom w:val="0"/>
                                          <w:divBdr>
                                            <w:top w:val="none" w:sz="0" w:space="0" w:color="auto"/>
                                            <w:left w:val="none" w:sz="0" w:space="0" w:color="auto"/>
                                            <w:bottom w:val="none" w:sz="0" w:space="0" w:color="auto"/>
                                            <w:right w:val="none" w:sz="0" w:space="0" w:color="auto"/>
                                          </w:divBdr>
                                          <w:divsChild>
                                            <w:div w:id="1991055912">
                                              <w:marLeft w:val="0"/>
                                              <w:marRight w:val="0"/>
                                              <w:marTop w:val="0"/>
                                              <w:marBottom w:val="0"/>
                                              <w:divBdr>
                                                <w:top w:val="none" w:sz="0" w:space="0" w:color="auto"/>
                                                <w:left w:val="none" w:sz="0" w:space="0" w:color="auto"/>
                                                <w:bottom w:val="none" w:sz="0" w:space="0" w:color="auto"/>
                                                <w:right w:val="none" w:sz="0" w:space="0" w:color="auto"/>
                                              </w:divBdr>
                                              <w:divsChild>
                                                <w:div w:id="1457718779">
                                                  <w:marLeft w:val="0"/>
                                                  <w:marRight w:val="0"/>
                                                  <w:marTop w:val="0"/>
                                                  <w:marBottom w:val="0"/>
                                                  <w:divBdr>
                                                    <w:top w:val="none" w:sz="0" w:space="0" w:color="auto"/>
                                                    <w:left w:val="none" w:sz="0" w:space="0" w:color="auto"/>
                                                    <w:bottom w:val="none" w:sz="0" w:space="0" w:color="auto"/>
                                                    <w:right w:val="none" w:sz="0" w:space="0" w:color="auto"/>
                                                  </w:divBdr>
                                                  <w:divsChild>
                                                    <w:div w:id="78624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047511">
          <w:marLeft w:val="0"/>
          <w:marRight w:val="0"/>
          <w:marTop w:val="0"/>
          <w:marBottom w:val="0"/>
          <w:divBdr>
            <w:top w:val="none" w:sz="0" w:space="0" w:color="auto"/>
            <w:left w:val="none" w:sz="0" w:space="0" w:color="auto"/>
            <w:bottom w:val="none" w:sz="0" w:space="0" w:color="auto"/>
            <w:right w:val="none" w:sz="0" w:space="0" w:color="auto"/>
          </w:divBdr>
          <w:divsChild>
            <w:div w:id="1019549935">
              <w:marLeft w:val="0"/>
              <w:marRight w:val="0"/>
              <w:marTop w:val="0"/>
              <w:marBottom w:val="0"/>
              <w:divBdr>
                <w:top w:val="none" w:sz="0" w:space="0" w:color="auto"/>
                <w:left w:val="none" w:sz="0" w:space="0" w:color="auto"/>
                <w:bottom w:val="none" w:sz="0" w:space="0" w:color="auto"/>
                <w:right w:val="none" w:sz="0" w:space="0" w:color="auto"/>
              </w:divBdr>
              <w:divsChild>
                <w:div w:id="2123183630">
                  <w:marLeft w:val="0"/>
                  <w:marRight w:val="0"/>
                  <w:marTop w:val="0"/>
                  <w:marBottom w:val="0"/>
                  <w:divBdr>
                    <w:top w:val="none" w:sz="0" w:space="0" w:color="auto"/>
                    <w:left w:val="none" w:sz="0" w:space="0" w:color="auto"/>
                    <w:bottom w:val="none" w:sz="0" w:space="0" w:color="auto"/>
                    <w:right w:val="none" w:sz="0" w:space="0" w:color="auto"/>
                  </w:divBdr>
                  <w:divsChild>
                    <w:div w:id="100608066">
                      <w:marLeft w:val="0"/>
                      <w:marRight w:val="0"/>
                      <w:marTop w:val="0"/>
                      <w:marBottom w:val="0"/>
                      <w:divBdr>
                        <w:top w:val="none" w:sz="0" w:space="0" w:color="auto"/>
                        <w:left w:val="none" w:sz="0" w:space="0" w:color="auto"/>
                        <w:bottom w:val="none" w:sz="0" w:space="0" w:color="auto"/>
                        <w:right w:val="none" w:sz="0" w:space="0" w:color="auto"/>
                      </w:divBdr>
                      <w:divsChild>
                        <w:div w:id="322003689">
                          <w:marLeft w:val="0"/>
                          <w:marRight w:val="0"/>
                          <w:marTop w:val="0"/>
                          <w:marBottom w:val="0"/>
                          <w:divBdr>
                            <w:top w:val="none" w:sz="0" w:space="0" w:color="auto"/>
                            <w:left w:val="none" w:sz="0" w:space="0" w:color="auto"/>
                            <w:bottom w:val="none" w:sz="0" w:space="0" w:color="auto"/>
                            <w:right w:val="none" w:sz="0" w:space="0" w:color="auto"/>
                          </w:divBdr>
                          <w:divsChild>
                            <w:div w:id="1294868402">
                              <w:marLeft w:val="0"/>
                              <w:marRight w:val="0"/>
                              <w:marTop w:val="0"/>
                              <w:marBottom w:val="0"/>
                              <w:divBdr>
                                <w:top w:val="none" w:sz="0" w:space="0" w:color="auto"/>
                                <w:left w:val="none" w:sz="0" w:space="0" w:color="auto"/>
                                <w:bottom w:val="none" w:sz="0" w:space="0" w:color="auto"/>
                                <w:right w:val="none" w:sz="0" w:space="0" w:color="auto"/>
                              </w:divBdr>
                              <w:divsChild>
                                <w:div w:id="172308029">
                                  <w:marLeft w:val="0"/>
                                  <w:marRight w:val="0"/>
                                  <w:marTop w:val="0"/>
                                  <w:marBottom w:val="0"/>
                                  <w:divBdr>
                                    <w:top w:val="none" w:sz="0" w:space="0" w:color="auto"/>
                                    <w:left w:val="none" w:sz="0" w:space="0" w:color="auto"/>
                                    <w:bottom w:val="none" w:sz="0" w:space="0" w:color="auto"/>
                                    <w:right w:val="none" w:sz="0" w:space="0" w:color="auto"/>
                                  </w:divBdr>
                                  <w:divsChild>
                                    <w:div w:id="1260214285">
                                      <w:marLeft w:val="0"/>
                                      <w:marRight w:val="0"/>
                                      <w:marTop w:val="0"/>
                                      <w:marBottom w:val="0"/>
                                      <w:divBdr>
                                        <w:top w:val="none" w:sz="0" w:space="0" w:color="auto"/>
                                        <w:left w:val="none" w:sz="0" w:space="0" w:color="auto"/>
                                        <w:bottom w:val="none" w:sz="0" w:space="0" w:color="auto"/>
                                        <w:right w:val="none" w:sz="0" w:space="0" w:color="auto"/>
                                      </w:divBdr>
                                      <w:divsChild>
                                        <w:div w:id="175777466">
                                          <w:marLeft w:val="0"/>
                                          <w:marRight w:val="0"/>
                                          <w:marTop w:val="0"/>
                                          <w:marBottom w:val="0"/>
                                          <w:divBdr>
                                            <w:top w:val="none" w:sz="0" w:space="0" w:color="auto"/>
                                            <w:left w:val="none" w:sz="0" w:space="0" w:color="auto"/>
                                            <w:bottom w:val="none" w:sz="0" w:space="0" w:color="auto"/>
                                            <w:right w:val="none" w:sz="0" w:space="0" w:color="auto"/>
                                          </w:divBdr>
                                          <w:divsChild>
                                            <w:div w:id="61375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9291439">
                          <w:marLeft w:val="0"/>
                          <w:marRight w:val="0"/>
                          <w:marTop w:val="0"/>
                          <w:marBottom w:val="0"/>
                          <w:divBdr>
                            <w:top w:val="none" w:sz="0" w:space="0" w:color="auto"/>
                            <w:left w:val="none" w:sz="0" w:space="0" w:color="auto"/>
                            <w:bottom w:val="none" w:sz="0" w:space="0" w:color="auto"/>
                            <w:right w:val="none" w:sz="0" w:space="0" w:color="auto"/>
                          </w:divBdr>
                          <w:divsChild>
                            <w:div w:id="2082634443">
                              <w:marLeft w:val="0"/>
                              <w:marRight w:val="0"/>
                              <w:marTop w:val="0"/>
                              <w:marBottom w:val="0"/>
                              <w:divBdr>
                                <w:top w:val="none" w:sz="0" w:space="0" w:color="auto"/>
                                <w:left w:val="none" w:sz="0" w:space="0" w:color="auto"/>
                                <w:bottom w:val="none" w:sz="0" w:space="0" w:color="auto"/>
                                <w:right w:val="none" w:sz="0" w:space="0" w:color="auto"/>
                              </w:divBdr>
                              <w:divsChild>
                                <w:div w:id="875966901">
                                  <w:marLeft w:val="0"/>
                                  <w:marRight w:val="0"/>
                                  <w:marTop w:val="0"/>
                                  <w:marBottom w:val="0"/>
                                  <w:divBdr>
                                    <w:top w:val="none" w:sz="0" w:space="0" w:color="auto"/>
                                    <w:left w:val="none" w:sz="0" w:space="0" w:color="auto"/>
                                    <w:bottom w:val="none" w:sz="0" w:space="0" w:color="auto"/>
                                    <w:right w:val="none" w:sz="0" w:space="0" w:color="auto"/>
                                  </w:divBdr>
                                  <w:divsChild>
                                    <w:div w:id="199442591">
                                      <w:marLeft w:val="0"/>
                                      <w:marRight w:val="0"/>
                                      <w:marTop w:val="0"/>
                                      <w:marBottom w:val="0"/>
                                      <w:divBdr>
                                        <w:top w:val="none" w:sz="0" w:space="0" w:color="auto"/>
                                        <w:left w:val="none" w:sz="0" w:space="0" w:color="auto"/>
                                        <w:bottom w:val="none" w:sz="0" w:space="0" w:color="auto"/>
                                        <w:right w:val="none" w:sz="0" w:space="0" w:color="auto"/>
                                      </w:divBdr>
                                      <w:divsChild>
                                        <w:div w:id="1503163287">
                                          <w:marLeft w:val="0"/>
                                          <w:marRight w:val="0"/>
                                          <w:marTop w:val="0"/>
                                          <w:marBottom w:val="0"/>
                                          <w:divBdr>
                                            <w:top w:val="none" w:sz="0" w:space="0" w:color="auto"/>
                                            <w:left w:val="none" w:sz="0" w:space="0" w:color="auto"/>
                                            <w:bottom w:val="none" w:sz="0" w:space="0" w:color="auto"/>
                                            <w:right w:val="none" w:sz="0" w:space="0" w:color="auto"/>
                                          </w:divBdr>
                                          <w:divsChild>
                                            <w:div w:id="141852473">
                                              <w:marLeft w:val="0"/>
                                              <w:marRight w:val="0"/>
                                              <w:marTop w:val="0"/>
                                              <w:marBottom w:val="0"/>
                                              <w:divBdr>
                                                <w:top w:val="none" w:sz="0" w:space="0" w:color="auto"/>
                                                <w:left w:val="none" w:sz="0" w:space="0" w:color="auto"/>
                                                <w:bottom w:val="none" w:sz="0" w:space="0" w:color="auto"/>
                                                <w:right w:val="none" w:sz="0" w:space="0" w:color="auto"/>
                                              </w:divBdr>
                                              <w:divsChild>
                                                <w:div w:id="1540703814">
                                                  <w:marLeft w:val="0"/>
                                                  <w:marRight w:val="0"/>
                                                  <w:marTop w:val="0"/>
                                                  <w:marBottom w:val="0"/>
                                                  <w:divBdr>
                                                    <w:top w:val="none" w:sz="0" w:space="0" w:color="auto"/>
                                                    <w:left w:val="none" w:sz="0" w:space="0" w:color="auto"/>
                                                    <w:bottom w:val="none" w:sz="0" w:space="0" w:color="auto"/>
                                                    <w:right w:val="none" w:sz="0" w:space="0" w:color="auto"/>
                                                  </w:divBdr>
                                                  <w:divsChild>
                                                    <w:div w:id="1297028937">
                                                      <w:marLeft w:val="0"/>
                                                      <w:marRight w:val="0"/>
                                                      <w:marTop w:val="0"/>
                                                      <w:marBottom w:val="0"/>
                                                      <w:divBdr>
                                                        <w:top w:val="none" w:sz="0" w:space="0" w:color="auto"/>
                                                        <w:left w:val="none" w:sz="0" w:space="0" w:color="auto"/>
                                                        <w:bottom w:val="none" w:sz="0" w:space="0" w:color="auto"/>
                                                        <w:right w:val="none" w:sz="0" w:space="0" w:color="auto"/>
                                                      </w:divBdr>
                                                      <w:divsChild>
                                                        <w:div w:id="80231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66914147">
      <w:bodyDiv w:val="1"/>
      <w:marLeft w:val="0"/>
      <w:marRight w:val="0"/>
      <w:marTop w:val="0"/>
      <w:marBottom w:val="0"/>
      <w:divBdr>
        <w:top w:val="none" w:sz="0" w:space="0" w:color="auto"/>
        <w:left w:val="none" w:sz="0" w:space="0" w:color="auto"/>
        <w:bottom w:val="none" w:sz="0" w:space="0" w:color="auto"/>
        <w:right w:val="none" w:sz="0" w:space="0" w:color="auto"/>
      </w:divBdr>
      <w:divsChild>
        <w:div w:id="1274240316">
          <w:marLeft w:val="0"/>
          <w:marRight w:val="0"/>
          <w:marTop w:val="0"/>
          <w:marBottom w:val="0"/>
          <w:divBdr>
            <w:top w:val="none" w:sz="0" w:space="0" w:color="auto"/>
            <w:left w:val="none" w:sz="0" w:space="0" w:color="auto"/>
            <w:bottom w:val="none" w:sz="0" w:space="0" w:color="auto"/>
            <w:right w:val="none" w:sz="0" w:space="0" w:color="auto"/>
          </w:divBdr>
          <w:divsChild>
            <w:div w:id="1169175557">
              <w:marLeft w:val="0"/>
              <w:marRight w:val="0"/>
              <w:marTop w:val="0"/>
              <w:marBottom w:val="0"/>
              <w:divBdr>
                <w:top w:val="none" w:sz="0" w:space="0" w:color="auto"/>
                <w:left w:val="none" w:sz="0" w:space="0" w:color="auto"/>
                <w:bottom w:val="none" w:sz="0" w:space="0" w:color="auto"/>
                <w:right w:val="none" w:sz="0" w:space="0" w:color="auto"/>
              </w:divBdr>
              <w:divsChild>
                <w:div w:id="1654678213">
                  <w:marLeft w:val="0"/>
                  <w:marRight w:val="0"/>
                  <w:marTop w:val="0"/>
                  <w:marBottom w:val="0"/>
                  <w:divBdr>
                    <w:top w:val="none" w:sz="0" w:space="0" w:color="auto"/>
                    <w:left w:val="none" w:sz="0" w:space="0" w:color="auto"/>
                    <w:bottom w:val="none" w:sz="0" w:space="0" w:color="auto"/>
                    <w:right w:val="none" w:sz="0" w:space="0" w:color="auto"/>
                  </w:divBdr>
                  <w:divsChild>
                    <w:div w:id="1002127027">
                      <w:marLeft w:val="0"/>
                      <w:marRight w:val="0"/>
                      <w:marTop w:val="0"/>
                      <w:marBottom w:val="0"/>
                      <w:divBdr>
                        <w:top w:val="none" w:sz="0" w:space="0" w:color="auto"/>
                        <w:left w:val="none" w:sz="0" w:space="0" w:color="auto"/>
                        <w:bottom w:val="none" w:sz="0" w:space="0" w:color="auto"/>
                        <w:right w:val="none" w:sz="0" w:space="0" w:color="auto"/>
                      </w:divBdr>
                      <w:divsChild>
                        <w:div w:id="1685743094">
                          <w:marLeft w:val="0"/>
                          <w:marRight w:val="0"/>
                          <w:marTop w:val="0"/>
                          <w:marBottom w:val="0"/>
                          <w:divBdr>
                            <w:top w:val="none" w:sz="0" w:space="0" w:color="auto"/>
                            <w:left w:val="none" w:sz="0" w:space="0" w:color="auto"/>
                            <w:bottom w:val="none" w:sz="0" w:space="0" w:color="auto"/>
                            <w:right w:val="none" w:sz="0" w:space="0" w:color="auto"/>
                          </w:divBdr>
                          <w:divsChild>
                            <w:div w:id="1291596693">
                              <w:marLeft w:val="0"/>
                              <w:marRight w:val="0"/>
                              <w:marTop w:val="0"/>
                              <w:marBottom w:val="0"/>
                              <w:divBdr>
                                <w:top w:val="none" w:sz="0" w:space="0" w:color="auto"/>
                                <w:left w:val="none" w:sz="0" w:space="0" w:color="auto"/>
                                <w:bottom w:val="none" w:sz="0" w:space="0" w:color="auto"/>
                                <w:right w:val="none" w:sz="0" w:space="0" w:color="auto"/>
                              </w:divBdr>
                              <w:divsChild>
                                <w:div w:id="1648314025">
                                  <w:marLeft w:val="0"/>
                                  <w:marRight w:val="0"/>
                                  <w:marTop w:val="0"/>
                                  <w:marBottom w:val="0"/>
                                  <w:divBdr>
                                    <w:top w:val="none" w:sz="0" w:space="0" w:color="auto"/>
                                    <w:left w:val="none" w:sz="0" w:space="0" w:color="auto"/>
                                    <w:bottom w:val="none" w:sz="0" w:space="0" w:color="auto"/>
                                    <w:right w:val="none" w:sz="0" w:space="0" w:color="auto"/>
                                  </w:divBdr>
                                  <w:divsChild>
                                    <w:div w:id="12720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6742484">
      <w:bodyDiv w:val="1"/>
      <w:marLeft w:val="0"/>
      <w:marRight w:val="0"/>
      <w:marTop w:val="0"/>
      <w:marBottom w:val="0"/>
      <w:divBdr>
        <w:top w:val="none" w:sz="0" w:space="0" w:color="auto"/>
        <w:left w:val="none" w:sz="0" w:space="0" w:color="auto"/>
        <w:bottom w:val="none" w:sz="0" w:space="0" w:color="auto"/>
        <w:right w:val="none" w:sz="0" w:space="0" w:color="auto"/>
      </w:divBdr>
      <w:divsChild>
        <w:div w:id="771359390">
          <w:marLeft w:val="0"/>
          <w:marRight w:val="0"/>
          <w:marTop w:val="0"/>
          <w:marBottom w:val="0"/>
          <w:divBdr>
            <w:top w:val="none" w:sz="0" w:space="0" w:color="auto"/>
            <w:left w:val="none" w:sz="0" w:space="0" w:color="auto"/>
            <w:bottom w:val="none" w:sz="0" w:space="0" w:color="auto"/>
            <w:right w:val="none" w:sz="0" w:space="0" w:color="auto"/>
          </w:divBdr>
          <w:divsChild>
            <w:div w:id="328875991">
              <w:marLeft w:val="0"/>
              <w:marRight w:val="0"/>
              <w:marTop w:val="0"/>
              <w:marBottom w:val="0"/>
              <w:divBdr>
                <w:top w:val="none" w:sz="0" w:space="0" w:color="auto"/>
                <w:left w:val="none" w:sz="0" w:space="0" w:color="auto"/>
                <w:bottom w:val="none" w:sz="0" w:space="0" w:color="auto"/>
                <w:right w:val="none" w:sz="0" w:space="0" w:color="auto"/>
              </w:divBdr>
              <w:divsChild>
                <w:div w:id="1309048508">
                  <w:marLeft w:val="0"/>
                  <w:marRight w:val="0"/>
                  <w:marTop w:val="0"/>
                  <w:marBottom w:val="0"/>
                  <w:divBdr>
                    <w:top w:val="none" w:sz="0" w:space="0" w:color="auto"/>
                    <w:left w:val="none" w:sz="0" w:space="0" w:color="auto"/>
                    <w:bottom w:val="none" w:sz="0" w:space="0" w:color="auto"/>
                    <w:right w:val="none" w:sz="0" w:space="0" w:color="auto"/>
                  </w:divBdr>
                  <w:divsChild>
                    <w:div w:id="816848423">
                      <w:marLeft w:val="0"/>
                      <w:marRight w:val="0"/>
                      <w:marTop w:val="0"/>
                      <w:marBottom w:val="0"/>
                      <w:divBdr>
                        <w:top w:val="none" w:sz="0" w:space="0" w:color="auto"/>
                        <w:left w:val="none" w:sz="0" w:space="0" w:color="auto"/>
                        <w:bottom w:val="none" w:sz="0" w:space="0" w:color="auto"/>
                        <w:right w:val="none" w:sz="0" w:space="0" w:color="auto"/>
                      </w:divBdr>
                      <w:divsChild>
                        <w:div w:id="1609852820">
                          <w:marLeft w:val="0"/>
                          <w:marRight w:val="0"/>
                          <w:marTop w:val="0"/>
                          <w:marBottom w:val="0"/>
                          <w:divBdr>
                            <w:top w:val="none" w:sz="0" w:space="0" w:color="auto"/>
                            <w:left w:val="none" w:sz="0" w:space="0" w:color="auto"/>
                            <w:bottom w:val="none" w:sz="0" w:space="0" w:color="auto"/>
                            <w:right w:val="none" w:sz="0" w:space="0" w:color="auto"/>
                          </w:divBdr>
                          <w:divsChild>
                            <w:div w:id="1704088037">
                              <w:marLeft w:val="0"/>
                              <w:marRight w:val="0"/>
                              <w:marTop w:val="0"/>
                              <w:marBottom w:val="0"/>
                              <w:divBdr>
                                <w:top w:val="none" w:sz="0" w:space="0" w:color="auto"/>
                                <w:left w:val="none" w:sz="0" w:space="0" w:color="auto"/>
                                <w:bottom w:val="none" w:sz="0" w:space="0" w:color="auto"/>
                                <w:right w:val="none" w:sz="0" w:space="0" w:color="auto"/>
                              </w:divBdr>
                              <w:divsChild>
                                <w:div w:id="1488088117">
                                  <w:marLeft w:val="0"/>
                                  <w:marRight w:val="0"/>
                                  <w:marTop w:val="0"/>
                                  <w:marBottom w:val="0"/>
                                  <w:divBdr>
                                    <w:top w:val="none" w:sz="0" w:space="0" w:color="auto"/>
                                    <w:left w:val="none" w:sz="0" w:space="0" w:color="auto"/>
                                    <w:bottom w:val="none" w:sz="0" w:space="0" w:color="auto"/>
                                    <w:right w:val="none" w:sz="0" w:space="0" w:color="auto"/>
                                  </w:divBdr>
                                  <w:divsChild>
                                    <w:div w:id="1208105457">
                                      <w:marLeft w:val="0"/>
                                      <w:marRight w:val="0"/>
                                      <w:marTop w:val="0"/>
                                      <w:marBottom w:val="0"/>
                                      <w:divBdr>
                                        <w:top w:val="none" w:sz="0" w:space="0" w:color="auto"/>
                                        <w:left w:val="none" w:sz="0" w:space="0" w:color="auto"/>
                                        <w:bottom w:val="none" w:sz="0" w:space="0" w:color="auto"/>
                                        <w:right w:val="none" w:sz="0" w:space="0" w:color="auto"/>
                                      </w:divBdr>
                                      <w:divsChild>
                                        <w:div w:id="785734694">
                                          <w:marLeft w:val="0"/>
                                          <w:marRight w:val="0"/>
                                          <w:marTop w:val="0"/>
                                          <w:marBottom w:val="0"/>
                                          <w:divBdr>
                                            <w:top w:val="none" w:sz="0" w:space="0" w:color="auto"/>
                                            <w:left w:val="none" w:sz="0" w:space="0" w:color="auto"/>
                                            <w:bottom w:val="none" w:sz="0" w:space="0" w:color="auto"/>
                                            <w:right w:val="none" w:sz="0" w:space="0" w:color="auto"/>
                                          </w:divBdr>
                                          <w:divsChild>
                                            <w:div w:id="849491529">
                                              <w:marLeft w:val="0"/>
                                              <w:marRight w:val="0"/>
                                              <w:marTop w:val="0"/>
                                              <w:marBottom w:val="0"/>
                                              <w:divBdr>
                                                <w:top w:val="none" w:sz="0" w:space="0" w:color="auto"/>
                                                <w:left w:val="none" w:sz="0" w:space="0" w:color="auto"/>
                                                <w:bottom w:val="none" w:sz="0" w:space="0" w:color="auto"/>
                                                <w:right w:val="none" w:sz="0" w:space="0" w:color="auto"/>
                                              </w:divBdr>
                                              <w:divsChild>
                                                <w:div w:id="1651403544">
                                                  <w:marLeft w:val="0"/>
                                                  <w:marRight w:val="0"/>
                                                  <w:marTop w:val="0"/>
                                                  <w:marBottom w:val="0"/>
                                                  <w:divBdr>
                                                    <w:top w:val="none" w:sz="0" w:space="0" w:color="auto"/>
                                                    <w:left w:val="none" w:sz="0" w:space="0" w:color="auto"/>
                                                    <w:bottom w:val="none" w:sz="0" w:space="0" w:color="auto"/>
                                                    <w:right w:val="none" w:sz="0" w:space="0" w:color="auto"/>
                                                  </w:divBdr>
                                                  <w:divsChild>
                                                    <w:div w:id="121473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8106451">
          <w:marLeft w:val="0"/>
          <w:marRight w:val="0"/>
          <w:marTop w:val="0"/>
          <w:marBottom w:val="0"/>
          <w:divBdr>
            <w:top w:val="none" w:sz="0" w:space="0" w:color="auto"/>
            <w:left w:val="none" w:sz="0" w:space="0" w:color="auto"/>
            <w:bottom w:val="none" w:sz="0" w:space="0" w:color="auto"/>
            <w:right w:val="none" w:sz="0" w:space="0" w:color="auto"/>
          </w:divBdr>
          <w:divsChild>
            <w:div w:id="1029912953">
              <w:marLeft w:val="0"/>
              <w:marRight w:val="0"/>
              <w:marTop w:val="0"/>
              <w:marBottom w:val="0"/>
              <w:divBdr>
                <w:top w:val="none" w:sz="0" w:space="0" w:color="auto"/>
                <w:left w:val="none" w:sz="0" w:space="0" w:color="auto"/>
                <w:bottom w:val="none" w:sz="0" w:space="0" w:color="auto"/>
                <w:right w:val="none" w:sz="0" w:space="0" w:color="auto"/>
              </w:divBdr>
              <w:divsChild>
                <w:div w:id="1356810116">
                  <w:marLeft w:val="0"/>
                  <w:marRight w:val="0"/>
                  <w:marTop w:val="0"/>
                  <w:marBottom w:val="0"/>
                  <w:divBdr>
                    <w:top w:val="none" w:sz="0" w:space="0" w:color="auto"/>
                    <w:left w:val="none" w:sz="0" w:space="0" w:color="auto"/>
                    <w:bottom w:val="none" w:sz="0" w:space="0" w:color="auto"/>
                    <w:right w:val="none" w:sz="0" w:space="0" w:color="auto"/>
                  </w:divBdr>
                  <w:divsChild>
                    <w:div w:id="185602205">
                      <w:marLeft w:val="0"/>
                      <w:marRight w:val="0"/>
                      <w:marTop w:val="0"/>
                      <w:marBottom w:val="0"/>
                      <w:divBdr>
                        <w:top w:val="none" w:sz="0" w:space="0" w:color="auto"/>
                        <w:left w:val="none" w:sz="0" w:space="0" w:color="auto"/>
                        <w:bottom w:val="none" w:sz="0" w:space="0" w:color="auto"/>
                        <w:right w:val="none" w:sz="0" w:space="0" w:color="auto"/>
                      </w:divBdr>
                      <w:divsChild>
                        <w:div w:id="1043093525">
                          <w:marLeft w:val="0"/>
                          <w:marRight w:val="0"/>
                          <w:marTop w:val="0"/>
                          <w:marBottom w:val="0"/>
                          <w:divBdr>
                            <w:top w:val="none" w:sz="0" w:space="0" w:color="auto"/>
                            <w:left w:val="none" w:sz="0" w:space="0" w:color="auto"/>
                            <w:bottom w:val="none" w:sz="0" w:space="0" w:color="auto"/>
                            <w:right w:val="none" w:sz="0" w:space="0" w:color="auto"/>
                          </w:divBdr>
                          <w:divsChild>
                            <w:div w:id="917517581">
                              <w:marLeft w:val="0"/>
                              <w:marRight w:val="0"/>
                              <w:marTop w:val="0"/>
                              <w:marBottom w:val="0"/>
                              <w:divBdr>
                                <w:top w:val="none" w:sz="0" w:space="0" w:color="auto"/>
                                <w:left w:val="none" w:sz="0" w:space="0" w:color="auto"/>
                                <w:bottom w:val="none" w:sz="0" w:space="0" w:color="auto"/>
                                <w:right w:val="none" w:sz="0" w:space="0" w:color="auto"/>
                              </w:divBdr>
                              <w:divsChild>
                                <w:div w:id="1542597133">
                                  <w:marLeft w:val="0"/>
                                  <w:marRight w:val="0"/>
                                  <w:marTop w:val="0"/>
                                  <w:marBottom w:val="0"/>
                                  <w:divBdr>
                                    <w:top w:val="none" w:sz="0" w:space="0" w:color="auto"/>
                                    <w:left w:val="none" w:sz="0" w:space="0" w:color="auto"/>
                                    <w:bottom w:val="none" w:sz="0" w:space="0" w:color="auto"/>
                                    <w:right w:val="none" w:sz="0" w:space="0" w:color="auto"/>
                                  </w:divBdr>
                                  <w:divsChild>
                                    <w:div w:id="3167694">
                                      <w:marLeft w:val="0"/>
                                      <w:marRight w:val="0"/>
                                      <w:marTop w:val="0"/>
                                      <w:marBottom w:val="0"/>
                                      <w:divBdr>
                                        <w:top w:val="none" w:sz="0" w:space="0" w:color="auto"/>
                                        <w:left w:val="none" w:sz="0" w:space="0" w:color="auto"/>
                                        <w:bottom w:val="none" w:sz="0" w:space="0" w:color="auto"/>
                                        <w:right w:val="none" w:sz="0" w:space="0" w:color="auto"/>
                                      </w:divBdr>
                                      <w:divsChild>
                                        <w:div w:id="1035497807">
                                          <w:marLeft w:val="0"/>
                                          <w:marRight w:val="0"/>
                                          <w:marTop w:val="0"/>
                                          <w:marBottom w:val="0"/>
                                          <w:divBdr>
                                            <w:top w:val="none" w:sz="0" w:space="0" w:color="auto"/>
                                            <w:left w:val="none" w:sz="0" w:space="0" w:color="auto"/>
                                            <w:bottom w:val="none" w:sz="0" w:space="0" w:color="auto"/>
                                            <w:right w:val="none" w:sz="0" w:space="0" w:color="auto"/>
                                          </w:divBdr>
                                          <w:divsChild>
                                            <w:div w:id="212653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2099716">
                          <w:marLeft w:val="0"/>
                          <w:marRight w:val="0"/>
                          <w:marTop w:val="0"/>
                          <w:marBottom w:val="0"/>
                          <w:divBdr>
                            <w:top w:val="none" w:sz="0" w:space="0" w:color="auto"/>
                            <w:left w:val="none" w:sz="0" w:space="0" w:color="auto"/>
                            <w:bottom w:val="none" w:sz="0" w:space="0" w:color="auto"/>
                            <w:right w:val="none" w:sz="0" w:space="0" w:color="auto"/>
                          </w:divBdr>
                          <w:divsChild>
                            <w:div w:id="901645786">
                              <w:marLeft w:val="0"/>
                              <w:marRight w:val="0"/>
                              <w:marTop w:val="0"/>
                              <w:marBottom w:val="0"/>
                              <w:divBdr>
                                <w:top w:val="none" w:sz="0" w:space="0" w:color="auto"/>
                                <w:left w:val="none" w:sz="0" w:space="0" w:color="auto"/>
                                <w:bottom w:val="none" w:sz="0" w:space="0" w:color="auto"/>
                                <w:right w:val="none" w:sz="0" w:space="0" w:color="auto"/>
                              </w:divBdr>
                              <w:divsChild>
                                <w:div w:id="1336685943">
                                  <w:marLeft w:val="0"/>
                                  <w:marRight w:val="0"/>
                                  <w:marTop w:val="0"/>
                                  <w:marBottom w:val="0"/>
                                  <w:divBdr>
                                    <w:top w:val="none" w:sz="0" w:space="0" w:color="auto"/>
                                    <w:left w:val="none" w:sz="0" w:space="0" w:color="auto"/>
                                    <w:bottom w:val="none" w:sz="0" w:space="0" w:color="auto"/>
                                    <w:right w:val="none" w:sz="0" w:space="0" w:color="auto"/>
                                  </w:divBdr>
                                  <w:divsChild>
                                    <w:div w:id="266234809">
                                      <w:marLeft w:val="0"/>
                                      <w:marRight w:val="0"/>
                                      <w:marTop w:val="0"/>
                                      <w:marBottom w:val="0"/>
                                      <w:divBdr>
                                        <w:top w:val="none" w:sz="0" w:space="0" w:color="auto"/>
                                        <w:left w:val="none" w:sz="0" w:space="0" w:color="auto"/>
                                        <w:bottom w:val="none" w:sz="0" w:space="0" w:color="auto"/>
                                        <w:right w:val="none" w:sz="0" w:space="0" w:color="auto"/>
                                      </w:divBdr>
                                      <w:divsChild>
                                        <w:div w:id="1093017082">
                                          <w:marLeft w:val="0"/>
                                          <w:marRight w:val="0"/>
                                          <w:marTop w:val="0"/>
                                          <w:marBottom w:val="0"/>
                                          <w:divBdr>
                                            <w:top w:val="none" w:sz="0" w:space="0" w:color="auto"/>
                                            <w:left w:val="none" w:sz="0" w:space="0" w:color="auto"/>
                                            <w:bottom w:val="none" w:sz="0" w:space="0" w:color="auto"/>
                                            <w:right w:val="none" w:sz="0" w:space="0" w:color="auto"/>
                                          </w:divBdr>
                                          <w:divsChild>
                                            <w:div w:id="581914664">
                                              <w:marLeft w:val="0"/>
                                              <w:marRight w:val="0"/>
                                              <w:marTop w:val="0"/>
                                              <w:marBottom w:val="0"/>
                                              <w:divBdr>
                                                <w:top w:val="none" w:sz="0" w:space="0" w:color="auto"/>
                                                <w:left w:val="none" w:sz="0" w:space="0" w:color="auto"/>
                                                <w:bottom w:val="none" w:sz="0" w:space="0" w:color="auto"/>
                                                <w:right w:val="none" w:sz="0" w:space="0" w:color="auto"/>
                                              </w:divBdr>
                                              <w:divsChild>
                                                <w:div w:id="407263986">
                                                  <w:marLeft w:val="0"/>
                                                  <w:marRight w:val="0"/>
                                                  <w:marTop w:val="0"/>
                                                  <w:marBottom w:val="0"/>
                                                  <w:divBdr>
                                                    <w:top w:val="none" w:sz="0" w:space="0" w:color="auto"/>
                                                    <w:left w:val="none" w:sz="0" w:space="0" w:color="auto"/>
                                                    <w:bottom w:val="none" w:sz="0" w:space="0" w:color="auto"/>
                                                    <w:right w:val="none" w:sz="0" w:space="0" w:color="auto"/>
                                                  </w:divBdr>
                                                  <w:divsChild>
                                                    <w:div w:id="1024331067">
                                                      <w:marLeft w:val="0"/>
                                                      <w:marRight w:val="0"/>
                                                      <w:marTop w:val="0"/>
                                                      <w:marBottom w:val="0"/>
                                                      <w:divBdr>
                                                        <w:top w:val="none" w:sz="0" w:space="0" w:color="auto"/>
                                                        <w:left w:val="none" w:sz="0" w:space="0" w:color="auto"/>
                                                        <w:bottom w:val="none" w:sz="0" w:space="0" w:color="auto"/>
                                                        <w:right w:val="none" w:sz="0" w:space="0" w:color="auto"/>
                                                      </w:divBdr>
                                                      <w:divsChild>
                                                        <w:div w:id="115756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s://www.autocarpro.in/analysis-sales/toyota-india-sales-hit-record-levels-in-fy2025-309000-units-125680?utm_source=chatgpt.co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eam-bhp.com/forum/indian-car-scene/297310-hybrid-car-sales-up-118-q1-fy2026-toyota-leads-pack.html"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chart" Target="charts/chart3.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hyperlink" Target="https://www.hofstede-insights.com/country-comparison/japan,the-us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HP\OneDrive\Documents\ACADEMIC%20ASST\SEP%202024\ROLE%20OF%20INVENTORY%20MANAGEMENT%20ACTIVITIES%20WITHIN%20ROBOTIC%20PROCESS%20AUTOMATION%20ACROSS%20SUPPLY%20CHAIN%20OPERATIONS%20IN%20GUJARAT.docx" TargetMode="External"/><Relationship Id="rId24" Type="http://schemas.openxmlformats.org/officeDocument/2006/relationships/hyperlink" Target="https://www.toyotabharat.com"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hdl.handle.net/10419/169089" TargetMode="External"/><Relationship Id="rId28" Type="http://schemas.openxmlformats.org/officeDocument/2006/relationships/theme" Target="theme/theme1.xml"/><Relationship Id="rId10" Type="http://schemas.openxmlformats.org/officeDocument/2006/relationships/hyperlink" Target="file:///C:\Users\HP\OneDrive\Documents\ACADEMIC%20ASST\SEP%202024\ROLE%20OF%20INVENTORY%20MANAGEMENT%20ACTIVITIES%20WITHIN%20ROBOTIC%20PROCESS%20AUTOMATION%20ACROSS%20SUPPLY%20CHAIN%20OPERATIONS%20IN%20GUJARAT.docx" TargetMode="External"/><Relationship Id="rId19" Type="http://schemas.openxmlformats.org/officeDocument/2006/relationships/hyperlink" Target="https://economictimes.indiatimes.com/industry/auto/auto-news/indias-passenger-vehicle-sales-hit-record-high-at-43-lakh-units-in-fy25-utility-vehicles-driver-of-growth-siam/articleshow/120301623.cms?utm_source=chatgpt.com" TargetMode="External"/><Relationship Id="rId4" Type="http://schemas.openxmlformats.org/officeDocument/2006/relationships/settings" Target="settings.xml"/><Relationship Id="rId9" Type="http://schemas.openxmlformats.org/officeDocument/2006/relationships/hyperlink" Target="file:///C:\Users\HP\OneDrive\Documents\ACADEMIC%20ASST\SEP%202024\ROLE%20OF%20INVENTORY%20MANAGEMENT%20ACTIVITIES%20WITHIN%20ROBOTIC%20PROCESS%20AUTOMATION%20ACROSS%20SUPPLY%20CHAIN%20OPERATIONS%20IN%20GUJARAT.docx" TargetMode="External"/><Relationship Id="rId14" Type="http://schemas.openxmlformats.org/officeDocument/2006/relationships/chart" Target="charts/chart1.xml"/><Relationship Id="rId22" Type="http://schemas.openxmlformats.org/officeDocument/2006/relationships/hyperlink" Target="https://www.autocarpro.in/feature/india-surges-into-toyotas-global-top-4-%E2%80%93-whats-driving-the-jump-125203"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sz="1400" b="0" i="0" u="none" strike="noStrike" cap="none" spc="0" baseline="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Toyota Motor Corporation Market Capitalization </a:t>
            </a:r>
            <a:endParaRPr lang="en-IN" sz="1400"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endParaRPr>
          </a:p>
        </c:rich>
      </c:tx>
      <c:layout>
        <c:manualLayout>
          <c:xMode val="edge"/>
          <c:yMode val="edge"/>
          <c:x val="0.13966444298629341"/>
          <c:y val="3.174603174603174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Sheet1!$B$1</c:f>
              <c:strCache>
                <c:ptCount val="1"/>
                <c:pt idx="0">
                  <c:v>Market Cap (US$ bn)</c:v>
                </c:pt>
              </c:strCache>
            </c:strRef>
          </c:tx>
          <c:spPr>
            <a:solidFill>
              <a:schemeClr val="accent5">
                <a:lumMod val="75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Sheet1!$A$2:$A$8</c:f>
              <c:numCache>
                <c:formatCode>General</c:formatCode>
                <c:ptCount val="7"/>
                <c:pt idx="0">
                  <c:v>2019</c:v>
                </c:pt>
                <c:pt idx="1">
                  <c:v>2020</c:v>
                </c:pt>
                <c:pt idx="2">
                  <c:v>2021</c:v>
                </c:pt>
                <c:pt idx="3">
                  <c:v>2022</c:v>
                </c:pt>
                <c:pt idx="4">
                  <c:v>2023</c:v>
                </c:pt>
                <c:pt idx="5">
                  <c:v>2024</c:v>
                </c:pt>
                <c:pt idx="6">
                  <c:v>2025</c:v>
                </c:pt>
              </c:numCache>
            </c:numRef>
          </c:cat>
          <c:val>
            <c:numRef>
              <c:f>Sheet1!$B$2:$B$8</c:f>
              <c:numCache>
                <c:formatCode>General</c:formatCode>
                <c:ptCount val="7"/>
                <c:pt idx="0">
                  <c:v>191</c:v>
                </c:pt>
                <c:pt idx="1">
                  <c:v>197</c:v>
                </c:pt>
                <c:pt idx="2">
                  <c:v>254</c:v>
                </c:pt>
                <c:pt idx="3">
                  <c:v>252</c:v>
                </c:pt>
                <c:pt idx="4">
                  <c:v>192</c:v>
                </c:pt>
                <c:pt idx="5">
                  <c:v>338</c:v>
                </c:pt>
                <c:pt idx="6">
                  <c:v>228</c:v>
                </c:pt>
              </c:numCache>
            </c:numRef>
          </c:val>
          <c:extLst>
            <c:ext xmlns:c16="http://schemas.microsoft.com/office/drawing/2014/chart" uri="{C3380CC4-5D6E-409C-BE32-E72D297353CC}">
              <c16:uniqueId val="{00000000-4BAB-4268-8129-31864DE797CC}"/>
            </c:ext>
          </c:extLst>
        </c:ser>
        <c:ser>
          <c:idx val="1"/>
          <c:order val="1"/>
          <c:tx>
            <c:strRef>
              <c:f>Sheet1!$C$1</c:f>
              <c:strCache>
                <c:ptCount val="1"/>
                <c:pt idx="0">
                  <c:v>Column1</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Sheet1!$A$2:$A$8</c:f>
              <c:numCache>
                <c:formatCode>General</c:formatCode>
                <c:ptCount val="7"/>
                <c:pt idx="0">
                  <c:v>2019</c:v>
                </c:pt>
                <c:pt idx="1">
                  <c:v>2020</c:v>
                </c:pt>
                <c:pt idx="2">
                  <c:v>2021</c:v>
                </c:pt>
                <c:pt idx="3">
                  <c:v>2022</c:v>
                </c:pt>
                <c:pt idx="4">
                  <c:v>2023</c:v>
                </c:pt>
                <c:pt idx="5">
                  <c:v>2024</c:v>
                </c:pt>
                <c:pt idx="6">
                  <c:v>2025</c:v>
                </c:pt>
              </c:numCache>
            </c:numRef>
          </c:cat>
          <c:val>
            <c:numRef>
              <c:f>Sheet1!$C$2:$C$8</c:f>
              <c:numCache>
                <c:formatCode>General</c:formatCode>
                <c:ptCount val="7"/>
              </c:numCache>
            </c:numRef>
          </c:val>
          <c:extLst>
            <c:ext xmlns:c16="http://schemas.microsoft.com/office/drawing/2014/chart" uri="{C3380CC4-5D6E-409C-BE32-E72D297353CC}">
              <c16:uniqueId val="{00000001-4BAB-4268-8129-31864DE797CC}"/>
            </c:ext>
          </c:extLst>
        </c:ser>
        <c:ser>
          <c:idx val="2"/>
          <c:order val="2"/>
          <c:tx>
            <c:strRef>
              <c:f>Sheet1!$D$1</c:f>
              <c:strCache>
                <c:ptCount val="1"/>
                <c:pt idx="0">
                  <c:v>Column2</c:v>
                </c:pt>
              </c:strCache>
            </c:strRef>
          </c:tx>
          <c:spPr>
            <a:gradFill rotWithShape="1">
              <a:gsLst>
                <a:gs pos="0">
                  <a:schemeClr val="accent2">
                    <a:tint val="65000"/>
                    <a:shade val="51000"/>
                    <a:satMod val="130000"/>
                  </a:schemeClr>
                </a:gs>
                <a:gs pos="80000">
                  <a:schemeClr val="accent2">
                    <a:tint val="65000"/>
                    <a:shade val="93000"/>
                    <a:satMod val="130000"/>
                  </a:schemeClr>
                </a:gs>
                <a:gs pos="100000">
                  <a:schemeClr val="accent2">
                    <a:tint val="6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Sheet1!$A$2:$A$8</c:f>
              <c:numCache>
                <c:formatCode>General</c:formatCode>
                <c:ptCount val="7"/>
                <c:pt idx="0">
                  <c:v>2019</c:v>
                </c:pt>
                <c:pt idx="1">
                  <c:v>2020</c:v>
                </c:pt>
                <c:pt idx="2">
                  <c:v>2021</c:v>
                </c:pt>
                <c:pt idx="3">
                  <c:v>2022</c:v>
                </c:pt>
                <c:pt idx="4">
                  <c:v>2023</c:v>
                </c:pt>
                <c:pt idx="5">
                  <c:v>2024</c:v>
                </c:pt>
                <c:pt idx="6">
                  <c:v>2025</c:v>
                </c:pt>
              </c:numCache>
            </c:numRef>
          </c:cat>
          <c:val>
            <c:numRef>
              <c:f>Sheet1!$D$2:$D$8</c:f>
              <c:numCache>
                <c:formatCode>General</c:formatCode>
                <c:ptCount val="7"/>
              </c:numCache>
            </c:numRef>
          </c:val>
          <c:extLst>
            <c:ext xmlns:c16="http://schemas.microsoft.com/office/drawing/2014/chart" uri="{C3380CC4-5D6E-409C-BE32-E72D297353CC}">
              <c16:uniqueId val="{00000002-4BAB-4268-8129-31864DE797CC}"/>
            </c:ext>
          </c:extLst>
        </c:ser>
        <c:dLbls>
          <c:showLegendKey val="0"/>
          <c:showVal val="0"/>
          <c:showCatName val="0"/>
          <c:showSerName val="0"/>
          <c:showPercent val="0"/>
          <c:showBubbleSize val="0"/>
        </c:dLbls>
        <c:gapWidth val="57"/>
        <c:overlap val="88"/>
        <c:axId val="50303935"/>
        <c:axId val="1637495519"/>
      </c:barChart>
      <c:catAx>
        <c:axId val="5030393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495519"/>
        <c:crosses val="autoZero"/>
        <c:auto val="1"/>
        <c:lblAlgn val="ctr"/>
        <c:lblOffset val="100"/>
        <c:noMultiLvlLbl val="0"/>
      </c:catAx>
      <c:valAx>
        <c:axId val="1637495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03935"/>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ysClr val="windowText" lastClr="000000">
                    <a:lumMod val="65000"/>
                    <a:lumOff val="35000"/>
                  </a:sysClr>
                </a:solidFill>
                <a:latin typeface="+mn-lt"/>
                <a:ea typeface="+mn-ea"/>
                <a:cs typeface="+mn-cs"/>
              </a:defRPr>
            </a:pPr>
            <a:r>
              <a:rPr lang="en-IN" sz="1400" b="1"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Toyota Kirloskar Motor – Domestic and Total Sales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Domestic Sales</c:v>
                </c:pt>
              </c:strCache>
            </c:strRef>
          </c:tx>
          <c:spPr>
            <a:ln w="34925" cap="rnd">
              <a:solidFill>
                <a:schemeClr val="accent1"/>
              </a:solidFill>
              <a:round/>
            </a:ln>
            <a:effectLst>
              <a:outerShdw blurRad="40000" dist="23000" dir="5400000" rotWithShape="0">
                <a:srgbClr val="000000">
                  <a:alpha val="35000"/>
                </a:srgbClr>
              </a:outerShdw>
            </a:effectLst>
          </c:spPr>
          <c:marker>
            <c:symbol val="none"/>
          </c:marker>
          <c:cat>
            <c:numRef>
              <c:f>Sheet1!$A$2:$A$7</c:f>
              <c:numCache>
                <c:formatCode>mmm\-yy</c:formatCode>
                <c:ptCount val="6"/>
                <c:pt idx="0">
                  <c:v>41699</c:v>
                </c:pt>
                <c:pt idx="1">
                  <c:v>42064</c:v>
                </c:pt>
                <c:pt idx="2">
                  <c:v>43101</c:v>
                </c:pt>
                <c:pt idx="3">
                  <c:v>45170</c:v>
                </c:pt>
                <c:pt idx="4">
                  <c:v>45870</c:v>
                </c:pt>
                <c:pt idx="5">
                  <c:v>45931</c:v>
                </c:pt>
              </c:numCache>
            </c:numRef>
          </c:cat>
          <c:val>
            <c:numRef>
              <c:f>Sheet1!$B$2:$B$7</c:f>
              <c:numCache>
                <c:formatCode>#,##0</c:formatCode>
                <c:ptCount val="6"/>
                <c:pt idx="0">
                  <c:v>8206</c:v>
                </c:pt>
                <c:pt idx="1">
                  <c:v>13333</c:v>
                </c:pt>
                <c:pt idx="2">
                  <c:v>12351</c:v>
                </c:pt>
                <c:pt idx="3">
                  <c:v>22168</c:v>
                </c:pt>
                <c:pt idx="4">
                  <c:v>29302</c:v>
                </c:pt>
                <c:pt idx="5">
                  <c:v>40257</c:v>
                </c:pt>
              </c:numCache>
            </c:numRef>
          </c:val>
          <c:smooth val="0"/>
          <c:extLst>
            <c:ext xmlns:c16="http://schemas.microsoft.com/office/drawing/2014/chart" uri="{C3380CC4-5D6E-409C-BE32-E72D297353CC}">
              <c16:uniqueId val="{00000000-9C36-4BF1-A8A1-A8F329E6AD10}"/>
            </c:ext>
          </c:extLst>
        </c:ser>
        <c:ser>
          <c:idx val="1"/>
          <c:order val="1"/>
          <c:tx>
            <c:strRef>
              <c:f>Sheet1!$C$1</c:f>
              <c:strCache>
                <c:ptCount val="1"/>
                <c:pt idx="0">
                  <c:v>Total Sales (Domestic + Export)</c:v>
                </c:pt>
              </c:strCache>
            </c:strRef>
          </c:tx>
          <c:spPr>
            <a:ln w="34925" cap="rnd">
              <a:solidFill>
                <a:schemeClr val="accent2"/>
              </a:solidFill>
              <a:round/>
            </a:ln>
            <a:effectLst>
              <a:outerShdw blurRad="40000" dist="23000" dir="5400000" rotWithShape="0">
                <a:srgbClr val="000000">
                  <a:alpha val="35000"/>
                </a:srgbClr>
              </a:outerShdw>
            </a:effectLst>
          </c:spPr>
          <c:marker>
            <c:symbol val="none"/>
          </c:marker>
          <c:cat>
            <c:numRef>
              <c:f>Sheet1!$A$2:$A$7</c:f>
              <c:numCache>
                <c:formatCode>mmm\-yy</c:formatCode>
                <c:ptCount val="6"/>
                <c:pt idx="0">
                  <c:v>41699</c:v>
                </c:pt>
                <c:pt idx="1">
                  <c:v>42064</c:v>
                </c:pt>
                <c:pt idx="2">
                  <c:v>43101</c:v>
                </c:pt>
                <c:pt idx="3">
                  <c:v>45170</c:v>
                </c:pt>
                <c:pt idx="4">
                  <c:v>45870</c:v>
                </c:pt>
                <c:pt idx="5">
                  <c:v>45931</c:v>
                </c:pt>
              </c:numCache>
            </c:numRef>
          </c:cat>
          <c:val>
            <c:numRef>
              <c:f>Sheet1!$C$2:$C$7</c:f>
              <c:numCache>
                <c:formatCode>#,##0</c:formatCode>
                <c:ptCount val="6"/>
                <c:pt idx="0">
                  <c:v>9018</c:v>
                </c:pt>
                <c:pt idx="1">
                  <c:v>14623</c:v>
                </c:pt>
                <c:pt idx="2">
                  <c:v>13239</c:v>
                </c:pt>
                <c:pt idx="3">
                  <c:v>23590</c:v>
                </c:pt>
                <c:pt idx="4">
                  <c:v>34236</c:v>
                </c:pt>
                <c:pt idx="5">
                  <c:v>42892</c:v>
                </c:pt>
              </c:numCache>
            </c:numRef>
          </c:val>
          <c:smooth val="0"/>
          <c:extLst>
            <c:ext xmlns:c16="http://schemas.microsoft.com/office/drawing/2014/chart" uri="{C3380CC4-5D6E-409C-BE32-E72D297353CC}">
              <c16:uniqueId val="{00000001-9C36-4BF1-A8A1-A8F329E6AD10}"/>
            </c:ext>
          </c:extLst>
        </c:ser>
        <c:ser>
          <c:idx val="2"/>
          <c:order val="2"/>
          <c:tx>
            <c:strRef>
              <c:f>Sheet1!$D$1</c:f>
              <c:strCache>
                <c:ptCount val="1"/>
                <c:pt idx="0">
                  <c:v>Column1</c:v>
                </c:pt>
              </c:strCache>
            </c:strRef>
          </c:tx>
          <c:spPr>
            <a:ln w="34925" cap="rnd">
              <a:solidFill>
                <a:schemeClr val="accent3"/>
              </a:solidFill>
              <a:round/>
            </a:ln>
            <a:effectLst>
              <a:outerShdw blurRad="40000" dist="23000" dir="5400000" rotWithShape="0">
                <a:srgbClr val="000000">
                  <a:alpha val="35000"/>
                </a:srgbClr>
              </a:outerShdw>
            </a:effectLst>
          </c:spPr>
          <c:marker>
            <c:symbol val="none"/>
          </c:marker>
          <c:cat>
            <c:numRef>
              <c:f>Sheet1!$A$2:$A$7</c:f>
              <c:numCache>
                <c:formatCode>mmm\-yy</c:formatCode>
                <c:ptCount val="6"/>
                <c:pt idx="0">
                  <c:v>41699</c:v>
                </c:pt>
                <c:pt idx="1">
                  <c:v>42064</c:v>
                </c:pt>
                <c:pt idx="2">
                  <c:v>43101</c:v>
                </c:pt>
                <c:pt idx="3">
                  <c:v>45170</c:v>
                </c:pt>
                <c:pt idx="4">
                  <c:v>45870</c:v>
                </c:pt>
                <c:pt idx="5">
                  <c:v>45931</c:v>
                </c:pt>
              </c:numCache>
            </c:numRef>
          </c:cat>
          <c:val>
            <c:numRef>
              <c:f>Sheet1!$D$2:$D$7</c:f>
              <c:numCache>
                <c:formatCode>General</c:formatCode>
                <c:ptCount val="6"/>
              </c:numCache>
            </c:numRef>
          </c:val>
          <c:smooth val="0"/>
          <c:extLst>
            <c:ext xmlns:c16="http://schemas.microsoft.com/office/drawing/2014/chart" uri="{C3380CC4-5D6E-409C-BE32-E72D297353CC}">
              <c16:uniqueId val="{00000002-9C36-4BF1-A8A1-A8F329E6AD10}"/>
            </c:ext>
          </c:extLst>
        </c:ser>
        <c:dLbls>
          <c:showLegendKey val="0"/>
          <c:showVal val="0"/>
          <c:showCatName val="0"/>
          <c:showSerName val="0"/>
          <c:showPercent val="0"/>
          <c:showBubbleSize val="0"/>
        </c:dLbls>
        <c:smooth val="0"/>
        <c:axId val="725632815"/>
        <c:axId val="1735159119"/>
      </c:lineChart>
      <c:dateAx>
        <c:axId val="725632815"/>
        <c:scaling>
          <c:orientation val="minMax"/>
        </c:scaling>
        <c:delete val="0"/>
        <c:axPos val="b"/>
        <c:numFmt formatCode="mmm\-yy"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159119"/>
        <c:crosses val="autoZero"/>
        <c:auto val="1"/>
        <c:lblOffset val="100"/>
        <c:baseTimeUnit val="months"/>
      </c:dateAx>
      <c:valAx>
        <c:axId val="17351591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632815"/>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sz="1200" b="0" i="0" u="none" strike="noStrike" cap="none" spc="0" baseline="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Toyota India PV Sales (units)</a:t>
            </a:r>
            <a:endParaRPr lang="en-IN" sz="1200"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IN"/>
        </a:p>
      </c:txPr>
    </c:title>
    <c:autoTitleDeleted val="0"/>
    <c:plotArea>
      <c:layout>
        <c:manualLayout>
          <c:layoutTarget val="inner"/>
          <c:xMode val="edge"/>
          <c:yMode val="edge"/>
          <c:x val="9.6317621755613883E-2"/>
          <c:y val="0.16305555555555556"/>
          <c:w val="0.84655274861475649"/>
          <c:h val="0.65411354830646173"/>
        </c:manualLayout>
      </c:layout>
      <c:barChart>
        <c:barDir val="bar"/>
        <c:grouping val="clustered"/>
        <c:varyColors val="0"/>
        <c:ser>
          <c:idx val="0"/>
          <c:order val="0"/>
          <c:tx>
            <c:strRef>
              <c:f>Sheet1!$B$1</c:f>
              <c:strCache>
                <c:ptCount val="1"/>
                <c:pt idx="0">
                  <c:v>Toyota India PV Sales (units)</c:v>
                </c:pt>
              </c:strCache>
            </c:strRef>
          </c:tx>
          <c:spPr>
            <a:solidFill>
              <a:schemeClr val="accent3">
                <a:lumMod val="50000"/>
              </a:schemeClr>
            </a:solidFill>
            <a:ln>
              <a:noFill/>
            </a:ln>
            <a:effectLst>
              <a:outerShdw blurRad="40000" dist="23000" dir="5400000" rotWithShape="0">
                <a:srgbClr val="000000">
                  <a:alpha val="35000"/>
                </a:srgbClr>
              </a:outerShdw>
            </a:effectLst>
          </c:spPr>
          <c:invertIfNegative val="0"/>
          <c:cat>
            <c:strRef>
              <c:f>Sheet1!$A$2:$A$5</c:f>
              <c:strCache>
                <c:ptCount val="2"/>
                <c:pt idx="0">
                  <c:v>FY2024</c:v>
                </c:pt>
                <c:pt idx="1">
                  <c:v>FY2025</c:v>
                </c:pt>
              </c:strCache>
            </c:strRef>
          </c:cat>
          <c:val>
            <c:numRef>
              <c:f>Sheet1!$B$2:$B$5</c:f>
              <c:numCache>
                <c:formatCode>#,##0</c:formatCode>
                <c:ptCount val="4"/>
                <c:pt idx="0">
                  <c:v>245676</c:v>
                </c:pt>
                <c:pt idx="1">
                  <c:v>309334</c:v>
                </c:pt>
              </c:numCache>
            </c:numRef>
          </c:val>
          <c:extLst>
            <c:ext xmlns:c16="http://schemas.microsoft.com/office/drawing/2014/chart" uri="{C3380CC4-5D6E-409C-BE32-E72D297353CC}">
              <c16:uniqueId val="{00000000-3ED4-4B5A-A5A3-51561BE0DF9A}"/>
            </c:ext>
          </c:extLst>
        </c:ser>
        <c:ser>
          <c:idx val="1"/>
          <c:order val="1"/>
          <c:tx>
            <c:strRef>
              <c:f>Sheet1!$C$1</c:f>
              <c:strCache>
                <c:ptCount val="1"/>
                <c:pt idx="0">
                  <c:v>Column1</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invertIfNegative val="0"/>
          <c:cat>
            <c:strRef>
              <c:f>Sheet1!$A$2:$A$5</c:f>
              <c:strCache>
                <c:ptCount val="2"/>
                <c:pt idx="0">
                  <c:v>FY2024</c:v>
                </c:pt>
                <c:pt idx="1">
                  <c:v>FY2025</c:v>
                </c:pt>
              </c:strCache>
            </c:strRef>
          </c:cat>
          <c:val>
            <c:numRef>
              <c:f>Sheet1!$C$2:$C$5</c:f>
              <c:numCache>
                <c:formatCode>General</c:formatCode>
                <c:ptCount val="4"/>
              </c:numCache>
            </c:numRef>
          </c:val>
          <c:extLst>
            <c:ext xmlns:c16="http://schemas.microsoft.com/office/drawing/2014/chart" uri="{C3380CC4-5D6E-409C-BE32-E72D297353CC}">
              <c16:uniqueId val="{00000001-3ED4-4B5A-A5A3-51561BE0DF9A}"/>
            </c:ext>
          </c:extLst>
        </c:ser>
        <c:ser>
          <c:idx val="2"/>
          <c:order val="2"/>
          <c:tx>
            <c:strRef>
              <c:f>Sheet1!$D$1</c:f>
              <c:strCache>
                <c:ptCount val="1"/>
                <c:pt idx="0">
                  <c:v>Column2</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c:spPr>
          <c:invertIfNegative val="0"/>
          <c:cat>
            <c:strRef>
              <c:f>Sheet1!$A$2:$A$5</c:f>
              <c:strCache>
                <c:ptCount val="2"/>
                <c:pt idx="0">
                  <c:v>FY2024</c:v>
                </c:pt>
                <c:pt idx="1">
                  <c:v>FY2025</c:v>
                </c:pt>
              </c:strCache>
            </c:strRef>
          </c:cat>
          <c:val>
            <c:numRef>
              <c:f>Sheet1!$D$2:$D$5</c:f>
              <c:numCache>
                <c:formatCode>General</c:formatCode>
                <c:ptCount val="4"/>
              </c:numCache>
            </c:numRef>
          </c:val>
          <c:extLst>
            <c:ext xmlns:c16="http://schemas.microsoft.com/office/drawing/2014/chart" uri="{C3380CC4-5D6E-409C-BE32-E72D297353CC}">
              <c16:uniqueId val="{00000002-3ED4-4B5A-A5A3-51561BE0DF9A}"/>
            </c:ext>
          </c:extLst>
        </c:ser>
        <c:dLbls>
          <c:showLegendKey val="0"/>
          <c:showVal val="0"/>
          <c:showCatName val="0"/>
          <c:showSerName val="0"/>
          <c:showPercent val="0"/>
          <c:showBubbleSize val="0"/>
        </c:dLbls>
        <c:gapWidth val="100"/>
        <c:axId val="1255265968"/>
        <c:axId val="1707001680"/>
      </c:barChart>
      <c:catAx>
        <c:axId val="125526596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07001680"/>
        <c:crosses val="autoZero"/>
        <c:auto val="1"/>
        <c:lblAlgn val="ctr"/>
        <c:lblOffset val="100"/>
        <c:noMultiLvlLbl val="0"/>
      </c:catAx>
      <c:valAx>
        <c:axId val="1707001680"/>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crossAx val="1255265968"/>
        <c:crosses val="autoZero"/>
        <c:crossBetween val="between"/>
      </c:valAx>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E1775-7B20-49C6-875E-98941BAF0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30</Pages>
  <Words>7550</Words>
  <Characters>43036</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vedika</dc:creator>
  <cp:keywords/>
  <dc:description/>
  <cp:lastModifiedBy>vedika</cp:lastModifiedBy>
  <cp:revision>32</cp:revision>
  <dcterms:created xsi:type="dcterms:W3CDTF">2025-03-19T14:11:00Z</dcterms:created>
  <dcterms:modified xsi:type="dcterms:W3CDTF">2025-12-15T01:23:00Z</dcterms:modified>
</cp:coreProperties>
</file>