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EDC89" w14:textId="77777777" w:rsidR="004469F4" w:rsidRDefault="004469F4" w:rsidP="004469F4">
      <w:pPr>
        <w:spacing w:before="400" w:line="360" w:lineRule="auto"/>
        <w:jc w:val="center"/>
        <w:rPr>
          <w:rFonts w:ascii="Arial" w:eastAsia="Arial" w:hAnsi="Arial" w:cs="Arial"/>
          <w:b/>
          <w:bCs/>
        </w:rPr>
      </w:pPr>
    </w:p>
    <w:p w14:paraId="39899B32" w14:textId="77777777" w:rsidR="004469F4" w:rsidRDefault="004469F4" w:rsidP="004469F4">
      <w:pPr>
        <w:spacing w:before="400" w:line="360" w:lineRule="auto"/>
        <w:jc w:val="center"/>
        <w:rPr>
          <w:rFonts w:ascii="Arial" w:eastAsia="Arial" w:hAnsi="Arial" w:cs="Arial"/>
          <w:b/>
          <w:bCs/>
        </w:rPr>
      </w:pPr>
    </w:p>
    <w:p w14:paraId="54CC075B" w14:textId="1CDF31E3" w:rsidR="004469F4" w:rsidRPr="004469F4" w:rsidRDefault="004469F4" w:rsidP="004469F4">
      <w:pPr>
        <w:spacing w:before="400" w:line="360" w:lineRule="auto"/>
        <w:jc w:val="center"/>
        <w:rPr>
          <w:rFonts w:ascii="Arial" w:eastAsia="Arial" w:hAnsi="Arial" w:cs="Arial"/>
          <w:b/>
          <w:bCs/>
        </w:rPr>
      </w:pPr>
      <w:r w:rsidRPr="004469F4">
        <w:rPr>
          <w:rFonts w:ascii="Arial" w:eastAsia="Arial" w:hAnsi="Arial" w:cs="Arial"/>
          <w:b/>
          <w:bCs/>
        </w:rPr>
        <w:t>A CRITICAL EVALUATION OF PERSON-CENTRED CARE AND PARTNERSHIP WORKING IN LEARNING DISABILITY SERVICES</w:t>
      </w:r>
    </w:p>
    <w:p w14:paraId="7EB58EA1" w14:textId="1F7C8508" w:rsidR="004469F4" w:rsidRPr="004469F4" w:rsidRDefault="004469F4" w:rsidP="004469F4">
      <w:pPr>
        <w:spacing w:before="400" w:line="360" w:lineRule="auto"/>
        <w:jc w:val="center"/>
        <w:rPr>
          <w:rFonts w:ascii="Arial" w:eastAsia="Arial" w:hAnsi="Arial" w:cs="Arial"/>
          <w:b/>
          <w:bCs/>
        </w:rPr>
      </w:pPr>
      <w:r w:rsidRPr="004469F4">
        <w:rPr>
          <w:rFonts w:ascii="Arial" w:eastAsia="Arial" w:hAnsi="Arial" w:cs="Arial"/>
          <w:b/>
          <w:bCs/>
        </w:rPr>
        <w:t>BY PASCALINE NONO AMAGNA</w:t>
      </w:r>
    </w:p>
    <w:p w14:paraId="51BD2478" w14:textId="7A4B52C1" w:rsidR="004469F4" w:rsidRPr="004469F4" w:rsidRDefault="004469F4" w:rsidP="004469F4">
      <w:pPr>
        <w:spacing w:before="400" w:line="360" w:lineRule="auto"/>
        <w:jc w:val="center"/>
        <w:rPr>
          <w:rFonts w:ascii="Arial" w:eastAsia="Arial" w:hAnsi="Arial" w:cs="Arial"/>
          <w:b/>
          <w:bCs/>
        </w:rPr>
      </w:pPr>
      <w:r w:rsidRPr="004469F4">
        <w:rPr>
          <w:rFonts w:ascii="Arial" w:eastAsia="Arial" w:hAnsi="Arial" w:cs="Arial"/>
          <w:b/>
          <w:bCs/>
        </w:rPr>
        <w:t>STUDENT:</w:t>
      </w:r>
      <w:r>
        <w:rPr>
          <w:rFonts w:ascii="Arial" w:eastAsia="Arial" w:hAnsi="Arial" w:cs="Arial"/>
          <w:b/>
          <w:bCs/>
        </w:rPr>
        <w:t xml:space="preserve"> 24247</w:t>
      </w:r>
      <w:r w:rsidR="0076624B">
        <w:rPr>
          <w:rFonts w:ascii="Arial" w:eastAsia="Arial" w:hAnsi="Arial" w:cs="Arial"/>
          <w:b/>
          <w:bCs/>
        </w:rPr>
        <w:t>9</w:t>
      </w:r>
      <w:r>
        <w:rPr>
          <w:rFonts w:ascii="Arial" w:eastAsia="Arial" w:hAnsi="Arial" w:cs="Arial"/>
          <w:b/>
          <w:bCs/>
        </w:rPr>
        <w:t>4</w:t>
      </w:r>
    </w:p>
    <w:p w14:paraId="7198CEF0" w14:textId="1504E051" w:rsidR="004469F4" w:rsidRPr="004469F4" w:rsidRDefault="004469F4" w:rsidP="004469F4">
      <w:pPr>
        <w:spacing w:before="120" w:after="120" w:line="360" w:lineRule="auto"/>
        <w:jc w:val="center"/>
        <w:rPr>
          <w:rFonts w:ascii="Arial" w:hAnsi="Arial" w:cs="Arial"/>
          <w:b/>
          <w:bCs/>
        </w:rPr>
      </w:pPr>
      <w:r w:rsidRPr="004469F4">
        <w:rPr>
          <w:rFonts w:ascii="Arial" w:eastAsia="Arial" w:hAnsi="Arial" w:cs="Arial"/>
          <w:b/>
          <w:bCs/>
        </w:rPr>
        <w:t xml:space="preserve">MODULE NAME: </w:t>
      </w:r>
      <w:r w:rsidRPr="004469F4">
        <w:rPr>
          <w:rFonts w:ascii="Arial" w:hAnsi="Arial" w:cs="Arial"/>
          <w:b/>
          <w:bCs/>
        </w:rPr>
        <w:t>PRINCIPLES OF HEALTH AND SOCIAL CARE PRACTICE</w:t>
      </w:r>
    </w:p>
    <w:p w14:paraId="377F567A" w14:textId="500269E1" w:rsidR="004469F4" w:rsidRPr="004469F4" w:rsidRDefault="004469F4" w:rsidP="004469F4">
      <w:pPr>
        <w:spacing w:before="120" w:after="120" w:line="360" w:lineRule="auto"/>
        <w:jc w:val="center"/>
        <w:rPr>
          <w:rFonts w:ascii="Arial" w:hAnsi="Arial" w:cs="Arial"/>
          <w:b/>
          <w:bCs/>
        </w:rPr>
      </w:pPr>
      <w:r w:rsidRPr="004469F4">
        <w:rPr>
          <w:rFonts w:ascii="Arial" w:hAnsi="Arial" w:cs="Arial"/>
          <w:b/>
          <w:bCs/>
        </w:rPr>
        <w:t>MODULE CODE: BMHP5016</w:t>
      </w:r>
    </w:p>
    <w:p w14:paraId="656F0A9B" w14:textId="29B7000F" w:rsidR="004469F4" w:rsidRPr="004469F4" w:rsidRDefault="004469F4" w:rsidP="004469F4">
      <w:pPr>
        <w:spacing w:before="120" w:after="120" w:line="360" w:lineRule="auto"/>
        <w:jc w:val="center"/>
        <w:rPr>
          <w:rFonts w:ascii="Arial" w:hAnsi="Arial" w:cs="Arial"/>
          <w:b/>
          <w:bCs/>
        </w:rPr>
      </w:pPr>
      <w:r w:rsidRPr="004469F4">
        <w:rPr>
          <w:rFonts w:ascii="Arial" w:hAnsi="Arial" w:cs="Arial"/>
          <w:b/>
          <w:bCs/>
        </w:rPr>
        <w:t>ASSIGNMENT TITLE: COMPONENT 2: WRITTEN ASSIGNMENT (REPORT)</w:t>
      </w:r>
    </w:p>
    <w:p w14:paraId="3429200F" w14:textId="2A117F16" w:rsidR="004469F4" w:rsidRPr="004469F4" w:rsidRDefault="004469F4" w:rsidP="004469F4">
      <w:pPr>
        <w:spacing w:before="120" w:after="120" w:line="360" w:lineRule="auto"/>
        <w:jc w:val="center"/>
        <w:rPr>
          <w:rFonts w:ascii="Arial" w:eastAsia="Arial" w:hAnsi="Arial" w:cs="Arial"/>
          <w:b/>
          <w:bCs/>
        </w:rPr>
      </w:pPr>
      <w:r w:rsidRPr="004469F4">
        <w:rPr>
          <w:rFonts w:ascii="Arial" w:hAnsi="Arial" w:cs="Arial"/>
          <w:b/>
          <w:bCs/>
        </w:rPr>
        <w:t xml:space="preserve">LECTURER: </w:t>
      </w:r>
      <w:r w:rsidRPr="004469F4">
        <w:rPr>
          <w:rFonts w:ascii="Arial" w:eastAsia="Arial" w:hAnsi="Arial" w:cs="Arial"/>
          <w:b/>
          <w:bCs/>
          <w:color w:val="000000" w:themeColor="text1"/>
        </w:rPr>
        <w:t>PARESE AHMED</w:t>
      </w:r>
    </w:p>
    <w:p w14:paraId="77DE4E4B" w14:textId="7E840EF3" w:rsidR="004469F4" w:rsidRPr="004469F4" w:rsidRDefault="004469F4" w:rsidP="004469F4">
      <w:pPr>
        <w:spacing w:before="120" w:after="120" w:line="360" w:lineRule="auto"/>
        <w:jc w:val="center"/>
        <w:rPr>
          <w:rFonts w:ascii="Arial" w:eastAsia="Arial" w:hAnsi="Arial" w:cs="Arial"/>
          <w:b/>
          <w:bCs/>
        </w:rPr>
      </w:pPr>
      <w:r w:rsidRPr="004469F4">
        <w:rPr>
          <w:rFonts w:ascii="Arial" w:eastAsia="Arial" w:hAnsi="Arial" w:cs="Arial"/>
          <w:b/>
          <w:bCs/>
        </w:rPr>
        <w:t>UNIVERSITY OF WALES</w:t>
      </w:r>
    </w:p>
    <w:p w14:paraId="140E7217" w14:textId="0C9E58AE" w:rsidR="004469F4" w:rsidRPr="004469F4" w:rsidRDefault="004469F4" w:rsidP="004469F4">
      <w:pPr>
        <w:spacing w:before="120" w:after="120" w:line="360" w:lineRule="auto"/>
        <w:jc w:val="center"/>
        <w:rPr>
          <w:rFonts w:ascii="Arial" w:eastAsia="Arial" w:hAnsi="Arial" w:cs="Arial"/>
          <w:b/>
          <w:bCs/>
        </w:rPr>
      </w:pPr>
      <w:r w:rsidRPr="004469F4">
        <w:rPr>
          <w:rFonts w:ascii="Arial" w:eastAsia="Arial" w:hAnsi="Arial" w:cs="Arial"/>
          <w:b/>
          <w:bCs/>
        </w:rPr>
        <w:t xml:space="preserve">SUBMISSION DATE: JULY </w:t>
      </w:r>
      <w:r w:rsidR="00B87C44">
        <w:rPr>
          <w:rFonts w:ascii="Arial" w:eastAsia="Arial" w:hAnsi="Arial" w:cs="Arial"/>
          <w:b/>
          <w:bCs/>
        </w:rPr>
        <w:t>29</w:t>
      </w:r>
      <w:r w:rsidRPr="004469F4">
        <w:rPr>
          <w:rFonts w:ascii="Arial" w:eastAsia="Arial" w:hAnsi="Arial" w:cs="Arial"/>
          <w:b/>
          <w:bCs/>
          <w:vertAlign w:val="superscript"/>
        </w:rPr>
        <w:t>TH</w:t>
      </w:r>
      <w:r w:rsidRPr="004469F4">
        <w:rPr>
          <w:rFonts w:ascii="Arial" w:eastAsia="Arial" w:hAnsi="Arial" w:cs="Arial"/>
          <w:b/>
          <w:bCs/>
        </w:rPr>
        <w:t>, 2026</w:t>
      </w:r>
    </w:p>
    <w:p w14:paraId="1242EBC2" w14:textId="4E660471" w:rsidR="004469F4" w:rsidRPr="004469F4" w:rsidRDefault="004469F4" w:rsidP="004469F4">
      <w:pPr>
        <w:spacing w:line="360" w:lineRule="auto"/>
        <w:jc w:val="center"/>
        <w:rPr>
          <w:rFonts w:ascii="Arial" w:eastAsia="Arial" w:hAnsi="Arial" w:cs="Arial"/>
          <w:b/>
          <w:bCs/>
        </w:rPr>
      </w:pPr>
      <w:r w:rsidRPr="004469F4">
        <w:rPr>
          <w:rFonts w:ascii="Arial" w:eastAsia="Arial" w:hAnsi="Arial" w:cs="Arial"/>
          <w:b/>
          <w:bCs/>
        </w:rPr>
        <w:br w:type="page"/>
      </w:r>
    </w:p>
    <w:p w14:paraId="074FA865" w14:textId="77777777" w:rsidR="004469F4" w:rsidRPr="004469F4" w:rsidRDefault="004469F4" w:rsidP="004469F4">
      <w:pPr>
        <w:spacing w:before="120" w:after="120" w:line="360" w:lineRule="auto"/>
        <w:jc w:val="both"/>
        <w:rPr>
          <w:rFonts w:ascii="Arial" w:eastAsia="Arial" w:hAnsi="Arial" w:cs="Arial"/>
        </w:rPr>
      </w:pPr>
    </w:p>
    <w:sdt>
      <w:sdtPr>
        <w:rPr>
          <w:rFonts w:ascii="Arial" w:eastAsiaTheme="minorHAnsi" w:hAnsi="Arial" w:cs="Arial"/>
          <w:color w:val="auto"/>
          <w:sz w:val="22"/>
          <w:szCs w:val="22"/>
          <w:lang w:val="en-GB"/>
        </w:rPr>
        <w:id w:val="-255675666"/>
        <w:docPartObj>
          <w:docPartGallery w:val="Table of Contents"/>
          <w:docPartUnique/>
        </w:docPartObj>
      </w:sdtPr>
      <w:sdtEndPr>
        <w:rPr>
          <w:b/>
          <w:bCs/>
          <w:noProof/>
        </w:rPr>
      </w:sdtEndPr>
      <w:sdtContent>
        <w:p w14:paraId="3DF3B3EF" w14:textId="5026B7B0" w:rsidR="004469F4" w:rsidRPr="004469F4" w:rsidRDefault="004469F4" w:rsidP="004469F4">
          <w:pPr>
            <w:pStyle w:val="TOCHeading"/>
            <w:spacing w:line="360" w:lineRule="auto"/>
            <w:jc w:val="both"/>
            <w:rPr>
              <w:rFonts w:ascii="Arial" w:hAnsi="Arial" w:cs="Arial"/>
              <w:sz w:val="22"/>
              <w:szCs w:val="22"/>
            </w:rPr>
          </w:pPr>
          <w:r w:rsidRPr="004469F4">
            <w:rPr>
              <w:rFonts w:ascii="Arial" w:hAnsi="Arial" w:cs="Arial"/>
              <w:sz w:val="22"/>
              <w:szCs w:val="22"/>
            </w:rPr>
            <w:t>Table of Contents</w:t>
          </w:r>
        </w:p>
        <w:p w14:paraId="68A8A645" w14:textId="640FA6E7" w:rsidR="004469F4" w:rsidRPr="004469F4" w:rsidRDefault="004469F4" w:rsidP="004469F4">
          <w:pPr>
            <w:pStyle w:val="TOC1"/>
            <w:tabs>
              <w:tab w:val="right" w:leader="dot" w:pos="9016"/>
            </w:tabs>
            <w:spacing w:line="360" w:lineRule="auto"/>
            <w:jc w:val="both"/>
            <w:rPr>
              <w:rFonts w:ascii="Arial" w:hAnsi="Arial" w:cs="Arial"/>
              <w:noProof/>
            </w:rPr>
          </w:pPr>
          <w:r w:rsidRPr="004469F4">
            <w:rPr>
              <w:rFonts w:ascii="Arial" w:hAnsi="Arial" w:cs="Arial"/>
            </w:rPr>
            <w:fldChar w:fldCharType="begin"/>
          </w:r>
          <w:r w:rsidRPr="004469F4">
            <w:rPr>
              <w:rFonts w:ascii="Arial" w:hAnsi="Arial" w:cs="Arial"/>
            </w:rPr>
            <w:instrText xml:space="preserve"> TOC \o "1-3" \h \z \u </w:instrText>
          </w:r>
          <w:r w:rsidRPr="004469F4">
            <w:rPr>
              <w:rFonts w:ascii="Arial" w:hAnsi="Arial" w:cs="Arial"/>
            </w:rPr>
            <w:fldChar w:fldCharType="separate"/>
          </w:r>
          <w:hyperlink w:anchor="_Toc236243833" w:history="1">
            <w:r w:rsidRPr="004469F4">
              <w:rPr>
                <w:rStyle w:val="Hyperlink"/>
                <w:rFonts w:ascii="Arial" w:hAnsi="Arial" w:cs="Arial"/>
                <w:b/>
                <w:bCs/>
                <w:noProof/>
              </w:rPr>
              <w:t>1.0 Introduction</w:t>
            </w:r>
            <w:r w:rsidRPr="004469F4">
              <w:rPr>
                <w:rFonts w:ascii="Arial" w:hAnsi="Arial" w:cs="Arial"/>
                <w:noProof/>
                <w:webHidden/>
              </w:rPr>
              <w:tab/>
            </w:r>
            <w:r w:rsidRPr="004469F4">
              <w:rPr>
                <w:rFonts w:ascii="Arial" w:hAnsi="Arial" w:cs="Arial"/>
                <w:noProof/>
                <w:webHidden/>
              </w:rPr>
              <w:fldChar w:fldCharType="begin"/>
            </w:r>
            <w:r w:rsidRPr="004469F4">
              <w:rPr>
                <w:rFonts w:ascii="Arial" w:hAnsi="Arial" w:cs="Arial"/>
                <w:noProof/>
                <w:webHidden/>
              </w:rPr>
              <w:instrText xml:space="preserve"> PAGEREF _Toc236243833 \h </w:instrText>
            </w:r>
            <w:r w:rsidRPr="004469F4">
              <w:rPr>
                <w:rFonts w:ascii="Arial" w:hAnsi="Arial" w:cs="Arial"/>
                <w:noProof/>
                <w:webHidden/>
              </w:rPr>
            </w:r>
            <w:r w:rsidRPr="004469F4">
              <w:rPr>
                <w:rFonts w:ascii="Arial" w:hAnsi="Arial" w:cs="Arial"/>
                <w:noProof/>
                <w:webHidden/>
              </w:rPr>
              <w:fldChar w:fldCharType="separate"/>
            </w:r>
            <w:r w:rsidRPr="004469F4">
              <w:rPr>
                <w:rFonts w:ascii="Arial" w:hAnsi="Arial" w:cs="Arial"/>
                <w:noProof/>
                <w:webHidden/>
              </w:rPr>
              <w:t>1</w:t>
            </w:r>
            <w:r w:rsidRPr="004469F4">
              <w:rPr>
                <w:rFonts w:ascii="Arial" w:hAnsi="Arial" w:cs="Arial"/>
                <w:noProof/>
                <w:webHidden/>
              </w:rPr>
              <w:fldChar w:fldCharType="end"/>
            </w:r>
          </w:hyperlink>
        </w:p>
        <w:p w14:paraId="28FF8580" w14:textId="1D31F4DD" w:rsidR="004469F4" w:rsidRPr="004469F4" w:rsidRDefault="00000000" w:rsidP="004469F4">
          <w:pPr>
            <w:pStyle w:val="TOC1"/>
            <w:tabs>
              <w:tab w:val="right" w:leader="dot" w:pos="9016"/>
            </w:tabs>
            <w:spacing w:line="360" w:lineRule="auto"/>
            <w:jc w:val="both"/>
            <w:rPr>
              <w:rFonts w:ascii="Arial" w:hAnsi="Arial" w:cs="Arial"/>
              <w:noProof/>
            </w:rPr>
          </w:pPr>
          <w:hyperlink w:anchor="_Toc236243834" w:history="1">
            <w:r w:rsidR="004469F4" w:rsidRPr="004469F4">
              <w:rPr>
                <w:rStyle w:val="Hyperlink"/>
                <w:rFonts w:ascii="Arial" w:hAnsi="Arial" w:cs="Arial"/>
                <w:b/>
                <w:bCs/>
                <w:noProof/>
              </w:rPr>
              <w:t>2.0 Person-Centred Care: Definition, Benefits and Limitations</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_Toc236243834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2</w:t>
            </w:r>
            <w:r w:rsidR="004469F4" w:rsidRPr="004469F4">
              <w:rPr>
                <w:rFonts w:ascii="Arial" w:hAnsi="Arial" w:cs="Arial"/>
                <w:noProof/>
                <w:webHidden/>
              </w:rPr>
              <w:fldChar w:fldCharType="end"/>
            </w:r>
          </w:hyperlink>
        </w:p>
        <w:p w14:paraId="6DB15092" w14:textId="3EB82289" w:rsidR="004469F4" w:rsidRPr="004469F4" w:rsidRDefault="00000000" w:rsidP="004469F4">
          <w:pPr>
            <w:pStyle w:val="TOC1"/>
            <w:tabs>
              <w:tab w:val="right" w:leader="dot" w:pos="9016"/>
            </w:tabs>
            <w:spacing w:line="360" w:lineRule="auto"/>
            <w:jc w:val="both"/>
            <w:rPr>
              <w:rFonts w:ascii="Arial" w:hAnsi="Arial" w:cs="Arial"/>
              <w:noProof/>
            </w:rPr>
          </w:pPr>
          <w:hyperlink w:anchor="_Toc236243835" w:history="1">
            <w:r w:rsidR="004469F4" w:rsidRPr="004469F4">
              <w:rPr>
                <w:rStyle w:val="Hyperlink"/>
                <w:rFonts w:ascii="Arial" w:hAnsi="Arial" w:cs="Arial"/>
                <w:b/>
                <w:bCs/>
                <w:noProof/>
              </w:rPr>
              <w:t>3.0 Theoretical Underpinning: O'Brien's Five Service Accomplishments</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_Toc236243835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2</w:t>
            </w:r>
            <w:r w:rsidR="004469F4" w:rsidRPr="004469F4">
              <w:rPr>
                <w:rFonts w:ascii="Arial" w:hAnsi="Arial" w:cs="Arial"/>
                <w:noProof/>
                <w:webHidden/>
              </w:rPr>
              <w:fldChar w:fldCharType="end"/>
            </w:r>
          </w:hyperlink>
        </w:p>
        <w:p w14:paraId="466CDF69" w14:textId="44C7EECC" w:rsidR="004469F4" w:rsidRPr="004469F4" w:rsidRDefault="00000000" w:rsidP="004469F4">
          <w:pPr>
            <w:pStyle w:val="TOC1"/>
            <w:tabs>
              <w:tab w:val="right" w:leader="dot" w:pos="9016"/>
            </w:tabs>
            <w:spacing w:line="360" w:lineRule="auto"/>
            <w:jc w:val="both"/>
            <w:rPr>
              <w:rFonts w:ascii="Arial" w:hAnsi="Arial" w:cs="Arial"/>
              <w:noProof/>
            </w:rPr>
          </w:pPr>
          <w:hyperlink w:anchor="_Toc236243836" w:history="1">
            <w:r w:rsidR="004469F4" w:rsidRPr="004469F4">
              <w:rPr>
                <w:rStyle w:val="Hyperlink"/>
                <w:rFonts w:ascii="Arial" w:hAnsi="Arial" w:cs="Arial"/>
                <w:b/>
                <w:bCs/>
                <w:noProof/>
              </w:rPr>
              <w:t>4.0 Ethical Fundamentals of Health and Social Care</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_Toc236243836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3</w:t>
            </w:r>
            <w:r w:rsidR="004469F4" w:rsidRPr="004469F4">
              <w:rPr>
                <w:rFonts w:ascii="Arial" w:hAnsi="Arial" w:cs="Arial"/>
                <w:noProof/>
                <w:webHidden/>
              </w:rPr>
              <w:fldChar w:fldCharType="end"/>
            </w:r>
          </w:hyperlink>
        </w:p>
        <w:p w14:paraId="59C3880C" w14:textId="65E9B41C" w:rsidR="004469F4" w:rsidRPr="004469F4" w:rsidRDefault="00000000" w:rsidP="004469F4">
          <w:pPr>
            <w:pStyle w:val="TOC1"/>
            <w:tabs>
              <w:tab w:val="right" w:leader="dot" w:pos="9016"/>
            </w:tabs>
            <w:spacing w:line="360" w:lineRule="auto"/>
            <w:jc w:val="both"/>
            <w:rPr>
              <w:rFonts w:ascii="Arial" w:hAnsi="Arial" w:cs="Arial"/>
              <w:noProof/>
            </w:rPr>
          </w:pPr>
          <w:hyperlink w:anchor="_Toc236243837" w:history="1">
            <w:r w:rsidR="004469F4" w:rsidRPr="004469F4">
              <w:rPr>
                <w:rStyle w:val="Hyperlink"/>
                <w:rFonts w:ascii="Arial" w:hAnsi="Arial" w:cs="Arial"/>
                <w:b/>
                <w:bCs/>
                <w:noProof/>
              </w:rPr>
              <w:t>5.0 Evaluation of Partnership Working</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_Toc236243837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4</w:t>
            </w:r>
            <w:r w:rsidR="004469F4" w:rsidRPr="004469F4">
              <w:rPr>
                <w:rFonts w:ascii="Arial" w:hAnsi="Arial" w:cs="Arial"/>
                <w:noProof/>
                <w:webHidden/>
              </w:rPr>
              <w:fldChar w:fldCharType="end"/>
            </w:r>
          </w:hyperlink>
        </w:p>
        <w:p w14:paraId="3D472A72" w14:textId="7C0DFB9D" w:rsidR="004469F4" w:rsidRPr="004469F4" w:rsidRDefault="00000000" w:rsidP="004469F4">
          <w:pPr>
            <w:pStyle w:val="TOC1"/>
            <w:tabs>
              <w:tab w:val="right" w:leader="dot" w:pos="9016"/>
            </w:tabs>
            <w:spacing w:line="360" w:lineRule="auto"/>
            <w:jc w:val="both"/>
            <w:rPr>
              <w:rFonts w:ascii="Arial" w:hAnsi="Arial" w:cs="Arial"/>
              <w:noProof/>
            </w:rPr>
          </w:pPr>
          <w:hyperlink w:anchor="_Toc236243838" w:history="1">
            <w:r w:rsidR="004469F4" w:rsidRPr="004469F4">
              <w:rPr>
                <w:rStyle w:val="Hyperlink"/>
                <w:rFonts w:ascii="Arial" w:hAnsi="Arial" w:cs="Arial"/>
                <w:b/>
                <w:bCs/>
                <w:noProof/>
              </w:rPr>
              <w:t>6.0 Application of Partnership Working in Practice: Supported Living Services</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_Toc236243838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4</w:t>
            </w:r>
            <w:r w:rsidR="004469F4" w:rsidRPr="004469F4">
              <w:rPr>
                <w:rFonts w:ascii="Arial" w:hAnsi="Arial" w:cs="Arial"/>
                <w:noProof/>
                <w:webHidden/>
              </w:rPr>
              <w:fldChar w:fldCharType="end"/>
            </w:r>
          </w:hyperlink>
        </w:p>
        <w:p w14:paraId="6E343B71" w14:textId="0532DD18" w:rsidR="004469F4" w:rsidRPr="004469F4" w:rsidRDefault="00000000" w:rsidP="004469F4">
          <w:pPr>
            <w:pStyle w:val="TOC1"/>
            <w:tabs>
              <w:tab w:val="right" w:leader="dot" w:pos="9016"/>
            </w:tabs>
            <w:spacing w:line="360" w:lineRule="auto"/>
            <w:jc w:val="both"/>
            <w:rPr>
              <w:rFonts w:ascii="Arial" w:hAnsi="Arial" w:cs="Arial"/>
              <w:noProof/>
            </w:rPr>
          </w:pPr>
          <w:hyperlink w:anchor="_Toc236243839" w:history="1">
            <w:r w:rsidR="004469F4" w:rsidRPr="004469F4">
              <w:rPr>
                <w:rStyle w:val="Hyperlink"/>
                <w:rFonts w:ascii="Arial" w:hAnsi="Arial" w:cs="Arial"/>
                <w:b/>
                <w:bCs/>
                <w:noProof/>
              </w:rPr>
              <w:t>7.0 Policy and Legislation</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_Toc236243839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5</w:t>
            </w:r>
            <w:r w:rsidR="004469F4" w:rsidRPr="004469F4">
              <w:rPr>
                <w:rFonts w:ascii="Arial" w:hAnsi="Arial" w:cs="Arial"/>
                <w:noProof/>
                <w:webHidden/>
              </w:rPr>
              <w:fldChar w:fldCharType="end"/>
            </w:r>
          </w:hyperlink>
        </w:p>
        <w:p w14:paraId="64D94AB2" w14:textId="56AA9C7A" w:rsidR="004469F4" w:rsidRPr="004469F4" w:rsidRDefault="00000000" w:rsidP="004469F4">
          <w:pPr>
            <w:pStyle w:val="TOC1"/>
            <w:tabs>
              <w:tab w:val="right" w:leader="dot" w:pos="9016"/>
            </w:tabs>
            <w:spacing w:line="360" w:lineRule="auto"/>
            <w:jc w:val="both"/>
            <w:rPr>
              <w:rFonts w:ascii="Arial" w:hAnsi="Arial" w:cs="Arial"/>
              <w:noProof/>
            </w:rPr>
          </w:pPr>
          <w:hyperlink w:anchor="_Toc236243840" w:history="1">
            <w:r w:rsidR="004469F4" w:rsidRPr="004469F4">
              <w:rPr>
                <w:rStyle w:val="Hyperlink"/>
                <w:rFonts w:ascii="Arial" w:hAnsi="Arial" w:cs="Arial"/>
                <w:b/>
                <w:bCs/>
                <w:noProof/>
              </w:rPr>
              <w:t>8.0 Recommendation for Future Development</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_Toc236243840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5</w:t>
            </w:r>
            <w:r w:rsidR="004469F4" w:rsidRPr="004469F4">
              <w:rPr>
                <w:rFonts w:ascii="Arial" w:hAnsi="Arial" w:cs="Arial"/>
                <w:noProof/>
                <w:webHidden/>
              </w:rPr>
              <w:fldChar w:fldCharType="end"/>
            </w:r>
          </w:hyperlink>
        </w:p>
        <w:p w14:paraId="7F13772F" w14:textId="427274DA" w:rsidR="004469F4" w:rsidRPr="004469F4" w:rsidRDefault="00000000" w:rsidP="004469F4">
          <w:pPr>
            <w:pStyle w:val="TOC2"/>
            <w:tabs>
              <w:tab w:val="right" w:leader="dot" w:pos="9016"/>
            </w:tabs>
            <w:spacing w:line="360" w:lineRule="auto"/>
            <w:jc w:val="both"/>
            <w:rPr>
              <w:rFonts w:ascii="Arial" w:hAnsi="Arial" w:cs="Arial"/>
              <w:noProof/>
            </w:rPr>
          </w:pPr>
          <w:hyperlink w:anchor="_Toc236243841" w:history="1">
            <w:r w:rsidR="004469F4" w:rsidRPr="004469F4">
              <w:rPr>
                <w:rStyle w:val="Hyperlink"/>
                <w:rFonts w:ascii="Arial" w:hAnsi="Arial" w:cs="Arial"/>
                <w:b/>
                <w:bCs/>
                <w:noProof/>
              </w:rPr>
              <w:t>8.1 Communication tools that are accessible and co-produced</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_Toc236243841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5</w:t>
            </w:r>
            <w:r w:rsidR="004469F4" w:rsidRPr="004469F4">
              <w:rPr>
                <w:rFonts w:ascii="Arial" w:hAnsi="Arial" w:cs="Arial"/>
                <w:noProof/>
                <w:webHidden/>
              </w:rPr>
              <w:fldChar w:fldCharType="end"/>
            </w:r>
          </w:hyperlink>
        </w:p>
        <w:p w14:paraId="28D05530" w14:textId="52554790" w:rsidR="004469F4" w:rsidRPr="004469F4" w:rsidRDefault="00000000" w:rsidP="004469F4">
          <w:pPr>
            <w:pStyle w:val="TOC2"/>
            <w:tabs>
              <w:tab w:val="right" w:leader="dot" w:pos="9016"/>
            </w:tabs>
            <w:spacing w:line="360" w:lineRule="auto"/>
            <w:jc w:val="both"/>
            <w:rPr>
              <w:rFonts w:ascii="Arial" w:hAnsi="Arial" w:cs="Arial"/>
              <w:noProof/>
            </w:rPr>
          </w:pPr>
          <w:hyperlink w:anchor="_Toc236243842" w:history="1">
            <w:r w:rsidR="004469F4" w:rsidRPr="004469F4">
              <w:rPr>
                <w:rStyle w:val="Hyperlink"/>
                <w:rFonts w:ascii="Arial" w:hAnsi="Arial" w:cs="Arial"/>
                <w:b/>
                <w:bCs/>
                <w:noProof/>
              </w:rPr>
              <w:t>8.2 Formalisation of Self-Advocacy in Partnership Structures</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_Toc236243842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6</w:t>
            </w:r>
            <w:r w:rsidR="004469F4" w:rsidRPr="004469F4">
              <w:rPr>
                <w:rFonts w:ascii="Arial" w:hAnsi="Arial" w:cs="Arial"/>
                <w:noProof/>
                <w:webHidden/>
              </w:rPr>
              <w:fldChar w:fldCharType="end"/>
            </w:r>
          </w:hyperlink>
        </w:p>
        <w:p w14:paraId="5B60E9E1" w14:textId="0831ED97" w:rsidR="004469F4" w:rsidRPr="004469F4" w:rsidRDefault="00000000" w:rsidP="004469F4">
          <w:pPr>
            <w:pStyle w:val="TOC1"/>
            <w:tabs>
              <w:tab w:val="right" w:leader="dot" w:pos="9016"/>
            </w:tabs>
            <w:spacing w:line="360" w:lineRule="auto"/>
            <w:jc w:val="both"/>
            <w:rPr>
              <w:rFonts w:ascii="Arial" w:hAnsi="Arial" w:cs="Arial"/>
              <w:noProof/>
            </w:rPr>
          </w:pPr>
          <w:hyperlink w:anchor="_Toc236243843" w:history="1">
            <w:r w:rsidR="004469F4" w:rsidRPr="004469F4">
              <w:rPr>
                <w:rStyle w:val="Hyperlink"/>
                <w:rFonts w:ascii="Arial" w:hAnsi="Arial" w:cs="Arial"/>
                <w:b/>
                <w:bCs/>
                <w:noProof/>
              </w:rPr>
              <w:t>9.0 Conclusion</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_Toc236243843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6</w:t>
            </w:r>
            <w:r w:rsidR="004469F4" w:rsidRPr="004469F4">
              <w:rPr>
                <w:rFonts w:ascii="Arial" w:hAnsi="Arial" w:cs="Arial"/>
                <w:noProof/>
                <w:webHidden/>
              </w:rPr>
              <w:fldChar w:fldCharType="end"/>
            </w:r>
          </w:hyperlink>
        </w:p>
        <w:p w14:paraId="2FF9359B" w14:textId="16096ACF" w:rsidR="004469F4" w:rsidRPr="004469F4" w:rsidRDefault="00000000" w:rsidP="004469F4">
          <w:pPr>
            <w:pStyle w:val="TOC1"/>
            <w:tabs>
              <w:tab w:val="right" w:leader="dot" w:pos="9016"/>
            </w:tabs>
            <w:spacing w:line="360" w:lineRule="auto"/>
            <w:jc w:val="both"/>
            <w:rPr>
              <w:rFonts w:ascii="Arial" w:hAnsi="Arial" w:cs="Arial"/>
              <w:noProof/>
            </w:rPr>
          </w:pPr>
          <w:hyperlink w:anchor="_Toc236243844" w:history="1">
            <w:r w:rsidR="004469F4" w:rsidRPr="004469F4">
              <w:rPr>
                <w:rStyle w:val="Hyperlink"/>
                <w:rFonts w:ascii="Arial" w:eastAsia="Arial" w:hAnsi="Arial" w:cs="Arial"/>
                <w:b/>
                <w:bCs/>
                <w:noProof/>
              </w:rPr>
              <w:t>10.0 Reference List</w:t>
            </w:r>
            <w:r w:rsidR="004469F4" w:rsidRPr="004469F4">
              <w:rPr>
                <w:rFonts w:ascii="Arial" w:hAnsi="Arial" w:cs="Arial"/>
                <w:noProof/>
                <w:webHidden/>
              </w:rPr>
              <w:tab/>
            </w:r>
            <w:r w:rsidR="004469F4" w:rsidRPr="004469F4">
              <w:rPr>
                <w:rFonts w:ascii="Arial" w:hAnsi="Arial" w:cs="Arial"/>
                <w:noProof/>
                <w:webHidden/>
              </w:rPr>
              <w:fldChar w:fldCharType="begin"/>
            </w:r>
            <w:r w:rsidR="004469F4" w:rsidRPr="004469F4">
              <w:rPr>
                <w:rFonts w:ascii="Arial" w:hAnsi="Arial" w:cs="Arial"/>
                <w:noProof/>
                <w:webHidden/>
              </w:rPr>
              <w:instrText xml:space="preserve"> PAGEREF _Toc236243844 \h </w:instrText>
            </w:r>
            <w:r w:rsidR="004469F4" w:rsidRPr="004469F4">
              <w:rPr>
                <w:rFonts w:ascii="Arial" w:hAnsi="Arial" w:cs="Arial"/>
                <w:noProof/>
                <w:webHidden/>
              </w:rPr>
            </w:r>
            <w:r w:rsidR="004469F4" w:rsidRPr="004469F4">
              <w:rPr>
                <w:rFonts w:ascii="Arial" w:hAnsi="Arial" w:cs="Arial"/>
                <w:noProof/>
                <w:webHidden/>
              </w:rPr>
              <w:fldChar w:fldCharType="separate"/>
            </w:r>
            <w:r w:rsidR="004469F4" w:rsidRPr="004469F4">
              <w:rPr>
                <w:rFonts w:ascii="Arial" w:hAnsi="Arial" w:cs="Arial"/>
                <w:noProof/>
                <w:webHidden/>
              </w:rPr>
              <w:t>7</w:t>
            </w:r>
            <w:r w:rsidR="004469F4" w:rsidRPr="004469F4">
              <w:rPr>
                <w:rFonts w:ascii="Arial" w:hAnsi="Arial" w:cs="Arial"/>
                <w:noProof/>
                <w:webHidden/>
              </w:rPr>
              <w:fldChar w:fldCharType="end"/>
            </w:r>
          </w:hyperlink>
        </w:p>
        <w:p w14:paraId="494ABAE1" w14:textId="02534911" w:rsidR="004469F4" w:rsidRPr="004469F4" w:rsidRDefault="004469F4" w:rsidP="004469F4">
          <w:pPr>
            <w:spacing w:line="360" w:lineRule="auto"/>
            <w:jc w:val="both"/>
            <w:rPr>
              <w:rFonts w:ascii="Arial" w:hAnsi="Arial" w:cs="Arial"/>
            </w:rPr>
          </w:pPr>
          <w:r w:rsidRPr="004469F4">
            <w:rPr>
              <w:rFonts w:ascii="Arial" w:hAnsi="Arial" w:cs="Arial"/>
              <w:b/>
              <w:bCs/>
              <w:noProof/>
            </w:rPr>
            <w:fldChar w:fldCharType="end"/>
          </w:r>
        </w:p>
      </w:sdtContent>
    </w:sdt>
    <w:p w14:paraId="411845A1" w14:textId="77777777" w:rsidR="004469F4" w:rsidRPr="004469F4" w:rsidRDefault="004469F4" w:rsidP="004469F4">
      <w:pPr>
        <w:spacing w:before="120" w:after="120" w:line="360" w:lineRule="auto"/>
        <w:jc w:val="both"/>
        <w:rPr>
          <w:rFonts w:ascii="Arial" w:hAnsi="Arial" w:cs="Arial"/>
        </w:rPr>
      </w:pPr>
    </w:p>
    <w:p w14:paraId="27372272" w14:textId="1C9201B3" w:rsidR="004469F4" w:rsidRPr="004469F4" w:rsidRDefault="004469F4" w:rsidP="004469F4">
      <w:pPr>
        <w:spacing w:before="120" w:after="120" w:line="360" w:lineRule="auto"/>
        <w:jc w:val="both"/>
        <w:rPr>
          <w:rFonts w:ascii="Arial" w:hAnsi="Arial" w:cs="Arial"/>
          <w:b/>
        </w:rPr>
      </w:pPr>
    </w:p>
    <w:p w14:paraId="345AAC23" w14:textId="5935B53D" w:rsidR="004469F4" w:rsidRPr="004469F4" w:rsidRDefault="004469F4" w:rsidP="004469F4">
      <w:pPr>
        <w:spacing w:before="400" w:line="360" w:lineRule="auto"/>
        <w:jc w:val="both"/>
        <w:rPr>
          <w:rFonts w:ascii="Arial" w:hAnsi="Arial" w:cs="Arial"/>
        </w:rPr>
      </w:pPr>
    </w:p>
    <w:p w14:paraId="501D00CC" w14:textId="77777777" w:rsidR="004469F4" w:rsidRPr="004469F4" w:rsidRDefault="004469F4" w:rsidP="004469F4">
      <w:pPr>
        <w:spacing w:line="360" w:lineRule="auto"/>
        <w:jc w:val="both"/>
        <w:rPr>
          <w:rFonts w:ascii="Arial" w:hAnsi="Arial" w:cs="Arial"/>
        </w:rPr>
      </w:pPr>
    </w:p>
    <w:p w14:paraId="3C4A9331" w14:textId="77777777" w:rsidR="004469F4" w:rsidRPr="004469F4" w:rsidRDefault="004469F4" w:rsidP="004469F4">
      <w:pPr>
        <w:spacing w:line="360" w:lineRule="auto"/>
        <w:jc w:val="both"/>
        <w:rPr>
          <w:rFonts w:ascii="Arial" w:hAnsi="Arial" w:cs="Arial"/>
        </w:rPr>
      </w:pPr>
    </w:p>
    <w:p w14:paraId="0034FB84" w14:textId="77777777" w:rsidR="004469F4" w:rsidRPr="004469F4" w:rsidRDefault="004469F4" w:rsidP="004469F4">
      <w:pPr>
        <w:spacing w:line="360" w:lineRule="auto"/>
        <w:jc w:val="both"/>
        <w:rPr>
          <w:rFonts w:ascii="Arial" w:hAnsi="Arial" w:cs="Arial"/>
        </w:rPr>
      </w:pPr>
    </w:p>
    <w:p w14:paraId="7D302AA4" w14:textId="77777777" w:rsidR="004469F4" w:rsidRPr="004469F4" w:rsidRDefault="004469F4" w:rsidP="004469F4">
      <w:pPr>
        <w:spacing w:line="360" w:lineRule="auto"/>
        <w:jc w:val="both"/>
        <w:rPr>
          <w:rFonts w:ascii="Arial" w:eastAsiaTheme="majorEastAsia" w:hAnsi="Arial" w:cs="Arial"/>
          <w:b/>
          <w:bCs/>
        </w:rPr>
      </w:pPr>
      <w:bookmarkStart w:id="0" w:name="_Toc236243833"/>
      <w:r w:rsidRPr="004469F4">
        <w:rPr>
          <w:rFonts w:ascii="Arial" w:hAnsi="Arial" w:cs="Arial"/>
          <w:b/>
          <w:bCs/>
        </w:rPr>
        <w:br w:type="page"/>
      </w:r>
    </w:p>
    <w:p w14:paraId="21365CE6" w14:textId="15FBEFEE" w:rsidR="000C76BF" w:rsidRPr="004469F4" w:rsidRDefault="000C76BF" w:rsidP="004469F4">
      <w:pPr>
        <w:pStyle w:val="Heading1"/>
        <w:spacing w:line="360" w:lineRule="auto"/>
        <w:jc w:val="both"/>
        <w:rPr>
          <w:rFonts w:ascii="Arial" w:hAnsi="Arial" w:cs="Arial"/>
          <w:b/>
          <w:bCs/>
          <w:color w:val="auto"/>
          <w:sz w:val="22"/>
          <w:szCs w:val="22"/>
        </w:rPr>
      </w:pPr>
      <w:r w:rsidRPr="004469F4">
        <w:rPr>
          <w:rFonts w:ascii="Arial" w:hAnsi="Arial" w:cs="Arial"/>
          <w:b/>
          <w:bCs/>
          <w:color w:val="auto"/>
          <w:sz w:val="22"/>
          <w:szCs w:val="22"/>
        </w:rPr>
        <w:lastRenderedPageBreak/>
        <w:t>1.0 Introduction</w:t>
      </w:r>
      <w:bookmarkEnd w:id="0"/>
    </w:p>
    <w:p w14:paraId="3D96A412" w14:textId="778A5D1E" w:rsidR="000C76BF" w:rsidRPr="004469F4" w:rsidRDefault="000C76BF" w:rsidP="004469F4">
      <w:pPr>
        <w:spacing w:line="360" w:lineRule="auto"/>
        <w:jc w:val="both"/>
        <w:rPr>
          <w:rFonts w:ascii="Arial" w:hAnsi="Arial" w:cs="Arial"/>
        </w:rPr>
      </w:pPr>
      <w:r w:rsidRPr="004469F4">
        <w:rPr>
          <w:rFonts w:ascii="Arial" w:hAnsi="Arial" w:cs="Arial"/>
        </w:rPr>
        <w:t xml:space="preserve">In the United Kingdom, the emphasis is on partnership working (PW) and person-centred care (PCC) as key principles of contemporary health and social care practice, especially in services providing support to adults with learning disabilities who have traditionally been offered professional-led, institutionalised services. In this context, this report does a critical assessment of PCC and PW. It starts by clarifying the concept of PCC and explores the advantages and limitations of its approach, and then uses the Five Service Accomplishments by John O'Brien as a theoretical basis for practice. The ethical principles of health and social care are then explored and analysed, and the role of partnership working and how this is applied in a community-based supported living service for adults with learning disabilities are then critically evaluated. Policy and legislation </w:t>
      </w:r>
      <w:r w:rsidR="00C437DF" w:rsidRPr="004469F4">
        <w:rPr>
          <w:rFonts w:ascii="Arial" w:hAnsi="Arial" w:cs="Arial"/>
        </w:rPr>
        <w:t>are</w:t>
      </w:r>
      <w:r w:rsidRPr="004469F4">
        <w:rPr>
          <w:rFonts w:ascii="Arial" w:hAnsi="Arial" w:cs="Arial"/>
        </w:rPr>
        <w:t xml:space="preserve"> discussed throughout, and recommendations for future development of PCC and PW are stated across the UK at the end of the report.</w:t>
      </w:r>
    </w:p>
    <w:p w14:paraId="57210913" w14:textId="77777777" w:rsidR="000C76BF" w:rsidRPr="004469F4" w:rsidRDefault="000C76BF" w:rsidP="004469F4">
      <w:pPr>
        <w:pStyle w:val="Heading1"/>
        <w:spacing w:line="360" w:lineRule="auto"/>
        <w:jc w:val="both"/>
        <w:rPr>
          <w:rFonts w:ascii="Arial" w:hAnsi="Arial" w:cs="Arial"/>
          <w:b/>
          <w:bCs/>
          <w:color w:val="auto"/>
          <w:sz w:val="22"/>
          <w:szCs w:val="22"/>
        </w:rPr>
      </w:pPr>
      <w:bookmarkStart w:id="1" w:name="_Toc236243834"/>
      <w:r w:rsidRPr="004469F4">
        <w:rPr>
          <w:rFonts w:ascii="Arial" w:hAnsi="Arial" w:cs="Arial"/>
          <w:b/>
          <w:bCs/>
          <w:color w:val="auto"/>
          <w:sz w:val="22"/>
          <w:szCs w:val="22"/>
        </w:rPr>
        <w:t>2.0 Person-Centred Care: Definition, Benefits and Limitations</w:t>
      </w:r>
      <w:bookmarkEnd w:id="1"/>
    </w:p>
    <w:p w14:paraId="29660322" w14:textId="446A86C7" w:rsidR="000C76BF" w:rsidRPr="004469F4" w:rsidRDefault="000C76BF" w:rsidP="004469F4">
      <w:pPr>
        <w:spacing w:line="360" w:lineRule="auto"/>
        <w:jc w:val="both"/>
        <w:rPr>
          <w:rFonts w:ascii="Arial" w:hAnsi="Arial" w:cs="Arial"/>
        </w:rPr>
      </w:pPr>
      <w:r w:rsidRPr="004469F4">
        <w:rPr>
          <w:rFonts w:ascii="Arial" w:hAnsi="Arial" w:cs="Arial"/>
        </w:rPr>
        <w:t>Person-centred care can be summed up as an approach to support that puts the individual, their preferences, strengths and their personal goals at the heart of all decisions, and moves away from models of support that are paternalistic, task-oriented or institutionally centred, with regulators expecting the model of support to maximise choice, control and independence (Care Quality Commission, 2022). In learning disability services, this approach usually manifests itself in the use of person-centred planning tools that call on both staff and families to plan around what is important to the person, not around the convenience of the organisation.</w:t>
      </w:r>
    </w:p>
    <w:p w14:paraId="4992F20A" w14:textId="77777777" w:rsidR="000C76BF" w:rsidRPr="004469F4" w:rsidRDefault="000C76BF" w:rsidP="004469F4">
      <w:pPr>
        <w:spacing w:line="360" w:lineRule="auto"/>
        <w:jc w:val="both"/>
        <w:rPr>
          <w:rFonts w:ascii="Arial" w:hAnsi="Arial" w:cs="Arial"/>
        </w:rPr>
      </w:pPr>
      <w:r w:rsidRPr="004469F4">
        <w:rPr>
          <w:rFonts w:ascii="Arial" w:hAnsi="Arial" w:cs="Arial"/>
        </w:rPr>
        <w:t>PCC has many advantages for this group. There is evidence of the health and wellbeing benefits for adults with intellectual and developmental disability (İDD) linked to person-centred planning and practices (Loveday and Sanders, 2018; Persson, 2017; İsvan, Bonardi and Hiersteiner, 2023). Creating a more person-centred way to communicate with these individuals during interactions has also been found to affect their wellbeing and drive greater improvements in relationships and self-worth for those with learning disabilities, who are more likely to experience devaluing staff behaviours when this is not person-centred (Harper, Oltean and Baker, 2020). It also enables greater and more relevant involvement in decisions in everyday life that relate to health and social care, which is especially important given the proven health inequalities that adults with learning disabilities face.</w:t>
      </w:r>
    </w:p>
    <w:p w14:paraId="255C3670" w14:textId="77777777" w:rsidR="000C76BF" w:rsidRPr="004469F4" w:rsidRDefault="000C76BF" w:rsidP="004469F4">
      <w:pPr>
        <w:spacing w:line="360" w:lineRule="auto"/>
        <w:jc w:val="both"/>
        <w:rPr>
          <w:rFonts w:ascii="Arial" w:hAnsi="Arial" w:cs="Arial"/>
        </w:rPr>
      </w:pPr>
      <w:r w:rsidRPr="004469F4">
        <w:rPr>
          <w:rFonts w:ascii="Arial" w:hAnsi="Arial" w:cs="Arial"/>
        </w:rPr>
        <w:t xml:space="preserve">However, the capacity of PCC is also rather limited. The evidence from national regulations highlights sustained pressures on staff, including on running costs, and recruitment and retention challenges which impact the consistency of staffing that skilled, relationship-based PCC relies on (Care Quality Commission, 2023). For people with severe or profound cognitive </w:t>
      </w:r>
      <w:r w:rsidRPr="004469F4">
        <w:rPr>
          <w:rFonts w:ascii="Arial" w:hAnsi="Arial" w:cs="Arial"/>
        </w:rPr>
        <w:lastRenderedPageBreak/>
        <w:t>impairments, or limited verbal ability, it is much more difficult to express preferences, and good case-study work demonstrates that real community participation for these people often takes time, as well as plans and documents, to involve and change the organisational culture (McCausland et al., 2022). Beyond these issues of skills and resources, there may be other barriers to real choice in supported living that are not a direct aspect of the service, but instead related to funding, the availability of providers and commissioning arrangements, and so PCC may be aspirational unless provision is made to support it.</w:t>
      </w:r>
    </w:p>
    <w:p w14:paraId="5DA12121" w14:textId="77777777" w:rsidR="000C76BF" w:rsidRPr="004469F4" w:rsidRDefault="000C76BF" w:rsidP="004469F4">
      <w:pPr>
        <w:pStyle w:val="Heading1"/>
        <w:spacing w:line="360" w:lineRule="auto"/>
        <w:jc w:val="both"/>
        <w:rPr>
          <w:rFonts w:ascii="Arial" w:hAnsi="Arial" w:cs="Arial"/>
          <w:b/>
          <w:bCs/>
          <w:color w:val="auto"/>
          <w:sz w:val="22"/>
          <w:szCs w:val="22"/>
        </w:rPr>
      </w:pPr>
      <w:bookmarkStart w:id="2" w:name="_Toc236243835"/>
      <w:r w:rsidRPr="004469F4">
        <w:rPr>
          <w:rFonts w:ascii="Arial" w:hAnsi="Arial" w:cs="Arial"/>
          <w:b/>
          <w:bCs/>
          <w:color w:val="auto"/>
          <w:sz w:val="22"/>
          <w:szCs w:val="22"/>
        </w:rPr>
        <w:t>3.0 Theoretical Underpinning: O'Brien's Five Service Accomplishments</w:t>
      </w:r>
      <w:bookmarkEnd w:id="2"/>
    </w:p>
    <w:p w14:paraId="0980E2E8" w14:textId="4A37CB66" w:rsidR="000C76BF" w:rsidRPr="004469F4" w:rsidRDefault="000C76BF" w:rsidP="004469F4">
      <w:pPr>
        <w:spacing w:line="360" w:lineRule="auto"/>
        <w:jc w:val="both"/>
        <w:rPr>
          <w:rFonts w:ascii="Arial" w:hAnsi="Arial" w:cs="Arial"/>
        </w:rPr>
      </w:pPr>
      <w:r w:rsidRPr="004469F4">
        <w:rPr>
          <w:rFonts w:ascii="Arial" w:hAnsi="Arial" w:cs="Arial"/>
        </w:rPr>
        <w:t>One of the theories that underpin learning disability services that is worth mentioning is the Five Service Accomplishments (O'Brien, 1987) developed from the principle of normalisation and social role valorisation of the work of Wolfensberger (1972). The framework outlines five outcomes that all services need to address, which are linked together: Community presence – person lives and spends time in normal places in the community, and not in segregated spaces; Choice – everyday and life-defining decisions; Competence – developing and using skills, not having tasks done for them; Respect – person has a valued social role, not a devalued identity; Community participation – genuine relationships beyond paid staff.</w:t>
      </w:r>
    </w:p>
    <w:p w14:paraId="308D91AF" w14:textId="7BB10954" w:rsidR="000C76BF" w:rsidRPr="004469F4" w:rsidRDefault="000C76BF" w:rsidP="004469F4">
      <w:pPr>
        <w:spacing w:line="360" w:lineRule="auto"/>
        <w:jc w:val="both"/>
        <w:rPr>
          <w:rFonts w:ascii="Arial" w:hAnsi="Arial" w:cs="Arial"/>
        </w:rPr>
      </w:pPr>
      <w:r w:rsidRPr="004469F4">
        <w:rPr>
          <w:rFonts w:ascii="Arial" w:hAnsi="Arial" w:cs="Arial"/>
        </w:rPr>
        <w:t>This framework is useful to audit and apply in a supported living context, to see if claimed person-centred values are lived. Its continued relevance has been supported by contemporary evidence: person centred planning, in conjunction with these achievements, is associated with better rates of adult intellectual disability and community involvement, but evidence of both the need for and a lack of family involvement and commitment to the framework and approaches, and organisational commitment, also indicate that person centred planning outcomes are highly dependent on these factors (McCausland et al., 2022). But the framework has garnered legitimate criticism. It was developed in a service-focused environment of the 1980s in North America and is denounced as unachievable and not measurable in an objective manner, as well as not directly addressing the structural barriers (e.g., funding barriers). Yet, in recent years, the use of similar person-centred theory (Kitwood's) in learning disability work has been demonstrated as being of practical value to transform the day-to-day interactions between staff and people with learning disabilities (Harper, Oltean, and Baker, 2020), which shows that O'Brien's ideas are still relevant in the modern day.</w:t>
      </w:r>
    </w:p>
    <w:p w14:paraId="421AB147" w14:textId="77777777" w:rsidR="000C76BF" w:rsidRPr="004469F4" w:rsidRDefault="000C76BF" w:rsidP="004469F4">
      <w:pPr>
        <w:pStyle w:val="Heading1"/>
        <w:spacing w:line="360" w:lineRule="auto"/>
        <w:jc w:val="both"/>
        <w:rPr>
          <w:rFonts w:ascii="Arial" w:hAnsi="Arial" w:cs="Arial"/>
          <w:b/>
          <w:bCs/>
          <w:color w:val="auto"/>
          <w:sz w:val="22"/>
          <w:szCs w:val="22"/>
        </w:rPr>
      </w:pPr>
      <w:bookmarkStart w:id="3" w:name="_Toc236243836"/>
      <w:r w:rsidRPr="004469F4">
        <w:rPr>
          <w:rFonts w:ascii="Arial" w:hAnsi="Arial" w:cs="Arial"/>
          <w:b/>
          <w:bCs/>
          <w:color w:val="auto"/>
          <w:sz w:val="22"/>
          <w:szCs w:val="22"/>
        </w:rPr>
        <w:t>4.0 Ethical Fundamentals of Health and Social Care</w:t>
      </w:r>
      <w:bookmarkEnd w:id="3"/>
    </w:p>
    <w:p w14:paraId="150FCE4E" w14:textId="5BCFBBAF" w:rsidR="000C76BF" w:rsidRPr="004469F4" w:rsidRDefault="000C76BF" w:rsidP="004469F4">
      <w:pPr>
        <w:spacing w:line="360" w:lineRule="auto"/>
        <w:jc w:val="both"/>
        <w:rPr>
          <w:rFonts w:ascii="Arial" w:hAnsi="Arial" w:cs="Arial"/>
        </w:rPr>
      </w:pPr>
      <w:r w:rsidRPr="004469F4">
        <w:rPr>
          <w:rFonts w:ascii="Arial" w:hAnsi="Arial" w:cs="Arial"/>
        </w:rPr>
        <w:t xml:space="preserve">Beauchamp and Childress's (2019) four principles of autonomy, beneficence, non-maleficence and justice are usually the structure around which the ethical principles of health and social care practice are organised. Of course, autonomy is ethically complicated when applied to learning disability services, as some may not have the capacity to make some </w:t>
      </w:r>
      <w:r w:rsidRPr="004469F4">
        <w:rPr>
          <w:rFonts w:ascii="Arial" w:hAnsi="Arial" w:cs="Arial"/>
        </w:rPr>
        <w:lastRenderedPageBreak/>
        <w:t>decisions themselves. A literature review undertaken in the UK on mental capacity assessment in the context of health and social care provision in England and Wales revealed a significant degree of variability in practice and highlighted the importance of professional judgement and training in mental capacity assessment, rather than it being a purely technical exercise (Jayes et al., 2019). Globally, supported decision-making pilots, based on Article 12 of the UN Convention on the Rights of Persons with Disabilities, have led to positive outcomes for decision makers and, importantly, identified resourcing issues to better support socially isolated individuals, as the nature of UK practice continues to move strongly away from substituted judgement and towards supported decision-making.</w:t>
      </w:r>
    </w:p>
    <w:p w14:paraId="1A6A5430" w14:textId="65CF1BA9" w:rsidR="000C76BF" w:rsidRPr="004469F4" w:rsidRDefault="000C76BF" w:rsidP="004469F4">
      <w:pPr>
        <w:spacing w:line="360" w:lineRule="auto"/>
        <w:jc w:val="both"/>
        <w:rPr>
          <w:rFonts w:ascii="Arial" w:hAnsi="Arial" w:cs="Arial"/>
        </w:rPr>
      </w:pPr>
      <w:r w:rsidRPr="004469F4">
        <w:rPr>
          <w:rFonts w:ascii="Arial" w:hAnsi="Arial" w:cs="Arial"/>
        </w:rPr>
        <w:t xml:space="preserve">There is an ongoing moral dilemma between beneficence and non-maleficence that can lead to more protective and risk-averse decision-making, and respect for autonomy, which involves recognizing some degree of “dignity of risk” so that others might be able to choose, including to choose something that has a risk of harm. A focus on mental capacity assessment highlights the importance of ensuring that people with communication disabilities are also actively engaged in decision-making processes, allowing a communication barrier not to carry out the process of decision-making in a protective or substituted manner (Jayes, Palmer and Enderby, 2021). Justice is also important – while the median age for death amongst those with a learning disability has increased over time, a significant proportion of deaths are still judged to be avoidable, and there is room for further improvement through reasonable adjustments to care (King's College London, 2023). This gives rise to issues of distributive justice, and strengthens the obligation to make reasonable adjustments (as per current legislation). To implement the principle of care ethically, in practice, needs to take some form of action beyond the abstract and include functioning supported </w:t>
      </w:r>
      <w:r w:rsidR="00C437DF" w:rsidRPr="004469F4">
        <w:rPr>
          <w:rFonts w:ascii="Arial" w:hAnsi="Arial" w:cs="Arial"/>
        </w:rPr>
        <w:t>decision-making</w:t>
      </w:r>
      <w:r w:rsidRPr="004469F4">
        <w:rPr>
          <w:rFonts w:ascii="Arial" w:hAnsi="Arial" w:cs="Arial"/>
        </w:rPr>
        <w:t xml:space="preserve"> structures, best-interests processes that meet the legislation, and meaningful discussions about the acceptable risk.</w:t>
      </w:r>
    </w:p>
    <w:p w14:paraId="7C2C84B5" w14:textId="77777777" w:rsidR="000C76BF" w:rsidRPr="004469F4" w:rsidRDefault="000C76BF" w:rsidP="004469F4">
      <w:pPr>
        <w:pStyle w:val="Heading1"/>
        <w:spacing w:line="360" w:lineRule="auto"/>
        <w:jc w:val="both"/>
        <w:rPr>
          <w:rFonts w:ascii="Arial" w:hAnsi="Arial" w:cs="Arial"/>
          <w:b/>
          <w:bCs/>
          <w:color w:val="auto"/>
          <w:sz w:val="22"/>
          <w:szCs w:val="22"/>
        </w:rPr>
      </w:pPr>
      <w:bookmarkStart w:id="4" w:name="_Toc236243837"/>
      <w:r w:rsidRPr="004469F4">
        <w:rPr>
          <w:rFonts w:ascii="Arial" w:hAnsi="Arial" w:cs="Arial"/>
          <w:b/>
          <w:bCs/>
          <w:color w:val="auto"/>
          <w:sz w:val="22"/>
          <w:szCs w:val="22"/>
        </w:rPr>
        <w:t>5.0 Evaluation of Partnership Working</w:t>
      </w:r>
      <w:bookmarkEnd w:id="4"/>
    </w:p>
    <w:p w14:paraId="52EC1AB3" w14:textId="77777777" w:rsidR="000C76BF" w:rsidRPr="004469F4" w:rsidRDefault="000C76BF" w:rsidP="004469F4">
      <w:pPr>
        <w:spacing w:line="360" w:lineRule="auto"/>
        <w:jc w:val="both"/>
        <w:rPr>
          <w:rFonts w:ascii="Arial" w:hAnsi="Arial" w:cs="Arial"/>
        </w:rPr>
      </w:pPr>
      <w:r w:rsidRPr="004469F4">
        <w:rPr>
          <w:rFonts w:ascii="Arial" w:hAnsi="Arial" w:cs="Arial"/>
        </w:rPr>
        <w:t>Partnership working is two or more agencies, professionals or persons (including the individual and family carers) working together for the same person's care and support. Within learning disability services this will normally cover statutory health and social care, education and employment services, housing providers and informal carers.</w:t>
      </w:r>
    </w:p>
    <w:p w14:paraId="2D7B3345" w14:textId="39B635B3" w:rsidR="000C76BF" w:rsidRPr="004469F4" w:rsidRDefault="000C76BF" w:rsidP="004469F4">
      <w:pPr>
        <w:spacing w:line="360" w:lineRule="auto"/>
        <w:jc w:val="both"/>
        <w:rPr>
          <w:rFonts w:ascii="Arial" w:hAnsi="Arial" w:cs="Arial"/>
        </w:rPr>
      </w:pPr>
      <w:r w:rsidRPr="004469F4">
        <w:rPr>
          <w:rFonts w:ascii="Arial" w:hAnsi="Arial" w:cs="Arial"/>
        </w:rPr>
        <w:t>There are many advantages to making effective PW. A rapid evidence mapping exercise across the UK revealed that collaboration and partnership, combined with co-production and inter-professional relationships, were most strongly associated with joined-up working, and where joint working was deliberately built on trust between partner organisations (Thomson and Chatterjee, 2024). Importantly, PW is not a goal of aspirations</w:t>
      </w:r>
      <w:r w:rsidR="00C437DF" w:rsidRPr="004469F4">
        <w:rPr>
          <w:rFonts w:ascii="Arial" w:hAnsi="Arial" w:cs="Arial"/>
        </w:rPr>
        <w:t>;</w:t>
      </w:r>
      <w:r w:rsidRPr="004469F4">
        <w:rPr>
          <w:rFonts w:ascii="Arial" w:hAnsi="Arial" w:cs="Arial"/>
        </w:rPr>
        <w:t xml:space="preserve"> it is a patient safety concern – the 2022 LeDeR continued to find that there are gaps in coordinated care, which is </w:t>
      </w:r>
      <w:r w:rsidRPr="004469F4">
        <w:rPr>
          <w:rFonts w:ascii="Arial" w:hAnsi="Arial" w:cs="Arial"/>
        </w:rPr>
        <w:lastRenderedPageBreak/>
        <w:t>tied to poorer outcomes for people with a learning disability (King's College London, 2023).</w:t>
      </w:r>
      <w:r w:rsidR="00C437DF" w:rsidRPr="004469F4">
        <w:rPr>
          <w:rFonts w:ascii="Arial" w:hAnsi="Arial" w:cs="Arial"/>
        </w:rPr>
        <w:t xml:space="preserve"> </w:t>
      </w:r>
      <w:r w:rsidRPr="004469F4">
        <w:rPr>
          <w:rFonts w:ascii="Arial" w:hAnsi="Arial" w:cs="Arial"/>
        </w:rPr>
        <w:t xml:space="preserve">There are also many drawbacks to PW. Evaluation methods to support integrated care continue to be poorly developed, with an ongoing challenge of standardising the methodology, and unequal power balance between NHS and other partners with whom they work (Thomson and Chatterjee, 2024). </w:t>
      </w:r>
    </w:p>
    <w:p w14:paraId="6A6AA386" w14:textId="77777777" w:rsidR="000C76BF" w:rsidRPr="004469F4" w:rsidRDefault="000C76BF" w:rsidP="004469F4">
      <w:pPr>
        <w:pStyle w:val="Heading1"/>
        <w:spacing w:line="360" w:lineRule="auto"/>
        <w:jc w:val="both"/>
        <w:rPr>
          <w:rFonts w:ascii="Arial" w:hAnsi="Arial" w:cs="Arial"/>
          <w:b/>
          <w:bCs/>
          <w:color w:val="auto"/>
          <w:sz w:val="22"/>
          <w:szCs w:val="22"/>
        </w:rPr>
      </w:pPr>
      <w:bookmarkStart w:id="5" w:name="_Toc236243838"/>
      <w:r w:rsidRPr="004469F4">
        <w:rPr>
          <w:rFonts w:ascii="Arial" w:hAnsi="Arial" w:cs="Arial"/>
          <w:b/>
          <w:bCs/>
          <w:color w:val="auto"/>
          <w:sz w:val="22"/>
          <w:szCs w:val="22"/>
        </w:rPr>
        <w:t>6.0 Application of Partnership Working in Practice: Supported Living Services</w:t>
      </w:r>
      <w:bookmarkEnd w:id="5"/>
    </w:p>
    <w:p w14:paraId="18103422" w14:textId="53EC8DE2" w:rsidR="000C76BF" w:rsidRPr="004469F4" w:rsidRDefault="000C76BF" w:rsidP="004469F4">
      <w:pPr>
        <w:spacing w:line="360" w:lineRule="auto"/>
        <w:jc w:val="both"/>
        <w:rPr>
          <w:rFonts w:ascii="Arial" w:hAnsi="Arial" w:cs="Arial"/>
        </w:rPr>
      </w:pPr>
      <w:r w:rsidRPr="004469F4">
        <w:rPr>
          <w:rFonts w:ascii="Arial" w:hAnsi="Arial" w:cs="Arial"/>
        </w:rPr>
        <w:t xml:space="preserve">There is scope for partnership working to be explored practically through a </w:t>
      </w:r>
      <w:r w:rsidR="00C437DF" w:rsidRPr="004469F4">
        <w:rPr>
          <w:rFonts w:ascii="Arial" w:hAnsi="Arial" w:cs="Arial"/>
        </w:rPr>
        <w:t>community-based</w:t>
      </w:r>
      <w:r w:rsidRPr="004469F4">
        <w:rPr>
          <w:rFonts w:ascii="Arial" w:hAnsi="Arial" w:cs="Arial"/>
        </w:rPr>
        <w:t xml:space="preserve"> supported living service for adults with learning disabilities. As opposed to residential care, supported living is provided within the person's own home and offers them flexible, individually priced hours of support – more directly reflecting O'Brien's framework of 'choice' and 'community presence'.</w:t>
      </w:r>
    </w:p>
    <w:p w14:paraId="40ACB7C5" w14:textId="36275B02" w:rsidR="000C76BF" w:rsidRPr="004469F4" w:rsidRDefault="000C76BF" w:rsidP="004469F4">
      <w:pPr>
        <w:spacing w:line="360" w:lineRule="auto"/>
        <w:jc w:val="both"/>
        <w:rPr>
          <w:rFonts w:ascii="Arial" w:hAnsi="Arial" w:cs="Arial"/>
        </w:rPr>
      </w:pPr>
      <w:r w:rsidRPr="004469F4">
        <w:rPr>
          <w:rFonts w:ascii="Arial" w:hAnsi="Arial" w:cs="Arial"/>
        </w:rPr>
        <w:t>Here, PW will work through a keyworker from the community learning disability team in conjunction with the supported living service provider, the individual's GP practice, family carers/advocates and, if relevant, day and/or employment services. An example of this is NICE guideline NG96 (National Institute for Health and Care Excellence, 2018) which recommends that an annual learning disability health check is carried out by the GP practice, in collaboration with the learning disability nurse and support staff; the support staff then report back what has been observed and input into a health action plan which is accessible to both the nurse and the GP practice. Likewise, circle-of-support or best-</w:t>
      </w:r>
      <w:r w:rsidR="004469F4" w:rsidRPr="004469F4">
        <w:rPr>
          <w:rFonts w:ascii="Arial" w:hAnsi="Arial" w:cs="Arial"/>
        </w:rPr>
        <w:t>interests’</w:t>
      </w:r>
      <w:r w:rsidRPr="004469F4">
        <w:rPr>
          <w:rFonts w:ascii="Arial" w:hAnsi="Arial" w:cs="Arial"/>
        </w:rPr>
        <w:t xml:space="preserve"> meetings that meaningfully involve the person, their family, the provider and the CLDT provide an opportunity to make PW more a practice of O'Brien's community inclusion and the supported decision-making principles outlined above if they are scheduled to focus on the person's voice and not on the convenience of professionals.</w:t>
      </w:r>
    </w:p>
    <w:p w14:paraId="3D12DBFB" w14:textId="77777777" w:rsidR="000C76BF" w:rsidRPr="004469F4" w:rsidRDefault="000C76BF" w:rsidP="004469F4">
      <w:pPr>
        <w:pStyle w:val="Heading1"/>
        <w:spacing w:line="360" w:lineRule="auto"/>
        <w:jc w:val="both"/>
        <w:rPr>
          <w:rFonts w:ascii="Arial" w:hAnsi="Arial" w:cs="Arial"/>
          <w:b/>
          <w:bCs/>
          <w:color w:val="auto"/>
          <w:sz w:val="22"/>
          <w:szCs w:val="22"/>
        </w:rPr>
      </w:pPr>
      <w:bookmarkStart w:id="6" w:name="_Toc236243839"/>
      <w:r w:rsidRPr="004469F4">
        <w:rPr>
          <w:rFonts w:ascii="Arial" w:hAnsi="Arial" w:cs="Arial"/>
          <w:b/>
          <w:bCs/>
          <w:color w:val="auto"/>
          <w:sz w:val="22"/>
          <w:szCs w:val="22"/>
        </w:rPr>
        <w:t>7.0 Policy and Legislation</w:t>
      </w:r>
      <w:bookmarkEnd w:id="6"/>
    </w:p>
    <w:p w14:paraId="178DF6BD" w14:textId="157E431C" w:rsidR="000C76BF" w:rsidRPr="004469F4" w:rsidRDefault="000C76BF" w:rsidP="004469F4">
      <w:pPr>
        <w:spacing w:line="360" w:lineRule="auto"/>
        <w:jc w:val="both"/>
        <w:rPr>
          <w:rFonts w:ascii="Arial" w:hAnsi="Arial" w:cs="Arial"/>
        </w:rPr>
      </w:pPr>
      <w:r w:rsidRPr="004469F4">
        <w:rPr>
          <w:rFonts w:ascii="Arial" w:hAnsi="Arial" w:cs="Arial"/>
        </w:rPr>
        <w:t xml:space="preserve">A range of Policy and legislation supports the provision of PCC and PW for adults with learning disabilities. The five statutory principles of the Mental Capacity Act 2005 are the centrepiece of consent issues in PCC; these include the presumption of mental capacity and the duty to help an </w:t>
      </w:r>
      <w:r w:rsidR="004469F4" w:rsidRPr="004469F4">
        <w:rPr>
          <w:rFonts w:ascii="Arial" w:hAnsi="Arial" w:cs="Arial"/>
        </w:rPr>
        <w:t>individual decide</w:t>
      </w:r>
      <w:r w:rsidRPr="004469F4">
        <w:rPr>
          <w:rFonts w:ascii="Arial" w:hAnsi="Arial" w:cs="Arial"/>
        </w:rPr>
        <w:t xml:space="preserve"> before it is determined that they are unable to do so. The Care Act 2014 supports local authorities in extending the duty to promote individual wellbeing, mandates that care and support is integrated with health, enables personalisation through personal budgets and direct payments, as well as has an extended safeguarding duty.</w:t>
      </w:r>
    </w:p>
    <w:p w14:paraId="3C3F803C" w14:textId="131516FB" w:rsidR="000C76BF" w:rsidRPr="004469F4" w:rsidRDefault="000C76BF" w:rsidP="004469F4">
      <w:pPr>
        <w:spacing w:line="360" w:lineRule="auto"/>
        <w:jc w:val="both"/>
        <w:rPr>
          <w:rFonts w:ascii="Arial" w:hAnsi="Arial" w:cs="Arial"/>
        </w:rPr>
      </w:pPr>
      <w:r w:rsidRPr="004469F4">
        <w:rPr>
          <w:rFonts w:ascii="Arial" w:hAnsi="Arial" w:cs="Arial"/>
        </w:rPr>
        <w:t xml:space="preserve">Specifically for this population, the Care Quality Commission's Right Support, Right Care, Right Culture guidance provides clear regulatory expectations for work with individuals with a learning disability and makes three key points: the maximisation of choice and control; person-centred care; and an empowering organisational culture (Care Quality Commission, 2022). </w:t>
      </w:r>
      <w:r w:rsidRPr="004469F4">
        <w:rPr>
          <w:rFonts w:ascii="Arial" w:hAnsi="Arial" w:cs="Arial"/>
        </w:rPr>
        <w:lastRenderedPageBreak/>
        <w:t>The Building the Right Support Action Plan (Department of Health and Social Care, 2022) is a clear national policy on partnership working between the NHS and local authority to shift away from inpatient services and towards more person-centred, community-based alternatives, like supported living. Cross-agency mortality reviews are a statutory commitment, rather than good practice guidance, as required by the Learning from Lives and Deaths (LeDeR) policy (NHS England, 2021)</w:t>
      </w:r>
      <w:r w:rsidR="00C437DF" w:rsidRPr="004469F4">
        <w:rPr>
          <w:rFonts w:ascii="Arial" w:hAnsi="Arial" w:cs="Arial"/>
        </w:rPr>
        <w:t>,</w:t>
      </w:r>
      <w:r w:rsidRPr="004469F4">
        <w:rPr>
          <w:rFonts w:ascii="Arial" w:hAnsi="Arial" w:cs="Arial"/>
        </w:rPr>
        <w:t xml:space="preserve"> and providers have a duty to make reasonable adjustments for all of these services.</w:t>
      </w:r>
    </w:p>
    <w:p w14:paraId="6B2753E3" w14:textId="08B6365D" w:rsidR="000C76BF" w:rsidRPr="004469F4" w:rsidRDefault="000C76BF" w:rsidP="004469F4">
      <w:pPr>
        <w:pStyle w:val="Heading1"/>
        <w:spacing w:line="360" w:lineRule="auto"/>
        <w:jc w:val="both"/>
        <w:rPr>
          <w:rFonts w:ascii="Arial" w:hAnsi="Arial" w:cs="Arial"/>
          <w:b/>
          <w:bCs/>
          <w:color w:val="auto"/>
          <w:sz w:val="22"/>
          <w:szCs w:val="22"/>
        </w:rPr>
      </w:pPr>
      <w:bookmarkStart w:id="7" w:name="_Toc236243840"/>
      <w:r w:rsidRPr="004469F4">
        <w:rPr>
          <w:rFonts w:ascii="Arial" w:hAnsi="Arial" w:cs="Arial"/>
          <w:b/>
          <w:bCs/>
          <w:color w:val="auto"/>
          <w:sz w:val="22"/>
          <w:szCs w:val="22"/>
        </w:rPr>
        <w:t>8.0 Recommendation for Future Development</w:t>
      </w:r>
      <w:bookmarkEnd w:id="7"/>
    </w:p>
    <w:p w14:paraId="0B480453" w14:textId="77777777" w:rsidR="000C76BF" w:rsidRPr="004469F4" w:rsidRDefault="000C76BF" w:rsidP="004469F4">
      <w:pPr>
        <w:pStyle w:val="Heading2"/>
        <w:spacing w:line="360" w:lineRule="auto"/>
        <w:jc w:val="both"/>
        <w:rPr>
          <w:rFonts w:ascii="Arial" w:hAnsi="Arial" w:cs="Arial"/>
          <w:b/>
          <w:bCs/>
          <w:color w:val="auto"/>
          <w:sz w:val="22"/>
          <w:szCs w:val="22"/>
        </w:rPr>
      </w:pPr>
      <w:bookmarkStart w:id="8" w:name="_Toc236243841"/>
      <w:r w:rsidRPr="004469F4">
        <w:rPr>
          <w:rFonts w:ascii="Arial" w:hAnsi="Arial" w:cs="Arial"/>
          <w:b/>
          <w:bCs/>
          <w:color w:val="auto"/>
          <w:sz w:val="22"/>
          <w:szCs w:val="22"/>
        </w:rPr>
        <w:t>8.1 Communication tools that are accessible and co-produced</w:t>
      </w:r>
      <w:bookmarkEnd w:id="8"/>
    </w:p>
    <w:p w14:paraId="64DA9FA5" w14:textId="77777777" w:rsidR="000C76BF" w:rsidRPr="004469F4" w:rsidRDefault="000C76BF" w:rsidP="004469F4">
      <w:pPr>
        <w:spacing w:line="360" w:lineRule="auto"/>
        <w:jc w:val="both"/>
        <w:rPr>
          <w:rFonts w:ascii="Arial" w:hAnsi="Arial" w:cs="Arial"/>
        </w:rPr>
      </w:pPr>
      <w:r w:rsidRPr="004469F4">
        <w:rPr>
          <w:rFonts w:ascii="Arial" w:hAnsi="Arial" w:cs="Arial"/>
        </w:rPr>
        <w:t>Commissioners and providers must fund co-produced, accessible communication tools such as Easy Read plans, communication passports, and online “multimedia advocacy” resources that support people with intellectual disabilities in expressing their views, needs and preferences (Watts et al., 2023). This would enable choice and participation to be truly implemented and not symbolic. There is a challenge to sustaining up-front time and training to achieve this, however, as highlighted above (Care Quality Commission, 2023), the pressures on staff in this sector make it challenging. Additionally, co-design projects successfully show that co-production, although well-intentioned, can inadvertently re-enact existing power imbalances if not carefully facilitated (Chinn and Pelletier, 2020).</w:t>
      </w:r>
    </w:p>
    <w:p w14:paraId="322B5F53" w14:textId="77777777" w:rsidR="000C76BF" w:rsidRPr="004469F4" w:rsidRDefault="000C76BF" w:rsidP="004469F4">
      <w:pPr>
        <w:pStyle w:val="Heading2"/>
        <w:spacing w:line="360" w:lineRule="auto"/>
        <w:jc w:val="both"/>
        <w:rPr>
          <w:rFonts w:ascii="Arial" w:hAnsi="Arial" w:cs="Arial"/>
          <w:b/>
          <w:bCs/>
          <w:color w:val="auto"/>
          <w:sz w:val="22"/>
          <w:szCs w:val="22"/>
        </w:rPr>
      </w:pPr>
      <w:bookmarkStart w:id="9" w:name="_Toc236243842"/>
      <w:r w:rsidRPr="004469F4">
        <w:rPr>
          <w:rFonts w:ascii="Arial" w:hAnsi="Arial" w:cs="Arial"/>
          <w:b/>
          <w:bCs/>
          <w:color w:val="auto"/>
          <w:sz w:val="22"/>
          <w:szCs w:val="22"/>
        </w:rPr>
        <w:t>8.2 Formalisation of Self-Advocacy in Partnership Structures</w:t>
      </w:r>
      <w:bookmarkEnd w:id="9"/>
    </w:p>
    <w:p w14:paraId="44F4B996" w14:textId="47251985" w:rsidR="000C76BF" w:rsidRPr="004469F4" w:rsidRDefault="000C76BF" w:rsidP="004469F4">
      <w:pPr>
        <w:spacing w:line="360" w:lineRule="auto"/>
        <w:jc w:val="both"/>
        <w:rPr>
          <w:rFonts w:ascii="Arial" w:hAnsi="Arial" w:cs="Arial"/>
        </w:rPr>
      </w:pPr>
      <w:r w:rsidRPr="004469F4">
        <w:rPr>
          <w:rFonts w:ascii="Arial" w:hAnsi="Arial" w:cs="Arial"/>
        </w:rPr>
        <w:t>The role of self-advocacy organisations as periodic consultees to local partnership and Transforming Care boards should be formalised to shift the power dynamics in PW structures and to balance the professional-led dynamics discussed above. In recent participatory projects with self-advocates</w:t>
      </w:r>
      <w:r w:rsidR="00C437DF" w:rsidRPr="004469F4">
        <w:rPr>
          <w:rFonts w:ascii="Arial" w:hAnsi="Arial" w:cs="Arial"/>
        </w:rPr>
        <w:t>,</w:t>
      </w:r>
      <w:r w:rsidRPr="004469F4">
        <w:rPr>
          <w:rFonts w:ascii="Arial" w:hAnsi="Arial" w:cs="Arial"/>
        </w:rPr>
        <w:t xml:space="preserve"> we have been able to show that when information is accessible enough, people with learning disabilities can be involved in insightful discussions about theory and strategy, and that learning can be shared. More recently</w:t>
      </w:r>
      <w:r w:rsidR="00C437DF" w:rsidRPr="004469F4">
        <w:rPr>
          <w:rFonts w:ascii="Arial" w:hAnsi="Arial" w:cs="Arial"/>
        </w:rPr>
        <w:t>,</w:t>
      </w:r>
      <w:r w:rsidRPr="004469F4">
        <w:rPr>
          <w:rFonts w:ascii="Arial" w:hAnsi="Arial" w:cs="Arial"/>
        </w:rPr>
        <w:t xml:space="preserve"> we have been able to show, in participatory work with self-advocates, that when information is made accessible enough, people with learning disabilities can join in with enriching discussions about </w:t>
      </w:r>
      <w:r w:rsidR="00C437DF" w:rsidRPr="004469F4">
        <w:rPr>
          <w:rFonts w:ascii="Arial" w:hAnsi="Arial" w:cs="Arial"/>
        </w:rPr>
        <w:t>ideas</w:t>
      </w:r>
      <w:r w:rsidRPr="004469F4">
        <w:rPr>
          <w:rFonts w:ascii="Arial" w:hAnsi="Arial" w:cs="Arial"/>
        </w:rPr>
        <w:t>, theory and strategy, and that learning can be shared rather than one-way (Grove et al., 2024). A challenge is that meaningful co-production will only come with time if there is a commitment to building relationships, commitment to funding advocacy support, and a change in commissioning culture which will take some time to fully embed.</w:t>
      </w:r>
    </w:p>
    <w:p w14:paraId="7B807F70" w14:textId="77777777" w:rsidR="000C76BF" w:rsidRPr="004469F4" w:rsidRDefault="000C76BF" w:rsidP="004469F4">
      <w:pPr>
        <w:pStyle w:val="Heading1"/>
        <w:spacing w:line="360" w:lineRule="auto"/>
        <w:jc w:val="both"/>
        <w:rPr>
          <w:rFonts w:ascii="Arial" w:hAnsi="Arial" w:cs="Arial"/>
          <w:b/>
          <w:bCs/>
          <w:color w:val="auto"/>
          <w:sz w:val="22"/>
          <w:szCs w:val="22"/>
        </w:rPr>
      </w:pPr>
      <w:bookmarkStart w:id="10" w:name="_Toc236243843"/>
      <w:r w:rsidRPr="004469F4">
        <w:rPr>
          <w:rFonts w:ascii="Arial" w:hAnsi="Arial" w:cs="Arial"/>
          <w:b/>
          <w:bCs/>
          <w:color w:val="auto"/>
          <w:sz w:val="22"/>
          <w:szCs w:val="22"/>
        </w:rPr>
        <w:t>9.0 Conclusion</w:t>
      </w:r>
      <w:bookmarkEnd w:id="10"/>
    </w:p>
    <w:p w14:paraId="24900E18" w14:textId="0C464DE3" w:rsidR="00666549" w:rsidRPr="004469F4" w:rsidRDefault="000C76BF" w:rsidP="004469F4">
      <w:pPr>
        <w:spacing w:line="360" w:lineRule="auto"/>
        <w:jc w:val="both"/>
        <w:rPr>
          <w:rFonts w:ascii="Arial" w:hAnsi="Arial" w:cs="Arial"/>
        </w:rPr>
      </w:pPr>
      <w:r w:rsidRPr="004469F4">
        <w:rPr>
          <w:rFonts w:ascii="Arial" w:hAnsi="Arial" w:cs="Arial"/>
        </w:rPr>
        <w:t xml:space="preserve">Ethically-believing and well-resourced partnership working is key to all aspects of genuinely person-centred care for adults with learning disabilities. This is supported by policy, legislation and an emerging evidence base in the UK, but there is a practice-based deficit between ideas </w:t>
      </w:r>
      <w:r w:rsidRPr="004469F4">
        <w:rPr>
          <w:rFonts w:ascii="Arial" w:hAnsi="Arial" w:cs="Arial"/>
        </w:rPr>
        <w:lastRenderedPageBreak/>
        <w:t>and action, as seen by the continued inequities in health experienced across this population, which means there is a need for continued investment in structural, co-produced partnership working to fully realise rights-based, person-centred care.</w:t>
      </w:r>
    </w:p>
    <w:p w14:paraId="6853343A" w14:textId="43AE52B5" w:rsidR="000C76BF" w:rsidRPr="004469F4" w:rsidRDefault="004469F4" w:rsidP="004469F4">
      <w:pPr>
        <w:pStyle w:val="Heading1"/>
        <w:pageBreakBefore/>
        <w:spacing w:after="150" w:line="360" w:lineRule="auto"/>
        <w:jc w:val="both"/>
        <w:rPr>
          <w:rFonts w:ascii="Arial" w:hAnsi="Arial" w:cs="Arial"/>
          <w:color w:val="auto"/>
          <w:sz w:val="22"/>
          <w:szCs w:val="22"/>
        </w:rPr>
      </w:pPr>
      <w:bookmarkStart w:id="11" w:name="_Toc236243844"/>
      <w:r w:rsidRPr="004469F4">
        <w:rPr>
          <w:rFonts w:ascii="Arial" w:eastAsia="Arial" w:hAnsi="Arial" w:cs="Arial"/>
          <w:b/>
          <w:bCs/>
          <w:color w:val="auto"/>
          <w:sz w:val="22"/>
          <w:szCs w:val="22"/>
        </w:rPr>
        <w:lastRenderedPageBreak/>
        <w:t xml:space="preserve">10.0 </w:t>
      </w:r>
      <w:r w:rsidR="000C76BF" w:rsidRPr="004469F4">
        <w:rPr>
          <w:rFonts w:ascii="Arial" w:eastAsia="Arial" w:hAnsi="Arial" w:cs="Arial"/>
          <w:b/>
          <w:bCs/>
          <w:color w:val="auto"/>
          <w:sz w:val="22"/>
          <w:szCs w:val="22"/>
        </w:rPr>
        <w:t>Reference List</w:t>
      </w:r>
      <w:bookmarkEnd w:id="11"/>
    </w:p>
    <w:p w14:paraId="5B078FCE"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Beauchamp, T.L. and Childress, J.F. (2019) Principles of Biomedical Ethics. 8th edn. New York: Oxford University Press.</w:t>
      </w:r>
    </w:p>
    <w:p w14:paraId="4C24A7EE"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Care Act 2014. London: The Stationery Office.</w:t>
      </w:r>
    </w:p>
    <w:p w14:paraId="354B23FD"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Care Quality Commission (2022) Right Support, Right Care, Right Culture: Guidance for Learning Disability Services. 7 June 2022. </w:t>
      </w:r>
      <w:hyperlink r:id="rId7" w:history="1">
        <w:r w:rsidRPr="004469F4">
          <w:rPr>
            <w:rStyle w:val="Hyperlink"/>
            <w:rFonts w:ascii="Arial" w:hAnsi="Arial" w:cs="Arial"/>
            <w:color w:val="auto"/>
          </w:rPr>
          <w:t>https://www.cqc.org.uk/sites/default/files/2022-06/900582%20Right%20support%20right%20care%20right%20culture_v5_0.pdf</w:t>
        </w:r>
      </w:hyperlink>
    </w:p>
    <w:p w14:paraId="1EB0622D"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Care Quality Commission (2023) The State of Health Care and Adult Social Care in England 2022/23.</w:t>
      </w:r>
      <w:hyperlink r:id="rId8" w:history="1">
        <w:r w:rsidRPr="004469F4">
          <w:rPr>
            <w:rStyle w:val="Hyperlink"/>
            <w:rFonts w:ascii="Arial" w:hAnsi="Arial" w:cs="Arial"/>
            <w:color w:val="auto"/>
          </w:rPr>
          <w:t>https://www.cqc.org.uk/sites/default/files/2023-10/20231020_stateofcare2223_print.pdf</w:t>
        </w:r>
      </w:hyperlink>
    </w:p>
    <w:p w14:paraId="6FB313D7"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Chinn, D. and Pelletier, C. (2020) 'Deconstructing the co-production ideal: dilemmas of knowledge and representation in a co-design project with people with intellectual disabilities', Journal of Intellectual &amp; Developmental Disability, 45(4), pp. 326-336. </w:t>
      </w:r>
      <w:hyperlink r:id="rId9" w:history="1">
        <w:r w:rsidRPr="004469F4">
          <w:rPr>
            <w:rStyle w:val="Hyperlink"/>
            <w:rFonts w:ascii="Arial" w:hAnsi="Arial" w:cs="Arial"/>
            <w:color w:val="auto"/>
          </w:rPr>
          <w:t>https://doi.org/10.3109/13668250.2020.1795820</w:t>
        </w:r>
      </w:hyperlink>
    </w:p>
    <w:p w14:paraId="440D017D"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Department of Health and Social Care (2022) Building the Right Support Action Plan. </w:t>
      </w:r>
      <w:hyperlink r:id="rId10" w:history="1">
        <w:r w:rsidRPr="004469F4">
          <w:rPr>
            <w:rStyle w:val="Hyperlink"/>
            <w:rFonts w:ascii="Arial" w:hAnsi="Arial" w:cs="Arial"/>
            <w:color w:val="auto"/>
          </w:rPr>
          <w:t>https://www.gov.uk/government/publications/building-the-right-support-for-people-with-a-learning-disability-and-autistic-people</w:t>
        </w:r>
      </w:hyperlink>
    </w:p>
    <w:p w14:paraId="41FEDEEB"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Grove, N., Richards, S., Rice, S., Magwood, C., Collis, B., Martick, S., Schuppener, S., Kremsner, G., Tilley, E. and Walmsley, J. (2024) 'Big ideas that changed the world of disability: exploring theory with self-advocates', British Journal of Learning Disabilities, 52(4), pp. 687-699. </w:t>
      </w:r>
      <w:hyperlink r:id="rId11" w:history="1">
        <w:r w:rsidRPr="004469F4">
          <w:rPr>
            <w:rStyle w:val="Hyperlink"/>
            <w:rFonts w:ascii="Arial" w:hAnsi="Arial" w:cs="Arial"/>
            <w:color w:val="auto"/>
          </w:rPr>
          <w:t>https://doi.org/10.1111/bld.12611</w:t>
        </w:r>
      </w:hyperlink>
    </w:p>
    <w:p w14:paraId="69BAB449"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Harper, L., Oltean, A. and Baker, D. (2020) 'Person-centred care for people with learning disabilities: the application of Kitwood's theory', Learning Disability Practice. </w:t>
      </w:r>
      <w:hyperlink r:id="rId12" w:history="1">
        <w:r w:rsidRPr="004469F4">
          <w:rPr>
            <w:rStyle w:val="Hyperlink"/>
            <w:rFonts w:ascii="Arial" w:hAnsi="Arial" w:cs="Arial"/>
            <w:color w:val="auto"/>
          </w:rPr>
          <w:t>https://doi.org/10.7748/ldp.2020.e2014</w:t>
        </w:r>
      </w:hyperlink>
    </w:p>
    <w:p w14:paraId="3AA34955"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İsvan, N., Bonardi, A. and Hiersteiner, D. (2023) 'Effects of person-centred planning and practices on the health and well-being of adults with intellectual and developmental disabilities: a multilevel analysis of linked administrative and survey data', Journal of Intellectual Disability Research, 67, pp. 1249-1269. </w:t>
      </w:r>
      <w:hyperlink r:id="rId13" w:history="1">
        <w:r w:rsidRPr="004469F4">
          <w:rPr>
            <w:rStyle w:val="Hyperlink"/>
            <w:rFonts w:ascii="Arial" w:hAnsi="Arial" w:cs="Arial"/>
            <w:color w:val="auto"/>
          </w:rPr>
          <w:t>https://doi.org/10.1111/jir.13015</w:t>
        </w:r>
      </w:hyperlink>
    </w:p>
    <w:p w14:paraId="2541228A"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Jayes, M., Palmer, R., Enderby, P. and Sutton, A. (2019) 'How do health and social care professionals in England and Wales assess mental capacity? A literature review', Disability and Rehabilitation, 42(19), pp. 2797-2808. </w:t>
      </w:r>
      <w:hyperlink r:id="rId14" w:history="1">
        <w:r w:rsidRPr="004469F4">
          <w:rPr>
            <w:rStyle w:val="Hyperlink"/>
            <w:rFonts w:ascii="Arial" w:hAnsi="Arial" w:cs="Arial"/>
            <w:color w:val="auto"/>
          </w:rPr>
          <w:t>https://doi.org/10.1080/09638288.2019.1572793</w:t>
        </w:r>
      </w:hyperlink>
    </w:p>
    <w:p w14:paraId="4ED6C7BF"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lastRenderedPageBreak/>
        <w:t>Jayes, M., Palmer, R. and Enderby, P. (2021) 'Giving voice to people with communication disabilities during mental capacity assessments', International Journal of Language &amp; Communication Disorders, 56(1), pp. 90-101.</w:t>
      </w:r>
      <w:r w:rsidRPr="004469F4">
        <w:rPr>
          <w:rFonts w:ascii="Arial" w:hAnsi="Arial" w:cs="Arial"/>
          <w:lang w:val="en-US"/>
        </w:rPr>
        <w:t xml:space="preserve"> </w:t>
      </w:r>
      <w:hyperlink r:id="rId15" w:history="1">
        <w:r w:rsidRPr="004469F4">
          <w:rPr>
            <w:rStyle w:val="Hyperlink"/>
            <w:rFonts w:ascii="Arial" w:hAnsi="Arial" w:cs="Arial"/>
            <w:color w:val="auto"/>
          </w:rPr>
          <w:t>https://doi.org/10.1111/1460-6984.12585</w:t>
        </w:r>
      </w:hyperlink>
    </w:p>
    <w:p w14:paraId="20B9CC65"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King's College London (2023) 2022 LeDeR Report into the Avoidable Deaths of People with Learning Disabilities.</w:t>
      </w:r>
      <w:r w:rsidRPr="004469F4">
        <w:rPr>
          <w:rFonts w:ascii="Arial" w:hAnsi="Arial" w:cs="Arial"/>
          <w:lang w:val="en-US"/>
        </w:rPr>
        <w:t xml:space="preserve"> </w:t>
      </w:r>
      <w:hyperlink r:id="rId16" w:history="1">
        <w:r w:rsidRPr="004469F4">
          <w:rPr>
            <w:rStyle w:val="Hyperlink"/>
            <w:rFonts w:ascii="Arial" w:hAnsi="Arial" w:cs="Arial"/>
            <w:color w:val="auto"/>
          </w:rPr>
          <w:t>https://www.kcl.ac.uk/news/2022-leder-report-into-the-avoidable-deaths-of-people-with-learning-disabilities</w:t>
        </w:r>
      </w:hyperlink>
    </w:p>
    <w:p w14:paraId="12E308A6"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McCausland, D., Murphy, E., McCarron, M. and McCallion, P. (2022) 'The potential for person-centred planning to support the community participation of adults with an intellectual disability', Journal of Intellectual Disabilities, 26(3), pp. 603-623. </w:t>
      </w:r>
      <w:hyperlink r:id="rId17" w:history="1">
        <w:r w:rsidRPr="004469F4">
          <w:rPr>
            <w:rStyle w:val="Hyperlink"/>
            <w:rFonts w:ascii="Arial" w:hAnsi="Arial" w:cs="Arial"/>
            <w:color w:val="auto"/>
          </w:rPr>
          <w:t>https://doi.org/10.1177/17446295211022125</w:t>
        </w:r>
      </w:hyperlink>
    </w:p>
    <w:p w14:paraId="2ACF867F"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Mental Capacity Act 2005. London: The Stationery Office.</w:t>
      </w:r>
    </w:p>
    <w:p w14:paraId="766786D5"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National Institute for Health and Care Excellence (2018) Care and Support of People Growing Older with Learning Disabilities. NICE guideline NG96. </w:t>
      </w:r>
      <w:hyperlink r:id="rId18" w:history="1">
        <w:r w:rsidRPr="004469F4">
          <w:rPr>
            <w:rStyle w:val="Hyperlink"/>
            <w:rFonts w:ascii="Arial" w:hAnsi="Arial" w:cs="Arial"/>
            <w:color w:val="auto"/>
          </w:rPr>
          <w:t>https://www.nice.org.uk/guidance/ng96</w:t>
        </w:r>
      </w:hyperlink>
    </w:p>
    <w:p w14:paraId="7CAC8B44"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NHS England (2021) Learning from Lives and Deaths – People with a Learning Disability and Autistic People (LeDeR) Policy 2021. </w:t>
      </w:r>
      <w:hyperlink r:id="rId19" w:history="1">
        <w:r w:rsidRPr="004469F4">
          <w:rPr>
            <w:rStyle w:val="Hyperlink"/>
            <w:rFonts w:ascii="Arial" w:hAnsi="Arial" w:cs="Arial"/>
            <w:color w:val="auto"/>
          </w:rPr>
          <w:t>https://www.england.nhs.uk/wp-content/uploads/2021/03/B0428-LeDeR-policy-2021.pdf</w:t>
        </w:r>
      </w:hyperlink>
    </w:p>
    <w:p w14:paraId="0267B382"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O'Brien, J. (1987) 'A guide to lifestyle planning: using the activities catalog to integrate services and natural support systems', in Wilcox, B. and Bellamy, G.T. (eds.) The Activities Catalog: An Alternative Curriculum for Youth and Adults with Severe Disabilities. Baltimore: Paul H. Brookes, pp. 175-189.</w:t>
      </w:r>
    </w:p>
    <w:p w14:paraId="5F5E22D2"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Then, S.-N., Carney, T., Bigby, C. and Douglas, J. (2024) 'Delivering decision making support to people with cognitive disability – what more has been learned from pilot programmes in Australia and internationally from 2016 to 2021?', Australian Journal of Social Issues. </w:t>
      </w:r>
      <w:hyperlink r:id="rId20" w:history="1">
        <w:r w:rsidRPr="004469F4">
          <w:rPr>
            <w:rStyle w:val="Hyperlink"/>
            <w:rFonts w:ascii="Arial" w:hAnsi="Arial" w:cs="Arial"/>
            <w:color w:val="auto"/>
          </w:rPr>
          <w:t>https://doi.org/10.1002/ajs4.295</w:t>
        </w:r>
      </w:hyperlink>
    </w:p>
    <w:p w14:paraId="396AACA8"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Thomson, L.J.M. and Chatterjee, H.J. (2024) 'Barriers and enablers of integrated care in the UK: a rapid evidence review of review articles and grey literature 2018-2022', Frontiers in Public Health, 11, 1286479. </w:t>
      </w:r>
      <w:hyperlink r:id="rId21" w:history="1">
        <w:r w:rsidRPr="004469F4">
          <w:rPr>
            <w:rStyle w:val="Hyperlink"/>
            <w:rFonts w:ascii="Arial" w:hAnsi="Arial" w:cs="Arial"/>
            <w:color w:val="auto"/>
          </w:rPr>
          <w:t>https://doi.org/10.3389/fpubh.2023.1286479</w:t>
        </w:r>
      </w:hyperlink>
    </w:p>
    <w:p w14:paraId="4C6E75C2"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t xml:space="preserve">Watts, G., Middleton, F., Fish, R. and Hollins, S. (2023) 'Using multimedia technology to enhance self-advocacy of people with intellectual disabilities: introducing a theoretical framework for ‘Multimedia Advocacy’', Journal of Applied Research in Intellectual Disabilities. </w:t>
      </w:r>
      <w:hyperlink r:id="rId22" w:history="1">
        <w:r w:rsidRPr="004469F4">
          <w:rPr>
            <w:rStyle w:val="Hyperlink"/>
            <w:rFonts w:ascii="Arial" w:hAnsi="Arial" w:cs="Arial"/>
            <w:color w:val="auto"/>
          </w:rPr>
          <w:t>https://doi.org/10.1111/jar.13107</w:t>
        </w:r>
      </w:hyperlink>
    </w:p>
    <w:p w14:paraId="44A86D51" w14:textId="77777777" w:rsidR="000C76BF" w:rsidRPr="004469F4" w:rsidRDefault="000C76BF" w:rsidP="004469F4">
      <w:pPr>
        <w:spacing w:after="150" w:line="360" w:lineRule="auto"/>
        <w:ind w:left="720" w:hanging="720"/>
        <w:jc w:val="both"/>
        <w:rPr>
          <w:rFonts w:ascii="Arial" w:hAnsi="Arial" w:cs="Arial"/>
        </w:rPr>
      </w:pPr>
      <w:r w:rsidRPr="004469F4">
        <w:rPr>
          <w:rFonts w:ascii="Arial" w:eastAsia="Arial" w:hAnsi="Arial" w:cs="Arial"/>
        </w:rPr>
        <w:lastRenderedPageBreak/>
        <w:t>Wolfensberger, W. (1972) The Principle of Normalization in Human Services. Toronto: National Institute on Mental Retardation.</w:t>
      </w:r>
    </w:p>
    <w:p w14:paraId="0026B750" w14:textId="77777777" w:rsidR="000C76BF" w:rsidRPr="004469F4" w:rsidRDefault="000C76BF" w:rsidP="004469F4">
      <w:pPr>
        <w:spacing w:line="360" w:lineRule="auto"/>
        <w:jc w:val="both"/>
        <w:rPr>
          <w:rFonts w:ascii="Arial" w:hAnsi="Arial" w:cs="Arial"/>
        </w:rPr>
      </w:pPr>
    </w:p>
    <w:sectPr w:rsidR="000C76BF" w:rsidRPr="004469F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9E329" w14:textId="77777777" w:rsidR="006022A7" w:rsidRDefault="006022A7" w:rsidP="00C437DF">
      <w:pPr>
        <w:spacing w:after="0" w:line="240" w:lineRule="auto"/>
      </w:pPr>
      <w:r>
        <w:separator/>
      </w:r>
    </w:p>
  </w:endnote>
  <w:endnote w:type="continuationSeparator" w:id="0">
    <w:p w14:paraId="19DA3DAE" w14:textId="77777777" w:rsidR="006022A7" w:rsidRDefault="006022A7" w:rsidP="00C43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414689"/>
      <w:docPartObj>
        <w:docPartGallery w:val="Page Numbers (Bottom of Page)"/>
        <w:docPartUnique/>
      </w:docPartObj>
    </w:sdtPr>
    <w:sdtContent>
      <w:sdt>
        <w:sdtPr>
          <w:id w:val="-1705238520"/>
          <w:docPartObj>
            <w:docPartGallery w:val="Page Numbers (Top of Page)"/>
            <w:docPartUnique/>
          </w:docPartObj>
        </w:sdtPr>
        <w:sdtContent>
          <w:p w14:paraId="5BEEB332" w14:textId="6EDE3AD5" w:rsidR="00C437DF" w:rsidRDefault="00C437DF">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F387D57" w14:textId="77777777" w:rsidR="00C437DF" w:rsidRDefault="00C43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F8402" w14:textId="77777777" w:rsidR="006022A7" w:rsidRDefault="006022A7" w:rsidP="00C437DF">
      <w:pPr>
        <w:spacing w:after="0" w:line="240" w:lineRule="auto"/>
      </w:pPr>
      <w:r>
        <w:separator/>
      </w:r>
    </w:p>
  </w:footnote>
  <w:footnote w:type="continuationSeparator" w:id="0">
    <w:p w14:paraId="2CF541B6" w14:textId="77777777" w:rsidR="006022A7" w:rsidRDefault="006022A7" w:rsidP="00C437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6BF"/>
    <w:rsid w:val="000C76BF"/>
    <w:rsid w:val="000E117A"/>
    <w:rsid w:val="004469F4"/>
    <w:rsid w:val="006022A7"/>
    <w:rsid w:val="00666549"/>
    <w:rsid w:val="0076624B"/>
    <w:rsid w:val="00973278"/>
    <w:rsid w:val="00B87C44"/>
    <w:rsid w:val="00C437DF"/>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32E58"/>
  <w15:chartTrackingRefBased/>
  <w15:docId w15:val="{791A3179-BC7C-4F22-A5C6-20C8B1FC4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C76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76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B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0C76BF"/>
    <w:rPr>
      <w:rFonts w:asciiTheme="majorHAnsi" w:eastAsiaTheme="majorEastAsia" w:hAnsiTheme="majorHAnsi" w:cstheme="majorBidi"/>
      <w:color w:val="2F5496" w:themeColor="accent1" w:themeShade="BF"/>
      <w:sz w:val="26"/>
      <w:szCs w:val="26"/>
      <w:lang w:val="en-GB"/>
    </w:rPr>
  </w:style>
  <w:style w:type="character" w:styleId="Hyperlink">
    <w:name w:val="Hyperlink"/>
    <w:uiPriority w:val="99"/>
    <w:unhideWhenUsed/>
    <w:rsid w:val="000C76BF"/>
    <w:rPr>
      <w:color w:val="0563C1"/>
      <w:u w:val="single"/>
    </w:rPr>
  </w:style>
  <w:style w:type="paragraph" w:styleId="Header">
    <w:name w:val="header"/>
    <w:basedOn w:val="Normal"/>
    <w:link w:val="HeaderChar"/>
    <w:uiPriority w:val="99"/>
    <w:unhideWhenUsed/>
    <w:rsid w:val="00C43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7DF"/>
    <w:rPr>
      <w:lang w:val="en-GB"/>
    </w:rPr>
  </w:style>
  <w:style w:type="paragraph" w:styleId="Footer">
    <w:name w:val="footer"/>
    <w:basedOn w:val="Normal"/>
    <w:link w:val="FooterChar"/>
    <w:uiPriority w:val="99"/>
    <w:unhideWhenUsed/>
    <w:rsid w:val="00C43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7DF"/>
    <w:rPr>
      <w:lang w:val="en-GB"/>
    </w:rPr>
  </w:style>
  <w:style w:type="paragraph" w:styleId="TOCHeading">
    <w:name w:val="TOC Heading"/>
    <w:basedOn w:val="Heading1"/>
    <w:next w:val="Normal"/>
    <w:uiPriority w:val="39"/>
    <w:unhideWhenUsed/>
    <w:qFormat/>
    <w:rsid w:val="004469F4"/>
    <w:pPr>
      <w:outlineLvl w:val="9"/>
    </w:pPr>
    <w:rPr>
      <w:lang w:val="en-US"/>
    </w:rPr>
  </w:style>
  <w:style w:type="paragraph" w:styleId="TOC1">
    <w:name w:val="toc 1"/>
    <w:basedOn w:val="Normal"/>
    <w:next w:val="Normal"/>
    <w:autoRedefine/>
    <w:uiPriority w:val="39"/>
    <w:unhideWhenUsed/>
    <w:rsid w:val="004469F4"/>
    <w:pPr>
      <w:spacing w:after="100"/>
    </w:pPr>
  </w:style>
  <w:style w:type="paragraph" w:styleId="TOC2">
    <w:name w:val="toc 2"/>
    <w:basedOn w:val="Normal"/>
    <w:next w:val="Normal"/>
    <w:autoRedefine/>
    <w:uiPriority w:val="39"/>
    <w:unhideWhenUsed/>
    <w:rsid w:val="004469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ites/default/files/2023-10/20231020_stateofcare2223_print.pdf" TargetMode="External"/><Relationship Id="rId13" Type="http://schemas.openxmlformats.org/officeDocument/2006/relationships/hyperlink" Target="https://doi.org/10.1111/jir.13015" TargetMode="External"/><Relationship Id="rId18" Type="http://schemas.openxmlformats.org/officeDocument/2006/relationships/hyperlink" Target="https://www.nice.org.uk/guidance/ng96" TargetMode="External"/><Relationship Id="rId3" Type="http://schemas.openxmlformats.org/officeDocument/2006/relationships/settings" Target="settings.xml"/><Relationship Id="rId21" Type="http://schemas.openxmlformats.org/officeDocument/2006/relationships/hyperlink" Target="https://doi.org/10.3389/fpubh.2023.1286479" TargetMode="External"/><Relationship Id="rId7" Type="http://schemas.openxmlformats.org/officeDocument/2006/relationships/hyperlink" Target="https://www.cqc.org.uk/sites/default/files/2022-06/900582%20Right%20support%20right%20care%20right%20culture_v5_0.pdf" TargetMode="External"/><Relationship Id="rId12" Type="http://schemas.openxmlformats.org/officeDocument/2006/relationships/hyperlink" Target="https://doi.org/10.7748/ldp.2020.e2014" TargetMode="External"/><Relationship Id="rId17" Type="http://schemas.openxmlformats.org/officeDocument/2006/relationships/hyperlink" Target="https://doi.org/10.1177/17446295211022125"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kcl.ac.uk/news/2022-leder-report-into-the-avoidable-deaths-of-people-with-learning-disabilities" TargetMode="External"/><Relationship Id="rId20" Type="http://schemas.openxmlformats.org/officeDocument/2006/relationships/hyperlink" Target="https://doi.org/10.1002/ajs4.29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bld.1261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1460-6984.12585" TargetMode="External"/><Relationship Id="rId23" Type="http://schemas.openxmlformats.org/officeDocument/2006/relationships/footer" Target="footer1.xml"/><Relationship Id="rId10" Type="http://schemas.openxmlformats.org/officeDocument/2006/relationships/hyperlink" Target="https://www.gov.uk/government/publications/building-the-right-support-for-people-with-a-learning-disability-and-autistic-people" TargetMode="External"/><Relationship Id="rId19" Type="http://schemas.openxmlformats.org/officeDocument/2006/relationships/hyperlink" Target="https://www.england.nhs.uk/wp-content/uploads/2021/03/B0428-LeDeR-policy-2021.pdf" TargetMode="External"/><Relationship Id="rId4" Type="http://schemas.openxmlformats.org/officeDocument/2006/relationships/webSettings" Target="webSettings.xml"/><Relationship Id="rId9" Type="http://schemas.openxmlformats.org/officeDocument/2006/relationships/hyperlink" Target="https://doi.org/10.3109/13668250.2020.1795820" TargetMode="External"/><Relationship Id="rId14" Type="http://schemas.openxmlformats.org/officeDocument/2006/relationships/hyperlink" Target="https://doi.org/10.1080/09638288.2019.1572793" TargetMode="External"/><Relationship Id="rId22" Type="http://schemas.openxmlformats.org/officeDocument/2006/relationships/hyperlink" Target="https://doi.org/10.1111/jar.131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912C6-CA13-41D5-936D-D78F12D13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3427</Words>
  <Characters>19537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2026-07-29T15:25:00Z</dcterms:created>
  <dcterms:modified xsi:type="dcterms:W3CDTF">2026-07-29T16:11:00Z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d78652f9-cfd3-4657-b7d4-46cd9190cbe2</vt:lpwstr>
  </property>
</Properties>
</file>