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0E8594" w14:textId="77777777" w:rsidR="00640402" w:rsidRDefault="00640402" w:rsidP="00640402">
      <w:r>
        <w:fldChar w:fldCharType="begin"/>
      </w:r>
      <w:r>
        <w:instrText xml:space="preserve"> INCLUDEPICTURE "C:\\Users\\AzZedin01\\Library\\Group Containers\\UBF8T346G9.ms\\WebArchiveCopyPasteTempFiles\\com.microsoft.Word\\8P2xdp3q1g646AAAAAElFTkSuQmCC" \* MERGEFORMAT </w:instrText>
      </w:r>
      <w:r>
        <w:fldChar w:fldCharType="end"/>
      </w:r>
    </w:p>
    <w:p w14:paraId="0F276ABE" w14:textId="77777777" w:rsidR="00640402" w:rsidRDefault="00640402" w:rsidP="00640402">
      <w:pPr>
        <w:jc w:val="center"/>
      </w:pPr>
      <w:r>
        <w:rPr>
          <w:noProof/>
        </w:rPr>
        <w:drawing>
          <wp:anchor distT="0" distB="0" distL="114300" distR="114300" simplePos="0" relativeHeight="251674624" behindDoc="0" locked="0" layoutInCell="1" allowOverlap="1" wp14:anchorId="7C01060A" wp14:editId="4E519A5A">
            <wp:simplePos x="0" y="0"/>
            <wp:positionH relativeFrom="page">
              <wp:posOffset>2171700</wp:posOffset>
            </wp:positionH>
            <wp:positionV relativeFrom="paragraph">
              <wp:posOffset>87630</wp:posOffset>
            </wp:positionV>
            <wp:extent cx="3380400" cy="1353600"/>
            <wp:effectExtent l="0" t="0" r="0" b="0"/>
            <wp:wrapNone/>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0400" cy="1353600"/>
                    </a:xfrm>
                    <a:prstGeom prst="rect">
                      <a:avLst/>
                    </a:prstGeom>
                    <a:noFill/>
                  </pic:spPr>
                </pic:pic>
              </a:graphicData>
            </a:graphic>
            <wp14:sizeRelH relativeFrom="margin">
              <wp14:pctWidth>0</wp14:pctWidth>
            </wp14:sizeRelH>
            <wp14:sizeRelV relativeFrom="margin">
              <wp14:pctHeight>0</wp14:pctHeight>
            </wp14:sizeRelV>
          </wp:anchor>
        </w:drawing>
      </w:r>
    </w:p>
    <w:p w14:paraId="7636A4C1" w14:textId="77777777" w:rsidR="00640402" w:rsidRDefault="00640402" w:rsidP="00640402"/>
    <w:p w14:paraId="295B86FC" w14:textId="77777777" w:rsidR="00640402" w:rsidRDefault="00640402" w:rsidP="00640402">
      <w:pPr>
        <w:jc w:val="center"/>
      </w:pPr>
    </w:p>
    <w:p w14:paraId="37564997" w14:textId="77777777" w:rsidR="00640402" w:rsidRDefault="00640402" w:rsidP="00640402">
      <w:pPr>
        <w:jc w:val="center"/>
        <w:rPr>
          <w:rFonts w:ascii="Arial" w:hAnsi="Arial" w:cs="Arial"/>
          <w:b/>
          <w:bCs/>
        </w:rPr>
      </w:pPr>
    </w:p>
    <w:p w14:paraId="0451E9BF" w14:textId="77777777" w:rsidR="00640402" w:rsidRDefault="00640402" w:rsidP="00640402">
      <w:pPr>
        <w:jc w:val="center"/>
        <w:rPr>
          <w:rFonts w:ascii="Arial" w:hAnsi="Arial" w:cs="Arial"/>
          <w:b/>
          <w:bCs/>
        </w:rPr>
      </w:pPr>
    </w:p>
    <w:p w14:paraId="5580E73A" w14:textId="77777777" w:rsidR="00640402" w:rsidRDefault="00640402" w:rsidP="00640402">
      <w:pPr>
        <w:jc w:val="center"/>
        <w:rPr>
          <w:rFonts w:ascii="Arial" w:hAnsi="Arial" w:cs="Arial"/>
          <w:b/>
          <w:bCs/>
        </w:rPr>
      </w:pPr>
    </w:p>
    <w:p w14:paraId="4D3387AB" w14:textId="2B66D5EE" w:rsidR="00640402" w:rsidRPr="00922363" w:rsidRDefault="005F7E78" w:rsidP="00640402">
      <w:pPr>
        <w:spacing w:line="360" w:lineRule="auto"/>
        <w:jc w:val="center"/>
        <w:rPr>
          <w:rFonts w:ascii="Arial" w:hAnsi="Arial" w:cs="Arial"/>
          <w:sz w:val="28"/>
          <w:szCs w:val="28"/>
        </w:rPr>
      </w:pPr>
      <w:r w:rsidRPr="00640402">
        <w:rPr>
          <w:rFonts w:ascii="Arial" w:hAnsi="Arial" w:cs="Arial"/>
          <w:b/>
          <w:sz w:val="28"/>
          <w:szCs w:val="28"/>
        </w:rPr>
        <w:t>Program</w:t>
      </w:r>
      <w:r w:rsidR="00640402" w:rsidRPr="00922363">
        <w:rPr>
          <w:rFonts w:ascii="Arial" w:hAnsi="Arial" w:cs="Arial"/>
          <w:sz w:val="28"/>
          <w:szCs w:val="28"/>
        </w:rPr>
        <w:t xml:space="preserve">: Master of Business Administration </w:t>
      </w:r>
    </w:p>
    <w:p w14:paraId="4CE87EAA" w14:textId="77777777" w:rsidR="00640402" w:rsidRPr="00922363" w:rsidRDefault="00640402" w:rsidP="00640402">
      <w:pPr>
        <w:spacing w:line="360" w:lineRule="auto"/>
        <w:jc w:val="center"/>
        <w:rPr>
          <w:rFonts w:ascii="Arial" w:hAnsi="Arial" w:cs="Arial"/>
          <w:sz w:val="28"/>
          <w:szCs w:val="28"/>
        </w:rPr>
      </w:pPr>
      <w:r w:rsidRPr="00640402">
        <w:rPr>
          <w:rFonts w:ascii="Arial" w:hAnsi="Arial" w:cs="Arial"/>
          <w:b/>
          <w:sz w:val="28"/>
          <w:szCs w:val="28"/>
        </w:rPr>
        <w:t>Module:</w:t>
      </w:r>
      <w:r w:rsidRPr="00922363">
        <w:rPr>
          <w:rFonts w:ascii="Arial" w:hAnsi="Arial" w:cs="Arial"/>
          <w:sz w:val="28"/>
          <w:szCs w:val="28"/>
        </w:rPr>
        <w:t xml:space="preserve"> Financial Management </w:t>
      </w:r>
    </w:p>
    <w:p w14:paraId="0E502DE8" w14:textId="77777777" w:rsidR="00640402" w:rsidRPr="00922363" w:rsidRDefault="00640402" w:rsidP="00640402">
      <w:pPr>
        <w:spacing w:line="360" w:lineRule="auto"/>
        <w:jc w:val="center"/>
        <w:rPr>
          <w:rFonts w:ascii="Arial" w:hAnsi="Arial" w:cs="Arial"/>
          <w:sz w:val="28"/>
          <w:szCs w:val="28"/>
        </w:rPr>
      </w:pPr>
      <w:r w:rsidRPr="00640402">
        <w:rPr>
          <w:rFonts w:ascii="Arial" w:hAnsi="Arial" w:cs="Arial"/>
          <w:b/>
          <w:sz w:val="28"/>
          <w:szCs w:val="28"/>
        </w:rPr>
        <w:t>Module code:</w:t>
      </w:r>
      <w:r w:rsidRPr="00922363">
        <w:rPr>
          <w:rFonts w:ascii="Arial" w:hAnsi="Arial" w:cs="Arial"/>
          <w:sz w:val="28"/>
          <w:szCs w:val="28"/>
        </w:rPr>
        <w:t xml:space="preserve"> LCMB7002 </w:t>
      </w:r>
    </w:p>
    <w:p w14:paraId="34FDD135" w14:textId="77777777" w:rsidR="00640402" w:rsidRPr="00922363" w:rsidRDefault="00E54587" w:rsidP="00640402">
      <w:pPr>
        <w:spacing w:line="360" w:lineRule="auto"/>
        <w:jc w:val="center"/>
        <w:rPr>
          <w:rFonts w:ascii="Arial" w:hAnsi="Arial" w:cs="Arial"/>
          <w:sz w:val="28"/>
          <w:szCs w:val="28"/>
        </w:rPr>
      </w:pPr>
      <w:r>
        <w:rPr>
          <w:rFonts w:ascii="Arial" w:hAnsi="Arial" w:cs="Arial"/>
          <w:sz w:val="28"/>
          <w:szCs w:val="28"/>
        </w:rPr>
        <w:t>Term: 01</w:t>
      </w:r>
    </w:p>
    <w:p w14:paraId="084FB360" w14:textId="77777777" w:rsidR="00640402" w:rsidRPr="00922363" w:rsidRDefault="00640402" w:rsidP="00E54587">
      <w:pPr>
        <w:spacing w:line="360" w:lineRule="auto"/>
        <w:ind w:left="720"/>
        <w:jc w:val="center"/>
        <w:rPr>
          <w:rFonts w:ascii="Arial" w:hAnsi="Arial" w:cs="Arial"/>
          <w:sz w:val="28"/>
          <w:szCs w:val="28"/>
        </w:rPr>
      </w:pPr>
      <w:r w:rsidRPr="00640402">
        <w:rPr>
          <w:rFonts w:ascii="Arial" w:hAnsi="Arial" w:cs="Arial"/>
          <w:b/>
          <w:sz w:val="28"/>
          <w:szCs w:val="28"/>
        </w:rPr>
        <w:t>Assignment Title:</w:t>
      </w:r>
      <w:r>
        <w:rPr>
          <w:rFonts w:ascii="Arial" w:hAnsi="Arial" w:cs="Arial"/>
          <w:sz w:val="28"/>
          <w:szCs w:val="28"/>
        </w:rPr>
        <w:t xml:space="preserve"> </w:t>
      </w:r>
      <w:r w:rsidRPr="00640402">
        <w:rPr>
          <w:rFonts w:ascii="Arial" w:hAnsi="Arial" w:cs="Arial"/>
          <w:bCs/>
          <w:sz w:val="28"/>
          <w:szCs w:val="28"/>
        </w:rPr>
        <w:t>Financial Turnaround Strategy for General Electronics</w:t>
      </w:r>
    </w:p>
    <w:p w14:paraId="74A12A89" w14:textId="77777777" w:rsidR="00640402" w:rsidRPr="00922363" w:rsidRDefault="00640402" w:rsidP="00640402">
      <w:pPr>
        <w:spacing w:line="360" w:lineRule="auto"/>
        <w:jc w:val="center"/>
        <w:rPr>
          <w:rFonts w:ascii="Arial" w:hAnsi="Arial" w:cs="Arial"/>
          <w:sz w:val="28"/>
          <w:szCs w:val="28"/>
        </w:rPr>
      </w:pPr>
      <w:r w:rsidRPr="00640402">
        <w:rPr>
          <w:rFonts w:ascii="Arial" w:hAnsi="Arial" w:cs="Arial"/>
          <w:b/>
          <w:sz w:val="28"/>
          <w:szCs w:val="28"/>
        </w:rPr>
        <w:t>Student Name:</w:t>
      </w:r>
      <w:r>
        <w:rPr>
          <w:rFonts w:ascii="Arial" w:hAnsi="Arial" w:cs="Arial"/>
          <w:sz w:val="28"/>
          <w:szCs w:val="28"/>
        </w:rPr>
        <w:t xml:space="preserve"> Fabiha Rahman</w:t>
      </w:r>
    </w:p>
    <w:p w14:paraId="65E9C09B" w14:textId="77777777" w:rsidR="00640402" w:rsidRPr="00922363" w:rsidRDefault="00640402" w:rsidP="00640402">
      <w:pPr>
        <w:spacing w:line="360" w:lineRule="auto"/>
        <w:jc w:val="center"/>
        <w:rPr>
          <w:rFonts w:ascii="Arial" w:hAnsi="Arial" w:cs="Arial"/>
          <w:sz w:val="28"/>
          <w:szCs w:val="28"/>
        </w:rPr>
      </w:pPr>
    </w:p>
    <w:p w14:paraId="538ED772" w14:textId="77777777" w:rsidR="00640402" w:rsidRPr="00922363" w:rsidRDefault="00640402" w:rsidP="00640402">
      <w:pPr>
        <w:spacing w:line="360" w:lineRule="auto"/>
        <w:jc w:val="center"/>
        <w:rPr>
          <w:rFonts w:ascii="Arial" w:hAnsi="Arial" w:cs="Arial"/>
          <w:sz w:val="28"/>
          <w:szCs w:val="28"/>
        </w:rPr>
      </w:pPr>
      <w:r w:rsidRPr="00640402">
        <w:rPr>
          <w:rFonts w:ascii="Arial" w:hAnsi="Arial" w:cs="Arial"/>
          <w:b/>
          <w:sz w:val="28"/>
          <w:szCs w:val="28"/>
        </w:rPr>
        <w:t>Student ID:</w:t>
      </w:r>
      <w:r>
        <w:rPr>
          <w:rFonts w:ascii="Arial" w:hAnsi="Arial" w:cs="Arial"/>
          <w:sz w:val="28"/>
          <w:szCs w:val="28"/>
        </w:rPr>
        <w:t xml:space="preserve"> 2506578</w:t>
      </w:r>
    </w:p>
    <w:p w14:paraId="29EC01CA" w14:textId="77777777" w:rsidR="00640402" w:rsidRPr="00922363" w:rsidRDefault="00640402" w:rsidP="00640402">
      <w:pPr>
        <w:spacing w:line="360" w:lineRule="auto"/>
        <w:jc w:val="center"/>
        <w:rPr>
          <w:rFonts w:ascii="Arial" w:hAnsi="Arial" w:cs="Arial"/>
          <w:sz w:val="28"/>
          <w:szCs w:val="28"/>
        </w:rPr>
      </w:pPr>
    </w:p>
    <w:p w14:paraId="5E0D5FE6" w14:textId="77777777" w:rsidR="00640402" w:rsidRPr="00922363" w:rsidRDefault="00640402" w:rsidP="00640402">
      <w:pPr>
        <w:spacing w:line="360" w:lineRule="auto"/>
        <w:jc w:val="center"/>
        <w:rPr>
          <w:rFonts w:ascii="Arial" w:hAnsi="Arial" w:cs="Arial"/>
          <w:sz w:val="28"/>
          <w:szCs w:val="28"/>
        </w:rPr>
      </w:pPr>
      <w:r w:rsidRPr="00640402">
        <w:rPr>
          <w:rFonts w:ascii="Arial" w:hAnsi="Arial" w:cs="Arial"/>
          <w:b/>
          <w:sz w:val="28"/>
          <w:szCs w:val="28"/>
        </w:rPr>
        <w:t>Lecturer:</w:t>
      </w:r>
      <w:r w:rsidRPr="00922363">
        <w:rPr>
          <w:rFonts w:ascii="Arial" w:hAnsi="Arial" w:cs="Arial"/>
          <w:sz w:val="28"/>
          <w:szCs w:val="28"/>
        </w:rPr>
        <w:t xml:space="preserve"> </w:t>
      </w:r>
      <w:proofErr w:type="spellStart"/>
      <w:r w:rsidRPr="00922363">
        <w:rPr>
          <w:rFonts w:ascii="Arial" w:hAnsi="Arial" w:cs="Arial"/>
          <w:sz w:val="28"/>
          <w:szCs w:val="28"/>
        </w:rPr>
        <w:t>Shengfeng</w:t>
      </w:r>
      <w:proofErr w:type="spellEnd"/>
      <w:r w:rsidRPr="00922363">
        <w:rPr>
          <w:rFonts w:ascii="Arial" w:hAnsi="Arial" w:cs="Arial"/>
          <w:sz w:val="28"/>
          <w:szCs w:val="28"/>
        </w:rPr>
        <w:t xml:space="preserve"> Mei </w:t>
      </w:r>
    </w:p>
    <w:p w14:paraId="4224D944" w14:textId="77777777" w:rsidR="00640402" w:rsidRPr="00922363" w:rsidRDefault="00640402" w:rsidP="00640402">
      <w:pPr>
        <w:spacing w:line="360" w:lineRule="auto"/>
        <w:jc w:val="center"/>
        <w:rPr>
          <w:rFonts w:ascii="Arial" w:hAnsi="Arial" w:cs="Arial"/>
          <w:sz w:val="28"/>
          <w:szCs w:val="28"/>
        </w:rPr>
      </w:pPr>
    </w:p>
    <w:p w14:paraId="1AAFCFF6" w14:textId="77777777" w:rsidR="00640402" w:rsidRPr="00922363" w:rsidRDefault="00640402" w:rsidP="00640402">
      <w:pPr>
        <w:spacing w:line="360" w:lineRule="auto"/>
        <w:jc w:val="center"/>
        <w:rPr>
          <w:rFonts w:ascii="Arial" w:hAnsi="Arial" w:cs="Arial"/>
          <w:sz w:val="28"/>
          <w:szCs w:val="28"/>
        </w:rPr>
      </w:pPr>
      <w:r w:rsidRPr="00922363">
        <w:rPr>
          <w:rFonts w:ascii="Arial" w:hAnsi="Arial" w:cs="Arial"/>
          <w:sz w:val="28"/>
          <w:szCs w:val="28"/>
        </w:rPr>
        <w:t>Word Count:</w:t>
      </w:r>
      <w:r w:rsidR="00A55C4C">
        <w:rPr>
          <w:rFonts w:ascii="Arial" w:hAnsi="Arial" w:cs="Arial"/>
          <w:sz w:val="28"/>
          <w:szCs w:val="28"/>
        </w:rPr>
        <w:t xml:space="preserve"> 5000</w:t>
      </w:r>
    </w:p>
    <w:p w14:paraId="65C9C411" w14:textId="77777777" w:rsidR="00640402" w:rsidRPr="00922363" w:rsidRDefault="00640402" w:rsidP="00640402">
      <w:pPr>
        <w:spacing w:line="360" w:lineRule="auto"/>
        <w:jc w:val="center"/>
        <w:rPr>
          <w:rFonts w:ascii="Arial" w:hAnsi="Arial" w:cs="Arial"/>
        </w:rPr>
      </w:pPr>
    </w:p>
    <w:p w14:paraId="0873A6C2" w14:textId="77777777" w:rsidR="00640402" w:rsidRPr="00646406" w:rsidRDefault="00640402" w:rsidP="00640402">
      <w:pPr>
        <w:rPr>
          <w:rFonts w:ascii="Arial" w:hAnsi="Arial" w:cs="Arial"/>
          <w:b/>
          <w:bCs/>
        </w:rPr>
      </w:pPr>
    </w:p>
    <w:p w14:paraId="57D10723" w14:textId="77777777" w:rsidR="00640402" w:rsidRDefault="00640402" w:rsidP="00422A24">
      <w:pPr>
        <w:spacing w:line="276" w:lineRule="auto"/>
        <w:jc w:val="both"/>
        <w:rPr>
          <w:rFonts w:ascii="Arial" w:hAnsi="Arial" w:cs="Arial"/>
          <w:b/>
          <w:sz w:val="24"/>
          <w:szCs w:val="24"/>
        </w:rPr>
      </w:pPr>
    </w:p>
    <w:p w14:paraId="090BBF6E" w14:textId="77777777" w:rsidR="00F60E9B" w:rsidRPr="00422A24" w:rsidRDefault="00F60E9B" w:rsidP="00422A24">
      <w:pPr>
        <w:spacing w:line="276" w:lineRule="auto"/>
        <w:jc w:val="both"/>
        <w:rPr>
          <w:rFonts w:ascii="Arial" w:hAnsi="Arial" w:cs="Arial"/>
          <w:b/>
          <w:sz w:val="24"/>
          <w:szCs w:val="24"/>
        </w:rPr>
      </w:pPr>
    </w:p>
    <w:p w14:paraId="22BBA027" w14:textId="77777777" w:rsidR="00F60E9B" w:rsidRPr="00F60E9B" w:rsidRDefault="00F60E9B" w:rsidP="00F60E9B">
      <w:pPr>
        <w:spacing w:line="360" w:lineRule="auto"/>
        <w:jc w:val="both"/>
        <w:rPr>
          <w:rFonts w:ascii="Arial" w:hAnsi="Arial" w:cs="Arial"/>
          <w:b/>
          <w:sz w:val="28"/>
          <w:szCs w:val="24"/>
        </w:rPr>
      </w:pPr>
      <w:r w:rsidRPr="00F60E9B">
        <w:rPr>
          <w:rFonts w:ascii="Arial" w:hAnsi="Arial" w:cs="Arial"/>
          <w:b/>
          <w:bCs/>
          <w:sz w:val="28"/>
          <w:szCs w:val="24"/>
        </w:rPr>
        <w:t>Executive Summary</w:t>
      </w:r>
    </w:p>
    <w:p w14:paraId="12FBACB2" w14:textId="0CC857E0" w:rsidR="00600C46" w:rsidRDefault="00F60E9B" w:rsidP="00F60E9B">
      <w:pPr>
        <w:spacing w:line="360" w:lineRule="auto"/>
        <w:jc w:val="both"/>
        <w:rPr>
          <w:rFonts w:ascii="Arial" w:hAnsi="Arial" w:cs="Arial"/>
          <w:sz w:val="24"/>
          <w:szCs w:val="24"/>
        </w:rPr>
      </w:pPr>
      <w:r w:rsidRPr="00F60E9B">
        <w:rPr>
          <w:rFonts w:ascii="Arial" w:hAnsi="Arial" w:cs="Arial"/>
          <w:sz w:val="24"/>
          <w:szCs w:val="24"/>
        </w:rPr>
        <w:t xml:space="preserve">A comprehensive diagnostic analysis of General Electronics’ financial performance between 2020 and 2024 is conducted, revealing a critical deterioration in profitability, liquidity, and capital structure. Through rigorous ratio analysis, Altman’s Z-score modeling, and evaluation of the cash operating cycle, core inefficiencies in working capital management and unsustainable leverage are identified. A multi-faceted turnaround strategy is proposed, encompassing aggressive working capital reforms, a hybrid financial restructuring via equity injection and divestiture, and a disciplined capital allocation to Project C under capital rationing constraints. The integrated plan is designed to </w:t>
      </w:r>
      <w:r w:rsidR="00561979" w:rsidRPr="00F60E9B">
        <w:rPr>
          <w:rFonts w:ascii="Arial" w:hAnsi="Arial" w:cs="Arial"/>
          <w:sz w:val="24"/>
          <w:szCs w:val="24"/>
        </w:rPr>
        <w:t>stabilize</w:t>
      </w:r>
      <w:r w:rsidRPr="00F60E9B">
        <w:rPr>
          <w:rFonts w:ascii="Arial" w:hAnsi="Arial" w:cs="Arial"/>
          <w:sz w:val="24"/>
          <w:szCs w:val="24"/>
        </w:rPr>
        <w:t xml:space="preserve"> the balance sheet, restore liquidity, and initiate value-creating growth, while incorporating ethical and international considerations to ensure a responsible and sustainable corporate recovery.</w:t>
      </w:r>
    </w:p>
    <w:p w14:paraId="5C1CE8CD" w14:textId="77777777" w:rsidR="00F60E9B" w:rsidRDefault="00F60E9B" w:rsidP="00422A24">
      <w:pPr>
        <w:spacing w:line="276" w:lineRule="auto"/>
        <w:jc w:val="both"/>
        <w:rPr>
          <w:rFonts w:ascii="Arial" w:hAnsi="Arial" w:cs="Arial"/>
          <w:sz w:val="24"/>
          <w:szCs w:val="24"/>
        </w:rPr>
      </w:pPr>
    </w:p>
    <w:p w14:paraId="5C1BECE4" w14:textId="77777777" w:rsidR="00F60E9B" w:rsidRDefault="00F60E9B" w:rsidP="00422A24">
      <w:pPr>
        <w:spacing w:line="276" w:lineRule="auto"/>
        <w:jc w:val="both"/>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noProof/>
          <w:sz w:val="16"/>
          <w:szCs w:val="16"/>
        </w:rPr>
        <w:id w:val="-297079966"/>
        <w:docPartObj>
          <w:docPartGallery w:val="Table of Contents"/>
          <w:docPartUnique/>
        </w:docPartObj>
      </w:sdtPr>
      <w:sdtEndPr>
        <w:rPr>
          <w:rFonts w:ascii="Arial" w:hAnsi="Arial" w:cs="Arial"/>
        </w:rPr>
      </w:sdtEndPr>
      <w:sdtContent>
        <w:p w14:paraId="365BE0AA" w14:textId="77777777" w:rsidR="00E54587" w:rsidRPr="00FB7151" w:rsidRDefault="00E54587" w:rsidP="00E54587">
          <w:pPr>
            <w:pStyle w:val="TOCHeading"/>
            <w:spacing w:line="240" w:lineRule="auto"/>
            <w:rPr>
              <w:rFonts w:cs="Arial"/>
              <w:color w:val="2E74B5" w:themeColor="accent1" w:themeShade="BF"/>
              <w:sz w:val="28"/>
              <w:szCs w:val="28"/>
            </w:rPr>
          </w:pPr>
          <w:r w:rsidRPr="00FB7151">
            <w:rPr>
              <w:rFonts w:cs="Arial"/>
              <w:color w:val="2E74B5" w:themeColor="accent1" w:themeShade="BF"/>
              <w:sz w:val="28"/>
              <w:szCs w:val="28"/>
            </w:rPr>
            <w:t>Table of Contents</w:t>
          </w:r>
        </w:p>
        <w:p w14:paraId="1C5AEC4D" w14:textId="7E6B8687" w:rsidR="0049103B" w:rsidRDefault="00E54587">
          <w:pPr>
            <w:pStyle w:val="TOC1"/>
            <w:rPr>
              <w:rFonts w:asciiTheme="minorHAnsi" w:eastAsiaTheme="minorEastAsia" w:hAnsiTheme="minorHAnsi" w:cstheme="minorBidi"/>
              <w:b w:val="0"/>
            </w:rPr>
          </w:pPr>
          <w:r w:rsidRPr="00FB7151">
            <w:rPr>
              <w:noProof w:val="0"/>
            </w:rPr>
            <w:fldChar w:fldCharType="begin"/>
          </w:r>
          <w:r w:rsidRPr="00FB7151">
            <w:instrText xml:space="preserve"> TOC \o "1-3" \h \z \u </w:instrText>
          </w:r>
          <w:r w:rsidRPr="00FB7151">
            <w:rPr>
              <w:noProof w:val="0"/>
            </w:rPr>
            <w:fldChar w:fldCharType="separate"/>
          </w:r>
          <w:hyperlink w:anchor="_Toc217237996" w:history="1">
            <w:r w:rsidR="0049103B" w:rsidRPr="00D01F87">
              <w:rPr>
                <w:rStyle w:val="Hyperlink"/>
              </w:rPr>
              <w:t>Introduction</w:t>
            </w:r>
            <w:r w:rsidR="0049103B">
              <w:rPr>
                <w:webHidden/>
              </w:rPr>
              <w:tab/>
            </w:r>
            <w:r w:rsidR="0049103B">
              <w:rPr>
                <w:webHidden/>
              </w:rPr>
              <w:fldChar w:fldCharType="begin"/>
            </w:r>
            <w:r w:rsidR="0049103B">
              <w:rPr>
                <w:webHidden/>
              </w:rPr>
              <w:instrText xml:space="preserve"> PAGEREF _Toc217237996 \h </w:instrText>
            </w:r>
            <w:r w:rsidR="0049103B">
              <w:rPr>
                <w:webHidden/>
              </w:rPr>
            </w:r>
            <w:r w:rsidR="0049103B">
              <w:rPr>
                <w:webHidden/>
              </w:rPr>
              <w:fldChar w:fldCharType="separate"/>
            </w:r>
            <w:r w:rsidR="0049103B">
              <w:rPr>
                <w:webHidden/>
              </w:rPr>
              <w:t>4</w:t>
            </w:r>
            <w:r w:rsidR="0049103B">
              <w:rPr>
                <w:webHidden/>
              </w:rPr>
              <w:fldChar w:fldCharType="end"/>
            </w:r>
          </w:hyperlink>
        </w:p>
        <w:p w14:paraId="67280E6D" w14:textId="18DF7786" w:rsidR="0049103B" w:rsidRDefault="0049103B">
          <w:pPr>
            <w:pStyle w:val="TOC1"/>
            <w:rPr>
              <w:rFonts w:asciiTheme="minorHAnsi" w:eastAsiaTheme="minorEastAsia" w:hAnsiTheme="minorHAnsi" w:cstheme="minorBidi"/>
              <w:b w:val="0"/>
            </w:rPr>
          </w:pPr>
          <w:hyperlink w:anchor="_Toc217237997" w:history="1">
            <w:r w:rsidRPr="00D01F87">
              <w:rPr>
                <w:rStyle w:val="Hyperlink"/>
              </w:rPr>
              <w:t>1.0 Financial Health Check</w:t>
            </w:r>
            <w:r>
              <w:rPr>
                <w:webHidden/>
              </w:rPr>
              <w:tab/>
            </w:r>
            <w:r>
              <w:rPr>
                <w:webHidden/>
              </w:rPr>
              <w:fldChar w:fldCharType="begin"/>
            </w:r>
            <w:r>
              <w:rPr>
                <w:webHidden/>
              </w:rPr>
              <w:instrText xml:space="preserve"> PAGEREF _Toc217237997 \h </w:instrText>
            </w:r>
            <w:r>
              <w:rPr>
                <w:webHidden/>
              </w:rPr>
            </w:r>
            <w:r>
              <w:rPr>
                <w:webHidden/>
              </w:rPr>
              <w:fldChar w:fldCharType="separate"/>
            </w:r>
            <w:r>
              <w:rPr>
                <w:webHidden/>
              </w:rPr>
              <w:t>4</w:t>
            </w:r>
            <w:r>
              <w:rPr>
                <w:webHidden/>
              </w:rPr>
              <w:fldChar w:fldCharType="end"/>
            </w:r>
          </w:hyperlink>
        </w:p>
        <w:p w14:paraId="06BE5E3E" w14:textId="49428B85" w:rsidR="0049103B" w:rsidRDefault="0049103B">
          <w:pPr>
            <w:pStyle w:val="TOC2"/>
            <w:rPr>
              <w:rFonts w:asciiTheme="minorHAnsi" w:eastAsiaTheme="minorEastAsia" w:hAnsiTheme="minorHAnsi" w:cstheme="minorBidi"/>
            </w:rPr>
          </w:pPr>
          <w:hyperlink w:anchor="_Toc217237998" w:history="1">
            <w:r w:rsidRPr="00D01F87">
              <w:rPr>
                <w:rStyle w:val="Hyperlink"/>
              </w:rPr>
              <w:t>Context</w:t>
            </w:r>
            <w:r>
              <w:rPr>
                <w:webHidden/>
              </w:rPr>
              <w:tab/>
            </w:r>
            <w:r>
              <w:rPr>
                <w:webHidden/>
              </w:rPr>
              <w:fldChar w:fldCharType="begin"/>
            </w:r>
            <w:r>
              <w:rPr>
                <w:webHidden/>
              </w:rPr>
              <w:instrText xml:space="preserve"> PAGEREF _Toc217237998 \h </w:instrText>
            </w:r>
            <w:r>
              <w:rPr>
                <w:webHidden/>
              </w:rPr>
            </w:r>
            <w:r>
              <w:rPr>
                <w:webHidden/>
              </w:rPr>
              <w:fldChar w:fldCharType="separate"/>
            </w:r>
            <w:r>
              <w:rPr>
                <w:webHidden/>
              </w:rPr>
              <w:t>4</w:t>
            </w:r>
            <w:r>
              <w:rPr>
                <w:webHidden/>
              </w:rPr>
              <w:fldChar w:fldCharType="end"/>
            </w:r>
          </w:hyperlink>
        </w:p>
        <w:p w14:paraId="5032208D" w14:textId="0031B3F2" w:rsidR="0049103B" w:rsidRDefault="0049103B">
          <w:pPr>
            <w:pStyle w:val="TOC2"/>
            <w:rPr>
              <w:rFonts w:asciiTheme="minorHAnsi" w:eastAsiaTheme="minorEastAsia" w:hAnsiTheme="minorHAnsi" w:cstheme="minorBidi"/>
            </w:rPr>
          </w:pPr>
          <w:hyperlink w:anchor="_Toc217237999" w:history="1">
            <w:r w:rsidRPr="00D01F87">
              <w:rPr>
                <w:rStyle w:val="Hyperlink"/>
              </w:rPr>
              <w:t>1.1 Profitability Analysis</w:t>
            </w:r>
            <w:r>
              <w:rPr>
                <w:webHidden/>
              </w:rPr>
              <w:tab/>
            </w:r>
            <w:r>
              <w:rPr>
                <w:webHidden/>
              </w:rPr>
              <w:fldChar w:fldCharType="begin"/>
            </w:r>
            <w:r>
              <w:rPr>
                <w:webHidden/>
              </w:rPr>
              <w:instrText xml:space="preserve"> PAGEREF _Toc217237999 \h </w:instrText>
            </w:r>
            <w:r>
              <w:rPr>
                <w:webHidden/>
              </w:rPr>
            </w:r>
            <w:r>
              <w:rPr>
                <w:webHidden/>
              </w:rPr>
              <w:fldChar w:fldCharType="separate"/>
            </w:r>
            <w:r>
              <w:rPr>
                <w:webHidden/>
              </w:rPr>
              <w:t>4</w:t>
            </w:r>
            <w:r>
              <w:rPr>
                <w:webHidden/>
              </w:rPr>
              <w:fldChar w:fldCharType="end"/>
            </w:r>
          </w:hyperlink>
        </w:p>
        <w:p w14:paraId="2E17AB9F" w14:textId="7DDC0765" w:rsidR="0049103B" w:rsidRDefault="0049103B">
          <w:pPr>
            <w:pStyle w:val="TOC2"/>
            <w:rPr>
              <w:rFonts w:asciiTheme="minorHAnsi" w:eastAsiaTheme="minorEastAsia" w:hAnsiTheme="minorHAnsi" w:cstheme="minorBidi"/>
            </w:rPr>
          </w:pPr>
          <w:hyperlink w:anchor="_Toc217238000" w:history="1">
            <w:r w:rsidRPr="00D01F87">
              <w:rPr>
                <w:rStyle w:val="Hyperlink"/>
              </w:rPr>
              <w:t>1.2 Liquidity and Solvency Analysis</w:t>
            </w:r>
            <w:r>
              <w:rPr>
                <w:webHidden/>
              </w:rPr>
              <w:tab/>
            </w:r>
            <w:r>
              <w:rPr>
                <w:webHidden/>
              </w:rPr>
              <w:fldChar w:fldCharType="begin"/>
            </w:r>
            <w:r>
              <w:rPr>
                <w:webHidden/>
              </w:rPr>
              <w:instrText xml:space="preserve"> PAGEREF _Toc217238000 \h </w:instrText>
            </w:r>
            <w:r>
              <w:rPr>
                <w:webHidden/>
              </w:rPr>
            </w:r>
            <w:r>
              <w:rPr>
                <w:webHidden/>
              </w:rPr>
              <w:fldChar w:fldCharType="separate"/>
            </w:r>
            <w:r>
              <w:rPr>
                <w:webHidden/>
              </w:rPr>
              <w:t>5</w:t>
            </w:r>
            <w:r>
              <w:rPr>
                <w:webHidden/>
              </w:rPr>
              <w:fldChar w:fldCharType="end"/>
            </w:r>
          </w:hyperlink>
        </w:p>
        <w:p w14:paraId="5D1FC9E7" w14:textId="49E8716C" w:rsidR="0049103B" w:rsidRDefault="0049103B">
          <w:pPr>
            <w:pStyle w:val="TOC2"/>
            <w:rPr>
              <w:rFonts w:asciiTheme="minorHAnsi" w:eastAsiaTheme="minorEastAsia" w:hAnsiTheme="minorHAnsi" w:cstheme="minorBidi"/>
            </w:rPr>
          </w:pPr>
          <w:hyperlink w:anchor="_Toc217238001" w:history="1">
            <w:r w:rsidRPr="00D01F87">
              <w:rPr>
                <w:rStyle w:val="Hyperlink"/>
              </w:rPr>
              <w:t>1.3 Efficiency and Cash Flow Analysis</w:t>
            </w:r>
            <w:r>
              <w:rPr>
                <w:webHidden/>
              </w:rPr>
              <w:tab/>
            </w:r>
            <w:r>
              <w:rPr>
                <w:webHidden/>
              </w:rPr>
              <w:fldChar w:fldCharType="begin"/>
            </w:r>
            <w:r>
              <w:rPr>
                <w:webHidden/>
              </w:rPr>
              <w:instrText xml:space="preserve"> PAGEREF _Toc217238001 \h </w:instrText>
            </w:r>
            <w:r>
              <w:rPr>
                <w:webHidden/>
              </w:rPr>
            </w:r>
            <w:r>
              <w:rPr>
                <w:webHidden/>
              </w:rPr>
              <w:fldChar w:fldCharType="separate"/>
            </w:r>
            <w:r>
              <w:rPr>
                <w:webHidden/>
              </w:rPr>
              <w:t>5</w:t>
            </w:r>
            <w:r>
              <w:rPr>
                <w:webHidden/>
              </w:rPr>
              <w:fldChar w:fldCharType="end"/>
            </w:r>
          </w:hyperlink>
        </w:p>
        <w:p w14:paraId="27918646" w14:textId="187FB51B" w:rsidR="0049103B" w:rsidRDefault="0049103B">
          <w:pPr>
            <w:pStyle w:val="TOC2"/>
            <w:rPr>
              <w:rFonts w:asciiTheme="minorHAnsi" w:eastAsiaTheme="minorEastAsia" w:hAnsiTheme="minorHAnsi" w:cstheme="minorBidi"/>
            </w:rPr>
          </w:pPr>
          <w:hyperlink w:anchor="_Toc217238002" w:history="1">
            <w:r w:rsidRPr="00D01F87">
              <w:rPr>
                <w:rStyle w:val="Hyperlink"/>
              </w:rPr>
              <w:t>1.4 Gearing and Solvency Ratio Analysis</w:t>
            </w:r>
            <w:r>
              <w:rPr>
                <w:webHidden/>
              </w:rPr>
              <w:tab/>
            </w:r>
            <w:r>
              <w:rPr>
                <w:webHidden/>
              </w:rPr>
              <w:fldChar w:fldCharType="begin"/>
            </w:r>
            <w:r>
              <w:rPr>
                <w:webHidden/>
              </w:rPr>
              <w:instrText xml:space="preserve"> PAGEREF _Toc217238002 \h </w:instrText>
            </w:r>
            <w:r>
              <w:rPr>
                <w:webHidden/>
              </w:rPr>
            </w:r>
            <w:r>
              <w:rPr>
                <w:webHidden/>
              </w:rPr>
              <w:fldChar w:fldCharType="separate"/>
            </w:r>
            <w:r>
              <w:rPr>
                <w:webHidden/>
              </w:rPr>
              <w:t>6</w:t>
            </w:r>
            <w:r>
              <w:rPr>
                <w:webHidden/>
              </w:rPr>
              <w:fldChar w:fldCharType="end"/>
            </w:r>
          </w:hyperlink>
        </w:p>
        <w:p w14:paraId="14D8FFBA" w14:textId="0C40B78B" w:rsidR="0049103B" w:rsidRDefault="0049103B">
          <w:pPr>
            <w:pStyle w:val="TOC2"/>
            <w:rPr>
              <w:rFonts w:asciiTheme="minorHAnsi" w:eastAsiaTheme="minorEastAsia" w:hAnsiTheme="minorHAnsi" w:cstheme="minorBidi"/>
            </w:rPr>
          </w:pPr>
          <w:hyperlink w:anchor="_Toc217238003" w:history="1">
            <w:r w:rsidRPr="00D01F87">
              <w:rPr>
                <w:rStyle w:val="Hyperlink"/>
              </w:rPr>
              <w:t>1.5 Investment and Market-Based Ratio Analysis</w:t>
            </w:r>
            <w:r>
              <w:rPr>
                <w:webHidden/>
              </w:rPr>
              <w:tab/>
            </w:r>
            <w:r>
              <w:rPr>
                <w:webHidden/>
              </w:rPr>
              <w:fldChar w:fldCharType="begin"/>
            </w:r>
            <w:r>
              <w:rPr>
                <w:webHidden/>
              </w:rPr>
              <w:instrText xml:space="preserve"> PAGEREF _Toc217238003 \h </w:instrText>
            </w:r>
            <w:r>
              <w:rPr>
                <w:webHidden/>
              </w:rPr>
            </w:r>
            <w:r>
              <w:rPr>
                <w:webHidden/>
              </w:rPr>
              <w:fldChar w:fldCharType="separate"/>
            </w:r>
            <w:r>
              <w:rPr>
                <w:webHidden/>
              </w:rPr>
              <w:t>6</w:t>
            </w:r>
            <w:r>
              <w:rPr>
                <w:webHidden/>
              </w:rPr>
              <w:fldChar w:fldCharType="end"/>
            </w:r>
          </w:hyperlink>
        </w:p>
        <w:p w14:paraId="63D7434E" w14:textId="46F53444" w:rsidR="0049103B" w:rsidRDefault="0049103B">
          <w:pPr>
            <w:pStyle w:val="TOC2"/>
            <w:rPr>
              <w:rFonts w:asciiTheme="minorHAnsi" w:eastAsiaTheme="minorEastAsia" w:hAnsiTheme="minorHAnsi" w:cstheme="minorBidi"/>
            </w:rPr>
          </w:pPr>
          <w:hyperlink w:anchor="_Toc217238004" w:history="1">
            <w:r w:rsidRPr="00D01F87">
              <w:rPr>
                <w:rStyle w:val="Hyperlink"/>
              </w:rPr>
              <w:t>1.6 Cash Flow Analysis</w:t>
            </w:r>
            <w:r>
              <w:rPr>
                <w:webHidden/>
              </w:rPr>
              <w:tab/>
            </w:r>
            <w:r>
              <w:rPr>
                <w:webHidden/>
              </w:rPr>
              <w:fldChar w:fldCharType="begin"/>
            </w:r>
            <w:r>
              <w:rPr>
                <w:webHidden/>
              </w:rPr>
              <w:instrText xml:space="preserve"> PAGEREF _Toc217238004 \h </w:instrText>
            </w:r>
            <w:r>
              <w:rPr>
                <w:webHidden/>
              </w:rPr>
            </w:r>
            <w:r>
              <w:rPr>
                <w:webHidden/>
              </w:rPr>
              <w:fldChar w:fldCharType="separate"/>
            </w:r>
            <w:r>
              <w:rPr>
                <w:webHidden/>
              </w:rPr>
              <w:t>7</w:t>
            </w:r>
            <w:r>
              <w:rPr>
                <w:webHidden/>
              </w:rPr>
              <w:fldChar w:fldCharType="end"/>
            </w:r>
          </w:hyperlink>
        </w:p>
        <w:p w14:paraId="543E0524" w14:textId="40D5615F" w:rsidR="0049103B" w:rsidRDefault="0049103B">
          <w:pPr>
            <w:pStyle w:val="TOC2"/>
            <w:rPr>
              <w:rFonts w:asciiTheme="minorHAnsi" w:eastAsiaTheme="minorEastAsia" w:hAnsiTheme="minorHAnsi" w:cstheme="minorBidi"/>
            </w:rPr>
          </w:pPr>
          <w:hyperlink w:anchor="_Toc217238005" w:history="1">
            <w:r w:rsidRPr="00D01F87">
              <w:rPr>
                <w:rStyle w:val="Hyperlink"/>
              </w:rPr>
              <w:t>1.7 Corporate Failure Prediction: Altman Z-Score</w:t>
            </w:r>
            <w:r>
              <w:rPr>
                <w:webHidden/>
              </w:rPr>
              <w:tab/>
            </w:r>
            <w:r>
              <w:rPr>
                <w:webHidden/>
              </w:rPr>
              <w:fldChar w:fldCharType="begin"/>
            </w:r>
            <w:r>
              <w:rPr>
                <w:webHidden/>
              </w:rPr>
              <w:instrText xml:space="preserve"> PAGEREF _Toc217238005 \h </w:instrText>
            </w:r>
            <w:r>
              <w:rPr>
                <w:webHidden/>
              </w:rPr>
            </w:r>
            <w:r>
              <w:rPr>
                <w:webHidden/>
              </w:rPr>
              <w:fldChar w:fldCharType="separate"/>
            </w:r>
            <w:r>
              <w:rPr>
                <w:webHidden/>
              </w:rPr>
              <w:t>7</w:t>
            </w:r>
            <w:r>
              <w:rPr>
                <w:webHidden/>
              </w:rPr>
              <w:fldChar w:fldCharType="end"/>
            </w:r>
          </w:hyperlink>
        </w:p>
        <w:p w14:paraId="6A580EF1" w14:textId="56DD243C" w:rsidR="0049103B" w:rsidRDefault="0049103B">
          <w:pPr>
            <w:pStyle w:val="TOC2"/>
            <w:rPr>
              <w:rFonts w:asciiTheme="minorHAnsi" w:eastAsiaTheme="minorEastAsia" w:hAnsiTheme="minorHAnsi" w:cstheme="minorBidi"/>
            </w:rPr>
          </w:pPr>
          <w:hyperlink w:anchor="_Toc217238006" w:history="1">
            <w:r w:rsidRPr="00D01F87">
              <w:rPr>
                <w:rStyle w:val="Hyperlink"/>
              </w:rPr>
              <w:t>1.8 Synthesis: Strengths, Weaknesses, and Risk Outlook</w:t>
            </w:r>
            <w:r>
              <w:rPr>
                <w:webHidden/>
              </w:rPr>
              <w:tab/>
            </w:r>
            <w:r>
              <w:rPr>
                <w:webHidden/>
              </w:rPr>
              <w:fldChar w:fldCharType="begin"/>
            </w:r>
            <w:r>
              <w:rPr>
                <w:webHidden/>
              </w:rPr>
              <w:instrText xml:space="preserve"> PAGEREF _Toc217238006 \h </w:instrText>
            </w:r>
            <w:r>
              <w:rPr>
                <w:webHidden/>
              </w:rPr>
            </w:r>
            <w:r>
              <w:rPr>
                <w:webHidden/>
              </w:rPr>
              <w:fldChar w:fldCharType="separate"/>
            </w:r>
            <w:r>
              <w:rPr>
                <w:webHidden/>
              </w:rPr>
              <w:t>8</w:t>
            </w:r>
            <w:r>
              <w:rPr>
                <w:webHidden/>
              </w:rPr>
              <w:fldChar w:fldCharType="end"/>
            </w:r>
          </w:hyperlink>
        </w:p>
        <w:p w14:paraId="4F421DB9" w14:textId="27DA07A5" w:rsidR="0049103B" w:rsidRDefault="0049103B">
          <w:pPr>
            <w:pStyle w:val="TOC2"/>
            <w:rPr>
              <w:rFonts w:asciiTheme="minorHAnsi" w:eastAsiaTheme="minorEastAsia" w:hAnsiTheme="minorHAnsi" w:cstheme="minorBidi"/>
            </w:rPr>
          </w:pPr>
          <w:hyperlink w:anchor="_Toc217238007" w:history="1">
            <w:r w:rsidRPr="00D01F87">
              <w:rPr>
                <w:rStyle w:val="Hyperlink"/>
              </w:rPr>
              <w:t>Conclusion</w:t>
            </w:r>
            <w:r>
              <w:rPr>
                <w:webHidden/>
              </w:rPr>
              <w:tab/>
            </w:r>
            <w:r>
              <w:rPr>
                <w:webHidden/>
              </w:rPr>
              <w:fldChar w:fldCharType="begin"/>
            </w:r>
            <w:r>
              <w:rPr>
                <w:webHidden/>
              </w:rPr>
              <w:instrText xml:space="preserve"> PAGEREF _Toc217238007 \h </w:instrText>
            </w:r>
            <w:r>
              <w:rPr>
                <w:webHidden/>
              </w:rPr>
            </w:r>
            <w:r>
              <w:rPr>
                <w:webHidden/>
              </w:rPr>
              <w:fldChar w:fldCharType="separate"/>
            </w:r>
            <w:r>
              <w:rPr>
                <w:webHidden/>
              </w:rPr>
              <w:t>8</w:t>
            </w:r>
            <w:r>
              <w:rPr>
                <w:webHidden/>
              </w:rPr>
              <w:fldChar w:fldCharType="end"/>
            </w:r>
          </w:hyperlink>
        </w:p>
        <w:p w14:paraId="367B2ACF" w14:textId="2B364511" w:rsidR="0049103B" w:rsidRDefault="0049103B">
          <w:pPr>
            <w:pStyle w:val="TOC1"/>
            <w:rPr>
              <w:rFonts w:asciiTheme="minorHAnsi" w:eastAsiaTheme="minorEastAsia" w:hAnsiTheme="minorHAnsi" w:cstheme="minorBidi"/>
              <w:b w:val="0"/>
            </w:rPr>
          </w:pPr>
          <w:hyperlink w:anchor="_Toc217238008" w:history="1">
            <w:r w:rsidRPr="00D01F87">
              <w:rPr>
                <w:rStyle w:val="Hyperlink"/>
              </w:rPr>
              <w:t>2.0</w:t>
            </w:r>
            <w:r>
              <w:rPr>
                <w:rFonts w:asciiTheme="minorHAnsi" w:eastAsiaTheme="minorEastAsia" w:hAnsiTheme="minorHAnsi" w:cstheme="minorBidi"/>
                <w:b w:val="0"/>
              </w:rPr>
              <w:tab/>
            </w:r>
            <w:r w:rsidRPr="00D01F87">
              <w:rPr>
                <w:rStyle w:val="Hyperlink"/>
              </w:rPr>
              <w:t>Working Capital Management Analysis</w:t>
            </w:r>
            <w:r>
              <w:rPr>
                <w:webHidden/>
              </w:rPr>
              <w:tab/>
            </w:r>
            <w:r>
              <w:rPr>
                <w:webHidden/>
              </w:rPr>
              <w:fldChar w:fldCharType="begin"/>
            </w:r>
            <w:r>
              <w:rPr>
                <w:webHidden/>
              </w:rPr>
              <w:instrText xml:space="preserve"> PAGEREF _Toc217238008 \h </w:instrText>
            </w:r>
            <w:r>
              <w:rPr>
                <w:webHidden/>
              </w:rPr>
            </w:r>
            <w:r>
              <w:rPr>
                <w:webHidden/>
              </w:rPr>
              <w:fldChar w:fldCharType="separate"/>
            </w:r>
            <w:r>
              <w:rPr>
                <w:webHidden/>
              </w:rPr>
              <w:t>9</w:t>
            </w:r>
            <w:r>
              <w:rPr>
                <w:webHidden/>
              </w:rPr>
              <w:fldChar w:fldCharType="end"/>
            </w:r>
          </w:hyperlink>
        </w:p>
        <w:p w14:paraId="2E26108E" w14:textId="774F8E5C" w:rsidR="0049103B" w:rsidRDefault="0049103B">
          <w:pPr>
            <w:pStyle w:val="TOC2"/>
            <w:rPr>
              <w:rFonts w:asciiTheme="minorHAnsi" w:eastAsiaTheme="minorEastAsia" w:hAnsiTheme="minorHAnsi" w:cstheme="minorBidi"/>
            </w:rPr>
          </w:pPr>
          <w:hyperlink w:anchor="_Toc217238009" w:history="1">
            <w:r w:rsidRPr="00D01F87">
              <w:rPr>
                <w:rStyle w:val="Hyperlink"/>
              </w:rPr>
              <w:t>Context</w:t>
            </w:r>
            <w:r>
              <w:rPr>
                <w:webHidden/>
              </w:rPr>
              <w:tab/>
            </w:r>
            <w:r>
              <w:rPr>
                <w:webHidden/>
              </w:rPr>
              <w:fldChar w:fldCharType="begin"/>
            </w:r>
            <w:r>
              <w:rPr>
                <w:webHidden/>
              </w:rPr>
              <w:instrText xml:space="preserve"> PAGEREF _Toc217238009 \h </w:instrText>
            </w:r>
            <w:r>
              <w:rPr>
                <w:webHidden/>
              </w:rPr>
            </w:r>
            <w:r>
              <w:rPr>
                <w:webHidden/>
              </w:rPr>
              <w:fldChar w:fldCharType="separate"/>
            </w:r>
            <w:r>
              <w:rPr>
                <w:webHidden/>
              </w:rPr>
              <w:t>9</w:t>
            </w:r>
            <w:r>
              <w:rPr>
                <w:webHidden/>
              </w:rPr>
              <w:fldChar w:fldCharType="end"/>
            </w:r>
          </w:hyperlink>
        </w:p>
        <w:p w14:paraId="0555EAC3" w14:textId="78AD1880" w:rsidR="0049103B" w:rsidRDefault="0049103B">
          <w:pPr>
            <w:pStyle w:val="TOC2"/>
            <w:rPr>
              <w:rFonts w:asciiTheme="minorHAnsi" w:eastAsiaTheme="minorEastAsia" w:hAnsiTheme="minorHAnsi" w:cstheme="minorBidi"/>
            </w:rPr>
          </w:pPr>
          <w:hyperlink w:anchor="_Toc217238010" w:history="1">
            <w:r w:rsidRPr="00D01F87">
              <w:rPr>
                <w:rStyle w:val="Hyperlink"/>
              </w:rPr>
              <w:t>2.1 Empirical Assessment of the Cash Operating Cycle Components</w:t>
            </w:r>
            <w:r>
              <w:rPr>
                <w:webHidden/>
              </w:rPr>
              <w:tab/>
            </w:r>
            <w:r>
              <w:rPr>
                <w:webHidden/>
              </w:rPr>
              <w:fldChar w:fldCharType="begin"/>
            </w:r>
            <w:r>
              <w:rPr>
                <w:webHidden/>
              </w:rPr>
              <w:instrText xml:space="preserve"> PAGEREF _Toc217238010 \h </w:instrText>
            </w:r>
            <w:r>
              <w:rPr>
                <w:webHidden/>
              </w:rPr>
            </w:r>
            <w:r>
              <w:rPr>
                <w:webHidden/>
              </w:rPr>
              <w:fldChar w:fldCharType="separate"/>
            </w:r>
            <w:r>
              <w:rPr>
                <w:webHidden/>
              </w:rPr>
              <w:t>9</w:t>
            </w:r>
            <w:r>
              <w:rPr>
                <w:webHidden/>
              </w:rPr>
              <w:fldChar w:fldCharType="end"/>
            </w:r>
          </w:hyperlink>
        </w:p>
        <w:p w14:paraId="4C1BDFC7" w14:textId="603DE1BC" w:rsidR="0049103B" w:rsidRDefault="0049103B">
          <w:pPr>
            <w:pStyle w:val="TOC2"/>
            <w:rPr>
              <w:rFonts w:asciiTheme="minorHAnsi" w:eastAsiaTheme="minorEastAsia" w:hAnsiTheme="minorHAnsi" w:cstheme="minorBidi"/>
            </w:rPr>
          </w:pPr>
          <w:hyperlink w:anchor="_Toc217238011" w:history="1">
            <w:r w:rsidRPr="00D01F87">
              <w:rPr>
                <w:rStyle w:val="Hyperlink"/>
              </w:rPr>
              <w:t>2.2 Synthesis and Implications for Liquidity</w:t>
            </w:r>
            <w:r>
              <w:rPr>
                <w:webHidden/>
              </w:rPr>
              <w:tab/>
            </w:r>
            <w:r>
              <w:rPr>
                <w:webHidden/>
              </w:rPr>
              <w:fldChar w:fldCharType="begin"/>
            </w:r>
            <w:r>
              <w:rPr>
                <w:webHidden/>
              </w:rPr>
              <w:instrText xml:space="preserve"> PAGEREF _Toc217238011 \h </w:instrText>
            </w:r>
            <w:r>
              <w:rPr>
                <w:webHidden/>
              </w:rPr>
            </w:r>
            <w:r>
              <w:rPr>
                <w:webHidden/>
              </w:rPr>
              <w:fldChar w:fldCharType="separate"/>
            </w:r>
            <w:r>
              <w:rPr>
                <w:webHidden/>
              </w:rPr>
              <w:t>10</w:t>
            </w:r>
            <w:r>
              <w:rPr>
                <w:webHidden/>
              </w:rPr>
              <w:fldChar w:fldCharType="end"/>
            </w:r>
          </w:hyperlink>
        </w:p>
        <w:p w14:paraId="6464C42F" w14:textId="358C2DE8" w:rsidR="0049103B" w:rsidRDefault="0049103B">
          <w:pPr>
            <w:pStyle w:val="TOC2"/>
            <w:rPr>
              <w:rFonts w:asciiTheme="minorHAnsi" w:eastAsiaTheme="minorEastAsia" w:hAnsiTheme="minorHAnsi" w:cstheme="minorBidi"/>
            </w:rPr>
          </w:pPr>
          <w:hyperlink w:anchor="_Toc217238012" w:history="1">
            <w:r w:rsidRPr="00D01F87">
              <w:rPr>
                <w:rStyle w:val="Hyperlink"/>
              </w:rPr>
              <w:t>2.3 Evaluation of Proposed Strategic Reforms</w:t>
            </w:r>
            <w:r>
              <w:rPr>
                <w:webHidden/>
              </w:rPr>
              <w:tab/>
            </w:r>
            <w:r>
              <w:rPr>
                <w:webHidden/>
              </w:rPr>
              <w:fldChar w:fldCharType="begin"/>
            </w:r>
            <w:r>
              <w:rPr>
                <w:webHidden/>
              </w:rPr>
              <w:instrText xml:space="preserve"> PAGEREF _Toc217238012 \h </w:instrText>
            </w:r>
            <w:r>
              <w:rPr>
                <w:webHidden/>
              </w:rPr>
            </w:r>
            <w:r>
              <w:rPr>
                <w:webHidden/>
              </w:rPr>
              <w:fldChar w:fldCharType="separate"/>
            </w:r>
            <w:r>
              <w:rPr>
                <w:webHidden/>
              </w:rPr>
              <w:t>10</w:t>
            </w:r>
            <w:r>
              <w:rPr>
                <w:webHidden/>
              </w:rPr>
              <w:fldChar w:fldCharType="end"/>
            </w:r>
          </w:hyperlink>
        </w:p>
        <w:p w14:paraId="08C738B0" w14:textId="08FDF03C" w:rsidR="0049103B" w:rsidRDefault="0049103B">
          <w:pPr>
            <w:pStyle w:val="TOC2"/>
            <w:rPr>
              <w:rFonts w:asciiTheme="minorHAnsi" w:eastAsiaTheme="minorEastAsia" w:hAnsiTheme="minorHAnsi" w:cstheme="minorBidi"/>
            </w:rPr>
          </w:pPr>
          <w:hyperlink w:anchor="_Toc217238013" w:history="1">
            <w:r w:rsidRPr="00D01F87">
              <w:rPr>
                <w:rStyle w:val="Hyperlink"/>
              </w:rPr>
              <w:t>2.4 Financing Strategy: Balancing Short-term Flexibility and Long-term Stability</w:t>
            </w:r>
            <w:r>
              <w:rPr>
                <w:webHidden/>
              </w:rPr>
              <w:tab/>
            </w:r>
            <w:r>
              <w:rPr>
                <w:webHidden/>
              </w:rPr>
              <w:fldChar w:fldCharType="begin"/>
            </w:r>
            <w:r>
              <w:rPr>
                <w:webHidden/>
              </w:rPr>
              <w:instrText xml:space="preserve"> PAGEREF _Toc217238013 \h </w:instrText>
            </w:r>
            <w:r>
              <w:rPr>
                <w:webHidden/>
              </w:rPr>
            </w:r>
            <w:r>
              <w:rPr>
                <w:webHidden/>
              </w:rPr>
              <w:fldChar w:fldCharType="separate"/>
            </w:r>
            <w:r>
              <w:rPr>
                <w:webHidden/>
              </w:rPr>
              <w:t>11</w:t>
            </w:r>
            <w:r>
              <w:rPr>
                <w:webHidden/>
              </w:rPr>
              <w:fldChar w:fldCharType="end"/>
            </w:r>
          </w:hyperlink>
        </w:p>
        <w:p w14:paraId="5DD663D8" w14:textId="0C3F3AB6" w:rsidR="0049103B" w:rsidRDefault="0049103B">
          <w:pPr>
            <w:pStyle w:val="TOC2"/>
            <w:rPr>
              <w:rFonts w:asciiTheme="minorHAnsi" w:eastAsiaTheme="minorEastAsia" w:hAnsiTheme="minorHAnsi" w:cstheme="minorBidi"/>
            </w:rPr>
          </w:pPr>
          <w:hyperlink w:anchor="_Toc217238014" w:history="1">
            <w:r w:rsidRPr="00D01F87">
              <w:rPr>
                <w:rStyle w:val="Hyperlink"/>
              </w:rPr>
              <w:t>Conclusion</w:t>
            </w:r>
            <w:r>
              <w:rPr>
                <w:webHidden/>
              </w:rPr>
              <w:tab/>
            </w:r>
            <w:r>
              <w:rPr>
                <w:webHidden/>
              </w:rPr>
              <w:fldChar w:fldCharType="begin"/>
            </w:r>
            <w:r>
              <w:rPr>
                <w:webHidden/>
              </w:rPr>
              <w:instrText xml:space="preserve"> PAGEREF _Toc217238014 \h </w:instrText>
            </w:r>
            <w:r>
              <w:rPr>
                <w:webHidden/>
              </w:rPr>
            </w:r>
            <w:r>
              <w:rPr>
                <w:webHidden/>
              </w:rPr>
              <w:fldChar w:fldCharType="separate"/>
            </w:r>
            <w:r>
              <w:rPr>
                <w:webHidden/>
              </w:rPr>
              <w:t>11</w:t>
            </w:r>
            <w:r>
              <w:rPr>
                <w:webHidden/>
              </w:rPr>
              <w:fldChar w:fldCharType="end"/>
            </w:r>
          </w:hyperlink>
        </w:p>
        <w:p w14:paraId="04C1403F" w14:textId="767E341A" w:rsidR="0049103B" w:rsidRDefault="0049103B">
          <w:pPr>
            <w:pStyle w:val="TOC1"/>
            <w:rPr>
              <w:rFonts w:asciiTheme="minorHAnsi" w:eastAsiaTheme="minorEastAsia" w:hAnsiTheme="minorHAnsi" w:cstheme="minorBidi"/>
              <w:b w:val="0"/>
            </w:rPr>
          </w:pPr>
          <w:hyperlink w:anchor="_Toc217238015" w:history="1">
            <w:r w:rsidRPr="00D01F87">
              <w:rPr>
                <w:rStyle w:val="Hyperlink"/>
              </w:rPr>
              <w:t>3.0</w:t>
            </w:r>
            <w:r>
              <w:rPr>
                <w:rFonts w:asciiTheme="minorHAnsi" w:eastAsiaTheme="minorEastAsia" w:hAnsiTheme="minorHAnsi" w:cstheme="minorBidi"/>
                <w:b w:val="0"/>
              </w:rPr>
              <w:tab/>
            </w:r>
            <w:r w:rsidRPr="00D01F87">
              <w:rPr>
                <w:rStyle w:val="Hyperlink"/>
              </w:rPr>
              <w:t>Strategic Financial Restructuring Plan: Stabilizing General Electronics</w:t>
            </w:r>
            <w:r>
              <w:rPr>
                <w:webHidden/>
              </w:rPr>
              <w:tab/>
            </w:r>
            <w:r>
              <w:rPr>
                <w:webHidden/>
              </w:rPr>
              <w:fldChar w:fldCharType="begin"/>
            </w:r>
            <w:r>
              <w:rPr>
                <w:webHidden/>
              </w:rPr>
              <w:instrText xml:space="preserve"> PAGEREF _Toc217238015 \h </w:instrText>
            </w:r>
            <w:r>
              <w:rPr>
                <w:webHidden/>
              </w:rPr>
            </w:r>
            <w:r>
              <w:rPr>
                <w:webHidden/>
              </w:rPr>
              <w:fldChar w:fldCharType="separate"/>
            </w:r>
            <w:r>
              <w:rPr>
                <w:webHidden/>
              </w:rPr>
              <w:t>12</w:t>
            </w:r>
            <w:r>
              <w:rPr>
                <w:webHidden/>
              </w:rPr>
              <w:fldChar w:fldCharType="end"/>
            </w:r>
          </w:hyperlink>
        </w:p>
        <w:p w14:paraId="04CA5E26" w14:textId="7F2EDC5E" w:rsidR="0049103B" w:rsidRDefault="0049103B">
          <w:pPr>
            <w:pStyle w:val="TOC2"/>
            <w:rPr>
              <w:rFonts w:asciiTheme="minorHAnsi" w:eastAsiaTheme="minorEastAsia" w:hAnsiTheme="minorHAnsi" w:cstheme="minorBidi"/>
            </w:rPr>
          </w:pPr>
          <w:hyperlink w:anchor="_Toc217238016" w:history="1">
            <w:r w:rsidRPr="00D01F87">
              <w:rPr>
                <w:rStyle w:val="Hyperlink"/>
              </w:rPr>
              <w:t>Context</w:t>
            </w:r>
            <w:r>
              <w:rPr>
                <w:webHidden/>
              </w:rPr>
              <w:tab/>
            </w:r>
            <w:r>
              <w:rPr>
                <w:webHidden/>
              </w:rPr>
              <w:fldChar w:fldCharType="begin"/>
            </w:r>
            <w:r>
              <w:rPr>
                <w:webHidden/>
              </w:rPr>
              <w:instrText xml:space="preserve"> PAGEREF _Toc217238016 \h </w:instrText>
            </w:r>
            <w:r>
              <w:rPr>
                <w:webHidden/>
              </w:rPr>
            </w:r>
            <w:r>
              <w:rPr>
                <w:webHidden/>
              </w:rPr>
              <w:fldChar w:fldCharType="separate"/>
            </w:r>
            <w:r>
              <w:rPr>
                <w:webHidden/>
              </w:rPr>
              <w:t>12</w:t>
            </w:r>
            <w:r>
              <w:rPr>
                <w:webHidden/>
              </w:rPr>
              <w:fldChar w:fldCharType="end"/>
            </w:r>
          </w:hyperlink>
        </w:p>
        <w:p w14:paraId="628A8030" w14:textId="0D763A07" w:rsidR="0049103B" w:rsidRDefault="0049103B">
          <w:pPr>
            <w:pStyle w:val="TOC2"/>
            <w:rPr>
              <w:rFonts w:asciiTheme="minorHAnsi" w:eastAsiaTheme="minorEastAsia" w:hAnsiTheme="minorHAnsi" w:cstheme="minorBidi"/>
            </w:rPr>
          </w:pPr>
          <w:hyperlink w:anchor="_Toc217238017" w:history="1">
            <w:r w:rsidRPr="00D01F87">
              <w:rPr>
                <w:rStyle w:val="Hyperlink"/>
              </w:rPr>
              <w:t>3.1 Evaluation of Restructuring Options</w:t>
            </w:r>
            <w:r>
              <w:rPr>
                <w:webHidden/>
              </w:rPr>
              <w:tab/>
            </w:r>
            <w:r>
              <w:rPr>
                <w:webHidden/>
              </w:rPr>
              <w:fldChar w:fldCharType="begin"/>
            </w:r>
            <w:r>
              <w:rPr>
                <w:webHidden/>
              </w:rPr>
              <w:instrText xml:space="preserve"> PAGEREF _Toc217238017 \h </w:instrText>
            </w:r>
            <w:r>
              <w:rPr>
                <w:webHidden/>
              </w:rPr>
            </w:r>
            <w:r>
              <w:rPr>
                <w:webHidden/>
              </w:rPr>
              <w:fldChar w:fldCharType="separate"/>
            </w:r>
            <w:r>
              <w:rPr>
                <w:webHidden/>
              </w:rPr>
              <w:t>12</w:t>
            </w:r>
            <w:r>
              <w:rPr>
                <w:webHidden/>
              </w:rPr>
              <w:fldChar w:fldCharType="end"/>
            </w:r>
          </w:hyperlink>
        </w:p>
        <w:p w14:paraId="7664ADF7" w14:textId="6EFBC7C7" w:rsidR="0049103B" w:rsidRDefault="0049103B">
          <w:pPr>
            <w:pStyle w:val="TOC2"/>
            <w:rPr>
              <w:rFonts w:asciiTheme="minorHAnsi" w:eastAsiaTheme="minorEastAsia" w:hAnsiTheme="minorHAnsi" w:cstheme="minorBidi"/>
            </w:rPr>
          </w:pPr>
          <w:hyperlink w:anchor="_Toc217238018" w:history="1">
            <w:r w:rsidRPr="00D01F87">
              <w:rPr>
                <w:rStyle w:val="Hyperlink"/>
              </w:rPr>
              <w:t>3.2 The Recommended Hybrid Strategy and Pro-Forma Impact</w:t>
            </w:r>
            <w:r>
              <w:rPr>
                <w:webHidden/>
              </w:rPr>
              <w:tab/>
            </w:r>
            <w:r>
              <w:rPr>
                <w:webHidden/>
              </w:rPr>
              <w:fldChar w:fldCharType="begin"/>
            </w:r>
            <w:r>
              <w:rPr>
                <w:webHidden/>
              </w:rPr>
              <w:instrText xml:space="preserve"> PAGEREF _Toc217238018 \h </w:instrText>
            </w:r>
            <w:r>
              <w:rPr>
                <w:webHidden/>
              </w:rPr>
            </w:r>
            <w:r>
              <w:rPr>
                <w:webHidden/>
              </w:rPr>
              <w:fldChar w:fldCharType="separate"/>
            </w:r>
            <w:r>
              <w:rPr>
                <w:webHidden/>
              </w:rPr>
              <w:t>13</w:t>
            </w:r>
            <w:r>
              <w:rPr>
                <w:webHidden/>
              </w:rPr>
              <w:fldChar w:fldCharType="end"/>
            </w:r>
          </w:hyperlink>
        </w:p>
        <w:p w14:paraId="0F72D897" w14:textId="23F37987" w:rsidR="0049103B" w:rsidRDefault="0049103B">
          <w:pPr>
            <w:pStyle w:val="TOC2"/>
            <w:rPr>
              <w:rFonts w:asciiTheme="minorHAnsi" w:eastAsiaTheme="minorEastAsia" w:hAnsiTheme="minorHAnsi" w:cstheme="minorBidi"/>
            </w:rPr>
          </w:pPr>
          <w:hyperlink w:anchor="_Toc217238019" w:history="1">
            <w:r w:rsidRPr="00D01F87">
              <w:rPr>
                <w:rStyle w:val="Hyperlink"/>
              </w:rPr>
              <w:t>3.2.1 Impact on Capital Structure and Solvency</w:t>
            </w:r>
            <w:r>
              <w:rPr>
                <w:webHidden/>
              </w:rPr>
              <w:tab/>
            </w:r>
            <w:r>
              <w:rPr>
                <w:webHidden/>
              </w:rPr>
              <w:fldChar w:fldCharType="begin"/>
            </w:r>
            <w:r>
              <w:rPr>
                <w:webHidden/>
              </w:rPr>
              <w:instrText xml:space="preserve"> PAGEREF _Toc217238019 \h </w:instrText>
            </w:r>
            <w:r>
              <w:rPr>
                <w:webHidden/>
              </w:rPr>
            </w:r>
            <w:r>
              <w:rPr>
                <w:webHidden/>
              </w:rPr>
              <w:fldChar w:fldCharType="separate"/>
            </w:r>
            <w:r>
              <w:rPr>
                <w:webHidden/>
              </w:rPr>
              <w:t>13</w:t>
            </w:r>
            <w:r>
              <w:rPr>
                <w:webHidden/>
              </w:rPr>
              <w:fldChar w:fldCharType="end"/>
            </w:r>
          </w:hyperlink>
        </w:p>
        <w:p w14:paraId="43EBD612" w14:textId="2E18ABC6" w:rsidR="0049103B" w:rsidRDefault="0049103B">
          <w:pPr>
            <w:pStyle w:val="TOC2"/>
            <w:rPr>
              <w:rFonts w:asciiTheme="minorHAnsi" w:eastAsiaTheme="minorEastAsia" w:hAnsiTheme="minorHAnsi" w:cstheme="minorBidi"/>
            </w:rPr>
          </w:pPr>
          <w:hyperlink w:anchor="_Toc217238020" w:history="1">
            <w:r w:rsidRPr="00D01F87">
              <w:rPr>
                <w:rStyle w:val="Hyperlink"/>
              </w:rPr>
              <w:t>3.2.2 Impact on Shareholder Value and Market Perception</w:t>
            </w:r>
            <w:r>
              <w:rPr>
                <w:webHidden/>
              </w:rPr>
              <w:tab/>
            </w:r>
            <w:r>
              <w:rPr>
                <w:webHidden/>
              </w:rPr>
              <w:fldChar w:fldCharType="begin"/>
            </w:r>
            <w:r>
              <w:rPr>
                <w:webHidden/>
              </w:rPr>
              <w:instrText xml:space="preserve"> PAGEREF _Toc217238020 \h </w:instrText>
            </w:r>
            <w:r>
              <w:rPr>
                <w:webHidden/>
              </w:rPr>
            </w:r>
            <w:r>
              <w:rPr>
                <w:webHidden/>
              </w:rPr>
              <w:fldChar w:fldCharType="separate"/>
            </w:r>
            <w:r>
              <w:rPr>
                <w:webHidden/>
              </w:rPr>
              <w:t>14</w:t>
            </w:r>
            <w:r>
              <w:rPr>
                <w:webHidden/>
              </w:rPr>
              <w:fldChar w:fldCharType="end"/>
            </w:r>
          </w:hyperlink>
        </w:p>
        <w:p w14:paraId="498059BD" w14:textId="54A16B89" w:rsidR="0049103B" w:rsidRDefault="0049103B">
          <w:pPr>
            <w:pStyle w:val="TOC2"/>
            <w:rPr>
              <w:rFonts w:asciiTheme="minorHAnsi" w:eastAsiaTheme="minorEastAsia" w:hAnsiTheme="minorHAnsi" w:cstheme="minorBidi"/>
            </w:rPr>
          </w:pPr>
          <w:hyperlink w:anchor="_Toc217238021" w:history="1">
            <w:r w:rsidRPr="00D01F87">
              <w:rPr>
                <w:rStyle w:val="Hyperlink"/>
              </w:rPr>
              <w:t>3.3 International, Ethical, and Implementation Considerations</w:t>
            </w:r>
            <w:r>
              <w:rPr>
                <w:webHidden/>
              </w:rPr>
              <w:tab/>
            </w:r>
            <w:r>
              <w:rPr>
                <w:webHidden/>
              </w:rPr>
              <w:fldChar w:fldCharType="begin"/>
            </w:r>
            <w:r>
              <w:rPr>
                <w:webHidden/>
              </w:rPr>
              <w:instrText xml:space="preserve"> PAGEREF _Toc217238021 \h </w:instrText>
            </w:r>
            <w:r>
              <w:rPr>
                <w:webHidden/>
              </w:rPr>
            </w:r>
            <w:r>
              <w:rPr>
                <w:webHidden/>
              </w:rPr>
              <w:fldChar w:fldCharType="separate"/>
            </w:r>
            <w:r>
              <w:rPr>
                <w:webHidden/>
              </w:rPr>
              <w:t>15</w:t>
            </w:r>
            <w:r>
              <w:rPr>
                <w:webHidden/>
              </w:rPr>
              <w:fldChar w:fldCharType="end"/>
            </w:r>
          </w:hyperlink>
        </w:p>
        <w:p w14:paraId="5BFF8266" w14:textId="3E76804D" w:rsidR="0049103B" w:rsidRDefault="0049103B">
          <w:pPr>
            <w:pStyle w:val="TOC2"/>
            <w:rPr>
              <w:rFonts w:asciiTheme="minorHAnsi" w:eastAsiaTheme="minorEastAsia" w:hAnsiTheme="minorHAnsi" w:cstheme="minorBidi"/>
            </w:rPr>
          </w:pPr>
          <w:hyperlink w:anchor="_Toc217238022" w:history="1">
            <w:r w:rsidRPr="00D01F87">
              <w:rPr>
                <w:rStyle w:val="Hyperlink"/>
              </w:rPr>
              <w:t>3.3.1 Taxation and Currency Risk Mitigation</w:t>
            </w:r>
            <w:r>
              <w:rPr>
                <w:webHidden/>
              </w:rPr>
              <w:tab/>
            </w:r>
            <w:r>
              <w:rPr>
                <w:webHidden/>
              </w:rPr>
              <w:fldChar w:fldCharType="begin"/>
            </w:r>
            <w:r>
              <w:rPr>
                <w:webHidden/>
              </w:rPr>
              <w:instrText xml:space="preserve"> PAGEREF _Toc217238022 \h </w:instrText>
            </w:r>
            <w:r>
              <w:rPr>
                <w:webHidden/>
              </w:rPr>
            </w:r>
            <w:r>
              <w:rPr>
                <w:webHidden/>
              </w:rPr>
              <w:fldChar w:fldCharType="separate"/>
            </w:r>
            <w:r>
              <w:rPr>
                <w:webHidden/>
              </w:rPr>
              <w:t>15</w:t>
            </w:r>
            <w:r>
              <w:rPr>
                <w:webHidden/>
              </w:rPr>
              <w:fldChar w:fldCharType="end"/>
            </w:r>
          </w:hyperlink>
        </w:p>
        <w:p w14:paraId="743A5B9E" w14:textId="7A6275F8" w:rsidR="0049103B" w:rsidRDefault="0049103B">
          <w:pPr>
            <w:pStyle w:val="TOC2"/>
            <w:rPr>
              <w:rFonts w:asciiTheme="minorHAnsi" w:eastAsiaTheme="minorEastAsia" w:hAnsiTheme="minorHAnsi" w:cstheme="minorBidi"/>
            </w:rPr>
          </w:pPr>
          <w:hyperlink w:anchor="_Toc217238023" w:history="1">
            <w:r w:rsidRPr="00D01F87">
              <w:rPr>
                <w:rStyle w:val="Hyperlink"/>
              </w:rPr>
              <w:t>3.3.2 Inflation and Corporate Social Responsibility (CSR)</w:t>
            </w:r>
            <w:r>
              <w:rPr>
                <w:webHidden/>
              </w:rPr>
              <w:tab/>
            </w:r>
            <w:r>
              <w:rPr>
                <w:webHidden/>
              </w:rPr>
              <w:fldChar w:fldCharType="begin"/>
            </w:r>
            <w:r>
              <w:rPr>
                <w:webHidden/>
              </w:rPr>
              <w:instrText xml:space="preserve"> PAGEREF _Toc217238023 \h </w:instrText>
            </w:r>
            <w:r>
              <w:rPr>
                <w:webHidden/>
              </w:rPr>
            </w:r>
            <w:r>
              <w:rPr>
                <w:webHidden/>
              </w:rPr>
              <w:fldChar w:fldCharType="separate"/>
            </w:r>
            <w:r>
              <w:rPr>
                <w:webHidden/>
              </w:rPr>
              <w:t>15</w:t>
            </w:r>
            <w:r>
              <w:rPr>
                <w:webHidden/>
              </w:rPr>
              <w:fldChar w:fldCharType="end"/>
            </w:r>
          </w:hyperlink>
        </w:p>
        <w:p w14:paraId="7DD9B10F" w14:textId="7DF4F2C3" w:rsidR="0049103B" w:rsidRDefault="0049103B">
          <w:pPr>
            <w:pStyle w:val="TOC2"/>
            <w:rPr>
              <w:rFonts w:asciiTheme="minorHAnsi" w:eastAsiaTheme="minorEastAsia" w:hAnsiTheme="minorHAnsi" w:cstheme="minorBidi"/>
            </w:rPr>
          </w:pPr>
          <w:hyperlink w:anchor="_Toc217238024" w:history="1">
            <w:r w:rsidRPr="00D01F87">
              <w:rPr>
                <w:rStyle w:val="Hyperlink"/>
              </w:rPr>
              <w:t>3.3.3 Implementation Roadmap and Success Metrics</w:t>
            </w:r>
            <w:r>
              <w:rPr>
                <w:webHidden/>
              </w:rPr>
              <w:tab/>
            </w:r>
            <w:r>
              <w:rPr>
                <w:webHidden/>
              </w:rPr>
              <w:fldChar w:fldCharType="begin"/>
            </w:r>
            <w:r>
              <w:rPr>
                <w:webHidden/>
              </w:rPr>
              <w:instrText xml:space="preserve"> PAGEREF _Toc217238024 \h </w:instrText>
            </w:r>
            <w:r>
              <w:rPr>
                <w:webHidden/>
              </w:rPr>
            </w:r>
            <w:r>
              <w:rPr>
                <w:webHidden/>
              </w:rPr>
              <w:fldChar w:fldCharType="separate"/>
            </w:r>
            <w:r>
              <w:rPr>
                <w:webHidden/>
              </w:rPr>
              <w:t>15</w:t>
            </w:r>
            <w:r>
              <w:rPr>
                <w:webHidden/>
              </w:rPr>
              <w:fldChar w:fldCharType="end"/>
            </w:r>
          </w:hyperlink>
        </w:p>
        <w:p w14:paraId="236A859C" w14:textId="7C4BDD8A" w:rsidR="0049103B" w:rsidRDefault="0049103B">
          <w:pPr>
            <w:pStyle w:val="TOC2"/>
            <w:rPr>
              <w:rFonts w:asciiTheme="minorHAnsi" w:eastAsiaTheme="minorEastAsia" w:hAnsiTheme="minorHAnsi" w:cstheme="minorBidi"/>
            </w:rPr>
          </w:pPr>
          <w:hyperlink w:anchor="_Toc217238025" w:history="1">
            <w:r w:rsidRPr="00D01F87">
              <w:rPr>
                <w:rStyle w:val="Hyperlink"/>
              </w:rPr>
              <w:t>Conclusion</w:t>
            </w:r>
            <w:r>
              <w:rPr>
                <w:webHidden/>
              </w:rPr>
              <w:tab/>
            </w:r>
            <w:r>
              <w:rPr>
                <w:webHidden/>
              </w:rPr>
              <w:fldChar w:fldCharType="begin"/>
            </w:r>
            <w:r>
              <w:rPr>
                <w:webHidden/>
              </w:rPr>
              <w:instrText xml:space="preserve"> PAGEREF _Toc217238025 \h </w:instrText>
            </w:r>
            <w:r>
              <w:rPr>
                <w:webHidden/>
              </w:rPr>
            </w:r>
            <w:r>
              <w:rPr>
                <w:webHidden/>
              </w:rPr>
              <w:fldChar w:fldCharType="separate"/>
            </w:r>
            <w:r>
              <w:rPr>
                <w:webHidden/>
              </w:rPr>
              <w:t>16</w:t>
            </w:r>
            <w:r>
              <w:rPr>
                <w:webHidden/>
              </w:rPr>
              <w:fldChar w:fldCharType="end"/>
            </w:r>
          </w:hyperlink>
        </w:p>
        <w:p w14:paraId="48948092" w14:textId="24C7FD4C" w:rsidR="0049103B" w:rsidRDefault="0049103B">
          <w:pPr>
            <w:pStyle w:val="TOC1"/>
            <w:rPr>
              <w:rFonts w:asciiTheme="minorHAnsi" w:eastAsiaTheme="minorEastAsia" w:hAnsiTheme="minorHAnsi" w:cstheme="minorBidi"/>
              <w:b w:val="0"/>
            </w:rPr>
          </w:pPr>
          <w:hyperlink w:anchor="_Toc217238026" w:history="1">
            <w:r w:rsidRPr="00D01F87">
              <w:rPr>
                <w:rStyle w:val="Hyperlink"/>
              </w:rPr>
              <w:t>4.0 Investment Appraisal and Capital Budgeting</w:t>
            </w:r>
            <w:r>
              <w:rPr>
                <w:webHidden/>
              </w:rPr>
              <w:tab/>
            </w:r>
            <w:r>
              <w:rPr>
                <w:webHidden/>
              </w:rPr>
              <w:fldChar w:fldCharType="begin"/>
            </w:r>
            <w:r>
              <w:rPr>
                <w:webHidden/>
              </w:rPr>
              <w:instrText xml:space="preserve"> PAGEREF _Toc217238026 \h </w:instrText>
            </w:r>
            <w:r>
              <w:rPr>
                <w:webHidden/>
              </w:rPr>
            </w:r>
            <w:r>
              <w:rPr>
                <w:webHidden/>
              </w:rPr>
              <w:fldChar w:fldCharType="separate"/>
            </w:r>
            <w:r>
              <w:rPr>
                <w:webHidden/>
              </w:rPr>
              <w:t>16</w:t>
            </w:r>
            <w:r>
              <w:rPr>
                <w:webHidden/>
              </w:rPr>
              <w:fldChar w:fldCharType="end"/>
            </w:r>
          </w:hyperlink>
        </w:p>
        <w:p w14:paraId="04154526" w14:textId="77A0DDAC" w:rsidR="0049103B" w:rsidRDefault="0049103B">
          <w:pPr>
            <w:pStyle w:val="TOC2"/>
            <w:rPr>
              <w:rFonts w:asciiTheme="minorHAnsi" w:eastAsiaTheme="minorEastAsia" w:hAnsiTheme="minorHAnsi" w:cstheme="minorBidi"/>
            </w:rPr>
          </w:pPr>
          <w:hyperlink w:anchor="_Toc217238027" w:history="1">
            <w:r w:rsidRPr="00D01F87">
              <w:rPr>
                <w:rStyle w:val="Hyperlink"/>
              </w:rPr>
              <w:t>Context</w:t>
            </w:r>
            <w:r>
              <w:rPr>
                <w:webHidden/>
              </w:rPr>
              <w:tab/>
            </w:r>
            <w:r>
              <w:rPr>
                <w:webHidden/>
              </w:rPr>
              <w:fldChar w:fldCharType="begin"/>
            </w:r>
            <w:r>
              <w:rPr>
                <w:webHidden/>
              </w:rPr>
              <w:instrText xml:space="preserve"> PAGEREF _Toc217238027 \h </w:instrText>
            </w:r>
            <w:r>
              <w:rPr>
                <w:webHidden/>
              </w:rPr>
            </w:r>
            <w:r>
              <w:rPr>
                <w:webHidden/>
              </w:rPr>
              <w:fldChar w:fldCharType="separate"/>
            </w:r>
            <w:r>
              <w:rPr>
                <w:webHidden/>
              </w:rPr>
              <w:t>16</w:t>
            </w:r>
            <w:r>
              <w:rPr>
                <w:webHidden/>
              </w:rPr>
              <w:fldChar w:fldCharType="end"/>
            </w:r>
          </w:hyperlink>
        </w:p>
        <w:p w14:paraId="3F0A69B1" w14:textId="1D2972E2" w:rsidR="0049103B" w:rsidRDefault="0049103B">
          <w:pPr>
            <w:pStyle w:val="TOC2"/>
            <w:rPr>
              <w:rFonts w:asciiTheme="minorHAnsi" w:eastAsiaTheme="minorEastAsia" w:hAnsiTheme="minorHAnsi" w:cstheme="minorBidi"/>
            </w:rPr>
          </w:pPr>
          <w:hyperlink w:anchor="_Toc217238028" w:history="1">
            <w:r w:rsidRPr="00D01F87">
              <w:rPr>
                <w:rStyle w:val="Hyperlink"/>
                <w:rFonts w:eastAsia="Times New Roman"/>
              </w:rPr>
              <w:t>4.1 Methodology and Key Assumptions</w:t>
            </w:r>
            <w:r>
              <w:rPr>
                <w:webHidden/>
              </w:rPr>
              <w:tab/>
            </w:r>
            <w:r>
              <w:rPr>
                <w:webHidden/>
              </w:rPr>
              <w:fldChar w:fldCharType="begin"/>
            </w:r>
            <w:r>
              <w:rPr>
                <w:webHidden/>
              </w:rPr>
              <w:instrText xml:space="preserve"> PAGEREF _Toc217238028 \h </w:instrText>
            </w:r>
            <w:r>
              <w:rPr>
                <w:webHidden/>
              </w:rPr>
            </w:r>
            <w:r>
              <w:rPr>
                <w:webHidden/>
              </w:rPr>
              <w:fldChar w:fldCharType="separate"/>
            </w:r>
            <w:r>
              <w:rPr>
                <w:webHidden/>
              </w:rPr>
              <w:t>17</w:t>
            </w:r>
            <w:r>
              <w:rPr>
                <w:webHidden/>
              </w:rPr>
              <w:fldChar w:fldCharType="end"/>
            </w:r>
          </w:hyperlink>
        </w:p>
        <w:p w14:paraId="0D858F8F" w14:textId="319063E9" w:rsidR="0049103B" w:rsidRDefault="0049103B">
          <w:pPr>
            <w:pStyle w:val="TOC2"/>
            <w:rPr>
              <w:rFonts w:asciiTheme="minorHAnsi" w:eastAsiaTheme="minorEastAsia" w:hAnsiTheme="minorHAnsi" w:cstheme="minorBidi"/>
            </w:rPr>
          </w:pPr>
          <w:hyperlink w:anchor="_Toc217238029" w:history="1">
            <w:r w:rsidRPr="00D01F87">
              <w:rPr>
                <w:rStyle w:val="Hyperlink"/>
              </w:rPr>
              <w:t>4.2 Comparative Appraisal of Investment Projects</w:t>
            </w:r>
            <w:r>
              <w:rPr>
                <w:webHidden/>
              </w:rPr>
              <w:tab/>
            </w:r>
            <w:r>
              <w:rPr>
                <w:webHidden/>
              </w:rPr>
              <w:fldChar w:fldCharType="begin"/>
            </w:r>
            <w:r>
              <w:rPr>
                <w:webHidden/>
              </w:rPr>
              <w:instrText xml:space="preserve"> PAGEREF _Toc217238029 \h </w:instrText>
            </w:r>
            <w:r>
              <w:rPr>
                <w:webHidden/>
              </w:rPr>
            </w:r>
            <w:r>
              <w:rPr>
                <w:webHidden/>
              </w:rPr>
              <w:fldChar w:fldCharType="separate"/>
            </w:r>
            <w:r>
              <w:rPr>
                <w:webHidden/>
              </w:rPr>
              <w:t>17</w:t>
            </w:r>
            <w:r>
              <w:rPr>
                <w:webHidden/>
              </w:rPr>
              <w:fldChar w:fldCharType="end"/>
            </w:r>
          </w:hyperlink>
        </w:p>
        <w:p w14:paraId="57E115C6" w14:textId="7A9A4238" w:rsidR="0049103B" w:rsidRDefault="0049103B">
          <w:pPr>
            <w:pStyle w:val="TOC2"/>
            <w:rPr>
              <w:rFonts w:asciiTheme="minorHAnsi" w:eastAsiaTheme="minorEastAsia" w:hAnsiTheme="minorHAnsi" w:cstheme="minorBidi"/>
            </w:rPr>
          </w:pPr>
          <w:hyperlink w:anchor="_Toc217238030" w:history="1">
            <w:r w:rsidRPr="00D01F87">
              <w:rPr>
                <w:rStyle w:val="Hyperlink"/>
              </w:rPr>
              <w:t>4.2.1 Payback Period (PBP) and Liquidity Assessment</w:t>
            </w:r>
            <w:r>
              <w:rPr>
                <w:webHidden/>
              </w:rPr>
              <w:tab/>
            </w:r>
            <w:r>
              <w:rPr>
                <w:webHidden/>
              </w:rPr>
              <w:fldChar w:fldCharType="begin"/>
            </w:r>
            <w:r>
              <w:rPr>
                <w:webHidden/>
              </w:rPr>
              <w:instrText xml:space="preserve"> PAGEREF _Toc217238030 \h </w:instrText>
            </w:r>
            <w:r>
              <w:rPr>
                <w:webHidden/>
              </w:rPr>
            </w:r>
            <w:r>
              <w:rPr>
                <w:webHidden/>
              </w:rPr>
              <w:fldChar w:fldCharType="separate"/>
            </w:r>
            <w:r>
              <w:rPr>
                <w:webHidden/>
              </w:rPr>
              <w:t>17</w:t>
            </w:r>
            <w:r>
              <w:rPr>
                <w:webHidden/>
              </w:rPr>
              <w:fldChar w:fldCharType="end"/>
            </w:r>
          </w:hyperlink>
        </w:p>
        <w:p w14:paraId="710D28F0" w14:textId="73519B6A" w:rsidR="0049103B" w:rsidRDefault="0049103B">
          <w:pPr>
            <w:pStyle w:val="TOC2"/>
            <w:rPr>
              <w:rFonts w:asciiTheme="minorHAnsi" w:eastAsiaTheme="minorEastAsia" w:hAnsiTheme="minorHAnsi" w:cstheme="minorBidi"/>
            </w:rPr>
          </w:pPr>
          <w:hyperlink w:anchor="_Toc217238031" w:history="1">
            <w:r w:rsidRPr="00D01F87">
              <w:rPr>
                <w:rStyle w:val="Hyperlink"/>
              </w:rPr>
              <w:t>4.2.2 Accounting Rate of Return (ARR) and Profitability</w:t>
            </w:r>
            <w:r>
              <w:rPr>
                <w:webHidden/>
              </w:rPr>
              <w:tab/>
            </w:r>
            <w:r>
              <w:rPr>
                <w:webHidden/>
              </w:rPr>
              <w:fldChar w:fldCharType="begin"/>
            </w:r>
            <w:r>
              <w:rPr>
                <w:webHidden/>
              </w:rPr>
              <w:instrText xml:space="preserve"> PAGEREF _Toc217238031 \h </w:instrText>
            </w:r>
            <w:r>
              <w:rPr>
                <w:webHidden/>
              </w:rPr>
            </w:r>
            <w:r>
              <w:rPr>
                <w:webHidden/>
              </w:rPr>
              <w:fldChar w:fldCharType="separate"/>
            </w:r>
            <w:r>
              <w:rPr>
                <w:webHidden/>
              </w:rPr>
              <w:t>17</w:t>
            </w:r>
            <w:r>
              <w:rPr>
                <w:webHidden/>
              </w:rPr>
              <w:fldChar w:fldCharType="end"/>
            </w:r>
          </w:hyperlink>
        </w:p>
        <w:p w14:paraId="20E8817D" w14:textId="66397407" w:rsidR="0049103B" w:rsidRDefault="0049103B">
          <w:pPr>
            <w:pStyle w:val="TOC2"/>
            <w:rPr>
              <w:rFonts w:asciiTheme="minorHAnsi" w:eastAsiaTheme="minorEastAsia" w:hAnsiTheme="minorHAnsi" w:cstheme="minorBidi"/>
            </w:rPr>
          </w:pPr>
          <w:hyperlink w:anchor="_Toc217238032" w:history="1">
            <w:r w:rsidRPr="00D01F87">
              <w:rPr>
                <w:rStyle w:val="Hyperlink"/>
              </w:rPr>
              <w:t>4.2.3 Net Present Value (NPV) and Value Creation</w:t>
            </w:r>
            <w:r>
              <w:rPr>
                <w:webHidden/>
              </w:rPr>
              <w:tab/>
            </w:r>
            <w:r>
              <w:rPr>
                <w:webHidden/>
              </w:rPr>
              <w:fldChar w:fldCharType="begin"/>
            </w:r>
            <w:r>
              <w:rPr>
                <w:webHidden/>
              </w:rPr>
              <w:instrText xml:space="preserve"> PAGEREF _Toc217238032 \h </w:instrText>
            </w:r>
            <w:r>
              <w:rPr>
                <w:webHidden/>
              </w:rPr>
            </w:r>
            <w:r>
              <w:rPr>
                <w:webHidden/>
              </w:rPr>
              <w:fldChar w:fldCharType="separate"/>
            </w:r>
            <w:r>
              <w:rPr>
                <w:webHidden/>
              </w:rPr>
              <w:t>18</w:t>
            </w:r>
            <w:r>
              <w:rPr>
                <w:webHidden/>
              </w:rPr>
              <w:fldChar w:fldCharType="end"/>
            </w:r>
          </w:hyperlink>
        </w:p>
        <w:p w14:paraId="12BC6D75" w14:textId="5DE78876" w:rsidR="0049103B" w:rsidRDefault="0049103B">
          <w:pPr>
            <w:pStyle w:val="TOC2"/>
            <w:rPr>
              <w:rFonts w:asciiTheme="minorHAnsi" w:eastAsiaTheme="minorEastAsia" w:hAnsiTheme="minorHAnsi" w:cstheme="minorBidi"/>
            </w:rPr>
          </w:pPr>
          <w:hyperlink w:anchor="_Toc217238033" w:history="1">
            <w:r w:rsidRPr="00D01F87">
              <w:rPr>
                <w:rStyle w:val="Hyperlink"/>
              </w:rPr>
              <w:t>4.2.4 Internal Rate of Return (IRR) and Project Yield</w:t>
            </w:r>
            <w:r>
              <w:rPr>
                <w:webHidden/>
              </w:rPr>
              <w:tab/>
            </w:r>
            <w:r>
              <w:rPr>
                <w:webHidden/>
              </w:rPr>
              <w:fldChar w:fldCharType="begin"/>
            </w:r>
            <w:r>
              <w:rPr>
                <w:webHidden/>
              </w:rPr>
              <w:instrText xml:space="preserve"> PAGEREF _Toc217238033 \h </w:instrText>
            </w:r>
            <w:r>
              <w:rPr>
                <w:webHidden/>
              </w:rPr>
            </w:r>
            <w:r>
              <w:rPr>
                <w:webHidden/>
              </w:rPr>
              <w:fldChar w:fldCharType="separate"/>
            </w:r>
            <w:r>
              <w:rPr>
                <w:webHidden/>
              </w:rPr>
              <w:t>18</w:t>
            </w:r>
            <w:r>
              <w:rPr>
                <w:webHidden/>
              </w:rPr>
              <w:fldChar w:fldCharType="end"/>
            </w:r>
          </w:hyperlink>
        </w:p>
        <w:p w14:paraId="61BFDB32" w14:textId="5B8BA17A" w:rsidR="0049103B" w:rsidRDefault="0049103B">
          <w:pPr>
            <w:pStyle w:val="TOC2"/>
            <w:rPr>
              <w:rFonts w:asciiTheme="minorHAnsi" w:eastAsiaTheme="minorEastAsia" w:hAnsiTheme="minorHAnsi" w:cstheme="minorBidi"/>
            </w:rPr>
          </w:pPr>
          <w:hyperlink w:anchor="_Toc217238034" w:history="1">
            <w:r w:rsidRPr="00D01F87">
              <w:rPr>
                <w:rStyle w:val="Hyperlink"/>
              </w:rPr>
              <w:t>4.2.5 Profitability Index (PI) and Capital Efficiency</w:t>
            </w:r>
            <w:r>
              <w:rPr>
                <w:webHidden/>
              </w:rPr>
              <w:tab/>
            </w:r>
            <w:r>
              <w:rPr>
                <w:webHidden/>
              </w:rPr>
              <w:fldChar w:fldCharType="begin"/>
            </w:r>
            <w:r>
              <w:rPr>
                <w:webHidden/>
              </w:rPr>
              <w:instrText xml:space="preserve"> PAGEREF _Toc217238034 \h </w:instrText>
            </w:r>
            <w:r>
              <w:rPr>
                <w:webHidden/>
              </w:rPr>
            </w:r>
            <w:r>
              <w:rPr>
                <w:webHidden/>
              </w:rPr>
              <w:fldChar w:fldCharType="separate"/>
            </w:r>
            <w:r>
              <w:rPr>
                <w:webHidden/>
              </w:rPr>
              <w:t>19</w:t>
            </w:r>
            <w:r>
              <w:rPr>
                <w:webHidden/>
              </w:rPr>
              <w:fldChar w:fldCharType="end"/>
            </w:r>
          </w:hyperlink>
        </w:p>
        <w:p w14:paraId="18490820" w14:textId="025A30D4" w:rsidR="0049103B" w:rsidRDefault="0049103B">
          <w:pPr>
            <w:pStyle w:val="TOC2"/>
            <w:rPr>
              <w:rFonts w:asciiTheme="minorHAnsi" w:eastAsiaTheme="minorEastAsia" w:hAnsiTheme="minorHAnsi" w:cstheme="minorBidi"/>
            </w:rPr>
          </w:pPr>
          <w:hyperlink w:anchor="_Toc217238035" w:history="1">
            <w:r w:rsidRPr="00D01F87">
              <w:rPr>
                <w:rStyle w:val="Hyperlink"/>
              </w:rPr>
              <w:t>4.3 Synthesis of Appraisal Results and Project Ranking</w:t>
            </w:r>
            <w:r>
              <w:rPr>
                <w:webHidden/>
              </w:rPr>
              <w:tab/>
            </w:r>
            <w:r>
              <w:rPr>
                <w:webHidden/>
              </w:rPr>
              <w:fldChar w:fldCharType="begin"/>
            </w:r>
            <w:r>
              <w:rPr>
                <w:webHidden/>
              </w:rPr>
              <w:instrText xml:space="preserve"> PAGEREF _Toc217238035 \h </w:instrText>
            </w:r>
            <w:r>
              <w:rPr>
                <w:webHidden/>
              </w:rPr>
            </w:r>
            <w:r>
              <w:rPr>
                <w:webHidden/>
              </w:rPr>
              <w:fldChar w:fldCharType="separate"/>
            </w:r>
            <w:r>
              <w:rPr>
                <w:webHidden/>
              </w:rPr>
              <w:t>19</w:t>
            </w:r>
            <w:r>
              <w:rPr>
                <w:webHidden/>
              </w:rPr>
              <w:fldChar w:fldCharType="end"/>
            </w:r>
          </w:hyperlink>
        </w:p>
        <w:p w14:paraId="44C969E0" w14:textId="6CF94A9E" w:rsidR="0049103B" w:rsidRDefault="0049103B">
          <w:pPr>
            <w:pStyle w:val="TOC2"/>
            <w:rPr>
              <w:rFonts w:asciiTheme="minorHAnsi" w:eastAsiaTheme="minorEastAsia" w:hAnsiTheme="minorHAnsi" w:cstheme="minorBidi"/>
            </w:rPr>
          </w:pPr>
          <w:hyperlink w:anchor="_Toc217238036" w:history="1">
            <w:r w:rsidRPr="00D01F87">
              <w:rPr>
                <w:rStyle w:val="Hyperlink"/>
              </w:rPr>
              <w:t>4.4 Capital Rationing and Optimal Project Selection</w:t>
            </w:r>
            <w:r>
              <w:rPr>
                <w:webHidden/>
              </w:rPr>
              <w:tab/>
            </w:r>
            <w:r>
              <w:rPr>
                <w:webHidden/>
              </w:rPr>
              <w:fldChar w:fldCharType="begin"/>
            </w:r>
            <w:r>
              <w:rPr>
                <w:webHidden/>
              </w:rPr>
              <w:instrText xml:space="preserve"> PAGEREF _Toc217238036 \h </w:instrText>
            </w:r>
            <w:r>
              <w:rPr>
                <w:webHidden/>
              </w:rPr>
            </w:r>
            <w:r>
              <w:rPr>
                <w:webHidden/>
              </w:rPr>
              <w:fldChar w:fldCharType="separate"/>
            </w:r>
            <w:r>
              <w:rPr>
                <w:webHidden/>
              </w:rPr>
              <w:t>19</w:t>
            </w:r>
            <w:r>
              <w:rPr>
                <w:webHidden/>
              </w:rPr>
              <w:fldChar w:fldCharType="end"/>
            </w:r>
          </w:hyperlink>
        </w:p>
        <w:p w14:paraId="7DEF7D54" w14:textId="6F066CFC" w:rsidR="0049103B" w:rsidRDefault="0049103B">
          <w:pPr>
            <w:pStyle w:val="TOC2"/>
            <w:rPr>
              <w:rFonts w:asciiTheme="minorHAnsi" w:eastAsiaTheme="minorEastAsia" w:hAnsiTheme="minorHAnsi" w:cstheme="minorBidi"/>
            </w:rPr>
          </w:pPr>
          <w:hyperlink w:anchor="_Toc217238037" w:history="1">
            <w:r w:rsidRPr="00D01F87">
              <w:rPr>
                <w:rStyle w:val="Hyperlink"/>
                <w:bCs/>
              </w:rPr>
              <w:t>4.5 Justification and Risk Considerations</w:t>
            </w:r>
            <w:r>
              <w:rPr>
                <w:webHidden/>
              </w:rPr>
              <w:tab/>
            </w:r>
            <w:r>
              <w:rPr>
                <w:webHidden/>
              </w:rPr>
              <w:fldChar w:fldCharType="begin"/>
            </w:r>
            <w:r>
              <w:rPr>
                <w:webHidden/>
              </w:rPr>
              <w:instrText xml:space="preserve"> PAGEREF _Toc217238037 \h </w:instrText>
            </w:r>
            <w:r>
              <w:rPr>
                <w:webHidden/>
              </w:rPr>
            </w:r>
            <w:r>
              <w:rPr>
                <w:webHidden/>
              </w:rPr>
              <w:fldChar w:fldCharType="separate"/>
            </w:r>
            <w:r>
              <w:rPr>
                <w:webHidden/>
              </w:rPr>
              <w:t>20</w:t>
            </w:r>
            <w:r>
              <w:rPr>
                <w:webHidden/>
              </w:rPr>
              <w:fldChar w:fldCharType="end"/>
            </w:r>
          </w:hyperlink>
        </w:p>
        <w:p w14:paraId="67A8003E" w14:textId="186A3015" w:rsidR="0049103B" w:rsidRDefault="0049103B">
          <w:pPr>
            <w:pStyle w:val="TOC2"/>
            <w:rPr>
              <w:rFonts w:asciiTheme="minorHAnsi" w:eastAsiaTheme="minorEastAsia" w:hAnsiTheme="minorHAnsi" w:cstheme="minorBidi"/>
            </w:rPr>
          </w:pPr>
          <w:hyperlink w:anchor="_Toc217238038" w:history="1">
            <w:r w:rsidRPr="00D01F87">
              <w:rPr>
                <w:rStyle w:val="Hyperlink"/>
              </w:rPr>
              <w:t>Conclusion</w:t>
            </w:r>
            <w:r>
              <w:rPr>
                <w:webHidden/>
              </w:rPr>
              <w:tab/>
            </w:r>
            <w:r>
              <w:rPr>
                <w:webHidden/>
              </w:rPr>
              <w:fldChar w:fldCharType="begin"/>
            </w:r>
            <w:r>
              <w:rPr>
                <w:webHidden/>
              </w:rPr>
              <w:instrText xml:space="preserve"> PAGEREF _Toc217238038 \h </w:instrText>
            </w:r>
            <w:r>
              <w:rPr>
                <w:webHidden/>
              </w:rPr>
            </w:r>
            <w:r>
              <w:rPr>
                <w:webHidden/>
              </w:rPr>
              <w:fldChar w:fldCharType="separate"/>
            </w:r>
            <w:r>
              <w:rPr>
                <w:webHidden/>
              </w:rPr>
              <w:t>21</w:t>
            </w:r>
            <w:r>
              <w:rPr>
                <w:webHidden/>
              </w:rPr>
              <w:fldChar w:fldCharType="end"/>
            </w:r>
          </w:hyperlink>
        </w:p>
        <w:p w14:paraId="331E26C3" w14:textId="6787DEA2" w:rsidR="0049103B" w:rsidRDefault="0049103B">
          <w:pPr>
            <w:pStyle w:val="TOC1"/>
            <w:rPr>
              <w:rFonts w:asciiTheme="minorHAnsi" w:eastAsiaTheme="minorEastAsia" w:hAnsiTheme="minorHAnsi" w:cstheme="minorBidi"/>
              <w:b w:val="0"/>
            </w:rPr>
          </w:pPr>
          <w:hyperlink w:anchor="_Toc217238039" w:history="1">
            <w:r w:rsidRPr="00D01F87">
              <w:rPr>
                <w:rStyle w:val="Hyperlink"/>
              </w:rPr>
              <w:t>Summary</w:t>
            </w:r>
            <w:r>
              <w:rPr>
                <w:webHidden/>
              </w:rPr>
              <w:tab/>
            </w:r>
            <w:r>
              <w:rPr>
                <w:webHidden/>
              </w:rPr>
              <w:fldChar w:fldCharType="begin"/>
            </w:r>
            <w:r>
              <w:rPr>
                <w:webHidden/>
              </w:rPr>
              <w:instrText xml:space="preserve"> PAGEREF _Toc217238039 \h </w:instrText>
            </w:r>
            <w:r>
              <w:rPr>
                <w:webHidden/>
              </w:rPr>
            </w:r>
            <w:r>
              <w:rPr>
                <w:webHidden/>
              </w:rPr>
              <w:fldChar w:fldCharType="separate"/>
            </w:r>
            <w:r>
              <w:rPr>
                <w:webHidden/>
              </w:rPr>
              <w:t>21</w:t>
            </w:r>
            <w:r>
              <w:rPr>
                <w:webHidden/>
              </w:rPr>
              <w:fldChar w:fldCharType="end"/>
            </w:r>
          </w:hyperlink>
        </w:p>
        <w:p w14:paraId="26C1D152" w14:textId="5CAF15C3" w:rsidR="0049103B" w:rsidRDefault="0049103B">
          <w:pPr>
            <w:pStyle w:val="TOC1"/>
            <w:rPr>
              <w:rFonts w:asciiTheme="minorHAnsi" w:eastAsiaTheme="minorEastAsia" w:hAnsiTheme="minorHAnsi" w:cstheme="minorBidi"/>
              <w:b w:val="0"/>
            </w:rPr>
          </w:pPr>
          <w:hyperlink w:anchor="_Toc217238040" w:history="1">
            <w:r w:rsidRPr="00D01F87">
              <w:rPr>
                <w:rStyle w:val="Hyperlink"/>
              </w:rPr>
              <w:t>5.0</w:t>
            </w:r>
            <w:r>
              <w:rPr>
                <w:rFonts w:asciiTheme="minorHAnsi" w:eastAsiaTheme="minorEastAsia" w:hAnsiTheme="minorHAnsi" w:cstheme="minorBidi"/>
                <w:b w:val="0"/>
              </w:rPr>
              <w:tab/>
            </w:r>
            <w:r w:rsidRPr="00D01F87">
              <w:rPr>
                <w:rStyle w:val="Hyperlink"/>
              </w:rPr>
              <w:t>Appendices</w:t>
            </w:r>
            <w:r>
              <w:rPr>
                <w:webHidden/>
              </w:rPr>
              <w:tab/>
            </w:r>
            <w:r>
              <w:rPr>
                <w:webHidden/>
              </w:rPr>
              <w:fldChar w:fldCharType="begin"/>
            </w:r>
            <w:r>
              <w:rPr>
                <w:webHidden/>
              </w:rPr>
              <w:instrText xml:space="preserve"> PAGEREF _Toc217238040 \h </w:instrText>
            </w:r>
            <w:r>
              <w:rPr>
                <w:webHidden/>
              </w:rPr>
            </w:r>
            <w:r>
              <w:rPr>
                <w:webHidden/>
              </w:rPr>
              <w:fldChar w:fldCharType="separate"/>
            </w:r>
            <w:r>
              <w:rPr>
                <w:webHidden/>
              </w:rPr>
              <w:t>22</w:t>
            </w:r>
            <w:r>
              <w:rPr>
                <w:webHidden/>
              </w:rPr>
              <w:fldChar w:fldCharType="end"/>
            </w:r>
          </w:hyperlink>
        </w:p>
        <w:p w14:paraId="7487FF64" w14:textId="0F9D12F2" w:rsidR="0049103B" w:rsidRDefault="0049103B">
          <w:pPr>
            <w:pStyle w:val="TOC1"/>
            <w:rPr>
              <w:rFonts w:asciiTheme="minorHAnsi" w:eastAsiaTheme="minorEastAsia" w:hAnsiTheme="minorHAnsi" w:cstheme="minorBidi"/>
              <w:b w:val="0"/>
            </w:rPr>
          </w:pPr>
          <w:hyperlink w:anchor="_Toc217238041" w:history="1">
            <w:r w:rsidRPr="00D01F87">
              <w:rPr>
                <w:rStyle w:val="Hyperlink"/>
              </w:rPr>
              <w:t>Appendix A: Financial Ratio Tables and Graphs</w:t>
            </w:r>
            <w:r>
              <w:rPr>
                <w:webHidden/>
              </w:rPr>
              <w:tab/>
            </w:r>
            <w:r>
              <w:rPr>
                <w:webHidden/>
              </w:rPr>
              <w:fldChar w:fldCharType="begin"/>
            </w:r>
            <w:r>
              <w:rPr>
                <w:webHidden/>
              </w:rPr>
              <w:instrText xml:space="preserve"> PAGEREF _Toc217238041 \h </w:instrText>
            </w:r>
            <w:r>
              <w:rPr>
                <w:webHidden/>
              </w:rPr>
            </w:r>
            <w:r>
              <w:rPr>
                <w:webHidden/>
              </w:rPr>
              <w:fldChar w:fldCharType="separate"/>
            </w:r>
            <w:r>
              <w:rPr>
                <w:webHidden/>
              </w:rPr>
              <w:t>22</w:t>
            </w:r>
            <w:r>
              <w:rPr>
                <w:webHidden/>
              </w:rPr>
              <w:fldChar w:fldCharType="end"/>
            </w:r>
          </w:hyperlink>
        </w:p>
        <w:p w14:paraId="205D9FE8" w14:textId="21AD4643" w:rsidR="0049103B" w:rsidRDefault="0049103B">
          <w:pPr>
            <w:pStyle w:val="TOC2"/>
            <w:rPr>
              <w:rFonts w:asciiTheme="minorHAnsi" w:eastAsiaTheme="minorEastAsia" w:hAnsiTheme="minorHAnsi" w:cstheme="minorBidi"/>
            </w:rPr>
          </w:pPr>
          <w:hyperlink w:anchor="_Toc217238042" w:history="1">
            <w:r w:rsidRPr="00D01F87">
              <w:rPr>
                <w:rStyle w:val="Hyperlink"/>
              </w:rPr>
              <w:t>A1: Profitability Ratio Analysis for GE (2020-2024)</w:t>
            </w:r>
            <w:r>
              <w:rPr>
                <w:webHidden/>
              </w:rPr>
              <w:tab/>
            </w:r>
            <w:r>
              <w:rPr>
                <w:webHidden/>
              </w:rPr>
              <w:fldChar w:fldCharType="begin"/>
            </w:r>
            <w:r>
              <w:rPr>
                <w:webHidden/>
              </w:rPr>
              <w:instrText xml:space="preserve"> PAGEREF _Toc217238042 \h </w:instrText>
            </w:r>
            <w:r>
              <w:rPr>
                <w:webHidden/>
              </w:rPr>
            </w:r>
            <w:r>
              <w:rPr>
                <w:webHidden/>
              </w:rPr>
              <w:fldChar w:fldCharType="separate"/>
            </w:r>
            <w:r>
              <w:rPr>
                <w:webHidden/>
              </w:rPr>
              <w:t>22</w:t>
            </w:r>
            <w:r>
              <w:rPr>
                <w:webHidden/>
              </w:rPr>
              <w:fldChar w:fldCharType="end"/>
            </w:r>
          </w:hyperlink>
        </w:p>
        <w:p w14:paraId="42CC556E" w14:textId="7C3ADBEC" w:rsidR="0049103B" w:rsidRDefault="0049103B">
          <w:pPr>
            <w:pStyle w:val="TOC2"/>
            <w:rPr>
              <w:rFonts w:asciiTheme="minorHAnsi" w:eastAsiaTheme="minorEastAsia" w:hAnsiTheme="minorHAnsi" w:cstheme="minorBidi"/>
            </w:rPr>
          </w:pPr>
          <w:hyperlink w:anchor="_Toc217238043" w:history="1">
            <w:r w:rsidRPr="00D01F87">
              <w:rPr>
                <w:rStyle w:val="Hyperlink"/>
              </w:rPr>
              <w:t>A2: Liquidity Ratio Analysis for GE (2020-2024)</w:t>
            </w:r>
            <w:r>
              <w:rPr>
                <w:webHidden/>
              </w:rPr>
              <w:tab/>
            </w:r>
            <w:r>
              <w:rPr>
                <w:webHidden/>
              </w:rPr>
              <w:fldChar w:fldCharType="begin"/>
            </w:r>
            <w:r>
              <w:rPr>
                <w:webHidden/>
              </w:rPr>
              <w:instrText xml:space="preserve"> PAGEREF _Toc217238043 \h </w:instrText>
            </w:r>
            <w:r>
              <w:rPr>
                <w:webHidden/>
              </w:rPr>
            </w:r>
            <w:r>
              <w:rPr>
                <w:webHidden/>
              </w:rPr>
              <w:fldChar w:fldCharType="separate"/>
            </w:r>
            <w:r>
              <w:rPr>
                <w:webHidden/>
              </w:rPr>
              <w:t>23</w:t>
            </w:r>
            <w:r>
              <w:rPr>
                <w:webHidden/>
              </w:rPr>
              <w:fldChar w:fldCharType="end"/>
            </w:r>
          </w:hyperlink>
        </w:p>
        <w:p w14:paraId="33F6481C" w14:textId="22214960" w:rsidR="0049103B" w:rsidRDefault="0049103B">
          <w:pPr>
            <w:pStyle w:val="TOC2"/>
            <w:rPr>
              <w:rFonts w:asciiTheme="minorHAnsi" w:eastAsiaTheme="minorEastAsia" w:hAnsiTheme="minorHAnsi" w:cstheme="minorBidi"/>
            </w:rPr>
          </w:pPr>
          <w:hyperlink w:anchor="_Toc217238044" w:history="1">
            <w:r w:rsidRPr="00D01F87">
              <w:rPr>
                <w:rStyle w:val="Hyperlink"/>
              </w:rPr>
              <w:t>A3: Efficiency Ratio Analysis</w:t>
            </w:r>
            <w:r>
              <w:rPr>
                <w:webHidden/>
              </w:rPr>
              <w:tab/>
            </w:r>
            <w:r>
              <w:rPr>
                <w:webHidden/>
              </w:rPr>
              <w:fldChar w:fldCharType="begin"/>
            </w:r>
            <w:r>
              <w:rPr>
                <w:webHidden/>
              </w:rPr>
              <w:instrText xml:space="preserve"> PAGEREF _Toc217238044 \h </w:instrText>
            </w:r>
            <w:r>
              <w:rPr>
                <w:webHidden/>
              </w:rPr>
            </w:r>
            <w:r>
              <w:rPr>
                <w:webHidden/>
              </w:rPr>
              <w:fldChar w:fldCharType="separate"/>
            </w:r>
            <w:r>
              <w:rPr>
                <w:webHidden/>
              </w:rPr>
              <w:t>24</w:t>
            </w:r>
            <w:r>
              <w:rPr>
                <w:webHidden/>
              </w:rPr>
              <w:fldChar w:fldCharType="end"/>
            </w:r>
          </w:hyperlink>
        </w:p>
        <w:p w14:paraId="0A392A46" w14:textId="5BF3356D" w:rsidR="0049103B" w:rsidRDefault="0049103B">
          <w:pPr>
            <w:pStyle w:val="TOC2"/>
            <w:rPr>
              <w:rFonts w:asciiTheme="minorHAnsi" w:eastAsiaTheme="minorEastAsia" w:hAnsiTheme="minorHAnsi" w:cstheme="minorBidi"/>
            </w:rPr>
          </w:pPr>
          <w:hyperlink w:anchor="_Toc217238045" w:history="1">
            <w:r w:rsidRPr="00D01F87">
              <w:rPr>
                <w:rStyle w:val="Hyperlink"/>
              </w:rPr>
              <w:t>A4: Gearing Ratio Analysis</w:t>
            </w:r>
            <w:r>
              <w:rPr>
                <w:webHidden/>
              </w:rPr>
              <w:tab/>
            </w:r>
            <w:r>
              <w:rPr>
                <w:webHidden/>
              </w:rPr>
              <w:fldChar w:fldCharType="begin"/>
            </w:r>
            <w:r>
              <w:rPr>
                <w:webHidden/>
              </w:rPr>
              <w:instrText xml:space="preserve"> PAGEREF _Toc217238045 \h </w:instrText>
            </w:r>
            <w:r>
              <w:rPr>
                <w:webHidden/>
              </w:rPr>
            </w:r>
            <w:r>
              <w:rPr>
                <w:webHidden/>
              </w:rPr>
              <w:fldChar w:fldCharType="separate"/>
            </w:r>
            <w:r>
              <w:rPr>
                <w:webHidden/>
              </w:rPr>
              <w:t>24</w:t>
            </w:r>
            <w:r>
              <w:rPr>
                <w:webHidden/>
              </w:rPr>
              <w:fldChar w:fldCharType="end"/>
            </w:r>
          </w:hyperlink>
        </w:p>
        <w:p w14:paraId="4E177993" w14:textId="1C9B434E" w:rsidR="0049103B" w:rsidRDefault="0049103B">
          <w:pPr>
            <w:pStyle w:val="TOC2"/>
            <w:rPr>
              <w:rFonts w:asciiTheme="minorHAnsi" w:eastAsiaTheme="minorEastAsia" w:hAnsiTheme="minorHAnsi" w:cstheme="minorBidi"/>
            </w:rPr>
          </w:pPr>
          <w:hyperlink w:anchor="_Toc217238046" w:history="1">
            <w:r w:rsidRPr="00D01F87">
              <w:rPr>
                <w:rStyle w:val="Hyperlink"/>
              </w:rPr>
              <w:t>A6 Cash Flow Analysis Ratio (2020-2024)</w:t>
            </w:r>
            <w:r>
              <w:rPr>
                <w:webHidden/>
              </w:rPr>
              <w:tab/>
            </w:r>
            <w:r>
              <w:rPr>
                <w:webHidden/>
              </w:rPr>
              <w:fldChar w:fldCharType="begin"/>
            </w:r>
            <w:r>
              <w:rPr>
                <w:webHidden/>
              </w:rPr>
              <w:instrText xml:space="preserve"> PAGEREF _Toc217238046 \h </w:instrText>
            </w:r>
            <w:r>
              <w:rPr>
                <w:webHidden/>
              </w:rPr>
            </w:r>
            <w:r>
              <w:rPr>
                <w:webHidden/>
              </w:rPr>
              <w:fldChar w:fldCharType="separate"/>
            </w:r>
            <w:r>
              <w:rPr>
                <w:webHidden/>
              </w:rPr>
              <w:t>26</w:t>
            </w:r>
            <w:r>
              <w:rPr>
                <w:webHidden/>
              </w:rPr>
              <w:fldChar w:fldCharType="end"/>
            </w:r>
          </w:hyperlink>
        </w:p>
        <w:p w14:paraId="759FD471" w14:textId="7EFC46EB" w:rsidR="0049103B" w:rsidRDefault="0049103B">
          <w:pPr>
            <w:pStyle w:val="TOC2"/>
            <w:rPr>
              <w:rFonts w:asciiTheme="minorHAnsi" w:eastAsiaTheme="minorEastAsia" w:hAnsiTheme="minorHAnsi" w:cstheme="minorBidi"/>
            </w:rPr>
          </w:pPr>
          <w:hyperlink w:anchor="_Toc217238047" w:history="1">
            <w:r w:rsidRPr="00D01F87">
              <w:rPr>
                <w:rStyle w:val="Hyperlink"/>
                <w:rFonts w:eastAsia="Times New Roman"/>
              </w:rPr>
              <w:t>A7 Altman Z-Score calculation for GE (2020-2024)</w:t>
            </w:r>
            <w:r>
              <w:rPr>
                <w:webHidden/>
              </w:rPr>
              <w:tab/>
            </w:r>
            <w:r>
              <w:rPr>
                <w:webHidden/>
              </w:rPr>
              <w:fldChar w:fldCharType="begin"/>
            </w:r>
            <w:r>
              <w:rPr>
                <w:webHidden/>
              </w:rPr>
              <w:instrText xml:space="preserve"> PAGEREF _Toc217238047 \h </w:instrText>
            </w:r>
            <w:r>
              <w:rPr>
                <w:webHidden/>
              </w:rPr>
            </w:r>
            <w:r>
              <w:rPr>
                <w:webHidden/>
              </w:rPr>
              <w:fldChar w:fldCharType="separate"/>
            </w:r>
            <w:r>
              <w:rPr>
                <w:webHidden/>
              </w:rPr>
              <w:t>26</w:t>
            </w:r>
            <w:r>
              <w:rPr>
                <w:webHidden/>
              </w:rPr>
              <w:fldChar w:fldCharType="end"/>
            </w:r>
          </w:hyperlink>
        </w:p>
        <w:p w14:paraId="0FA5DD4D" w14:textId="03E4A217" w:rsidR="0049103B" w:rsidRDefault="0049103B">
          <w:pPr>
            <w:pStyle w:val="TOC1"/>
            <w:rPr>
              <w:rFonts w:asciiTheme="minorHAnsi" w:eastAsiaTheme="minorEastAsia" w:hAnsiTheme="minorHAnsi" w:cstheme="minorBidi"/>
              <w:b w:val="0"/>
            </w:rPr>
          </w:pPr>
          <w:hyperlink w:anchor="_Toc217238048" w:history="1">
            <w:r w:rsidRPr="00D01F87">
              <w:rPr>
                <w:rStyle w:val="Hyperlink"/>
              </w:rPr>
              <w:t>Appendix B: Working Capital Calculations</w:t>
            </w:r>
            <w:r>
              <w:rPr>
                <w:webHidden/>
              </w:rPr>
              <w:tab/>
            </w:r>
            <w:r>
              <w:rPr>
                <w:webHidden/>
              </w:rPr>
              <w:fldChar w:fldCharType="begin"/>
            </w:r>
            <w:r>
              <w:rPr>
                <w:webHidden/>
              </w:rPr>
              <w:instrText xml:space="preserve"> PAGEREF _Toc217238048 \h </w:instrText>
            </w:r>
            <w:r>
              <w:rPr>
                <w:webHidden/>
              </w:rPr>
            </w:r>
            <w:r>
              <w:rPr>
                <w:webHidden/>
              </w:rPr>
              <w:fldChar w:fldCharType="separate"/>
            </w:r>
            <w:r>
              <w:rPr>
                <w:webHidden/>
              </w:rPr>
              <w:t>27</w:t>
            </w:r>
            <w:r>
              <w:rPr>
                <w:webHidden/>
              </w:rPr>
              <w:fldChar w:fldCharType="end"/>
            </w:r>
          </w:hyperlink>
        </w:p>
        <w:p w14:paraId="69279C53" w14:textId="4B5B75F2" w:rsidR="0049103B" w:rsidRDefault="0049103B">
          <w:pPr>
            <w:pStyle w:val="TOC2"/>
            <w:rPr>
              <w:rFonts w:asciiTheme="minorHAnsi" w:eastAsiaTheme="minorEastAsia" w:hAnsiTheme="minorHAnsi" w:cstheme="minorBidi"/>
            </w:rPr>
          </w:pPr>
          <w:hyperlink w:anchor="_Toc217238049" w:history="1">
            <w:r w:rsidRPr="00D01F87">
              <w:rPr>
                <w:rStyle w:val="Hyperlink"/>
              </w:rPr>
              <w:t>Table B1: Cash Operating Cycle Components (Days)</w:t>
            </w:r>
            <w:r>
              <w:rPr>
                <w:webHidden/>
              </w:rPr>
              <w:tab/>
            </w:r>
            <w:r>
              <w:rPr>
                <w:webHidden/>
              </w:rPr>
              <w:fldChar w:fldCharType="begin"/>
            </w:r>
            <w:r>
              <w:rPr>
                <w:webHidden/>
              </w:rPr>
              <w:instrText xml:space="preserve"> PAGEREF _Toc217238049 \h </w:instrText>
            </w:r>
            <w:r>
              <w:rPr>
                <w:webHidden/>
              </w:rPr>
            </w:r>
            <w:r>
              <w:rPr>
                <w:webHidden/>
              </w:rPr>
              <w:fldChar w:fldCharType="separate"/>
            </w:r>
            <w:r>
              <w:rPr>
                <w:webHidden/>
              </w:rPr>
              <w:t>27</w:t>
            </w:r>
            <w:r>
              <w:rPr>
                <w:webHidden/>
              </w:rPr>
              <w:fldChar w:fldCharType="end"/>
            </w:r>
          </w:hyperlink>
        </w:p>
        <w:p w14:paraId="2FA515B0" w14:textId="504344FB" w:rsidR="0049103B" w:rsidRDefault="0049103B">
          <w:pPr>
            <w:pStyle w:val="TOC1"/>
            <w:rPr>
              <w:rFonts w:asciiTheme="minorHAnsi" w:eastAsiaTheme="minorEastAsia" w:hAnsiTheme="minorHAnsi" w:cstheme="minorBidi"/>
              <w:b w:val="0"/>
            </w:rPr>
          </w:pPr>
          <w:hyperlink w:anchor="_Toc217238050" w:history="1">
            <w:r w:rsidRPr="00D01F87">
              <w:rPr>
                <w:rStyle w:val="Hyperlink"/>
              </w:rPr>
              <w:t>Appendix C: Pro</w:t>
            </w:r>
            <w:r w:rsidRPr="00D01F87">
              <w:rPr>
                <w:rStyle w:val="Hyperlink"/>
              </w:rPr>
              <w:noBreakHyphen/>
              <w:t>Forma Financial Restructuring Workings</w:t>
            </w:r>
            <w:r>
              <w:rPr>
                <w:webHidden/>
              </w:rPr>
              <w:tab/>
            </w:r>
            <w:r>
              <w:rPr>
                <w:webHidden/>
              </w:rPr>
              <w:fldChar w:fldCharType="begin"/>
            </w:r>
            <w:r>
              <w:rPr>
                <w:webHidden/>
              </w:rPr>
              <w:instrText xml:space="preserve"> PAGEREF _Toc217238050 \h </w:instrText>
            </w:r>
            <w:r>
              <w:rPr>
                <w:webHidden/>
              </w:rPr>
            </w:r>
            <w:r>
              <w:rPr>
                <w:webHidden/>
              </w:rPr>
              <w:fldChar w:fldCharType="separate"/>
            </w:r>
            <w:r>
              <w:rPr>
                <w:webHidden/>
              </w:rPr>
              <w:t>27</w:t>
            </w:r>
            <w:r>
              <w:rPr>
                <w:webHidden/>
              </w:rPr>
              <w:fldChar w:fldCharType="end"/>
            </w:r>
          </w:hyperlink>
        </w:p>
        <w:p w14:paraId="6B3DCC3D" w14:textId="43C7AB7C" w:rsidR="0049103B" w:rsidRDefault="0049103B">
          <w:pPr>
            <w:pStyle w:val="TOC2"/>
            <w:rPr>
              <w:rFonts w:asciiTheme="minorHAnsi" w:eastAsiaTheme="minorEastAsia" w:hAnsiTheme="minorHAnsi" w:cstheme="minorBidi"/>
            </w:rPr>
          </w:pPr>
          <w:hyperlink w:anchor="_Toc217238051" w:history="1">
            <w:r w:rsidRPr="00D01F87">
              <w:rPr>
                <w:rStyle w:val="Hyperlink"/>
              </w:rPr>
              <w:t>Table C1: Pro</w:t>
            </w:r>
            <w:r w:rsidRPr="00D01F87">
              <w:rPr>
                <w:rStyle w:val="Hyperlink"/>
              </w:rPr>
              <w:noBreakHyphen/>
              <w:t>Forma Statement of Financial Position Impact (2024)</w:t>
            </w:r>
            <w:r>
              <w:rPr>
                <w:webHidden/>
              </w:rPr>
              <w:tab/>
            </w:r>
            <w:r>
              <w:rPr>
                <w:webHidden/>
              </w:rPr>
              <w:fldChar w:fldCharType="begin"/>
            </w:r>
            <w:r>
              <w:rPr>
                <w:webHidden/>
              </w:rPr>
              <w:instrText xml:space="preserve"> PAGEREF _Toc217238051 \h </w:instrText>
            </w:r>
            <w:r>
              <w:rPr>
                <w:webHidden/>
              </w:rPr>
            </w:r>
            <w:r>
              <w:rPr>
                <w:webHidden/>
              </w:rPr>
              <w:fldChar w:fldCharType="separate"/>
            </w:r>
            <w:r>
              <w:rPr>
                <w:webHidden/>
              </w:rPr>
              <w:t>28</w:t>
            </w:r>
            <w:r>
              <w:rPr>
                <w:webHidden/>
              </w:rPr>
              <w:fldChar w:fldCharType="end"/>
            </w:r>
          </w:hyperlink>
        </w:p>
        <w:p w14:paraId="3CD12F0E" w14:textId="70503C49" w:rsidR="0049103B" w:rsidRDefault="0049103B">
          <w:pPr>
            <w:pStyle w:val="TOC2"/>
            <w:rPr>
              <w:rFonts w:asciiTheme="minorHAnsi" w:eastAsiaTheme="minorEastAsia" w:hAnsiTheme="minorHAnsi" w:cstheme="minorBidi"/>
            </w:rPr>
          </w:pPr>
          <w:hyperlink w:anchor="_Toc217238052" w:history="1">
            <w:r w:rsidRPr="00D01F87">
              <w:rPr>
                <w:rStyle w:val="Hyperlink"/>
              </w:rPr>
              <w:t>Table C2: Pro</w:t>
            </w:r>
            <w:r w:rsidRPr="00D01F87">
              <w:rPr>
                <w:rStyle w:val="Hyperlink"/>
              </w:rPr>
              <w:noBreakHyphen/>
              <w:t>Forma Capital Structure Ratios</w:t>
            </w:r>
            <w:r>
              <w:rPr>
                <w:webHidden/>
              </w:rPr>
              <w:tab/>
            </w:r>
            <w:r>
              <w:rPr>
                <w:webHidden/>
              </w:rPr>
              <w:fldChar w:fldCharType="begin"/>
            </w:r>
            <w:r>
              <w:rPr>
                <w:webHidden/>
              </w:rPr>
              <w:instrText xml:space="preserve"> PAGEREF _Toc217238052 \h </w:instrText>
            </w:r>
            <w:r>
              <w:rPr>
                <w:webHidden/>
              </w:rPr>
            </w:r>
            <w:r>
              <w:rPr>
                <w:webHidden/>
              </w:rPr>
              <w:fldChar w:fldCharType="separate"/>
            </w:r>
            <w:r>
              <w:rPr>
                <w:webHidden/>
              </w:rPr>
              <w:t>28</w:t>
            </w:r>
            <w:r>
              <w:rPr>
                <w:webHidden/>
              </w:rPr>
              <w:fldChar w:fldCharType="end"/>
            </w:r>
          </w:hyperlink>
        </w:p>
        <w:p w14:paraId="4006FF55" w14:textId="06E3BB63" w:rsidR="0049103B" w:rsidRDefault="0049103B">
          <w:pPr>
            <w:pStyle w:val="TOC2"/>
            <w:rPr>
              <w:rFonts w:asciiTheme="minorHAnsi" w:eastAsiaTheme="minorEastAsia" w:hAnsiTheme="minorHAnsi" w:cstheme="minorBidi"/>
            </w:rPr>
          </w:pPr>
          <w:hyperlink w:anchor="_Toc217238053" w:history="1">
            <w:r w:rsidRPr="00D01F87">
              <w:rPr>
                <w:rStyle w:val="Hyperlink"/>
              </w:rPr>
              <w:t>Table C3: Interest Coverage Sensitivity</w:t>
            </w:r>
            <w:r>
              <w:rPr>
                <w:webHidden/>
              </w:rPr>
              <w:tab/>
            </w:r>
            <w:r>
              <w:rPr>
                <w:webHidden/>
              </w:rPr>
              <w:fldChar w:fldCharType="begin"/>
            </w:r>
            <w:r>
              <w:rPr>
                <w:webHidden/>
              </w:rPr>
              <w:instrText xml:space="preserve"> PAGEREF _Toc217238053 \h </w:instrText>
            </w:r>
            <w:r>
              <w:rPr>
                <w:webHidden/>
              </w:rPr>
            </w:r>
            <w:r>
              <w:rPr>
                <w:webHidden/>
              </w:rPr>
              <w:fldChar w:fldCharType="separate"/>
            </w:r>
            <w:r>
              <w:rPr>
                <w:webHidden/>
              </w:rPr>
              <w:t>28</w:t>
            </w:r>
            <w:r>
              <w:rPr>
                <w:webHidden/>
              </w:rPr>
              <w:fldChar w:fldCharType="end"/>
            </w:r>
          </w:hyperlink>
        </w:p>
        <w:p w14:paraId="677E3226" w14:textId="385862BE" w:rsidR="0049103B" w:rsidRDefault="0049103B">
          <w:pPr>
            <w:pStyle w:val="TOC2"/>
            <w:rPr>
              <w:rFonts w:asciiTheme="minorHAnsi" w:eastAsiaTheme="minorEastAsia" w:hAnsiTheme="minorHAnsi" w:cstheme="minorBidi"/>
            </w:rPr>
          </w:pPr>
          <w:hyperlink w:anchor="_Toc217238054" w:history="1">
            <w:r w:rsidRPr="00D01F87">
              <w:rPr>
                <w:rStyle w:val="Hyperlink"/>
              </w:rPr>
              <w:t>Table C4: Equity Dilution and EPS Impact</w:t>
            </w:r>
            <w:r>
              <w:rPr>
                <w:webHidden/>
              </w:rPr>
              <w:tab/>
            </w:r>
            <w:r>
              <w:rPr>
                <w:webHidden/>
              </w:rPr>
              <w:fldChar w:fldCharType="begin"/>
            </w:r>
            <w:r>
              <w:rPr>
                <w:webHidden/>
              </w:rPr>
              <w:instrText xml:space="preserve"> PAGEREF _Toc217238054 \h </w:instrText>
            </w:r>
            <w:r>
              <w:rPr>
                <w:webHidden/>
              </w:rPr>
            </w:r>
            <w:r>
              <w:rPr>
                <w:webHidden/>
              </w:rPr>
              <w:fldChar w:fldCharType="separate"/>
            </w:r>
            <w:r>
              <w:rPr>
                <w:webHidden/>
              </w:rPr>
              <w:t>28</w:t>
            </w:r>
            <w:r>
              <w:rPr>
                <w:webHidden/>
              </w:rPr>
              <w:fldChar w:fldCharType="end"/>
            </w:r>
          </w:hyperlink>
        </w:p>
        <w:p w14:paraId="6F56C693" w14:textId="5B0A3095" w:rsidR="0049103B" w:rsidRDefault="0049103B">
          <w:pPr>
            <w:pStyle w:val="TOC2"/>
            <w:rPr>
              <w:rFonts w:asciiTheme="minorHAnsi" w:eastAsiaTheme="minorEastAsia" w:hAnsiTheme="minorHAnsi" w:cstheme="minorBidi"/>
            </w:rPr>
          </w:pPr>
          <w:hyperlink w:anchor="_Toc217238055" w:history="1">
            <w:r w:rsidRPr="00D01F87">
              <w:rPr>
                <w:rStyle w:val="Hyperlink"/>
              </w:rPr>
              <w:t>Table C5: Liquidity and Solvency Improvement Indicators</w:t>
            </w:r>
            <w:r>
              <w:rPr>
                <w:webHidden/>
              </w:rPr>
              <w:tab/>
            </w:r>
            <w:r>
              <w:rPr>
                <w:webHidden/>
              </w:rPr>
              <w:fldChar w:fldCharType="begin"/>
            </w:r>
            <w:r>
              <w:rPr>
                <w:webHidden/>
              </w:rPr>
              <w:instrText xml:space="preserve"> PAGEREF _Toc217238055 \h </w:instrText>
            </w:r>
            <w:r>
              <w:rPr>
                <w:webHidden/>
              </w:rPr>
            </w:r>
            <w:r>
              <w:rPr>
                <w:webHidden/>
              </w:rPr>
              <w:fldChar w:fldCharType="separate"/>
            </w:r>
            <w:r>
              <w:rPr>
                <w:webHidden/>
              </w:rPr>
              <w:t>29</w:t>
            </w:r>
            <w:r>
              <w:rPr>
                <w:webHidden/>
              </w:rPr>
              <w:fldChar w:fldCharType="end"/>
            </w:r>
          </w:hyperlink>
        </w:p>
        <w:p w14:paraId="6F0CEF62" w14:textId="46DBAC04" w:rsidR="0049103B" w:rsidRDefault="0049103B">
          <w:pPr>
            <w:pStyle w:val="TOC1"/>
            <w:rPr>
              <w:rFonts w:asciiTheme="minorHAnsi" w:eastAsiaTheme="minorEastAsia" w:hAnsiTheme="minorHAnsi" w:cstheme="minorBidi"/>
              <w:b w:val="0"/>
            </w:rPr>
          </w:pPr>
          <w:hyperlink w:anchor="_Toc217238056" w:history="1">
            <w:r w:rsidRPr="00D01F87">
              <w:rPr>
                <w:rStyle w:val="Hyperlink"/>
              </w:rPr>
              <w:t>Appendix D: Investment Appraisal and Capital Budgeting</w:t>
            </w:r>
            <w:r>
              <w:rPr>
                <w:webHidden/>
              </w:rPr>
              <w:tab/>
            </w:r>
            <w:r>
              <w:rPr>
                <w:webHidden/>
              </w:rPr>
              <w:fldChar w:fldCharType="begin"/>
            </w:r>
            <w:r>
              <w:rPr>
                <w:webHidden/>
              </w:rPr>
              <w:instrText xml:space="preserve"> PAGEREF _Toc217238056 \h </w:instrText>
            </w:r>
            <w:r>
              <w:rPr>
                <w:webHidden/>
              </w:rPr>
            </w:r>
            <w:r>
              <w:rPr>
                <w:webHidden/>
              </w:rPr>
              <w:fldChar w:fldCharType="separate"/>
            </w:r>
            <w:r>
              <w:rPr>
                <w:webHidden/>
              </w:rPr>
              <w:t>29</w:t>
            </w:r>
            <w:r>
              <w:rPr>
                <w:webHidden/>
              </w:rPr>
              <w:fldChar w:fldCharType="end"/>
            </w:r>
          </w:hyperlink>
        </w:p>
        <w:p w14:paraId="5E4877B7" w14:textId="37784E7A" w:rsidR="0049103B" w:rsidRDefault="0049103B">
          <w:pPr>
            <w:pStyle w:val="TOC2"/>
            <w:rPr>
              <w:rFonts w:asciiTheme="minorHAnsi" w:eastAsiaTheme="minorEastAsia" w:hAnsiTheme="minorHAnsi" w:cstheme="minorBidi"/>
            </w:rPr>
          </w:pPr>
          <w:hyperlink w:anchor="_Toc217238057" w:history="1">
            <w:r w:rsidRPr="00D01F87">
              <w:rPr>
                <w:rStyle w:val="Hyperlink"/>
              </w:rPr>
              <w:t>Table D1: Payback Period (PBP) Calculations</w:t>
            </w:r>
            <w:r>
              <w:rPr>
                <w:webHidden/>
              </w:rPr>
              <w:tab/>
            </w:r>
            <w:r>
              <w:rPr>
                <w:webHidden/>
              </w:rPr>
              <w:fldChar w:fldCharType="begin"/>
            </w:r>
            <w:r>
              <w:rPr>
                <w:webHidden/>
              </w:rPr>
              <w:instrText xml:space="preserve"> PAGEREF _Toc217238057 \h </w:instrText>
            </w:r>
            <w:r>
              <w:rPr>
                <w:webHidden/>
              </w:rPr>
            </w:r>
            <w:r>
              <w:rPr>
                <w:webHidden/>
              </w:rPr>
              <w:fldChar w:fldCharType="separate"/>
            </w:r>
            <w:r>
              <w:rPr>
                <w:webHidden/>
              </w:rPr>
              <w:t>29</w:t>
            </w:r>
            <w:r>
              <w:rPr>
                <w:webHidden/>
              </w:rPr>
              <w:fldChar w:fldCharType="end"/>
            </w:r>
          </w:hyperlink>
        </w:p>
        <w:p w14:paraId="1D257DBA" w14:textId="2F537CFD" w:rsidR="0049103B" w:rsidRDefault="0049103B">
          <w:pPr>
            <w:pStyle w:val="TOC2"/>
            <w:rPr>
              <w:rFonts w:asciiTheme="minorHAnsi" w:eastAsiaTheme="minorEastAsia" w:hAnsiTheme="minorHAnsi" w:cstheme="minorBidi"/>
            </w:rPr>
          </w:pPr>
          <w:hyperlink w:anchor="_Toc217238058" w:history="1">
            <w:r w:rsidRPr="00D01F87">
              <w:rPr>
                <w:rStyle w:val="Hyperlink"/>
              </w:rPr>
              <w:t>Table D2: Accounting Rate of Return (ARR) Calculations</w:t>
            </w:r>
            <w:r>
              <w:rPr>
                <w:webHidden/>
              </w:rPr>
              <w:tab/>
            </w:r>
            <w:r>
              <w:rPr>
                <w:webHidden/>
              </w:rPr>
              <w:fldChar w:fldCharType="begin"/>
            </w:r>
            <w:r>
              <w:rPr>
                <w:webHidden/>
              </w:rPr>
              <w:instrText xml:space="preserve"> PAGEREF _Toc217238058 \h </w:instrText>
            </w:r>
            <w:r>
              <w:rPr>
                <w:webHidden/>
              </w:rPr>
            </w:r>
            <w:r>
              <w:rPr>
                <w:webHidden/>
              </w:rPr>
              <w:fldChar w:fldCharType="separate"/>
            </w:r>
            <w:r>
              <w:rPr>
                <w:webHidden/>
              </w:rPr>
              <w:t>30</w:t>
            </w:r>
            <w:r>
              <w:rPr>
                <w:webHidden/>
              </w:rPr>
              <w:fldChar w:fldCharType="end"/>
            </w:r>
          </w:hyperlink>
        </w:p>
        <w:p w14:paraId="4254FEAB" w14:textId="5C5B8F68" w:rsidR="0049103B" w:rsidRDefault="0049103B">
          <w:pPr>
            <w:pStyle w:val="TOC2"/>
            <w:rPr>
              <w:rFonts w:asciiTheme="minorHAnsi" w:eastAsiaTheme="minorEastAsia" w:hAnsiTheme="minorHAnsi" w:cstheme="minorBidi"/>
            </w:rPr>
          </w:pPr>
          <w:hyperlink w:anchor="_Toc217238059" w:history="1">
            <w:r w:rsidRPr="00D01F87">
              <w:rPr>
                <w:rStyle w:val="Hyperlink"/>
              </w:rPr>
              <w:t>Table D3: Net Present Value (NPV) Calculations</w:t>
            </w:r>
            <w:r>
              <w:rPr>
                <w:webHidden/>
              </w:rPr>
              <w:tab/>
            </w:r>
            <w:r>
              <w:rPr>
                <w:webHidden/>
              </w:rPr>
              <w:fldChar w:fldCharType="begin"/>
            </w:r>
            <w:r>
              <w:rPr>
                <w:webHidden/>
              </w:rPr>
              <w:instrText xml:space="preserve"> PAGEREF _Toc217238059 \h </w:instrText>
            </w:r>
            <w:r>
              <w:rPr>
                <w:webHidden/>
              </w:rPr>
            </w:r>
            <w:r>
              <w:rPr>
                <w:webHidden/>
              </w:rPr>
              <w:fldChar w:fldCharType="separate"/>
            </w:r>
            <w:r>
              <w:rPr>
                <w:webHidden/>
              </w:rPr>
              <w:t>30</w:t>
            </w:r>
            <w:r>
              <w:rPr>
                <w:webHidden/>
              </w:rPr>
              <w:fldChar w:fldCharType="end"/>
            </w:r>
          </w:hyperlink>
        </w:p>
        <w:p w14:paraId="51BAC581" w14:textId="71F3F95C" w:rsidR="0049103B" w:rsidRDefault="0049103B">
          <w:pPr>
            <w:pStyle w:val="TOC2"/>
            <w:rPr>
              <w:rFonts w:asciiTheme="minorHAnsi" w:eastAsiaTheme="minorEastAsia" w:hAnsiTheme="minorHAnsi" w:cstheme="minorBidi"/>
            </w:rPr>
          </w:pPr>
          <w:hyperlink w:anchor="_Toc217238060" w:history="1">
            <w:r w:rsidRPr="00D01F87">
              <w:rPr>
                <w:rStyle w:val="Hyperlink"/>
              </w:rPr>
              <w:t>Table D3: Internal Rate of Return (IRR) Estimates</w:t>
            </w:r>
            <w:r>
              <w:rPr>
                <w:webHidden/>
              </w:rPr>
              <w:tab/>
            </w:r>
            <w:r>
              <w:rPr>
                <w:webHidden/>
              </w:rPr>
              <w:fldChar w:fldCharType="begin"/>
            </w:r>
            <w:r>
              <w:rPr>
                <w:webHidden/>
              </w:rPr>
              <w:instrText xml:space="preserve"> PAGEREF _Toc217238060 \h </w:instrText>
            </w:r>
            <w:r>
              <w:rPr>
                <w:webHidden/>
              </w:rPr>
            </w:r>
            <w:r>
              <w:rPr>
                <w:webHidden/>
              </w:rPr>
              <w:fldChar w:fldCharType="separate"/>
            </w:r>
            <w:r>
              <w:rPr>
                <w:webHidden/>
              </w:rPr>
              <w:t>31</w:t>
            </w:r>
            <w:r>
              <w:rPr>
                <w:webHidden/>
              </w:rPr>
              <w:fldChar w:fldCharType="end"/>
            </w:r>
          </w:hyperlink>
        </w:p>
        <w:p w14:paraId="0537C879" w14:textId="4C7D8380" w:rsidR="0049103B" w:rsidRDefault="0049103B">
          <w:pPr>
            <w:pStyle w:val="TOC2"/>
            <w:rPr>
              <w:rFonts w:asciiTheme="minorHAnsi" w:eastAsiaTheme="minorEastAsia" w:hAnsiTheme="minorHAnsi" w:cstheme="minorBidi"/>
            </w:rPr>
          </w:pPr>
          <w:hyperlink w:anchor="_Toc217238061" w:history="1">
            <w:r w:rsidRPr="00D01F87">
              <w:rPr>
                <w:rStyle w:val="Hyperlink"/>
              </w:rPr>
              <w:t>Table D4: Profitability Index (PI) Calculations</w:t>
            </w:r>
            <w:r>
              <w:rPr>
                <w:webHidden/>
              </w:rPr>
              <w:tab/>
            </w:r>
            <w:r>
              <w:rPr>
                <w:webHidden/>
              </w:rPr>
              <w:fldChar w:fldCharType="begin"/>
            </w:r>
            <w:r>
              <w:rPr>
                <w:webHidden/>
              </w:rPr>
              <w:instrText xml:space="preserve"> PAGEREF _Toc217238061 \h </w:instrText>
            </w:r>
            <w:r>
              <w:rPr>
                <w:webHidden/>
              </w:rPr>
            </w:r>
            <w:r>
              <w:rPr>
                <w:webHidden/>
              </w:rPr>
              <w:fldChar w:fldCharType="separate"/>
            </w:r>
            <w:r>
              <w:rPr>
                <w:webHidden/>
              </w:rPr>
              <w:t>32</w:t>
            </w:r>
            <w:r>
              <w:rPr>
                <w:webHidden/>
              </w:rPr>
              <w:fldChar w:fldCharType="end"/>
            </w:r>
          </w:hyperlink>
        </w:p>
        <w:p w14:paraId="48127EEE" w14:textId="60D5BABA" w:rsidR="0049103B" w:rsidRDefault="0049103B">
          <w:pPr>
            <w:pStyle w:val="TOC1"/>
            <w:rPr>
              <w:rFonts w:asciiTheme="minorHAnsi" w:eastAsiaTheme="minorEastAsia" w:hAnsiTheme="minorHAnsi" w:cstheme="minorBidi"/>
              <w:b w:val="0"/>
            </w:rPr>
          </w:pPr>
          <w:hyperlink w:anchor="_Toc217238062" w:history="1">
            <w:r w:rsidRPr="00D01F87">
              <w:rPr>
                <w:rStyle w:val="Hyperlink"/>
              </w:rPr>
              <w:t>6.0</w:t>
            </w:r>
            <w:r>
              <w:rPr>
                <w:rFonts w:asciiTheme="minorHAnsi" w:eastAsiaTheme="minorEastAsia" w:hAnsiTheme="minorHAnsi" w:cstheme="minorBidi"/>
                <w:b w:val="0"/>
              </w:rPr>
              <w:tab/>
            </w:r>
            <w:r w:rsidRPr="00D01F87">
              <w:rPr>
                <w:rStyle w:val="Hyperlink"/>
              </w:rPr>
              <w:t>References</w:t>
            </w:r>
            <w:r>
              <w:rPr>
                <w:webHidden/>
              </w:rPr>
              <w:tab/>
            </w:r>
            <w:r>
              <w:rPr>
                <w:webHidden/>
              </w:rPr>
              <w:fldChar w:fldCharType="begin"/>
            </w:r>
            <w:r>
              <w:rPr>
                <w:webHidden/>
              </w:rPr>
              <w:instrText xml:space="preserve"> PAGEREF _Toc217238062 \h </w:instrText>
            </w:r>
            <w:r>
              <w:rPr>
                <w:webHidden/>
              </w:rPr>
            </w:r>
            <w:r>
              <w:rPr>
                <w:webHidden/>
              </w:rPr>
              <w:fldChar w:fldCharType="separate"/>
            </w:r>
            <w:r>
              <w:rPr>
                <w:webHidden/>
              </w:rPr>
              <w:t>33</w:t>
            </w:r>
            <w:r>
              <w:rPr>
                <w:webHidden/>
              </w:rPr>
              <w:fldChar w:fldCharType="end"/>
            </w:r>
          </w:hyperlink>
        </w:p>
        <w:p w14:paraId="4E871ED1" w14:textId="75E2E43D" w:rsidR="00E54587" w:rsidRPr="00FB7151" w:rsidRDefault="00E54587" w:rsidP="001D5163">
          <w:pPr>
            <w:pStyle w:val="TOC1"/>
            <w:rPr>
              <w:sz w:val="18"/>
              <w:szCs w:val="18"/>
            </w:rPr>
          </w:pPr>
          <w:r w:rsidRPr="00FB7151">
            <w:fldChar w:fldCharType="end"/>
          </w:r>
        </w:p>
      </w:sdtContent>
    </w:sdt>
    <w:p w14:paraId="30B608ED" w14:textId="77777777" w:rsidR="00F60E9B" w:rsidRPr="00FB7151" w:rsidRDefault="00F60E9B" w:rsidP="00E54587">
      <w:pPr>
        <w:spacing w:line="276" w:lineRule="auto"/>
        <w:rPr>
          <w:rFonts w:ascii="Arial" w:hAnsi="Arial" w:cs="Arial"/>
          <w:sz w:val="18"/>
          <w:szCs w:val="18"/>
        </w:rPr>
      </w:pPr>
      <w:r w:rsidRPr="00FB7151">
        <w:rPr>
          <w:rFonts w:ascii="Arial" w:hAnsi="Arial" w:cs="Arial"/>
          <w:sz w:val="18"/>
          <w:szCs w:val="18"/>
        </w:rPr>
        <w:br w:type="page"/>
      </w:r>
    </w:p>
    <w:p w14:paraId="52812D22" w14:textId="77777777" w:rsidR="00F60E9B" w:rsidRPr="00E54587" w:rsidRDefault="00F60E9B" w:rsidP="00E54587">
      <w:pPr>
        <w:pStyle w:val="Heading1"/>
      </w:pPr>
      <w:bookmarkStart w:id="0" w:name="_Toc217214546"/>
      <w:bookmarkStart w:id="1" w:name="_Toc217237996"/>
      <w:r w:rsidRPr="00E54587">
        <w:lastRenderedPageBreak/>
        <w:t>Introduction</w:t>
      </w:r>
      <w:bookmarkEnd w:id="0"/>
      <w:bookmarkEnd w:id="1"/>
    </w:p>
    <w:p w14:paraId="40AD64AB" w14:textId="77777777" w:rsidR="00E54587" w:rsidRPr="00E54587" w:rsidRDefault="00E54587" w:rsidP="00E54587"/>
    <w:p w14:paraId="56FBBC80" w14:textId="319EB6C2" w:rsidR="0026666F" w:rsidRDefault="00F60E9B" w:rsidP="0026666F">
      <w:pPr>
        <w:spacing w:line="360" w:lineRule="auto"/>
        <w:jc w:val="both"/>
        <w:rPr>
          <w:rFonts w:ascii="Arial" w:hAnsi="Arial" w:cs="Arial"/>
          <w:sz w:val="24"/>
          <w:szCs w:val="24"/>
        </w:rPr>
      </w:pPr>
      <w:r w:rsidRPr="00F60E9B">
        <w:rPr>
          <w:rFonts w:ascii="Arial" w:hAnsi="Arial" w:cs="Arial"/>
          <w:sz w:val="24"/>
          <w:szCs w:val="24"/>
        </w:rPr>
        <w:t xml:space="preserve">The financial viability of a corporation is fundamentally predicated on its ability to generate sustainable profits, maintain adequate liquidity, and employ an efficient capital structure </w:t>
      </w:r>
      <w:r w:rsidR="00F76421">
        <w:rPr>
          <w:rFonts w:ascii="Arial" w:hAnsi="Arial" w:cs="Arial"/>
          <w:noProof/>
          <w:sz w:val="24"/>
          <w:szCs w:val="24"/>
        </w:rPr>
        <w:t xml:space="preserve">(Brealey, 2020). </w:t>
      </w:r>
      <w:bookmarkStart w:id="2" w:name="_Toc217214547"/>
      <w:r w:rsidR="0026666F" w:rsidRPr="0026666F">
        <w:rPr>
          <w:rFonts w:ascii="Arial" w:hAnsi="Arial" w:cs="Arial"/>
          <w:sz w:val="24"/>
          <w:szCs w:val="24"/>
        </w:rPr>
        <w:t xml:space="preserve">A rigorous financial health assessment and strategic turnaround plan for General Electronics are presented. Core deterioration causes are diagnosed through ratio analysis, Altman Z-score modelling, and cash operating cycle evaluation. A cohesive restructuring strategy, encompassing balance sheet repair, working capital </w:t>
      </w:r>
      <w:r w:rsidR="00561979" w:rsidRPr="0026666F">
        <w:rPr>
          <w:rFonts w:ascii="Arial" w:hAnsi="Arial" w:cs="Arial"/>
          <w:sz w:val="24"/>
          <w:szCs w:val="24"/>
        </w:rPr>
        <w:t>optimization</w:t>
      </w:r>
      <w:r w:rsidR="0026666F" w:rsidRPr="0026666F">
        <w:rPr>
          <w:rFonts w:ascii="Arial" w:hAnsi="Arial" w:cs="Arial"/>
          <w:sz w:val="24"/>
          <w:szCs w:val="24"/>
        </w:rPr>
        <w:t>, and constrained capital allocation, is formulated to provide a recovery pathway.</w:t>
      </w:r>
    </w:p>
    <w:p w14:paraId="127B662D" w14:textId="77777777" w:rsidR="00AD4654" w:rsidRPr="0026666F" w:rsidRDefault="000D5540" w:rsidP="0026666F">
      <w:pPr>
        <w:pStyle w:val="Heading1"/>
      </w:pPr>
      <w:bookmarkStart w:id="3" w:name="_Toc217237997"/>
      <w:r>
        <w:t xml:space="preserve">1.0 </w:t>
      </w:r>
      <w:r w:rsidR="00111D05" w:rsidRPr="0026666F">
        <w:t>Financial Health Check</w:t>
      </w:r>
      <w:bookmarkEnd w:id="2"/>
      <w:bookmarkEnd w:id="3"/>
    </w:p>
    <w:p w14:paraId="230B8080" w14:textId="77777777" w:rsidR="00E54587" w:rsidRPr="00E54587" w:rsidRDefault="00E54587" w:rsidP="00E54587"/>
    <w:p w14:paraId="0B4D722A" w14:textId="77777777" w:rsidR="00E7769E" w:rsidRDefault="00F60E9B" w:rsidP="005211D7">
      <w:pPr>
        <w:pStyle w:val="Heading2"/>
      </w:pPr>
      <w:bookmarkStart w:id="4" w:name="_Toc217214548"/>
      <w:bookmarkStart w:id="5" w:name="_Toc217237998"/>
      <w:r w:rsidRPr="005211D7">
        <w:t>Context</w:t>
      </w:r>
      <w:bookmarkEnd w:id="4"/>
      <w:bookmarkEnd w:id="5"/>
      <w:r w:rsidR="00BA2D1E" w:rsidRPr="005211D7">
        <w:t xml:space="preserve"> </w:t>
      </w:r>
    </w:p>
    <w:p w14:paraId="3521698F" w14:textId="77777777" w:rsidR="0026666F" w:rsidRPr="0026666F" w:rsidRDefault="0026666F" w:rsidP="0026666F"/>
    <w:p w14:paraId="5DDB648B" w14:textId="2624F8A7" w:rsidR="00BA2D1E" w:rsidRPr="00BA2D1E" w:rsidRDefault="00BA2D1E" w:rsidP="00F60E9B">
      <w:pPr>
        <w:spacing w:line="360" w:lineRule="auto"/>
        <w:jc w:val="both"/>
        <w:rPr>
          <w:rFonts w:ascii="Arial" w:hAnsi="Arial" w:cs="Arial"/>
          <w:sz w:val="24"/>
          <w:szCs w:val="24"/>
        </w:rPr>
      </w:pPr>
      <w:r w:rsidRPr="00BA2D1E">
        <w:rPr>
          <w:rFonts w:ascii="Arial" w:hAnsi="Arial" w:cs="Arial"/>
          <w:sz w:val="24"/>
          <w:szCs w:val="24"/>
        </w:rPr>
        <w:t>A comprehensive diagnosis of a firm's historical fi</w:t>
      </w:r>
      <w:r w:rsidR="00E7769E">
        <w:rPr>
          <w:rFonts w:ascii="Arial" w:hAnsi="Arial" w:cs="Arial"/>
          <w:sz w:val="24"/>
          <w:szCs w:val="24"/>
        </w:rPr>
        <w:t>nancial performance is analyz</w:t>
      </w:r>
      <w:r w:rsidRPr="00BA2D1E">
        <w:rPr>
          <w:rFonts w:ascii="Arial" w:hAnsi="Arial" w:cs="Arial"/>
          <w:sz w:val="24"/>
          <w:szCs w:val="24"/>
        </w:rPr>
        <w:t>ed as the foundational step in any credible c</w:t>
      </w:r>
      <w:r w:rsidR="00F76421">
        <w:rPr>
          <w:rFonts w:ascii="Arial" w:hAnsi="Arial" w:cs="Arial"/>
          <w:sz w:val="24"/>
          <w:szCs w:val="24"/>
        </w:rPr>
        <w:t xml:space="preserve">orporate turnaround initiative </w:t>
      </w:r>
      <w:r w:rsidR="00F76421" w:rsidRPr="00F76421">
        <w:rPr>
          <w:rFonts w:ascii="Arial" w:hAnsi="Arial" w:cs="Arial"/>
          <w:noProof/>
          <w:sz w:val="24"/>
          <w:szCs w:val="24"/>
        </w:rPr>
        <w:t>(Osinubi</w:t>
      </w:r>
      <w:r w:rsidR="00F76421">
        <w:rPr>
          <w:rFonts w:ascii="Arial" w:hAnsi="Arial" w:cs="Arial"/>
          <w:noProof/>
          <w:sz w:val="24"/>
          <w:szCs w:val="24"/>
        </w:rPr>
        <w:t xml:space="preserve"> et.al</w:t>
      </w:r>
      <w:r w:rsidR="00F76421" w:rsidRPr="00F76421">
        <w:rPr>
          <w:rFonts w:ascii="Arial" w:hAnsi="Arial" w:cs="Arial"/>
          <w:noProof/>
          <w:sz w:val="24"/>
          <w:szCs w:val="24"/>
        </w:rPr>
        <w:t>, 2020)</w:t>
      </w:r>
      <w:r w:rsidRPr="00BA2D1E">
        <w:rPr>
          <w:rFonts w:ascii="Arial" w:hAnsi="Arial" w:cs="Arial"/>
          <w:sz w:val="24"/>
          <w:szCs w:val="24"/>
        </w:rPr>
        <w:t xml:space="preserve">. This section provides a detailed, ratio-based assessment of </w:t>
      </w:r>
      <w:r w:rsidR="00697FB8">
        <w:rPr>
          <w:rFonts w:ascii="Arial" w:hAnsi="Arial" w:cs="Arial"/>
          <w:sz w:val="24"/>
          <w:szCs w:val="24"/>
        </w:rPr>
        <w:t>General Electronics' (GE) consolidated financial statements spanning the five years</w:t>
      </w:r>
      <w:r w:rsidRPr="00BA2D1E">
        <w:rPr>
          <w:rFonts w:ascii="Arial" w:hAnsi="Arial" w:cs="Arial"/>
          <w:sz w:val="24"/>
          <w:szCs w:val="24"/>
        </w:rPr>
        <w:t xml:space="preserve"> from 2020 to 2024. The objective is to systematically evaluate prevailing trends, identify residual strengths, and quantify emergent threats to the firm's viability. The analysis culminates in the application of Altman's Z-score model</w:t>
      </w:r>
      <w:r w:rsidR="00697FB8">
        <w:rPr>
          <w:rFonts w:ascii="Arial" w:hAnsi="Arial" w:cs="Arial"/>
          <w:sz w:val="24"/>
          <w:szCs w:val="24"/>
        </w:rPr>
        <w:t>, which provides</w:t>
      </w:r>
      <w:r w:rsidRPr="00BA2D1E">
        <w:rPr>
          <w:rFonts w:ascii="Arial" w:hAnsi="Arial" w:cs="Arial"/>
          <w:sz w:val="24"/>
          <w:szCs w:val="24"/>
        </w:rPr>
        <w:t xml:space="preserve"> a structured, multivariate assessment of bankruptcy risk. All calculations and </w:t>
      </w:r>
      <w:r w:rsidR="00795815" w:rsidRPr="00BA2D1E">
        <w:rPr>
          <w:rFonts w:ascii="Arial" w:hAnsi="Arial" w:cs="Arial"/>
          <w:sz w:val="24"/>
          <w:szCs w:val="24"/>
        </w:rPr>
        <w:t>metrics derived</w:t>
      </w:r>
      <w:r w:rsidRPr="00BA2D1E">
        <w:rPr>
          <w:rFonts w:ascii="Arial" w:hAnsi="Arial" w:cs="Arial"/>
          <w:sz w:val="24"/>
          <w:szCs w:val="24"/>
        </w:rPr>
        <w:t xml:space="preserve"> are grounded in the financial data presented in Appendix A, ensuring analytical </w:t>
      </w:r>
      <w:r w:rsidR="00561979" w:rsidRPr="00BA2D1E">
        <w:rPr>
          <w:rFonts w:ascii="Arial" w:hAnsi="Arial" w:cs="Arial"/>
          <w:sz w:val="24"/>
          <w:szCs w:val="24"/>
        </w:rPr>
        <w:t>rigor</w:t>
      </w:r>
      <w:r w:rsidRPr="00BA2D1E">
        <w:rPr>
          <w:rFonts w:ascii="Arial" w:hAnsi="Arial" w:cs="Arial"/>
          <w:sz w:val="24"/>
          <w:szCs w:val="24"/>
        </w:rPr>
        <w:t xml:space="preserve"> and replicability.</w:t>
      </w:r>
    </w:p>
    <w:p w14:paraId="44AD2148" w14:textId="77777777" w:rsidR="00BA2D1E" w:rsidRPr="005211D7" w:rsidRDefault="00E54587" w:rsidP="005211D7">
      <w:pPr>
        <w:pStyle w:val="Heading2"/>
      </w:pPr>
      <w:bookmarkStart w:id="6" w:name="_Toc217214549"/>
      <w:bookmarkStart w:id="7" w:name="_Toc217237999"/>
      <w:r w:rsidRPr="005211D7">
        <w:t>1.1</w:t>
      </w:r>
      <w:r w:rsidR="00BA2D1E" w:rsidRPr="005211D7">
        <w:t xml:space="preserve"> Profitability Analysis</w:t>
      </w:r>
      <w:bookmarkEnd w:id="6"/>
      <w:bookmarkEnd w:id="7"/>
    </w:p>
    <w:p w14:paraId="40E29981" w14:textId="77777777" w:rsidR="00E54587" w:rsidRPr="00E54587" w:rsidRDefault="00E54587" w:rsidP="00E54587"/>
    <w:p w14:paraId="5027B53E" w14:textId="67F183CE" w:rsidR="00BA2D1E" w:rsidRPr="00BA2D1E" w:rsidRDefault="00BA2D1E" w:rsidP="00F60E9B">
      <w:pPr>
        <w:spacing w:line="360" w:lineRule="auto"/>
        <w:jc w:val="both"/>
        <w:rPr>
          <w:rFonts w:ascii="Arial" w:hAnsi="Arial" w:cs="Arial"/>
          <w:sz w:val="24"/>
          <w:szCs w:val="24"/>
        </w:rPr>
      </w:pPr>
      <w:r w:rsidRPr="00BA2D1E">
        <w:rPr>
          <w:rFonts w:ascii="Arial" w:hAnsi="Arial" w:cs="Arial"/>
          <w:sz w:val="24"/>
          <w:szCs w:val="24"/>
        </w:rPr>
        <w:t xml:space="preserve">The profitability trajectory of General Electronics is </w:t>
      </w:r>
      <w:r w:rsidR="00561979" w:rsidRPr="00BA2D1E">
        <w:rPr>
          <w:rFonts w:ascii="Arial" w:hAnsi="Arial" w:cs="Arial"/>
          <w:sz w:val="24"/>
          <w:szCs w:val="24"/>
        </w:rPr>
        <w:t>characterized</w:t>
      </w:r>
      <w:r w:rsidRPr="00BA2D1E">
        <w:rPr>
          <w:rFonts w:ascii="Arial" w:hAnsi="Arial" w:cs="Arial"/>
          <w:sz w:val="24"/>
          <w:szCs w:val="24"/>
        </w:rPr>
        <w:t xml:space="preserve"> by a severe and consistent deterioration, </w:t>
      </w:r>
      <w:r w:rsidR="00561979" w:rsidRPr="00BA2D1E">
        <w:rPr>
          <w:rFonts w:ascii="Arial" w:hAnsi="Arial" w:cs="Arial"/>
          <w:sz w:val="24"/>
          <w:szCs w:val="24"/>
        </w:rPr>
        <w:t>signaling</w:t>
      </w:r>
      <w:r w:rsidRPr="00BA2D1E">
        <w:rPr>
          <w:rFonts w:ascii="Arial" w:hAnsi="Arial" w:cs="Arial"/>
          <w:sz w:val="24"/>
          <w:szCs w:val="24"/>
        </w:rPr>
        <w:t xml:space="preserve"> a fundamental impairment in its ability to generate sustainable earnings. As illustrated in Table 1 (Appendix A), the Net Profit Margin declined precipitously from 6% in 2020 to -6% by 2024. This collapse is primarily attributed to a significant escalation in operating expenses, given that the Gross Profit Margin remained relatively stable at approximately 29% throughout the period. </w:t>
      </w:r>
      <w:r w:rsidRPr="00BA2D1E">
        <w:rPr>
          <w:rFonts w:ascii="Arial" w:hAnsi="Arial" w:cs="Arial"/>
          <w:sz w:val="24"/>
          <w:szCs w:val="24"/>
        </w:rPr>
        <w:lastRenderedPageBreak/>
        <w:t>Consequently, the Operating Margin transitioned into negative territory in 2023 (-20%) and 2024 (-4%), confirming that the firm's core operational activities became loss-making.</w:t>
      </w:r>
    </w:p>
    <w:p w14:paraId="1E60DB06" w14:textId="77777777" w:rsidR="00BA2D1E" w:rsidRPr="00BA2D1E" w:rsidRDefault="00BA2D1E" w:rsidP="00F60E9B">
      <w:pPr>
        <w:spacing w:line="360" w:lineRule="auto"/>
        <w:jc w:val="both"/>
        <w:rPr>
          <w:rFonts w:ascii="Arial" w:hAnsi="Arial" w:cs="Arial"/>
          <w:sz w:val="24"/>
          <w:szCs w:val="24"/>
        </w:rPr>
      </w:pPr>
      <w:r w:rsidRPr="00BA2D1E">
        <w:rPr>
          <w:rFonts w:ascii="Arial" w:hAnsi="Arial" w:cs="Arial"/>
          <w:sz w:val="24"/>
          <w:szCs w:val="24"/>
        </w:rPr>
        <w:t xml:space="preserve">The erosion of profitability is further evidenced in the returns generated on invested capital. The Return on Capital Employed (ROCE) and Return on Equity (ROE), as derived from the appended data, entered deeply negative realms by 2024, recorded at -55% and -16% respectively. Such metrics indicate not merely underperformance, but an active destruction of shareholder value </w:t>
      </w:r>
      <w:r w:rsidR="00B4457E" w:rsidRPr="00B4457E">
        <w:rPr>
          <w:rFonts w:ascii="Arial" w:hAnsi="Arial" w:cs="Arial"/>
          <w:noProof/>
          <w:sz w:val="24"/>
          <w:szCs w:val="24"/>
        </w:rPr>
        <w:t>(Keown</w:t>
      </w:r>
      <w:r w:rsidR="00B4457E">
        <w:rPr>
          <w:rFonts w:ascii="Arial" w:hAnsi="Arial" w:cs="Arial"/>
          <w:noProof/>
          <w:sz w:val="24"/>
          <w:szCs w:val="24"/>
        </w:rPr>
        <w:t xml:space="preserve"> et.al</w:t>
      </w:r>
      <w:r w:rsidR="00B4457E" w:rsidRPr="00B4457E">
        <w:rPr>
          <w:rFonts w:ascii="Arial" w:hAnsi="Arial" w:cs="Arial"/>
          <w:noProof/>
          <w:sz w:val="24"/>
          <w:szCs w:val="24"/>
        </w:rPr>
        <w:t>, 2023)</w:t>
      </w:r>
      <w:r w:rsidRPr="00BA2D1E">
        <w:rPr>
          <w:rFonts w:ascii="Arial" w:hAnsi="Arial" w:cs="Arial"/>
          <w:sz w:val="24"/>
          <w:szCs w:val="24"/>
        </w:rPr>
        <w:t xml:space="preserve">. </w:t>
      </w:r>
      <w:r w:rsidR="004A2984" w:rsidRPr="004A2984">
        <w:rPr>
          <w:rFonts w:ascii="Arial" w:hAnsi="Arial" w:cs="Arial"/>
          <w:sz w:val="24"/>
          <w:szCs w:val="24"/>
        </w:rPr>
        <w:t>The erosion of retained earnings and cash reserves is anticipated to render the company incapable of servicing its debt obligations and funding essential future investments</w:t>
      </w:r>
      <w:r w:rsidR="004A2984">
        <w:rPr>
          <w:rFonts w:ascii="Arial" w:hAnsi="Arial" w:cs="Arial"/>
          <w:sz w:val="24"/>
          <w:szCs w:val="24"/>
        </w:rPr>
        <w:t>, absent immediate intervention</w:t>
      </w:r>
      <w:r w:rsidRPr="00BA2D1E">
        <w:rPr>
          <w:rFonts w:ascii="Arial" w:hAnsi="Arial" w:cs="Arial"/>
          <w:sz w:val="24"/>
          <w:szCs w:val="24"/>
        </w:rPr>
        <w:t>.</w:t>
      </w:r>
    </w:p>
    <w:p w14:paraId="04BF444F" w14:textId="77777777" w:rsidR="00E7769E" w:rsidRDefault="005211D7" w:rsidP="005211D7">
      <w:pPr>
        <w:pStyle w:val="Heading2"/>
      </w:pPr>
      <w:bookmarkStart w:id="8" w:name="_Toc217238000"/>
      <w:r>
        <w:t>1.2</w:t>
      </w:r>
      <w:r w:rsidR="00E7769E" w:rsidRPr="00E7769E">
        <w:t xml:space="preserve"> Liquidity and Solvency Analysis</w:t>
      </w:r>
      <w:bookmarkEnd w:id="8"/>
    </w:p>
    <w:p w14:paraId="38AC36FC" w14:textId="77777777" w:rsidR="005211D7" w:rsidRPr="005211D7" w:rsidRDefault="005211D7" w:rsidP="005211D7"/>
    <w:p w14:paraId="41C6226F" w14:textId="77777777" w:rsidR="00697FB8" w:rsidRPr="00E7769E" w:rsidRDefault="0017617C" w:rsidP="00F60E9B">
      <w:pPr>
        <w:spacing w:line="360" w:lineRule="auto"/>
        <w:jc w:val="both"/>
        <w:rPr>
          <w:rFonts w:ascii="Arial" w:hAnsi="Arial" w:cs="Arial"/>
          <w:noProof/>
          <w:sz w:val="24"/>
          <w:szCs w:val="24"/>
        </w:rPr>
      </w:pPr>
      <w:r w:rsidRPr="0017617C">
        <w:rPr>
          <w:rFonts w:ascii="Arial" w:hAnsi="Arial" w:cs="Arial"/>
          <w:sz w:val="24"/>
          <w:szCs w:val="24"/>
        </w:rPr>
        <w:t>An examination of liquidity metrics reveals a position of increasing strain and vulnerability. The Current Ratio is observed to have deteriorated from 1.82 in 2020 to 1.53 in 2024 (Table 2, Appendix A). A more concerning trend is evidenced in the Quick Ratio, which declined from 1.15 to 1.03, indicating a diminishing buffer of liquid assets against short-term liabilities. Most alarmingly, the Cash Ratio is shown to have halved from 0.32 to 0.17, underscoring a critical depletion</w:t>
      </w:r>
      <w:r>
        <w:rPr>
          <w:rFonts w:ascii="Arial" w:hAnsi="Arial" w:cs="Arial"/>
          <w:sz w:val="24"/>
          <w:szCs w:val="24"/>
        </w:rPr>
        <w:t xml:space="preserve"> of immediate liquid resources. </w:t>
      </w:r>
      <w:r w:rsidRPr="0017617C">
        <w:rPr>
          <w:rFonts w:ascii="Arial" w:hAnsi="Arial" w:cs="Arial"/>
          <w:sz w:val="24"/>
          <w:szCs w:val="24"/>
        </w:rPr>
        <w:t xml:space="preserve">This liquidity squeeze is intrinsically linked to a </w:t>
      </w:r>
      <w:r>
        <w:rPr>
          <w:rFonts w:ascii="Arial" w:hAnsi="Arial" w:cs="Arial"/>
          <w:sz w:val="24"/>
          <w:szCs w:val="24"/>
        </w:rPr>
        <w:t>deteriorating solvency position</w:t>
      </w:r>
      <w:r w:rsidRPr="0017617C">
        <w:rPr>
          <w:rFonts w:ascii="Arial" w:hAnsi="Arial" w:cs="Arial"/>
          <w:sz w:val="24"/>
          <w:szCs w:val="24"/>
        </w:rPr>
        <w:t xml:space="preserve"> as consistent net losses have systematically eroded retained earnings from £38,572 million to £-24,029 million. Consequently, a dual threat is identified: an imminent liquidity crunch risking operational disruption and a chronic solvency crisis where the escalating debt burden is rendered unsustainable.</w:t>
      </w:r>
      <w:r w:rsidR="007A3A49">
        <w:rPr>
          <w:rFonts w:ascii="Arial" w:hAnsi="Arial" w:cs="Arial"/>
          <w:noProof/>
          <w:sz w:val="24"/>
          <w:szCs w:val="24"/>
        </w:rPr>
        <w:t xml:space="preserve"> (Brealey et. al, 2020).</w:t>
      </w:r>
    </w:p>
    <w:p w14:paraId="6923E1B3" w14:textId="77777777" w:rsidR="00E7769E" w:rsidRDefault="005211D7" w:rsidP="005211D7">
      <w:pPr>
        <w:pStyle w:val="Heading2"/>
      </w:pPr>
      <w:bookmarkStart w:id="9" w:name="_Toc217238001"/>
      <w:r>
        <w:t>1.3</w:t>
      </w:r>
      <w:r w:rsidR="00E7769E" w:rsidRPr="00E7769E">
        <w:t xml:space="preserve"> Efficiency and Cash Flow Analysis</w:t>
      </w:r>
      <w:bookmarkEnd w:id="9"/>
    </w:p>
    <w:p w14:paraId="20968704" w14:textId="77777777" w:rsidR="005211D7" w:rsidRPr="005211D7" w:rsidRDefault="005211D7" w:rsidP="005211D7"/>
    <w:p w14:paraId="49C66903" w14:textId="77777777" w:rsidR="007A3A49" w:rsidRDefault="00CD733F" w:rsidP="00F60E9B">
      <w:pPr>
        <w:spacing w:line="360" w:lineRule="auto"/>
        <w:jc w:val="both"/>
        <w:rPr>
          <w:rFonts w:ascii="Arial" w:hAnsi="Arial" w:cs="Arial"/>
          <w:sz w:val="24"/>
          <w:szCs w:val="24"/>
        </w:rPr>
      </w:pPr>
      <w:r w:rsidRPr="00CD733F">
        <w:rPr>
          <w:rFonts w:ascii="Arial" w:hAnsi="Arial" w:cs="Arial"/>
          <w:sz w:val="24"/>
          <w:szCs w:val="24"/>
        </w:rPr>
        <w:t xml:space="preserve">Marked inefficiencies in working capital management are demonstrated through activity ratios. Inventory days remained persistently high, fluctuating between 100 and 131 days (Appendix A, Table 3), indicating significant capital tie-up. Simultaneously, accounts receivable days extended from 68 to 120 days, suggesting deteriorating collection efficacy. Consequently, although operating cash flow remained positive, it diminished to a precarious £14,822 million by 2024, proving insufficient to cover net capital </w:t>
      </w:r>
      <w:r w:rsidRPr="00CD733F">
        <w:rPr>
          <w:rFonts w:ascii="Arial" w:hAnsi="Arial" w:cs="Arial"/>
          <w:sz w:val="24"/>
          <w:szCs w:val="24"/>
        </w:rPr>
        <w:lastRenderedPageBreak/>
        <w:t>expenditures and forcing increased financing dependency. The volatile pattern in payable days further indicates tactical payment management in response to liquidity constraints, a phenomenon associated with corporate distress </w:t>
      </w:r>
      <w:r w:rsidR="007A3A49" w:rsidRPr="007A3A49">
        <w:rPr>
          <w:rFonts w:ascii="Arial" w:hAnsi="Arial" w:cs="Arial"/>
          <w:noProof/>
          <w:sz w:val="24"/>
          <w:szCs w:val="24"/>
        </w:rPr>
        <w:t>(</w:t>
      </w:r>
      <w:proofErr w:type="spellStart"/>
      <w:r w:rsidR="007A3A49" w:rsidRPr="007A3A49">
        <w:rPr>
          <w:rFonts w:ascii="Arial" w:hAnsi="Arial" w:cs="Arial"/>
          <w:noProof/>
          <w:sz w:val="24"/>
          <w:szCs w:val="24"/>
        </w:rPr>
        <w:t>Osinubi</w:t>
      </w:r>
      <w:proofErr w:type="spellEnd"/>
      <w:r w:rsidR="007A3A49" w:rsidRPr="007A3A49">
        <w:rPr>
          <w:rFonts w:ascii="Arial" w:hAnsi="Arial" w:cs="Arial"/>
          <w:noProof/>
          <w:sz w:val="24"/>
          <w:szCs w:val="24"/>
        </w:rPr>
        <w:t>, 2020)</w:t>
      </w:r>
      <w:r w:rsidR="007A3A49">
        <w:rPr>
          <w:rFonts w:ascii="Arial" w:hAnsi="Arial" w:cs="Arial"/>
          <w:sz w:val="24"/>
          <w:szCs w:val="24"/>
        </w:rPr>
        <w:t>.</w:t>
      </w:r>
    </w:p>
    <w:p w14:paraId="5BB779A5" w14:textId="77777777" w:rsidR="00E7769E" w:rsidRPr="00E7769E" w:rsidRDefault="00E7769E" w:rsidP="00F60E9B">
      <w:pPr>
        <w:spacing w:line="360" w:lineRule="auto"/>
        <w:jc w:val="both"/>
        <w:rPr>
          <w:rFonts w:ascii="Arial" w:hAnsi="Arial" w:cs="Arial"/>
          <w:sz w:val="24"/>
          <w:szCs w:val="24"/>
        </w:rPr>
      </w:pPr>
      <w:r w:rsidRPr="00E7769E">
        <w:rPr>
          <w:rFonts w:ascii="Arial" w:hAnsi="Arial" w:cs="Arial"/>
          <w:sz w:val="24"/>
          <w:szCs w:val="24"/>
        </w:rPr>
        <w:t>In essence, the business model fails to generate sufficient internal cash to sustain its operational footprint and investment needs, exacerbating the reliance on external financing.</w:t>
      </w:r>
    </w:p>
    <w:p w14:paraId="28C29BD0" w14:textId="77777777" w:rsidR="00E7769E" w:rsidRDefault="005211D7" w:rsidP="005211D7">
      <w:pPr>
        <w:pStyle w:val="Heading2"/>
      </w:pPr>
      <w:bookmarkStart w:id="10" w:name="_Toc217238002"/>
      <w:r>
        <w:t>1.4</w:t>
      </w:r>
      <w:r w:rsidR="00E7769E" w:rsidRPr="00E7769E">
        <w:t xml:space="preserve"> Gearing and Solvency Ratio Analysis</w:t>
      </w:r>
      <w:bookmarkEnd w:id="10"/>
    </w:p>
    <w:p w14:paraId="4CE0517B" w14:textId="77777777" w:rsidR="005211D7" w:rsidRPr="005211D7" w:rsidRDefault="005211D7" w:rsidP="005211D7"/>
    <w:p w14:paraId="54A2AA22" w14:textId="77777777" w:rsidR="00E7769E" w:rsidRPr="00E7769E" w:rsidRDefault="00E7769E" w:rsidP="00F60E9B">
      <w:pPr>
        <w:spacing w:line="360" w:lineRule="auto"/>
        <w:jc w:val="both"/>
        <w:rPr>
          <w:rFonts w:ascii="Arial" w:hAnsi="Arial" w:cs="Arial"/>
          <w:sz w:val="24"/>
          <w:szCs w:val="24"/>
        </w:rPr>
      </w:pPr>
      <w:r w:rsidRPr="00E7769E">
        <w:rPr>
          <w:rFonts w:ascii="Arial" w:hAnsi="Arial" w:cs="Arial"/>
          <w:sz w:val="24"/>
          <w:szCs w:val="24"/>
        </w:rPr>
        <w:t>The analysis of capital structure and debt-servicing capacity reveals a pronounced shift towards unsustainable leverage. As delineated in Table 4 (Appendix A), th</w:t>
      </w:r>
      <w:r>
        <w:rPr>
          <w:rFonts w:ascii="Arial" w:hAnsi="Arial" w:cs="Arial"/>
          <w:sz w:val="24"/>
          <w:szCs w:val="24"/>
        </w:rPr>
        <w:t xml:space="preserve">e Interest Coverage Ratio (ICR); </w:t>
      </w:r>
      <w:r w:rsidRPr="00E7769E">
        <w:rPr>
          <w:rFonts w:ascii="Arial" w:hAnsi="Arial" w:cs="Arial"/>
          <w:sz w:val="24"/>
          <w:szCs w:val="24"/>
        </w:rPr>
        <w:t>calculated as E</w:t>
      </w:r>
      <w:r>
        <w:rPr>
          <w:rFonts w:ascii="Arial" w:hAnsi="Arial" w:cs="Arial"/>
          <w:sz w:val="24"/>
          <w:szCs w:val="24"/>
        </w:rPr>
        <w:t xml:space="preserve">BIT divided by Interest Expense; </w:t>
      </w:r>
      <w:r w:rsidRPr="00E7769E">
        <w:rPr>
          <w:rFonts w:ascii="Arial" w:hAnsi="Arial" w:cs="Arial"/>
          <w:sz w:val="24"/>
          <w:szCs w:val="24"/>
        </w:rPr>
        <w:t xml:space="preserve">collapsed from a robust 26.2 in 2020 to negative values of -19.7 and -4.6 in 2023 and 2024, respectively. A negative ICR indicates that operating earnings are insufficient to cover interest obligations, </w:t>
      </w:r>
      <w:r w:rsidR="00FB7151" w:rsidRPr="00E7769E">
        <w:rPr>
          <w:rFonts w:ascii="Arial" w:hAnsi="Arial" w:cs="Arial"/>
          <w:sz w:val="24"/>
          <w:szCs w:val="24"/>
        </w:rPr>
        <w:t>signaling</w:t>
      </w:r>
      <w:r w:rsidRPr="00E7769E">
        <w:rPr>
          <w:rFonts w:ascii="Arial" w:hAnsi="Arial" w:cs="Arial"/>
          <w:sz w:val="24"/>
          <w:szCs w:val="24"/>
        </w:rPr>
        <w:t xml:space="preserve"> acute solvency risk.</w:t>
      </w:r>
    </w:p>
    <w:p w14:paraId="7F65BB01" w14:textId="77777777" w:rsidR="00E7769E" w:rsidRPr="00E7769E" w:rsidRDefault="00E7769E" w:rsidP="00F60E9B">
      <w:pPr>
        <w:spacing w:line="360" w:lineRule="auto"/>
        <w:jc w:val="both"/>
        <w:rPr>
          <w:rFonts w:ascii="Arial" w:hAnsi="Arial" w:cs="Arial"/>
          <w:sz w:val="24"/>
          <w:szCs w:val="24"/>
        </w:rPr>
      </w:pPr>
      <w:r w:rsidRPr="00E7769E">
        <w:rPr>
          <w:rFonts w:ascii="Arial" w:hAnsi="Arial" w:cs="Arial"/>
          <w:sz w:val="24"/>
          <w:szCs w:val="24"/>
        </w:rPr>
        <w:t>Concurrently, leverage ratios evidenced a steady increase in debt reliance. The Debt-to-Equity Ratio escalated from 0.63 to 1.11, indicating that by 2024, total liabilitie</w:t>
      </w:r>
      <w:r>
        <w:rPr>
          <w:rFonts w:ascii="Arial" w:hAnsi="Arial" w:cs="Arial"/>
          <w:sz w:val="24"/>
          <w:szCs w:val="24"/>
        </w:rPr>
        <w:t xml:space="preserve">s exceeded shareholders' equity; </w:t>
      </w:r>
      <w:r w:rsidRPr="00E7769E">
        <w:rPr>
          <w:rFonts w:ascii="Arial" w:hAnsi="Arial" w:cs="Arial"/>
          <w:sz w:val="24"/>
          <w:szCs w:val="24"/>
        </w:rPr>
        <w:t xml:space="preserve">a critical tipping point into higher financial risk. This is corroborated by the Debt-to-Capital Ratio, which increased from 38.6% to 52.7%, and the Equity Multiplier, which grew from 1.63 to 2.11. This combination of rising leverage and collapsing interest coverage points to a structurally weakened balance sheet, heightening exposure to refinancing risks, covenant breaches, and potential financial distress in the event of economic or interest rate shocks </w:t>
      </w:r>
      <w:r w:rsidR="007A3A49" w:rsidRPr="007A3A49">
        <w:rPr>
          <w:rFonts w:ascii="Arial" w:hAnsi="Arial" w:cs="Arial"/>
          <w:sz w:val="24"/>
          <w:szCs w:val="24"/>
        </w:rPr>
        <w:t>(</w:t>
      </w:r>
      <w:proofErr w:type="spellStart"/>
      <w:r w:rsidR="007A3A49" w:rsidRPr="007A3A49">
        <w:rPr>
          <w:rFonts w:ascii="Arial" w:hAnsi="Arial" w:cs="Arial"/>
          <w:sz w:val="24"/>
          <w:szCs w:val="24"/>
        </w:rPr>
        <w:t>Berk</w:t>
      </w:r>
      <w:proofErr w:type="spellEnd"/>
      <w:r w:rsidR="007A3A49" w:rsidRPr="007A3A49">
        <w:rPr>
          <w:rFonts w:ascii="Arial" w:hAnsi="Arial" w:cs="Arial"/>
          <w:sz w:val="24"/>
          <w:szCs w:val="24"/>
        </w:rPr>
        <w:t xml:space="preserve"> &amp; </w:t>
      </w:r>
      <w:proofErr w:type="spellStart"/>
      <w:r w:rsidR="007A3A49" w:rsidRPr="007A3A49">
        <w:rPr>
          <w:rFonts w:ascii="Arial" w:hAnsi="Arial" w:cs="Arial"/>
          <w:sz w:val="24"/>
          <w:szCs w:val="24"/>
        </w:rPr>
        <w:t>DeMarzo</w:t>
      </w:r>
      <w:proofErr w:type="spellEnd"/>
      <w:r w:rsidR="007A3A49" w:rsidRPr="007A3A49">
        <w:rPr>
          <w:rFonts w:ascii="Arial" w:hAnsi="Arial" w:cs="Arial"/>
          <w:sz w:val="24"/>
          <w:szCs w:val="24"/>
        </w:rPr>
        <w:t xml:space="preserve">, 2020). </w:t>
      </w:r>
    </w:p>
    <w:p w14:paraId="7CC421B3" w14:textId="77777777" w:rsidR="00E7769E" w:rsidRDefault="005211D7" w:rsidP="005211D7">
      <w:pPr>
        <w:pStyle w:val="Heading2"/>
      </w:pPr>
      <w:bookmarkStart w:id="11" w:name="_Toc217238003"/>
      <w:r>
        <w:t>1.5</w:t>
      </w:r>
      <w:r w:rsidR="00E7769E" w:rsidRPr="00E7769E">
        <w:t xml:space="preserve"> Investment and Market-Based Ratio Analysis</w:t>
      </w:r>
      <w:bookmarkEnd w:id="11"/>
    </w:p>
    <w:p w14:paraId="0B4DD87A" w14:textId="77777777" w:rsidR="005211D7" w:rsidRPr="005211D7" w:rsidRDefault="005211D7" w:rsidP="005211D7"/>
    <w:p w14:paraId="44766AF4" w14:textId="77777777" w:rsidR="00E7769E" w:rsidRPr="00E7769E" w:rsidRDefault="00E7769E" w:rsidP="00F60E9B">
      <w:pPr>
        <w:spacing w:line="360" w:lineRule="auto"/>
        <w:jc w:val="both"/>
        <w:rPr>
          <w:rFonts w:ascii="Arial" w:hAnsi="Arial" w:cs="Arial"/>
          <w:sz w:val="24"/>
          <w:szCs w:val="24"/>
        </w:rPr>
      </w:pPr>
      <w:r w:rsidRPr="00E7769E">
        <w:rPr>
          <w:rFonts w:ascii="Arial" w:hAnsi="Arial" w:cs="Arial"/>
          <w:sz w:val="24"/>
          <w:szCs w:val="24"/>
        </w:rPr>
        <w:t xml:space="preserve">An assessment of investment performance and market valuation, based on an assumed consistent share price of £120, further underscores the erosion of shareholder value. As presented in Table 5 (Appendix A), Earnings Per Share (EPS) deteriorated from £3.00 in 2020 to -£1.85 in 2024. The Price-to-Earnings (P/E) ratio, while artificially inflated in 2021 and 2022 due to minimal EPS, became negative in the latter years, rendering it </w:t>
      </w:r>
      <w:r w:rsidRPr="00E7769E">
        <w:rPr>
          <w:rFonts w:ascii="Arial" w:hAnsi="Arial" w:cs="Arial"/>
          <w:sz w:val="24"/>
          <w:szCs w:val="24"/>
        </w:rPr>
        <w:lastRenderedPageBreak/>
        <w:t xml:space="preserve">meaningless and </w:t>
      </w:r>
      <w:r w:rsidR="00F60E9B" w:rsidRPr="00E7769E">
        <w:rPr>
          <w:rFonts w:ascii="Arial" w:hAnsi="Arial" w:cs="Arial"/>
          <w:sz w:val="24"/>
          <w:szCs w:val="24"/>
        </w:rPr>
        <w:t>signaling</w:t>
      </w:r>
      <w:r w:rsidRPr="00E7769E">
        <w:rPr>
          <w:rFonts w:ascii="Arial" w:hAnsi="Arial" w:cs="Arial"/>
          <w:sz w:val="24"/>
          <w:szCs w:val="24"/>
        </w:rPr>
        <w:t xml:space="preserve"> a complete disconnect between market price and deteriorating fundamentals.</w:t>
      </w:r>
    </w:p>
    <w:p w14:paraId="0DF1FA0C" w14:textId="77777777" w:rsidR="005211D7" w:rsidRDefault="00E7769E" w:rsidP="00F60E9B">
      <w:pPr>
        <w:spacing w:line="360" w:lineRule="auto"/>
        <w:jc w:val="both"/>
        <w:rPr>
          <w:rFonts w:ascii="Arial" w:hAnsi="Arial" w:cs="Arial"/>
          <w:sz w:val="24"/>
          <w:szCs w:val="24"/>
        </w:rPr>
      </w:pPr>
      <w:r w:rsidRPr="00E7769E">
        <w:rPr>
          <w:rFonts w:ascii="Arial" w:hAnsi="Arial" w:cs="Arial"/>
          <w:sz w:val="24"/>
          <w:szCs w:val="24"/>
        </w:rPr>
        <w:t xml:space="preserve">The Return on Equity (ROE) and Return on Assets (ROA) metrics tell a congruent story of value destruction. ROE fell from 12% to -48% in 2023, while ROA dropped from 7.6% to -27.6% over the same period. These figures highlight a critical failure in deploying both shareholder capital and total assets profitably, severely weakening investor confidence and reinforcing the imperative for comprehensive operational and financial restructuring </w:t>
      </w:r>
      <w:r w:rsidR="007A3A49" w:rsidRPr="007A3A49">
        <w:rPr>
          <w:rFonts w:ascii="Arial" w:hAnsi="Arial" w:cs="Arial"/>
          <w:sz w:val="24"/>
          <w:szCs w:val="24"/>
        </w:rPr>
        <w:t>(</w:t>
      </w:r>
      <w:proofErr w:type="spellStart"/>
      <w:r w:rsidR="007A3A49" w:rsidRPr="007A3A49">
        <w:rPr>
          <w:rFonts w:ascii="Arial" w:hAnsi="Arial" w:cs="Arial"/>
          <w:sz w:val="24"/>
          <w:szCs w:val="24"/>
        </w:rPr>
        <w:t>Atrill</w:t>
      </w:r>
      <w:proofErr w:type="spellEnd"/>
      <w:r w:rsidR="007A3A49" w:rsidRPr="007A3A49">
        <w:rPr>
          <w:rFonts w:ascii="Arial" w:hAnsi="Arial" w:cs="Arial"/>
          <w:sz w:val="24"/>
          <w:szCs w:val="24"/>
        </w:rPr>
        <w:t xml:space="preserve"> &amp; </w:t>
      </w:r>
      <w:proofErr w:type="spellStart"/>
      <w:r w:rsidR="007A3A49" w:rsidRPr="007A3A49">
        <w:rPr>
          <w:rFonts w:ascii="Arial" w:hAnsi="Arial" w:cs="Arial"/>
          <w:sz w:val="24"/>
          <w:szCs w:val="24"/>
        </w:rPr>
        <w:t>McLaney</w:t>
      </w:r>
      <w:proofErr w:type="spellEnd"/>
      <w:r w:rsidR="007A3A49" w:rsidRPr="007A3A49">
        <w:rPr>
          <w:rFonts w:ascii="Arial" w:hAnsi="Arial" w:cs="Arial"/>
          <w:sz w:val="24"/>
          <w:szCs w:val="24"/>
        </w:rPr>
        <w:t>, 2017).</w:t>
      </w:r>
    </w:p>
    <w:p w14:paraId="171244F3" w14:textId="77777777" w:rsidR="005211D7" w:rsidRDefault="005211D7" w:rsidP="00697FB8">
      <w:pPr>
        <w:pStyle w:val="Heading2"/>
      </w:pPr>
      <w:bookmarkStart w:id="12" w:name="_Toc217238004"/>
      <w:r>
        <w:t>1.6</w:t>
      </w:r>
      <w:r w:rsidR="00E7769E" w:rsidRPr="00E7769E">
        <w:t xml:space="preserve"> Cash Flow Analysis</w:t>
      </w:r>
      <w:bookmarkEnd w:id="12"/>
    </w:p>
    <w:p w14:paraId="32EBE6A9" w14:textId="77777777" w:rsidR="00697FB8" w:rsidRPr="00697FB8" w:rsidRDefault="00697FB8" w:rsidP="00697FB8"/>
    <w:p w14:paraId="1EFCA6B5" w14:textId="77777777" w:rsidR="00E7769E" w:rsidRPr="00E7769E" w:rsidRDefault="00E7769E" w:rsidP="00F60E9B">
      <w:pPr>
        <w:spacing w:line="360" w:lineRule="auto"/>
        <w:jc w:val="both"/>
        <w:rPr>
          <w:rFonts w:ascii="Arial" w:hAnsi="Arial" w:cs="Arial"/>
          <w:sz w:val="24"/>
          <w:szCs w:val="24"/>
        </w:rPr>
      </w:pPr>
      <w:r w:rsidRPr="00E7769E">
        <w:rPr>
          <w:rFonts w:ascii="Arial" w:hAnsi="Arial" w:cs="Arial"/>
          <w:sz w:val="24"/>
          <w:szCs w:val="24"/>
        </w:rPr>
        <w:t>The adequacy of cash flow generation relative to obligations reveals pronounced vulnerabilities. Table 6 (Appendix A) presents three critical cash flow ratios. The Operating Cash Flow Ratio, measuring the capacity to cover current liabilities from operating cash, fell sharply from 0.41 to 0.09. This indicates that in 2024, operating cash inflows could cover less than 10% of short-term obligations, reflecting severe liquidity strain.</w:t>
      </w:r>
    </w:p>
    <w:p w14:paraId="5D9421E7" w14:textId="5EBB66F2" w:rsidR="00E7769E" w:rsidRPr="00E7769E" w:rsidRDefault="00E7769E" w:rsidP="00F60E9B">
      <w:pPr>
        <w:spacing w:line="360" w:lineRule="auto"/>
        <w:jc w:val="both"/>
        <w:rPr>
          <w:rFonts w:ascii="Arial" w:hAnsi="Arial" w:cs="Arial"/>
          <w:sz w:val="24"/>
          <w:szCs w:val="24"/>
        </w:rPr>
      </w:pPr>
      <w:r w:rsidRPr="00E7769E">
        <w:rPr>
          <w:rFonts w:ascii="Arial" w:hAnsi="Arial" w:cs="Arial"/>
          <w:sz w:val="24"/>
          <w:szCs w:val="24"/>
        </w:rPr>
        <w:t xml:space="preserve">Similarly, the Cash Flow to Debt Ratio declined from 0.37 to 0.09, </w:t>
      </w:r>
      <w:r w:rsidR="00C21029" w:rsidRPr="00E7769E">
        <w:rPr>
          <w:rFonts w:ascii="Arial" w:hAnsi="Arial" w:cs="Arial"/>
          <w:sz w:val="24"/>
          <w:szCs w:val="24"/>
        </w:rPr>
        <w:t>signaling</w:t>
      </w:r>
      <w:r w:rsidRPr="00E7769E">
        <w:rPr>
          <w:rFonts w:ascii="Arial" w:hAnsi="Arial" w:cs="Arial"/>
          <w:sz w:val="24"/>
          <w:szCs w:val="24"/>
        </w:rPr>
        <w:t xml:space="preserve"> a diminishing ability to service total liabilities from core operations. The Cash Flow Margin contracted from 12% to 4%, highlighting growing inefficiencies in converting revenue into cash, attributable to rising costs and poor working capital management. Collectively, these metrics underscore a deteriorating cash conversion efficiency and heightened vulnerability to liquidity and solvency pressures, despite the nominal generation of positive operating cash flow.</w:t>
      </w:r>
    </w:p>
    <w:p w14:paraId="16E584F2" w14:textId="77777777" w:rsidR="00E7769E" w:rsidRDefault="005211D7" w:rsidP="005211D7">
      <w:pPr>
        <w:pStyle w:val="Heading2"/>
      </w:pPr>
      <w:bookmarkStart w:id="13" w:name="_Toc217238005"/>
      <w:r>
        <w:t>1.7</w:t>
      </w:r>
      <w:r w:rsidR="00E7769E" w:rsidRPr="00E7769E">
        <w:t xml:space="preserve"> Corporate Failure Prediction: Altman Z-Score</w:t>
      </w:r>
      <w:bookmarkEnd w:id="13"/>
    </w:p>
    <w:p w14:paraId="7E29EC36" w14:textId="77777777" w:rsidR="005211D7" w:rsidRPr="005211D7" w:rsidRDefault="005211D7" w:rsidP="005211D7"/>
    <w:p w14:paraId="2957CB94" w14:textId="77777777" w:rsidR="007A3A49" w:rsidRPr="00697FB8" w:rsidRDefault="00E7769E" w:rsidP="00F60E9B">
      <w:pPr>
        <w:spacing w:line="360" w:lineRule="auto"/>
        <w:jc w:val="both"/>
        <w:rPr>
          <w:rFonts w:ascii="Arial" w:hAnsi="Arial" w:cs="Arial"/>
          <w:sz w:val="24"/>
          <w:szCs w:val="24"/>
        </w:rPr>
      </w:pPr>
      <w:r w:rsidRPr="00E7769E">
        <w:rPr>
          <w:rFonts w:ascii="Arial" w:hAnsi="Arial" w:cs="Arial"/>
          <w:sz w:val="24"/>
          <w:szCs w:val="24"/>
        </w:rPr>
        <w:t>The application of the Altman Z-Score model, with calculations detailed in Table 7 (Appendix A), yields ostensibly counterintuitive results. The Z-Score remained elevated throughout the period, ranging from 8.47 to 11.21—figures well above the 2.99 threshold of the "Safe Zone" (Altman, 1968). This apparent indication of financial health is primarily driven by a strong X</w:t>
      </w:r>
      <w:r w:rsidRPr="00E7769E">
        <w:rPr>
          <w:rFonts w:ascii="Cambria Math" w:hAnsi="Cambria Math" w:cs="Cambria Math"/>
          <w:sz w:val="24"/>
          <w:szCs w:val="24"/>
        </w:rPr>
        <w:t>₄</w:t>
      </w:r>
      <w:r w:rsidRPr="00E7769E">
        <w:rPr>
          <w:rFonts w:ascii="Arial" w:hAnsi="Arial" w:cs="Arial"/>
          <w:sz w:val="24"/>
          <w:szCs w:val="24"/>
        </w:rPr>
        <w:t xml:space="preserve"> (Market Value of Equity/Total Liabilities) and healthy X</w:t>
      </w:r>
      <w:r w:rsidRPr="00E7769E">
        <w:rPr>
          <w:rFonts w:ascii="Cambria Math" w:hAnsi="Cambria Math" w:cs="Cambria Math"/>
          <w:sz w:val="24"/>
          <w:szCs w:val="24"/>
        </w:rPr>
        <w:t>₅</w:t>
      </w:r>
      <w:r w:rsidRPr="00E7769E">
        <w:rPr>
          <w:rFonts w:ascii="Arial" w:hAnsi="Arial" w:cs="Arial"/>
          <w:sz w:val="24"/>
          <w:szCs w:val="24"/>
        </w:rPr>
        <w:t xml:space="preserve"> (</w:t>
      </w:r>
      <w:r w:rsidR="00697FB8">
        <w:rPr>
          <w:rFonts w:ascii="Arial" w:hAnsi="Arial" w:cs="Arial"/>
          <w:sz w:val="24"/>
          <w:szCs w:val="24"/>
        </w:rPr>
        <w:t xml:space="preserve">Sales/Total </w:t>
      </w:r>
      <w:r w:rsidR="00697FB8">
        <w:rPr>
          <w:rFonts w:ascii="Arial" w:hAnsi="Arial" w:cs="Arial"/>
          <w:sz w:val="24"/>
          <w:szCs w:val="24"/>
        </w:rPr>
        <w:lastRenderedPageBreak/>
        <w:t xml:space="preserve">Assets) components. </w:t>
      </w:r>
      <w:r w:rsidRPr="00E7769E">
        <w:rPr>
          <w:rFonts w:ascii="Arial" w:hAnsi="Arial" w:cs="Arial"/>
          <w:sz w:val="24"/>
          <w:szCs w:val="24"/>
        </w:rPr>
        <w:t>However, the reliability of this signal is questioned. The high market value assumption may not reflect potential market revaluation amid evident distress, and asset write-downs in 2023-2024 mechanically inflated the asset turnover ratio (X</w:t>
      </w:r>
      <w:r w:rsidRPr="00E7769E">
        <w:rPr>
          <w:rFonts w:ascii="Cambria Math" w:hAnsi="Cambria Math" w:cs="Cambria Math"/>
          <w:sz w:val="24"/>
          <w:szCs w:val="24"/>
        </w:rPr>
        <w:t>₅</w:t>
      </w:r>
      <w:r w:rsidRPr="00E7769E">
        <w:rPr>
          <w:rFonts w:ascii="Arial" w:hAnsi="Arial" w:cs="Arial"/>
          <w:sz w:val="24"/>
          <w:szCs w:val="24"/>
        </w:rPr>
        <w:t>). Most critically, the X</w:t>
      </w:r>
      <w:r w:rsidRPr="00E7769E">
        <w:rPr>
          <w:rFonts w:ascii="Cambria Math" w:hAnsi="Cambria Math" w:cs="Cambria Math"/>
          <w:sz w:val="24"/>
          <w:szCs w:val="24"/>
        </w:rPr>
        <w:t>₃</w:t>
      </w:r>
      <w:r w:rsidRPr="00E7769E">
        <w:rPr>
          <w:rFonts w:ascii="Arial" w:hAnsi="Arial" w:cs="Arial"/>
          <w:sz w:val="24"/>
          <w:szCs w:val="24"/>
        </w:rPr>
        <w:t xml:space="preserve"> component (EBIT/Total Assets) turned sharply negative in the latter years, directly reflecting operational failure. Therefore, while the model nominally suggests low short-term default risk, its outcome in this context is limited and must be interpreted with caution, supplemented by the qualitative and trend-based deterioration evident </w:t>
      </w:r>
      <w:r w:rsidR="007A3A49">
        <w:rPr>
          <w:rFonts w:ascii="Arial" w:hAnsi="Arial" w:cs="Arial"/>
          <w:sz w:val="24"/>
          <w:szCs w:val="24"/>
        </w:rPr>
        <w:t xml:space="preserve">in all other financial metrics </w:t>
      </w:r>
      <w:r w:rsidR="007A3A49" w:rsidRPr="007A3A49">
        <w:rPr>
          <w:rFonts w:ascii="Arial" w:hAnsi="Arial" w:cs="Arial"/>
          <w:noProof/>
          <w:color w:val="0F1115"/>
          <w:sz w:val="24"/>
        </w:rPr>
        <w:t>(</w:t>
      </w:r>
      <w:proofErr w:type="spellStart"/>
      <w:r w:rsidR="007A3A49" w:rsidRPr="007A3A49">
        <w:rPr>
          <w:rFonts w:ascii="Arial" w:eastAsia="Times New Roman" w:hAnsi="Arial" w:cs="Arial"/>
          <w:color w:val="0F1115"/>
          <w:sz w:val="24"/>
        </w:rPr>
        <w:t>Elnahass</w:t>
      </w:r>
      <w:proofErr w:type="spellEnd"/>
      <w:r w:rsidR="007A3A49" w:rsidRPr="007A3A49">
        <w:rPr>
          <w:rFonts w:ascii="Arial" w:hAnsi="Arial" w:cs="Arial"/>
          <w:color w:val="0F1115"/>
          <w:sz w:val="24"/>
        </w:rPr>
        <w:t xml:space="preserve"> et.al</w:t>
      </w:r>
      <w:r w:rsidR="007A3A49" w:rsidRPr="007A3A49">
        <w:rPr>
          <w:rFonts w:ascii="Arial" w:eastAsia="Times New Roman" w:hAnsi="Arial" w:cs="Arial"/>
          <w:noProof/>
          <w:color w:val="0F1115"/>
          <w:sz w:val="24"/>
        </w:rPr>
        <w:t>, 2021)</w:t>
      </w:r>
      <w:r w:rsidR="007A3A49" w:rsidRPr="007A3A49">
        <w:rPr>
          <w:rFonts w:ascii="Arial" w:hAnsi="Arial" w:cs="Arial"/>
          <w:color w:val="0F1115"/>
          <w:sz w:val="24"/>
        </w:rPr>
        <w:t xml:space="preserve">. </w:t>
      </w:r>
    </w:p>
    <w:p w14:paraId="2829BF43" w14:textId="77777777" w:rsidR="00E7769E" w:rsidRDefault="005211D7" w:rsidP="005211D7">
      <w:pPr>
        <w:pStyle w:val="Heading2"/>
      </w:pPr>
      <w:bookmarkStart w:id="14" w:name="_Toc217238006"/>
      <w:r>
        <w:t>1.8</w:t>
      </w:r>
      <w:r w:rsidR="00E7769E" w:rsidRPr="00E7769E">
        <w:t xml:space="preserve"> Synthesis: Strengths, Weaknesses, and Risk Outlook</w:t>
      </w:r>
      <w:bookmarkEnd w:id="14"/>
    </w:p>
    <w:p w14:paraId="649B46A7" w14:textId="77777777" w:rsidR="005211D7" w:rsidRPr="005211D7" w:rsidRDefault="005211D7" w:rsidP="005211D7"/>
    <w:p w14:paraId="33F2624A" w14:textId="77777777" w:rsidR="00E7769E" w:rsidRPr="00C21029" w:rsidRDefault="00E7769E" w:rsidP="00C21029">
      <w:pPr>
        <w:spacing w:line="360" w:lineRule="auto"/>
        <w:jc w:val="both"/>
        <w:rPr>
          <w:rFonts w:ascii="Arial" w:hAnsi="Arial" w:cs="Arial"/>
          <w:sz w:val="24"/>
          <w:szCs w:val="24"/>
        </w:rPr>
      </w:pPr>
      <w:r w:rsidRPr="00C21029">
        <w:rPr>
          <w:rFonts w:ascii="Arial" w:hAnsi="Arial" w:cs="Arial"/>
          <w:sz w:val="24"/>
          <w:szCs w:val="24"/>
        </w:rPr>
        <w:t>The integrated analysis identifies limited residual strengths, including historically resilient gross margins and nominally positive operating cash flows. The persistently high Altman Z-Scores, though potentially misleading, indicate certain balance sheet metrics that have not yet fully capitulated.</w:t>
      </w:r>
    </w:p>
    <w:p w14:paraId="74B180C1" w14:textId="77777777" w:rsidR="00E7769E" w:rsidRPr="00C21029" w:rsidRDefault="00E7769E" w:rsidP="00C21029">
      <w:pPr>
        <w:spacing w:line="360" w:lineRule="auto"/>
        <w:jc w:val="both"/>
        <w:rPr>
          <w:rFonts w:ascii="Arial" w:hAnsi="Arial" w:cs="Arial"/>
          <w:sz w:val="24"/>
          <w:szCs w:val="24"/>
        </w:rPr>
      </w:pPr>
      <w:r w:rsidRPr="00C21029">
        <w:rPr>
          <w:rFonts w:ascii="Arial" w:hAnsi="Arial" w:cs="Arial"/>
          <w:sz w:val="24"/>
          <w:szCs w:val="24"/>
        </w:rPr>
        <w:t>These are overwhelmingly outweighed by material and interconnected weaknesses: declining revenues, persistent and deepening operating losses, a critically weakening liquidity position, collapsing interest coverage, and an increasingly leveraged capital structure. The extended cash conversion cycle further exacerbates these issues by inefficiently tying up capital.</w:t>
      </w:r>
    </w:p>
    <w:p w14:paraId="58A55E14" w14:textId="77777777" w:rsidR="00697FB8" w:rsidRPr="00C21029" w:rsidRDefault="00697FB8" w:rsidP="00C21029">
      <w:pPr>
        <w:spacing w:line="360" w:lineRule="auto"/>
        <w:jc w:val="both"/>
        <w:rPr>
          <w:rFonts w:ascii="Arial" w:hAnsi="Arial" w:cs="Arial"/>
          <w:b/>
          <w:sz w:val="24"/>
          <w:szCs w:val="24"/>
        </w:rPr>
      </w:pPr>
      <w:bookmarkStart w:id="15" w:name="_Toc217217768"/>
      <w:bookmarkStart w:id="16" w:name="_Toc217218672"/>
      <w:bookmarkStart w:id="17" w:name="_Toc217219730"/>
      <w:bookmarkStart w:id="18" w:name="_Toc217220278"/>
      <w:bookmarkStart w:id="19" w:name="_Toc217220346"/>
      <w:bookmarkStart w:id="20" w:name="_Toc217222403"/>
      <w:bookmarkStart w:id="21" w:name="_Toc217222490"/>
      <w:r w:rsidRPr="00C21029">
        <w:rPr>
          <w:rFonts w:ascii="Arial" w:hAnsi="Arial" w:cs="Arial"/>
          <w:sz w:val="24"/>
          <w:szCs w:val="24"/>
        </w:rPr>
        <w:t>The overall risk outlook is assessed as severe. A classic distress cycle, where eroding equity necessitates increased debt, raising unserviceable fixed charges, is observed. Without decisive intervention in cost, revenue, and working capital, long-term financial sustainability is gravely threatened.</w:t>
      </w:r>
      <w:bookmarkEnd w:id="15"/>
      <w:bookmarkEnd w:id="16"/>
      <w:bookmarkEnd w:id="17"/>
      <w:bookmarkEnd w:id="18"/>
      <w:bookmarkEnd w:id="19"/>
      <w:bookmarkEnd w:id="20"/>
      <w:bookmarkEnd w:id="21"/>
    </w:p>
    <w:p w14:paraId="5B1709BE" w14:textId="77777777" w:rsidR="00697FB8" w:rsidRDefault="00697FB8" w:rsidP="005211D7">
      <w:pPr>
        <w:pStyle w:val="Heading2"/>
        <w:rPr>
          <w:rFonts w:eastAsiaTheme="minorHAnsi" w:cs="Arial"/>
          <w:b w:val="0"/>
          <w:sz w:val="24"/>
          <w:szCs w:val="24"/>
        </w:rPr>
      </w:pPr>
    </w:p>
    <w:p w14:paraId="1DDDAE1E" w14:textId="77777777" w:rsidR="00E7769E" w:rsidRPr="00E7769E" w:rsidRDefault="00E7769E" w:rsidP="005211D7">
      <w:pPr>
        <w:pStyle w:val="Heading2"/>
      </w:pPr>
      <w:bookmarkStart w:id="22" w:name="_Toc217238007"/>
      <w:r>
        <w:t>Conclusion</w:t>
      </w:r>
      <w:bookmarkEnd w:id="22"/>
    </w:p>
    <w:p w14:paraId="5C6D848C" w14:textId="77777777" w:rsidR="00E7769E" w:rsidRPr="00E7769E" w:rsidRDefault="00E7769E" w:rsidP="00F60E9B">
      <w:pPr>
        <w:spacing w:line="360" w:lineRule="auto"/>
        <w:jc w:val="both"/>
        <w:rPr>
          <w:rFonts w:ascii="Arial" w:hAnsi="Arial" w:cs="Arial"/>
          <w:sz w:val="24"/>
          <w:szCs w:val="24"/>
        </w:rPr>
      </w:pPr>
      <w:r w:rsidRPr="00E7769E">
        <w:rPr>
          <w:rFonts w:ascii="Arial" w:hAnsi="Arial" w:cs="Arial"/>
          <w:sz w:val="24"/>
          <w:szCs w:val="24"/>
        </w:rPr>
        <w:t xml:space="preserve">In summary, the period from 2020 to 2024 witnessed a profound deterioration in the financial health of General Electronics. The company transitioned from profitability to significant and sustained losses, eroded its liquidity buffers, and adopted an increasingly unsustainable debt-fueled capital structure. While certain aggregate balance sheet metrics temporarily mask the severity of the situation, the comprehensive ratio analysis </w:t>
      </w:r>
      <w:r w:rsidRPr="00E7769E">
        <w:rPr>
          <w:rFonts w:ascii="Arial" w:hAnsi="Arial" w:cs="Arial"/>
          <w:sz w:val="24"/>
          <w:szCs w:val="24"/>
        </w:rPr>
        <w:lastRenderedPageBreak/>
        <w:t>reveals a firm in a state of operational and financial decline. The preservation of going concern status necessitates the immediate implementation of corrective strategic and financial measures to arrest the value destruction and reposition the company towards a viable future.</w:t>
      </w:r>
    </w:p>
    <w:p w14:paraId="7082CBEB" w14:textId="77777777" w:rsidR="00AD4654" w:rsidRDefault="00AD4654" w:rsidP="000D5540">
      <w:pPr>
        <w:pStyle w:val="Heading1"/>
        <w:numPr>
          <w:ilvl w:val="0"/>
          <w:numId w:val="31"/>
        </w:numPr>
      </w:pPr>
      <w:bookmarkStart w:id="23" w:name="_Toc217238008"/>
      <w:r w:rsidRPr="00CE1D15">
        <w:t>Worki</w:t>
      </w:r>
      <w:r w:rsidR="00F3148D" w:rsidRPr="00CE1D15">
        <w:t>ng Capital Management Analysis</w:t>
      </w:r>
      <w:bookmarkEnd w:id="23"/>
    </w:p>
    <w:p w14:paraId="64D5E723" w14:textId="77777777" w:rsidR="005211D7" w:rsidRPr="005211D7" w:rsidRDefault="005211D7" w:rsidP="005211D7">
      <w:pPr>
        <w:pStyle w:val="ListParagraph"/>
        <w:ind w:left="528"/>
      </w:pPr>
    </w:p>
    <w:p w14:paraId="7D1111C9" w14:textId="77777777" w:rsidR="00A12D6D" w:rsidRDefault="00A12D6D" w:rsidP="005211D7">
      <w:pPr>
        <w:pStyle w:val="Heading2"/>
      </w:pPr>
      <w:bookmarkStart w:id="24" w:name="_Toc217238009"/>
      <w:r w:rsidRPr="00A12D6D">
        <w:t>Context</w:t>
      </w:r>
      <w:bookmarkEnd w:id="24"/>
    </w:p>
    <w:p w14:paraId="12E457B0" w14:textId="77777777" w:rsidR="005211D7" w:rsidRPr="005211D7" w:rsidRDefault="005211D7" w:rsidP="005211D7"/>
    <w:p w14:paraId="5D04C497" w14:textId="5BF9B3A4" w:rsidR="00132A5B" w:rsidRDefault="00D740F8" w:rsidP="00697FB8">
      <w:pPr>
        <w:spacing w:line="360" w:lineRule="auto"/>
        <w:jc w:val="both"/>
        <w:rPr>
          <w:rFonts w:ascii="Arial" w:hAnsi="Arial" w:cs="Arial"/>
          <w:sz w:val="24"/>
          <w:szCs w:val="24"/>
        </w:rPr>
      </w:pPr>
      <w:r w:rsidRPr="00D740F8">
        <w:rPr>
          <w:rFonts w:ascii="Arial" w:hAnsi="Arial" w:cs="Arial"/>
          <w:sz w:val="24"/>
          <w:szCs w:val="24"/>
        </w:rPr>
        <w:t xml:space="preserve">A comprehensive evaluation of working capital management (WCM) is regarded as a critical diagnostic tool for assessing corporate operational efficiency </w:t>
      </w:r>
      <w:r>
        <w:rPr>
          <w:rFonts w:ascii="Arial" w:hAnsi="Arial" w:cs="Arial"/>
          <w:sz w:val="24"/>
          <w:szCs w:val="24"/>
        </w:rPr>
        <w:t>and short-term financial health</w:t>
      </w:r>
      <w:r w:rsidRPr="00D740F8">
        <w:rPr>
          <w:rFonts w:ascii="Arial" w:hAnsi="Arial" w:cs="Arial"/>
          <w:sz w:val="24"/>
          <w:szCs w:val="24"/>
        </w:rPr>
        <w:t xml:space="preserve">. For firms exhibiting financial distress, such as General Electronics (GE) during 2020–2024, the analysis of the cash operating cycle (COC) and its components is </w:t>
      </w:r>
      <w:r w:rsidR="00795815" w:rsidRPr="00D740F8">
        <w:rPr>
          <w:rFonts w:ascii="Arial" w:hAnsi="Arial" w:cs="Arial"/>
          <w:sz w:val="24"/>
          <w:szCs w:val="24"/>
        </w:rPr>
        <w:t>utilized</w:t>
      </w:r>
      <w:r w:rsidRPr="00D740F8">
        <w:rPr>
          <w:rFonts w:ascii="Arial" w:hAnsi="Arial" w:cs="Arial"/>
          <w:sz w:val="24"/>
          <w:szCs w:val="24"/>
        </w:rPr>
        <w:t xml:space="preserve"> to provide vital insights into liquidity strains and capital allocation inefficiencies. In this section, a descriptive analysis of GE’s WCM performance is presented, derived from the systematic calculation of key activity ratios detailed in Appendix B. The analysis aims to delineate structural weaknesses in short-term asset and liability management, quantify the resulting liquidity pressure, and evaluate proposed strategic reforms within the context of the firm’</w:t>
      </w:r>
      <w:r>
        <w:rPr>
          <w:rFonts w:ascii="Arial" w:hAnsi="Arial" w:cs="Arial"/>
          <w:sz w:val="24"/>
          <w:szCs w:val="24"/>
        </w:rPr>
        <w:t xml:space="preserve">s broader turnaround imperative </w:t>
      </w:r>
      <w:r w:rsidR="00132A5B" w:rsidRPr="00132A5B">
        <w:rPr>
          <w:rFonts w:ascii="Arial" w:hAnsi="Arial" w:cs="Arial"/>
          <w:noProof/>
          <w:sz w:val="24"/>
          <w:szCs w:val="24"/>
        </w:rPr>
        <w:t>(Aktas</w:t>
      </w:r>
      <w:r w:rsidR="00132A5B">
        <w:rPr>
          <w:rFonts w:ascii="Arial" w:hAnsi="Arial" w:cs="Arial"/>
          <w:noProof/>
          <w:sz w:val="24"/>
          <w:szCs w:val="24"/>
        </w:rPr>
        <w:t>,N. et.al</w:t>
      </w:r>
      <w:r w:rsidR="00132A5B" w:rsidRPr="00132A5B">
        <w:rPr>
          <w:rFonts w:ascii="Arial" w:hAnsi="Arial" w:cs="Arial"/>
          <w:noProof/>
          <w:sz w:val="24"/>
          <w:szCs w:val="24"/>
        </w:rPr>
        <w:t>, 2015)</w:t>
      </w:r>
      <w:r w:rsidR="00132A5B">
        <w:rPr>
          <w:rFonts w:ascii="Arial" w:hAnsi="Arial" w:cs="Arial"/>
          <w:noProof/>
          <w:sz w:val="24"/>
          <w:szCs w:val="24"/>
        </w:rPr>
        <w:t>.</w:t>
      </w:r>
    </w:p>
    <w:p w14:paraId="1AF6C3E7" w14:textId="77777777" w:rsidR="00A12D6D" w:rsidRDefault="00777C54" w:rsidP="005211D7">
      <w:pPr>
        <w:pStyle w:val="Heading2"/>
      </w:pPr>
      <w:bookmarkStart w:id="25" w:name="_Toc217238010"/>
      <w:r>
        <w:t xml:space="preserve">2.1 </w:t>
      </w:r>
      <w:r w:rsidR="00A12D6D" w:rsidRPr="00A12D6D">
        <w:t>Empirical Assessment of the Cash Operating Cycle Components</w:t>
      </w:r>
      <w:bookmarkEnd w:id="25"/>
    </w:p>
    <w:p w14:paraId="07C62FBE" w14:textId="77777777" w:rsidR="008B2DEA" w:rsidRDefault="008B2DEA" w:rsidP="008B2DEA">
      <w:pPr>
        <w:spacing w:line="360" w:lineRule="auto"/>
        <w:jc w:val="both"/>
      </w:pPr>
    </w:p>
    <w:p w14:paraId="59222FB0" w14:textId="77777777" w:rsidR="008B2DEA" w:rsidRDefault="008B2DEA" w:rsidP="008B2DEA">
      <w:pPr>
        <w:spacing w:line="360" w:lineRule="auto"/>
        <w:jc w:val="both"/>
        <w:rPr>
          <w:rFonts w:ascii="Arial" w:hAnsi="Arial" w:cs="Arial"/>
          <w:noProof/>
          <w:sz w:val="24"/>
          <w:szCs w:val="24"/>
        </w:rPr>
      </w:pPr>
      <w:r w:rsidRPr="008B2DEA">
        <w:rPr>
          <w:rFonts w:ascii="Arial" w:hAnsi="Arial" w:cs="Arial"/>
          <w:sz w:val="24"/>
          <w:szCs w:val="24"/>
        </w:rPr>
        <w:t xml:space="preserve">A pronounced and concerning elongation of the cash operating cycle (COC), the primary metric for working capital efficiency, is evidenced for General Electronics. The cycle is calculated to have lengthened from 99 days in 2020 to a peak of 147 days in 2023, marginally contracting to 129 days in 2024 (Appendix B, Table B1). This indicates operations must be financed for over four months, imposing a substantial burden on liquidity. The inefficiency is driven by a 76% escalation in receivables days to 120, signifying immobilized capital from poor collections or lenient credit, and persistently high inventory days peaking at 131, indicating poor stock management </w:t>
      </w:r>
      <w:r w:rsidRPr="008B2DEA">
        <w:rPr>
          <w:rFonts w:ascii="Arial" w:hAnsi="Arial" w:cs="Arial"/>
          <w:noProof/>
          <w:sz w:val="24"/>
          <w:szCs w:val="24"/>
        </w:rPr>
        <w:t>(Aktas</w:t>
      </w:r>
      <w:r>
        <w:rPr>
          <w:rFonts w:ascii="Arial" w:hAnsi="Arial" w:cs="Arial"/>
          <w:noProof/>
          <w:sz w:val="24"/>
          <w:szCs w:val="24"/>
        </w:rPr>
        <w:t xml:space="preserve"> et. al</w:t>
      </w:r>
      <w:r w:rsidRPr="008B2DEA">
        <w:rPr>
          <w:rFonts w:ascii="Arial" w:hAnsi="Arial" w:cs="Arial"/>
          <w:noProof/>
          <w:sz w:val="24"/>
          <w:szCs w:val="24"/>
        </w:rPr>
        <w:t>, 2015)</w:t>
      </w:r>
    </w:p>
    <w:p w14:paraId="0F8C5E76" w14:textId="77777777" w:rsidR="00777C54" w:rsidRPr="00777C54" w:rsidRDefault="008B2DEA" w:rsidP="008B2DEA">
      <w:pPr>
        <w:spacing w:line="360" w:lineRule="auto"/>
        <w:jc w:val="both"/>
        <w:rPr>
          <w:rFonts w:ascii="Arial" w:hAnsi="Arial" w:cs="Arial"/>
          <w:sz w:val="24"/>
          <w:szCs w:val="24"/>
        </w:rPr>
      </w:pPr>
      <w:r w:rsidRPr="008B2DEA">
        <w:rPr>
          <w:rFonts w:ascii="Arial" w:hAnsi="Arial" w:cs="Arial"/>
          <w:sz w:val="24"/>
          <w:szCs w:val="24"/>
        </w:rPr>
        <w:lastRenderedPageBreak/>
        <w:t xml:space="preserve"> A historically short payables period (64-94 days), which forgoes trade credit financing benefits, further exacerbates the cycle length (</w:t>
      </w:r>
      <w:proofErr w:type="spellStart"/>
      <w:r w:rsidRPr="008B2DEA">
        <w:rPr>
          <w:rFonts w:ascii="Arial" w:hAnsi="Arial" w:cs="Arial"/>
          <w:sz w:val="24"/>
          <w:szCs w:val="24"/>
        </w:rPr>
        <w:t>Osinubi</w:t>
      </w:r>
      <w:proofErr w:type="spellEnd"/>
      <w:r w:rsidRPr="008B2DEA">
        <w:rPr>
          <w:rFonts w:ascii="Arial" w:hAnsi="Arial" w:cs="Arial"/>
          <w:sz w:val="24"/>
          <w:szCs w:val="24"/>
        </w:rPr>
        <w:t>, 2020). The collective effect is a significant and growing strain on the firm’s financial resources.</w:t>
      </w:r>
    </w:p>
    <w:p w14:paraId="1710A172" w14:textId="77777777" w:rsidR="00777C54" w:rsidRDefault="00777C54" w:rsidP="005211D7">
      <w:pPr>
        <w:pStyle w:val="Heading2"/>
      </w:pPr>
      <w:bookmarkStart w:id="26" w:name="_Toc217238011"/>
      <w:r>
        <w:t xml:space="preserve">2.2 </w:t>
      </w:r>
      <w:r w:rsidRPr="00777C54">
        <w:t>Synthesis and Implications for Liquidity</w:t>
      </w:r>
      <w:bookmarkEnd w:id="26"/>
    </w:p>
    <w:p w14:paraId="740E5E50" w14:textId="77777777" w:rsidR="005211D7" w:rsidRPr="005211D7" w:rsidRDefault="005211D7" w:rsidP="005211D7"/>
    <w:p w14:paraId="66452356" w14:textId="77777777" w:rsidR="00777C54" w:rsidRPr="00777C54" w:rsidRDefault="00777C54" w:rsidP="00717286">
      <w:pPr>
        <w:spacing w:line="360" w:lineRule="auto"/>
        <w:jc w:val="both"/>
        <w:rPr>
          <w:rFonts w:ascii="Arial" w:hAnsi="Arial" w:cs="Arial"/>
          <w:sz w:val="24"/>
          <w:szCs w:val="24"/>
        </w:rPr>
      </w:pPr>
      <w:r w:rsidRPr="00777C54">
        <w:rPr>
          <w:rFonts w:ascii="Arial" w:hAnsi="Arial" w:cs="Arial"/>
          <w:sz w:val="24"/>
          <w:szCs w:val="24"/>
        </w:rPr>
        <w:t>The combined effect of extended receivables and inventory periods, coupled with a relatively constrained payables period, directly explains the protracted cash conversion cycle. The elongation from 99 to 129 days signifies that an increasing amount of cash is perpetually trapped within the operating system. This structural inefficiency is a primary contributor to the alarming liquidity metrics identified in the broader financial health check, notably the decline in the operating cash flow ratio from 0.41 to 0.09. The firm’s operating cash inflows have become increasingly insufficient to cover short-term obligations, forcing a greater reliance on volatile short-term lines of credit, which stood at £36,960m in 2024. This dependency introduces refinancing risk and increases financial vulnerability, particularly in a rising interest rate environment.</w:t>
      </w:r>
    </w:p>
    <w:p w14:paraId="05699940" w14:textId="77777777" w:rsidR="00777C54" w:rsidRDefault="00777C54" w:rsidP="005211D7">
      <w:pPr>
        <w:pStyle w:val="Heading2"/>
      </w:pPr>
      <w:bookmarkStart w:id="27" w:name="_Toc217238012"/>
      <w:r>
        <w:t xml:space="preserve">2.3 </w:t>
      </w:r>
      <w:r w:rsidRPr="00777C54">
        <w:t>Evaluation of Proposed Strategic Reforms</w:t>
      </w:r>
      <w:bookmarkEnd w:id="27"/>
    </w:p>
    <w:p w14:paraId="3F28DB28" w14:textId="77777777" w:rsidR="005211D7" w:rsidRPr="005211D7" w:rsidRDefault="005211D7" w:rsidP="00717286">
      <w:pPr>
        <w:jc w:val="both"/>
      </w:pPr>
    </w:p>
    <w:p w14:paraId="1D6C5C22" w14:textId="77777777" w:rsidR="00777C54" w:rsidRPr="00777C54" w:rsidRDefault="00777C54" w:rsidP="00717286">
      <w:pPr>
        <w:spacing w:line="360" w:lineRule="auto"/>
        <w:jc w:val="both"/>
        <w:rPr>
          <w:rFonts w:ascii="Arial" w:hAnsi="Arial" w:cs="Arial"/>
          <w:sz w:val="24"/>
          <w:szCs w:val="24"/>
        </w:rPr>
      </w:pPr>
      <w:r w:rsidRPr="00777C54">
        <w:rPr>
          <w:rFonts w:ascii="Arial" w:hAnsi="Arial" w:cs="Arial"/>
          <w:sz w:val="24"/>
          <w:szCs w:val="24"/>
        </w:rPr>
        <w:t>In response to these diagnosed inefficiencies, a targeted set of working capital reforms is proposed. The recommendations are strategically aligned to address each component of the COC.</w:t>
      </w:r>
    </w:p>
    <w:p w14:paraId="61174C95" w14:textId="77777777" w:rsidR="00777C54" w:rsidRPr="00777C54" w:rsidRDefault="00777C54" w:rsidP="00717286">
      <w:pPr>
        <w:spacing w:line="360" w:lineRule="auto"/>
        <w:jc w:val="both"/>
        <w:rPr>
          <w:rFonts w:ascii="Arial" w:hAnsi="Arial" w:cs="Arial"/>
          <w:sz w:val="24"/>
          <w:szCs w:val="24"/>
        </w:rPr>
      </w:pPr>
      <w:r w:rsidRPr="00777C54">
        <w:rPr>
          <w:rFonts w:ascii="Arial" w:hAnsi="Arial" w:cs="Arial"/>
          <w:sz w:val="24"/>
          <w:szCs w:val="24"/>
        </w:rPr>
        <w:t>To mitigate the </w:t>
      </w:r>
      <w:r w:rsidRPr="00777C54">
        <w:rPr>
          <w:rFonts w:ascii="Arial" w:hAnsi="Arial" w:cs="Arial"/>
          <w:bCs/>
          <w:sz w:val="24"/>
          <w:szCs w:val="24"/>
        </w:rPr>
        <w:t>receivables challenge</w:t>
      </w:r>
      <w:r w:rsidRPr="00777C54">
        <w:rPr>
          <w:rFonts w:ascii="Arial" w:hAnsi="Arial" w:cs="Arial"/>
          <w:sz w:val="24"/>
          <w:szCs w:val="24"/>
        </w:rPr>
        <w:t>, the implementation of stricter credit assessment protocols, dynamic discounting for early payments, and the potential securitization of receivable portfolios are advised. Such measures are designed to accelerate cash inflows and reduce the capital tied up in debtors, directly targeting the 120-day collection period.</w:t>
      </w:r>
    </w:p>
    <w:p w14:paraId="55E1CDDD" w14:textId="77777777" w:rsidR="00777C54" w:rsidRPr="00777C54" w:rsidRDefault="00777C54" w:rsidP="00717286">
      <w:pPr>
        <w:spacing w:line="360" w:lineRule="auto"/>
        <w:jc w:val="both"/>
        <w:rPr>
          <w:rFonts w:ascii="Arial" w:hAnsi="Arial" w:cs="Arial"/>
          <w:sz w:val="24"/>
          <w:szCs w:val="24"/>
        </w:rPr>
      </w:pPr>
      <w:r w:rsidRPr="00777C54">
        <w:rPr>
          <w:rFonts w:ascii="Arial" w:hAnsi="Arial" w:cs="Arial"/>
          <w:sz w:val="24"/>
          <w:szCs w:val="24"/>
        </w:rPr>
        <w:t>For </w:t>
      </w:r>
      <w:r w:rsidRPr="00777C54">
        <w:rPr>
          <w:rFonts w:ascii="Arial" w:hAnsi="Arial" w:cs="Arial"/>
          <w:bCs/>
          <w:sz w:val="24"/>
          <w:szCs w:val="24"/>
        </w:rPr>
        <w:t>inventory optimization</w:t>
      </w:r>
      <w:r w:rsidRPr="00777C54">
        <w:rPr>
          <w:rFonts w:ascii="Arial" w:hAnsi="Arial" w:cs="Arial"/>
          <w:sz w:val="24"/>
          <w:szCs w:val="24"/>
        </w:rPr>
        <w:t>, the adoption of just-in-time (JIT) principles, enhanced demand forecasting analytics, and a rationalization of the product portfolio are recommended. The objective is to reduce inventory days substantially, thereby freeing locked capital and lowering associated holding and obsolescence costs. A reduction in inventory days from over 100 days towards a more industry-standard target could release significant cash.</w:t>
      </w:r>
    </w:p>
    <w:p w14:paraId="52A37A0A" w14:textId="77777777" w:rsidR="00777C54" w:rsidRPr="00777C54" w:rsidRDefault="00777C54" w:rsidP="00717286">
      <w:pPr>
        <w:spacing w:line="360" w:lineRule="auto"/>
        <w:jc w:val="both"/>
        <w:rPr>
          <w:rFonts w:ascii="Arial" w:hAnsi="Arial" w:cs="Arial"/>
          <w:sz w:val="24"/>
          <w:szCs w:val="24"/>
        </w:rPr>
      </w:pPr>
      <w:r w:rsidRPr="00777C54">
        <w:rPr>
          <w:rFonts w:ascii="Arial" w:hAnsi="Arial" w:cs="Arial"/>
          <w:sz w:val="24"/>
          <w:szCs w:val="24"/>
        </w:rPr>
        <w:lastRenderedPageBreak/>
        <w:t>Regarding </w:t>
      </w:r>
      <w:r w:rsidRPr="00777C54">
        <w:rPr>
          <w:rFonts w:ascii="Arial" w:hAnsi="Arial" w:cs="Arial"/>
          <w:bCs/>
          <w:sz w:val="24"/>
          <w:szCs w:val="24"/>
        </w:rPr>
        <w:t>payables management</w:t>
      </w:r>
      <w:r w:rsidRPr="00777C54">
        <w:rPr>
          <w:rFonts w:ascii="Arial" w:hAnsi="Arial" w:cs="Arial"/>
          <w:sz w:val="24"/>
          <w:szCs w:val="24"/>
        </w:rPr>
        <w:t>, a strategic renegotiation of payment terms with key suppliers is suggested. The aim would be to extend the payables period from the current range towards 100-120 days, where commercially feasible, without damaging supplier relationships or creditworthiness. This extension would effectively utilize trade credit as a cost-free source of short-term financing, shortening the net COC.</w:t>
      </w:r>
    </w:p>
    <w:p w14:paraId="648DBAE8" w14:textId="77777777" w:rsidR="00777C54" w:rsidRPr="00777C54" w:rsidRDefault="00777C54" w:rsidP="00717286">
      <w:pPr>
        <w:spacing w:line="360" w:lineRule="auto"/>
        <w:jc w:val="both"/>
        <w:rPr>
          <w:rFonts w:ascii="Arial" w:hAnsi="Arial" w:cs="Arial"/>
          <w:sz w:val="24"/>
          <w:szCs w:val="24"/>
        </w:rPr>
      </w:pPr>
      <w:r w:rsidRPr="00777C54">
        <w:rPr>
          <w:rFonts w:ascii="Arial" w:hAnsi="Arial" w:cs="Arial"/>
          <w:sz w:val="24"/>
          <w:szCs w:val="24"/>
        </w:rPr>
        <w:t>Furthermore, the proposal to implement centralized treasury management and cash pooling would enhance visibility and control over global cash positions, allowing for more efficient allocation of internal funds and reducing the need for external short-term borrowing.</w:t>
      </w:r>
    </w:p>
    <w:p w14:paraId="2C4837FD" w14:textId="77777777" w:rsidR="00777C54" w:rsidRDefault="00777C54" w:rsidP="005211D7">
      <w:pPr>
        <w:pStyle w:val="Heading2"/>
      </w:pPr>
      <w:bookmarkStart w:id="28" w:name="_Toc217238013"/>
      <w:r>
        <w:t xml:space="preserve">2.4 </w:t>
      </w:r>
      <w:r w:rsidRPr="00777C54">
        <w:t>Financing Strategy: Balancing Short-term Flexibility and Long-term Stability</w:t>
      </w:r>
      <w:bookmarkEnd w:id="28"/>
    </w:p>
    <w:p w14:paraId="6998B95A" w14:textId="77777777" w:rsidR="005211D7" w:rsidRPr="005211D7" w:rsidRDefault="005211D7" w:rsidP="005211D7"/>
    <w:p w14:paraId="230BA6BC" w14:textId="77777777" w:rsidR="00777C54" w:rsidRPr="00777C54" w:rsidRDefault="00777C54" w:rsidP="00717286">
      <w:pPr>
        <w:spacing w:line="360" w:lineRule="auto"/>
        <w:jc w:val="both"/>
        <w:rPr>
          <w:rFonts w:ascii="Arial" w:hAnsi="Arial" w:cs="Arial"/>
          <w:sz w:val="24"/>
          <w:szCs w:val="24"/>
        </w:rPr>
      </w:pPr>
      <w:r w:rsidRPr="00777C54">
        <w:rPr>
          <w:rFonts w:ascii="Arial" w:hAnsi="Arial" w:cs="Arial"/>
          <w:sz w:val="24"/>
          <w:szCs w:val="24"/>
        </w:rPr>
        <w:t>The analysis correctly identifies that operational reforms must be supported by a prudent financing strategy. A hybrid approach is advocated, balancing short-term and long-term instruments. Short-term facilities, such as existing credit lines, provide necessary flexibility to manage cyclical working capital gaps. However, given GE’s negative interest coverage and high leverage, an over-reliance on such instruments is perilous. Therefore, the strategic plan i</w:t>
      </w:r>
      <w:r>
        <w:rPr>
          <w:rFonts w:ascii="Arial" w:hAnsi="Arial" w:cs="Arial"/>
          <w:sz w:val="24"/>
          <w:szCs w:val="24"/>
        </w:rPr>
        <w:t xml:space="preserve">ntegrates a long-term component; </w:t>
      </w:r>
      <w:r w:rsidRPr="00777C54">
        <w:rPr>
          <w:rFonts w:ascii="Arial" w:hAnsi="Arial" w:cs="Arial"/>
          <w:sz w:val="24"/>
          <w:szCs w:val="24"/>
        </w:rPr>
        <w:t>specifically, the equity injection and debt reduction outlined in the restructuring plan. This long-term capital strengthens the balance sheet, reduces refinancing pressure, and provides a stable foundation from which to execute the operational WCM reforms. The synergy between working capital efficiency improvements and capital structure repair is essential for a sustainable recovery.</w:t>
      </w:r>
    </w:p>
    <w:p w14:paraId="11084980" w14:textId="77777777" w:rsidR="005211D7" w:rsidRDefault="00777C54" w:rsidP="0063635E">
      <w:pPr>
        <w:pStyle w:val="Heading2"/>
      </w:pPr>
      <w:bookmarkStart w:id="29" w:name="_Toc217238014"/>
      <w:r w:rsidRPr="00777C54">
        <w:t>Conclusion</w:t>
      </w:r>
      <w:bookmarkEnd w:id="29"/>
    </w:p>
    <w:p w14:paraId="05F866C1" w14:textId="77777777" w:rsidR="00DC0900" w:rsidRPr="00DC0900" w:rsidRDefault="00DC0900" w:rsidP="00DC0900"/>
    <w:p w14:paraId="258AB6E2" w14:textId="77777777" w:rsidR="00A12D6D" w:rsidRPr="00F60E9B" w:rsidRDefault="005E77CC" w:rsidP="00717286">
      <w:pPr>
        <w:spacing w:line="360" w:lineRule="auto"/>
        <w:jc w:val="both"/>
        <w:rPr>
          <w:rFonts w:ascii="Arial" w:hAnsi="Arial" w:cs="Arial"/>
          <w:sz w:val="24"/>
          <w:szCs w:val="24"/>
        </w:rPr>
      </w:pPr>
      <w:r w:rsidRPr="005E77CC">
        <w:rPr>
          <w:rFonts w:ascii="Arial" w:hAnsi="Arial" w:cs="Arial"/>
          <w:sz w:val="24"/>
          <w:szCs w:val="24"/>
        </w:rPr>
        <w:t xml:space="preserve">A descriptive analysis of General Electronics’ working capital management, grounded in empirical calculations, reveals a system characterized by significant inefficiency (Appendix B). The protracted cash operating cycle is identified as a key contributor to the acute liquidity crisis, with extended receivables and inventory periods demonstrating poor capital turnover. While optimal leverage of trade credit is not achieved, proposed reforms </w:t>
      </w:r>
      <w:r w:rsidRPr="005E77CC">
        <w:rPr>
          <w:rFonts w:ascii="Arial" w:hAnsi="Arial" w:cs="Arial"/>
          <w:sz w:val="24"/>
          <w:szCs w:val="24"/>
        </w:rPr>
        <w:lastRenderedPageBreak/>
        <w:t>targeting collections, inventory, payables, and treasury centralization present a cohere</w:t>
      </w:r>
      <w:r w:rsidR="00B65C08">
        <w:rPr>
          <w:rFonts w:ascii="Arial" w:hAnsi="Arial" w:cs="Arial"/>
          <w:sz w:val="24"/>
          <w:szCs w:val="24"/>
        </w:rPr>
        <w:t>nt pathway to improve liquidity</w:t>
      </w:r>
      <w:r w:rsidRPr="005E77CC">
        <w:rPr>
          <w:rFonts w:ascii="Arial" w:hAnsi="Arial" w:cs="Arial"/>
          <w:sz w:val="24"/>
          <w:szCs w:val="24"/>
        </w:rPr>
        <w:t>. These operational changes are deemed critical for short-term stabilization and long-term recovery when integrated with broader restructuring, underscoring rigorous working capital management as a fundamental pillar of corporate renewal for distressed firms.</w:t>
      </w:r>
    </w:p>
    <w:p w14:paraId="5596BB7D" w14:textId="5C956B1E" w:rsidR="0063635E" w:rsidRDefault="007076A5" w:rsidP="00D740F8">
      <w:pPr>
        <w:pStyle w:val="Heading1"/>
        <w:numPr>
          <w:ilvl w:val="0"/>
          <w:numId w:val="31"/>
        </w:numPr>
        <w:jc w:val="both"/>
      </w:pPr>
      <w:bookmarkStart w:id="30" w:name="_Toc217238015"/>
      <w:r w:rsidRPr="007076A5">
        <w:t xml:space="preserve">Strategic Financial Restructuring Plan: </w:t>
      </w:r>
      <w:r w:rsidR="00C21029" w:rsidRPr="007076A5">
        <w:t>Stabilizing</w:t>
      </w:r>
      <w:r w:rsidRPr="007076A5">
        <w:t xml:space="preserve"> General Electronics</w:t>
      </w:r>
      <w:bookmarkEnd w:id="30"/>
    </w:p>
    <w:p w14:paraId="12A39DE1" w14:textId="77777777" w:rsidR="0063635E" w:rsidRPr="0063635E" w:rsidRDefault="0063635E" w:rsidP="00717286">
      <w:pPr>
        <w:jc w:val="both"/>
      </w:pPr>
    </w:p>
    <w:p w14:paraId="29EC70B2" w14:textId="77777777" w:rsidR="001367F5" w:rsidRPr="001367F5" w:rsidRDefault="00F60E9B" w:rsidP="0063635E">
      <w:pPr>
        <w:pStyle w:val="Heading2"/>
      </w:pPr>
      <w:bookmarkStart w:id="31" w:name="_Toc217238016"/>
      <w:r>
        <w:t>Context</w:t>
      </w:r>
      <w:bookmarkEnd w:id="31"/>
    </w:p>
    <w:p w14:paraId="6EAC19BA" w14:textId="77777777" w:rsidR="0048365E" w:rsidRDefault="001367F5" w:rsidP="00717286">
      <w:pPr>
        <w:pStyle w:val="ds-markdown-paragraph"/>
        <w:spacing w:after="0" w:line="360" w:lineRule="auto"/>
        <w:jc w:val="both"/>
        <w:rPr>
          <w:rFonts w:ascii="Arial" w:hAnsi="Arial" w:cs="Arial"/>
          <w:color w:val="0F1115"/>
        </w:rPr>
      </w:pPr>
      <w:r w:rsidRPr="001367F5">
        <w:rPr>
          <w:rFonts w:ascii="Arial" w:hAnsi="Arial" w:cs="Arial"/>
          <w:color w:val="0F1115"/>
        </w:rPr>
        <w:t xml:space="preserve">A comprehensive restructuring plan is considered the cornerstone of any credible turnaround strategy for a financially distressed firm </w:t>
      </w:r>
      <w:r w:rsidR="00132A5B" w:rsidRPr="00C738FA">
        <w:rPr>
          <w:rFonts w:ascii="Arial" w:hAnsi="Arial" w:cs="Arial"/>
          <w:noProof/>
          <w:color w:val="0F1115"/>
        </w:rPr>
        <w:t>(Lyubov</w:t>
      </w:r>
      <w:r w:rsidR="00132A5B">
        <w:rPr>
          <w:rFonts w:ascii="Arial" w:hAnsi="Arial" w:cs="Arial"/>
          <w:noProof/>
          <w:color w:val="0F1115"/>
        </w:rPr>
        <w:t xml:space="preserve"> et al.</w:t>
      </w:r>
      <w:r w:rsidR="00132A5B" w:rsidRPr="00C738FA">
        <w:rPr>
          <w:rFonts w:ascii="Arial" w:hAnsi="Arial" w:cs="Arial"/>
          <w:noProof/>
          <w:color w:val="0F1115"/>
        </w:rPr>
        <w:t>, 2023)</w:t>
      </w:r>
      <w:r w:rsidR="00132A5B">
        <w:rPr>
          <w:rFonts w:ascii="Arial" w:hAnsi="Arial" w:cs="Arial"/>
          <w:noProof/>
          <w:color w:val="0F1115"/>
        </w:rPr>
        <w:t xml:space="preserve">. </w:t>
      </w:r>
      <w:r w:rsidR="0048365E" w:rsidRPr="0048365E">
        <w:rPr>
          <w:rFonts w:ascii="Arial" w:hAnsi="Arial" w:cs="Arial"/>
          <w:noProof/>
          <w:color w:val="0F1115"/>
        </w:rPr>
        <w:t>A critical deterioration in General Electronics' economic health, characterised by persistent operating losses, weakened liquidity, and unsustainable leverage, has been identified. Consequently, a rigorous and multifaceted financial restructuring plan is developed. Its objective is to evaluate viable pathways, recommend a preferred action supported by pro forma modelling, and project impacts on solvency, shareholder value, and resilience. The plan is designed to integrate international and ethical considerations for global implementation</w:t>
      </w:r>
      <w:r w:rsidR="0048365E">
        <w:rPr>
          <w:rFonts w:ascii="Arial" w:hAnsi="Arial" w:cs="Arial"/>
          <w:noProof/>
          <w:color w:val="0F1115"/>
        </w:rPr>
        <w:t>.</w:t>
      </w:r>
    </w:p>
    <w:p w14:paraId="5B63F632" w14:textId="77777777" w:rsidR="001367F5" w:rsidRPr="001367F5" w:rsidRDefault="001367F5" w:rsidP="0063635E">
      <w:pPr>
        <w:pStyle w:val="Heading2"/>
      </w:pPr>
      <w:bookmarkStart w:id="32" w:name="_Toc217238017"/>
      <w:r w:rsidRPr="001367F5">
        <w:t>3.1 Evaluation of Restructuring Options</w:t>
      </w:r>
      <w:bookmarkEnd w:id="32"/>
    </w:p>
    <w:p w14:paraId="24E8BF4C" w14:textId="77777777" w:rsidR="001367F5" w:rsidRPr="0026666F" w:rsidRDefault="00D740F8" w:rsidP="00D740F8">
      <w:pPr>
        <w:pStyle w:val="ds-markdown-paragraph"/>
        <w:spacing w:after="0" w:line="360" w:lineRule="auto"/>
        <w:jc w:val="both"/>
        <w:rPr>
          <w:rFonts w:ascii="Arial" w:hAnsi="Arial" w:cs="Arial"/>
          <w:color w:val="0F1115"/>
        </w:rPr>
      </w:pPr>
      <w:r w:rsidRPr="00D740F8">
        <w:rPr>
          <w:rFonts w:ascii="Arial" w:hAnsi="Arial" w:cs="Arial"/>
          <w:color w:val="0F1115"/>
        </w:rPr>
        <w:t>Three primary restructuring pathways were evaluated to address liquidity shortage, negative interest coverage, and over-leverage. A strategic divestiture program was considered for immediate liquidity generation and cash cycle compression (</w:t>
      </w:r>
      <w:proofErr w:type="spellStart"/>
      <w:r w:rsidRPr="00D740F8">
        <w:rPr>
          <w:rFonts w:ascii="Arial" w:hAnsi="Arial" w:cs="Arial"/>
          <w:color w:val="0F1115"/>
        </w:rPr>
        <w:t>Elnahass</w:t>
      </w:r>
      <w:proofErr w:type="spellEnd"/>
      <w:r w:rsidRPr="00D740F8">
        <w:rPr>
          <w:rFonts w:ascii="Arial" w:hAnsi="Arial" w:cs="Arial"/>
          <w:color w:val="0F1115"/>
        </w:rPr>
        <w:t xml:space="preserve"> et al., 2021). However, this approach may inadequately rectify equity deficiencies and risks impairing future earnings capaci</w:t>
      </w:r>
      <w:r>
        <w:rPr>
          <w:rFonts w:ascii="Arial" w:hAnsi="Arial" w:cs="Arial"/>
          <w:color w:val="0F1115"/>
        </w:rPr>
        <w:t xml:space="preserve">ty if profitable units are sold </w:t>
      </w:r>
      <w:r w:rsidR="00304BC1" w:rsidRPr="0026666F">
        <w:rPr>
          <w:rFonts w:ascii="Arial" w:hAnsi="Arial" w:cs="Arial"/>
          <w:noProof/>
          <w:color w:val="0F1115"/>
        </w:rPr>
        <w:t>(</w:t>
      </w:r>
      <w:proofErr w:type="spellStart"/>
      <w:r w:rsidR="00304BC1" w:rsidRPr="0026666F">
        <w:rPr>
          <w:rFonts w:ascii="Arial" w:hAnsi="Arial" w:cs="Arial"/>
          <w:color w:val="0F1115"/>
        </w:rPr>
        <w:t>Elnahass</w:t>
      </w:r>
      <w:proofErr w:type="spellEnd"/>
      <w:r w:rsidR="00304BC1" w:rsidRPr="0026666F">
        <w:rPr>
          <w:rFonts w:ascii="Arial" w:hAnsi="Arial" w:cs="Arial"/>
          <w:color w:val="0F1115"/>
        </w:rPr>
        <w:t xml:space="preserve"> et.al</w:t>
      </w:r>
      <w:r w:rsidR="00304BC1" w:rsidRPr="0026666F">
        <w:rPr>
          <w:rFonts w:ascii="Arial" w:hAnsi="Arial" w:cs="Arial"/>
          <w:noProof/>
          <w:color w:val="0F1115"/>
        </w:rPr>
        <w:t>, 2021</w:t>
      </w:r>
      <w:r w:rsidR="0026666F" w:rsidRPr="0026666F">
        <w:rPr>
          <w:rFonts w:ascii="Arial" w:hAnsi="Arial" w:cs="Arial"/>
          <w:noProof/>
          <w:color w:val="0F1115"/>
        </w:rPr>
        <w:t>)</w:t>
      </w:r>
      <w:r w:rsidR="001367F5" w:rsidRPr="0026666F">
        <w:rPr>
          <w:rFonts w:ascii="Arial" w:hAnsi="Arial" w:cs="Arial"/>
          <w:color w:val="0F1115"/>
        </w:rPr>
        <w:t>.</w:t>
      </w:r>
    </w:p>
    <w:p w14:paraId="0FFF8601" w14:textId="07405E87" w:rsidR="001367F5" w:rsidRPr="001367F5" w:rsidRDefault="00D740F8" w:rsidP="00717286">
      <w:pPr>
        <w:pStyle w:val="ds-markdown-paragraph"/>
        <w:spacing w:after="0" w:line="360" w:lineRule="auto"/>
        <w:jc w:val="both"/>
        <w:rPr>
          <w:rFonts w:ascii="Arial" w:hAnsi="Arial" w:cs="Arial"/>
          <w:color w:val="0F1115"/>
        </w:rPr>
      </w:pPr>
      <w:r>
        <w:rPr>
          <w:rFonts w:ascii="Arial" w:hAnsi="Arial" w:cs="Arial"/>
          <w:color w:val="0F1115"/>
        </w:rPr>
        <w:t xml:space="preserve">Second, a </w:t>
      </w:r>
      <w:r w:rsidRPr="00D740F8">
        <w:rPr>
          <w:rFonts w:ascii="Arial" w:hAnsi="Arial" w:cs="Arial"/>
          <w:color w:val="0F1115"/>
        </w:rPr>
        <w:t xml:space="preserve">strategic merger or acquisition was evaluated to access new markets, </w:t>
      </w:r>
      <w:r w:rsidR="00561979" w:rsidRPr="00D740F8">
        <w:rPr>
          <w:rFonts w:ascii="Arial" w:hAnsi="Arial" w:cs="Arial"/>
          <w:color w:val="0F1115"/>
        </w:rPr>
        <w:t>realize</w:t>
      </w:r>
      <w:r w:rsidRPr="00D740F8">
        <w:rPr>
          <w:rFonts w:ascii="Arial" w:hAnsi="Arial" w:cs="Arial"/>
          <w:color w:val="0F1115"/>
        </w:rPr>
        <w:t xml:space="preserve"> cost synergies, and combine balance sheet strengths. However, this option is </w:t>
      </w:r>
      <w:r w:rsidR="00561979" w:rsidRPr="00D740F8">
        <w:rPr>
          <w:rFonts w:ascii="Arial" w:hAnsi="Arial" w:cs="Arial"/>
          <w:color w:val="0F1115"/>
        </w:rPr>
        <w:t>characterized</w:t>
      </w:r>
      <w:r w:rsidRPr="00D740F8">
        <w:rPr>
          <w:rFonts w:ascii="Arial" w:hAnsi="Arial" w:cs="Arial"/>
          <w:color w:val="0F1115"/>
        </w:rPr>
        <w:t xml:space="preserve"> by high execution risk, including cultural integration challenges, regulatory </w:t>
      </w:r>
      <w:r w:rsidRPr="00D740F8">
        <w:rPr>
          <w:rFonts w:ascii="Arial" w:hAnsi="Arial" w:cs="Arial"/>
          <w:color w:val="0F1115"/>
        </w:rPr>
        <w:lastRenderedPageBreak/>
        <w:t xml:space="preserve">hurdles, and significant transaction costs, rendering it suboptimal for a firm in acute distress requiring swift </w:t>
      </w:r>
      <w:r w:rsidR="00561979" w:rsidRPr="00D740F8">
        <w:rPr>
          <w:rFonts w:ascii="Arial" w:hAnsi="Arial" w:cs="Arial"/>
          <w:color w:val="0F1115"/>
        </w:rPr>
        <w:t>stabilization</w:t>
      </w:r>
      <w:r w:rsidRPr="00D740F8">
        <w:rPr>
          <w:rFonts w:ascii="Arial" w:hAnsi="Arial" w:cs="Arial"/>
          <w:color w:val="0F1115"/>
        </w:rPr>
        <w:t> </w:t>
      </w:r>
      <w:r w:rsidR="00C738FA" w:rsidRPr="00C738FA">
        <w:rPr>
          <w:rFonts w:ascii="Arial" w:hAnsi="Arial" w:cs="Arial"/>
          <w:noProof/>
          <w:color w:val="0F1115"/>
        </w:rPr>
        <w:t>(</w:t>
      </w:r>
      <w:proofErr w:type="spellStart"/>
      <w:r w:rsidR="00304BC1" w:rsidRPr="00C738FA">
        <w:rPr>
          <w:rFonts w:ascii="Arial" w:hAnsi="Arial" w:cs="Arial"/>
          <w:noProof/>
          <w:color w:val="0F1115"/>
        </w:rPr>
        <w:t>Lyubov</w:t>
      </w:r>
      <w:proofErr w:type="spellEnd"/>
      <w:r w:rsidR="00C738FA">
        <w:rPr>
          <w:rFonts w:ascii="Arial" w:hAnsi="Arial" w:cs="Arial"/>
          <w:noProof/>
          <w:color w:val="0F1115"/>
        </w:rPr>
        <w:t xml:space="preserve"> et al.</w:t>
      </w:r>
      <w:r w:rsidR="00C738FA" w:rsidRPr="00C738FA">
        <w:rPr>
          <w:rFonts w:ascii="Arial" w:hAnsi="Arial" w:cs="Arial"/>
          <w:noProof/>
          <w:color w:val="0F1115"/>
        </w:rPr>
        <w:t>, 2023)</w:t>
      </w:r>
      <w:r w:rsidR="00132A5B">
        <w:rPr>
          <w:rFonts w:ascii="Arial" w:hAnsi="Arial" w:cs="Arial"/>
          <w:noProof/>
          <w:color w:val="0F1115"/>
        </w:rPr>
        <w:t>.</w:t>
      </w:r>
    </w:p>
    <w:p w14:paraId="58C47B1A" w14:textId="77777777" w:rsidR="00D740F8" w:rsidRDefault="001367F5" w:rsidP="00D740F8">
      <w:pPr>
        <w:pStyle w:val="ds-markdown-paragraph"/>
        <w:spacing w:after="0" w:line="360" w:lineRule="auto"/>
        <w:jc w:val="both"/>
        <w:rPr>
          <w:rFonts w:ascii="Arial" w:hAnsi="Arial" w:cs="Arial"/>
          <w:color w:val="0F1115"/>
        </w:rPr>
      </w:pPr>
      <w:r w:rsidRPr="001367F5">
        <w:rPr>
          <w:rFonts w:ascii="Arial" w:hAnsi="Arial" w:cs="Arial"/>
          <w:color w:val="0F1115"/>
        </w:rPr>
        <w:t>Third</w:t>
      </w:r>
      <w:r w:rsidR="00D740F8">
        <w:rPr>
          <w:rFonts w:ascii="Arial" w:hAnsi="Arial" w:cs="Arial"/>
          <w:color w:val="0F1115"/>
        </w:rPr>
        <w:t>, t</w:t>
      </w:r>
      <w:r w:rsidR="00D740F8" w:rsidRPr="00D740F8">
        <w:rPr>
          <w:rFonts w:ascii="Arial" w:hAnsi="Arial" w:cs="Arial"/>
          <w:color w:val="0F1115"/>
        </w:rPr>
        <w:t>he option of an equity injection via a rights issue was analyzed. This approach directly strengthens the equity base, reduces leverage, and enhances flexibility without additional interest expense, though ownership dilution is caused. Given the specific ailments of a Debt-to-Equity ratio of 1.11 and a negative Interest Coverage Ratio, a singular approach was deemed insufficient. Consequently, a hybrid strategy combining equity injection with targeted divestiture is recommended, whereby both sides of the balance sheet are addressed simultaneously</w:t>
      </w:r>
    </w:p>
    <w:p w14:paraId="04B36AC4" w14:textId="77777777" w:rsidR="001367F5" w:rsidRPr="00D740F8" w:rsidRDefault="00D740F8" w:rsidP="00D740F8">
      <w:pPr>
        <w:pStyle w:val="Heading2"/>
      </w:pPr>
      <w:r w:rsidRPr="00D740F8">
        <w:rPr>
          <w:color w:val="0F1115"/>
        </w:rPr>
        <w:t> </w:t>
      </w:r>
      <w:bookmarkStart w:id="33" w:name="_Toc217238018"/>
      <w:r w:rsidR="001367F5" w:rsidRPr="00D740F8">
        <w:t>3.2 The Recommended Hybrid Strategy and Pro-Forma Impact</w:t>
      </w:r>
      <w:bookmarkEnd w:id="33"/>
    </w:p>
    <w:p w14:paraId="72139E44" w14:textId="77777777" w:rsidR="001367F5" w:rsidRPr="001367F5" w:rsidRDefault="001367F5" w:rsidP="00717286">
      <w:pPr>
        <w:pStyle w:val="ds-markdown-paragraph"/>
        <w:spacing w:after="0" w:line="360" w:lineRule="auto"/>
        <w:jc w:val="both"/>
        <w:rPr>
          <w:rFonts w:ascii="Arial" w:hAnsi="Arial" w:cs="Arial"/>
          <w:color w:val="0F1115"/>
        </w:rPr>
      </w:pPr>
      <w:r w:rsidRPr="001367F5">
        <w:rPr>
          <w:rFonts w:ascii="Arial" w:hAnsi="Arial" w:cs="Arial"/>
          <w:color w:val="0F1115"/>
        </w:rPr>
        <w:t>The recommended restructuring strategy, as detailed in the pro-forma workings of Appendix C, consists of two concurrent actions:</w:t>
      </w:r>
    </w:p>
    <w:p w14:paraId="75AB9853" w14:textId="77777777" w:rsidR="001367F5" w:rsidRPr="001367F5" w:rsidRDefault="001367F5" w:rsidP="00717286">
      <w:pPr>
        <w:pStyle w:val="ds-markdown-paragraph"/>
        <w:numPr>
          <w:ilvl w:val="0"/>
          <w:numId w:val="25"/>
        </w:numPr>
        <w:spacing w:line="360" w:lineRule="auto"/>
        <w:jc w:val="both"/>
        <w:rPr>
          <w:rFonts w:ascii="Arial" w:hAnsi="Arial" w:cs="Arial"/>
          <w:color w:val="0F1115"/>
        </w:rPr>
      </w:pPr>
      <w:r w:rsidRPr="001367F5">
        <w:rPr>
          <w:rFonts w:ascii="Arial" w:hAnsi="Arial" w:cs="Arial"/>
          <w:color w:val="0F1115"/>
        </w:rPr>
        <w:t>An equity injection of </w:t>
      </w:r>
      <w:r w:rsidRPr="0014659C">
        <w:rPr>
          <w:rFonts w:ascii="Arial" w:hAnsi="Arial" w:cs="Arial"/>
          <w:bCs/>
          <w:color w:val="0F1115"/>
        </w:rPr>
        <w:t>£22,966 million</w:t>
      </w:r>
      <w:r w:rsidRPr="001367F5">
        <w:rPr>
          <w:rFonts w:ascii="Arial" w:hAnsi="Arial" w:cs="Arial"/>
          <w:color w:val="0F1115"/>
        </w:rPr>
        <w:t> via a rights issue, representing approximately 15% of the 2024 equity base.</w:t>
      </w:r>
    </w:p>
    <w:p w14:paraId="52FFB1A5" w14:textId="204D5EE6" w:rsidR="001367F5" w:rsidRPr="001367F5" w:rsidRDefault="001367F5" w:rsidP="00717286">
      <w:pPr>
        <w:pStyle w:val="ds-markdown-paragraph"/>
        <w:numPr>
          <w:ilvl w:val="0"/>
          <w:numId w:val="25"/>
        </w:numPr>
        <w:spacing w:line="360" w:lineRule="auto"/>
        <w:jc w:val="both"/>
        <w:rPr>
          <w:rFonts w:ascii="Arial" w:hAnsi="Arial" w:cs="Arial"/>
          <w:color w:val="0F1115"/>
        </w:rPr>
      </w:pPr>
      <w:r w:rsidRPr="001367F5">
        <w:rPr>
          <w:rFonts w:ascii="Arial" w:hAnsi="Arial" w:cs="Arial"/>
          <w:color w:val="0F1115"/>
        </w:rPr>
        <w:t xml:space="preserve">A selective divestiture </w:t>
      </w:r>
      <w:r w:rsidR="00561979" w:rsidRPr="001367F5">
        <w:rPr>
          <w:rFonts w:ascii="Arial" w:hAnsi="Arial" w:cs="Arial"/>
          <w:color w:val="0F1115"/>
        </w:rPr>
        <w:t>program</w:t>
      </w:r>
      <w:r w:rsidRPr="001367F5">
        <w:rPr>
          <w:rFonts w:ascii="Arial" w:hAnsi="Arial" w:cs="Arial"/>
          <w:color w:val="0F1115"/>
        </w:rPr>
        <w:t xml:space="preserve"> generating </w:t>
      </w:r>
      <w:r w:rsidRPr="0014659C">
        <w:rPr>
          <w:rFonts w:ascii="Arial" w:hAnsi="Arial" w:cs="Arial"/>
          <w:bCs/>
          <w:color w:val="0F1115"/>
        </w:rPr>
        <w:t>£10,000 million</w:t>
      </w:r>
      <w:r w:rsidRPr="001367F5">
        <w:rPr>
          <w:rFonts w:ascii="Arial" w:hAnsi="Arial" w:cs="Arial"/>
          <w:color w:val="0F1115"/>
        </w:rPr>
        <w:t> in proceeds, allocated entirely to the prepayment of debt.</w:t>
      </w:r>
    </w:p>
    <w:p w14:paraId="364EECC5" w14:textId="3357F89C" w:rsidR="001367F5" w:rsidRPr="001367F5" w:rsidRDefault="001367F5" w:rsidP="00717286">
      <w:pPr>
        <w:pStyle w:val="ds-markdown-paragraph"/>
        <w:spacing w:after="0" w:line="360" w:lineRule="auto"/>
        <w:jc w:val="both"/>
        <w:rPr>
          <w:rFonts w:ascii="Arial" w:hAnsi="Arial" w:cs="Arial"/>
          <w:color w:val="0F1115"/>
        </w:rPr>
      </w:pPr>
      <w:r w:rsidRPr="001367F5">
        <w:rPr>
          <w:rFonts w:ascii="Arial" w:hAnsi="Arial" w:cs="Arial"/>
          <w:color w:val="0F1115"/>
        </w:rPr>
        <w:t xml:space="preserve">The impact of this combined strategy is quantified using pro-forma financial modelling, which builds directly upon the 2024 consolidated financial position. The key outcomes are </w:t>
      </w:r>
      <w:r w:rsidR="00561979" w:rsidRPr="001367F5">
        <w:rPr>
          <w:rFonts w:ascii="Arial" w:hAnsi="Arial" w:cs="Arial"/>
          <w:color w:val="0F1115"/>
        </w:rPr>
        <w:t>summarized</w:t>
      </w:r>
      <w:r w:rsidRPr="001367F5">
        <w:rPr>
          <w:rFonts w:ascii="Arial" w:hAnsi="Arial" w:cs="Arial"/>
          <w:color w:val="0F1115"/>
        </w:rPr>
        <w:t xml:space="preserve"> in</w:t>
      </w:r>
      <w:r w:rsidR="0014659C">
        <w:rPr>
          <w:rFonts w:ascii="Arial" w:hAnsi="Arial" w:cs="Arial"/>
          <w:color w:val="0F1115"/>
        </w:rPr>
        <w:t xml:space="preserve"> Tables C1 through C5 and analyz</w:t>
      </w:r>
      <w:r w:rsidRPr="001367F5">
        <w:rPr>
          <w:rFonts w:ascii="Arial" w:hAnsi="Arial" w:cs="Arial"/>
          <w:color w:val="0F1115"/>
        </w:rPr>
        <w:t>ed below.</w:t>
      </w:r>
    </w:p>
    <w:p w14:paraId="0CDE15A4" w14:textId="77777777" w:rsidR="001367F5" w:rsidRPr="001367F5" w:rsidRDefault="001367F5" w:rsidP="00717286">
      <w:pPr>
        <w:pStyle w:val="ds-markdown-paragraph"/>
        <w:spacing w:after="0" w:line="360" w:lineRule="auto"/>
        <w:rPr>
          <w:rFonts w:ascii="Arial" w:hAnsi="Arial" w:cs="Arial"/>
          <w:color w:val="0F1115"/>
        </w:rPr>
      </w:pPr>
      <w:bookmarkStart w:id="34" w:name="_Toc217238019"/>
      <w:r w:rsidRPr="0063635E">
        <w:rPr>
          <w:rStyle w:val="Heading2Char"/>
        </w:rPr>
        <w:t>3.2.1 Impact on Capital Structure and Solvency</w:t>
      </w:r>
      <w:bookmarkEnd w:id="34"/>
      <w:r w:rsidRPr="001367F5">
        <w:rPr>
          <w:rFonts w:ascii="Arial" w:hAnsi="Arial" w:cs="Arial"/>
          <w:color w:val="0F1115"/>
        </w:rPr>
        <w:br/>
        <w:t>The most immediate and critical impact is observed on the firm’s capital structure. As illustrated in Table C2, the restructuring effects a material de-leveraging of the balance sheet.</w:t>
      </w:r>
    </w:p>
    <w:p w14:paraId="3EF0E069" w14:textId="77777777" w:rsidR="001367F5" w:rsidRPr="001367F5" w:rsidRDefault="001367F5" w:rsidP="00717286">
      <w:pPr>
        <w:pStyle w:val="ds-markdown-paragraph"/>
        <w:numPr>
          <w:ilvl w:val="0"/>
          <w:numId w:val="26"/>
        </w:numPr>
        <w:spacing w:line="360" w:lineRule="auto"/>
        <w:rPr>
          <w:rFonts w:ascii="Arial" w:hAnsi="Arial" w:cs="Arial"/>
          <w:color w:val="0F1115"/>
        </w:rPr>
      </w:pPr>
      <w:r w:rsidRPr="001367F5">
        <w:rPr>
          <w:rFonts w:ascii="Arial" w:hAnsi="Arial" w:cs="Arial"/>
          <w:color w:val="0F1115"/>
        </w:rPr>
        <w:t>The </w:t>
      </w:r>
      <w:r w:rsidRPr="001367F5">
        <w:rPr>
          <w:rFonts w:ascii="Arial" w:hAnsi="Arial" w:cs="Arial"/>
          <w:b/>
          <w:bCs/>
          <w:color w:val="0F1115"/>
        </w:rPr>
        <w:t>Debt-to-Equity Ratio</w:t>
      </w:r>
      <w:r w:rsidRPr="001367F5">
        <w:rPr>
          <w:rFonts w:ascii="Arial" w:hAnsi="Arial" w:cs="Arial"/>
          <w:color w:val="0F1115"/>
        </w:rPr>
        <w:t> improves from a precarious 1.11 to a more sustainable 0.91. This shift signifies that liabilities no longer exceed equity, moving the firm away from the “tipping point” of higher financial risk.</w:t>
      </w:r>
    </w:p>
    <w:p w14:paraId="39DDFFF3" w14:textId="77777777" w:rsidR="001367F5" w:rsidRPr="001367F5" w:rsidRDefault="001367F5" w:rsidP="00717286">
      <w:pPr>
        <w:pStyle w:val="ds-markdown-paragraph"/>
        <w:numPr>
          <w:ilvl w:val="0"/>
          <w:numId w:val="26"/>
        </w:numPr>
        <w:spacing w:line="360" w:lineRule="auto"/>
        <w:rPr>
          <w:rFonts w:ascii="Arial" w:hAnsi="Arial" w:cs="Arial"/>
          <w:color w:val="0F1115"/>
        </w:rPr>
      </w:pPr>
      <w:r w:rsidRPr="001367F5">
        <w:rPr>
          <w:rFonts w:ascii="Arial" w:hAnsi="Arial" w:cs="Arial"/>
          <w:color w:val="0F1115"/>
        </w:rPr>
        <w:lastRenderedPageBreak/>
        <w:t>The </w:t>
      </w:r>
      <w:r w:rsidRPr="001367F5">
        <w:rPr>
          <w:rFonts w:ascii="Arial" w:hAnsi="Arial" w:cs="Arial"/>
          <w:b/>
          <w:bCs/>
          <w:color w:val="0F1115"/>
        </w:rPr>
        <w:t>Debt-to-Capital Ratio</w:t>
      </w:r>
      <w:r w:rsidRPr="001367F5">
        <w:rPr>
          <w:rFonts w:ascii="Arial" w:hAnsi="Arial" w:cs="Arial"/>
          <w:color w:val="0F1115"/>
        </w:rPr>
        <w:t> declines from 52.7% to 47.6%, indicating that less than half of the company’s capital is now financed by debt, thereby reducing reliance on creditors.</w:t>
      </w:r>
    </w:p>
    <w:p w14:paraId="14B0E505" w14:textId="77777777" w:rsidR="001367F5" w:rsidRPr="001367F5" w:rsidRDefault="001367F5" w:rsidP="00F60E9B">
      <w:pPr>
        <w:pStyle w:val="ds-markdown-paragraph"/>
        <w:numPr>
          <w:ilvl w:val="0"/>
          <w:numId w:val="26"/>
        </w:numPr>
        <w:spacing w:line="360" w:lineRule="auto"/>
        <w:rPr>
          <w:rFonts w:ascii="Arial" w:hAnsi="Arial" w:cs="Arial"/>
          <w:color w:val="0F1115"/>
        </w:rPr>
      </w:pPr>
      <w:r w:rsidRPr="001367F5">
        <w:rPr>
          <w:rFonts w:ascii="Arial" w:hAnsi="Arial" w:cs="Arial"/>
          <w:color w:val="0F1115"/>
        </w:rPr>
        <w:t>The </w:t>
      </w:r>
      <w:r w:rsidRPr="001367F5">
        <w:rPr>
          <w:rFonts w:ascii="Arial" w:hAnsi="Arial" w:cs="Arial"/>
          <w:b/>
          <w:bCs/>
          <w:color w:val="0F1115"/>
        </w:rPr>
        <w:t>Equity Multiplier</w:t>
      </w:r>
      <w:r w:rsidRPr="001367F5">
        <w:rPr>
          <w:rFonts w:ascii="Arial" w:hAnsi="Arial" w:cs="Arial"/>
          <w:color w:val="0F1115"/>
        </w:rPr>
        <w:t> decreases from 2.11 to 1.91, reflecting a reduction in the degree to which assets are financed by debt.</w:t>
      </w:r>
    </w:p>
    <w:p w14:paraId="614EBF31" w14:textId="77777777" w:rsidR="001367F5" w:rsidRPr="001367F5" w:rsidRDefault="001367F5" w:rsidP="00717286">
      <w:pPr>
        <w:pStyle w:val="ds-markdown-paragraph"/>
        <w:spacing w:after="0" w:line="360" w:lineRule="auto"/>
        <w:jc w:val="both"/>
        <w:rPr>
          <w:rFonts w:ascii="Arial" w:hAnsi="Arial" w:cs="Arial"/>
          <w:color w:val="0F1115"/>
        </w:rPr>
      </w:pPr>
      <w:r w:rsidRPr="001367F5">
        <w:rPr>
          <w:rFonts w:ascii="Arial" w:hAnsi="Arial" w:cs="Arial"/>
          <w:color w:val="0F1115"/>
        </w:rPr>
        <w:t>This strengthened capital structure directly addresses the solvency risks identified in the ratio analysis. While operating income (EBIT) remains negative in the conservative base-case projection, the reduction in the debt burden has a tangible positive effect on interest coverage. As shown in Table C3, the pro-forma Interest Expense is reduced from £3,361 million to £2,857 million due to the £10,000 million debt repayment. Consequently, the Interest Coverage Ratio, although still negative, improves from -4.55 to -3.35. This improvement lessens the annual cash flow drain from interest payments and provides greater operational headroom during the recovery phase.</w:t>
      </w:r>
    </w:p>
    <w:p w14:paraId="2509947E" w14:textId="77777777" w:rsidR="001367F5" w:rsidRPr="001367F5" w:rsidRDefault="00865D48" w:rsidP="00717286">
      <w:pPr>
        <w:pStyle w:val="ds-markdown-paragraph"/>
        <w:spacing w:after="0" w:line="360" w:lineRule="auto"/>
        <w:jc w:val="both"/>
        <w:rPr>
          <w:rFonts w:ascii="Arial" w:hAnsi="Arial" w:cs="Arial"/>
          <w:color w:val="0F1115"/>
        </w:rPr>
      </w:pPr>
      <w:bookmarkStart w:id="35" w:name="_Toc217238020"/>
      <w:r w:rsidRPr="0063635E">
        <w:rPr>
          <w:rStyle w:val="Heading2Char"/>
        </w:rPr>
        <w:t>3.2</w:t>
      </w:r>
      <w:r w:rsidR="001367F5" w:rsidRPr="0063635E">
        <w:rPr>
          <w:rStyle w:val="Heading2Char"/>
        </w:rPr>
        <w:t>.2 Impact on Shareholder Value and Market Perception</w:t>
      </w:r>
      <w:bookmarkEnd w:id="35"/>
      <w:r w:rsidR="001367F5" w:rsidRPr="001367F5">
        <w:rPr>
          <w:rFonts w:ascii="Arial" w:hAnsi="Arial" w:cs="Arial"/>
          <w:color w:val="0F1115"/>
        </w:rPr>
        <w:br/>
        <w:t>A critical concern with any equity issuance is the dilution of existing shareholders. The pro-forma analysis in Table C4 addresses this explicitly. The rights issue increases the number of shares outstanding from 12,959 million to 14,903 million. Despite this dilution, the pro-forma Earnings Per Share (EPS) shows a marginal improvement from -£1.85 to -£1.61.</w:t>
      </w:r>
      <w:r w:rsidR="00717286">
        <w:rPr>
          <w:rFonts w:ascii="Arial" w:hAnsi="Arial" w:cs="Arial"/>
          <w:color w:val="0F1115"/>
        </w:rPr>
        <w:t xml:space="preserve"> </w:t>
      </w:r>
      <w:r w:rsidR="001367F5" w:rsidRPr="001367F5">
        <w:rPr>
          <w:rFonts w:ascii="Arial" w:hAnsi="Arial" w:cs="Arial"/>
          <w:color w:val="0F1115"/>
        </w:rPr>
        <w:t>This counterintuitive result occurs because the £22,966 million equity injection significantly increases the total equity base (denominator) against which the net loss is spread, while the net loss itself remains unchanged at -£24,029 million in this static, conservative model. More importantly, the transaction dramatically enhances intrinsic shareholder value by fundamentally repairing the balance sheet. The creation of a substantial </w:t>
      </w:r>
      <w:r w:rsidR="001367F5" w:rsidRPr="0014659C">
        <w:rPr>
          <w:rFonts w:ascii="Arial" w:hAnsi="Arial" w:cs="Arial"/>
          <w:bCs/>
          <w:color w:val="0F1115"/>
        </w:rPr>
        <w:t>equity buffer of £22,966 million</w:t>
      </w:r>
      <w:r w:rsidR="001367F5" w:rsidRPr="001367F5">
        <w:rPr>
          <w:rFonts w:ascii="Arial" w:hAnsi="Arial" w:cs="Arial"/>
          <w:color w:val="0F1115"/>
        </w:rPr>
        <w:t> (Table C5) is a pivotal outcome. This buffer provides the financial resilience to absorb operational volatility, invest in essential research and development, and negotiate from a position of strength with suppliers, customers, and creditors. Ultimately, it transforms the firm’s risk profile, which is expected to be positively reflected in its cost of capital and market valuation over time.</w:t>
      </w:r>
    </w:p>
    <w:p w14:paraId="7B926981" w14:textId="77777777" w:rsidR="001367F5" w:rsidRPr="00865D48" w:rsidRDefault="00865D48" w:rsidP="0063635E">
      <w:pPr>
        <w:pStyle w:val="Heading2"/>
      </w:pPr>
      <w:bookmarkStart w:id="36" w:name="_Toc217238021"/>
      <w:r>
        <w:lastRenderedPageBreak/>
        <w:t>3.3</w:t>
      </w:r>
      <w:r w:rsidR="001367F5" w:rsidRPr="00865D48">
        <w:t xml:space="preserve"> International, Ethical, and Implementation Considerations</w:t>
      </w:r>
      <w:bookmarkEnd w:id="36"/>
    </w:p>
    <w:p w14:paraId="3AE681DC" w14:textId="77777777" w:rsidR="001367F5" w:rsidRPr="001367F5" w:rsidRDefault="001367F5" w:rsidP="00717286">
      <w:pPr>
        <w:pStyle w:val="ds-markdown-paragraph"/>
        <w:spacing w:after="0" w:line="360" w:lineRule="auto"/>
        <w:jc w:val="both"/>
        <w:rPr>
          <w:rFonts w:ascii="Arial" w:hAnsi="Arial" w:cs="Arial"/>
          <w:color w:val="0F1115"/>
        </w:rPr>
      </w:pPr>
      <w:r w:rsidRPr="001367F5">
        <w:rPr>
          <w:rFonts w:ascii="Arial" w:hAnsi="Arial" w:cs="Arial"/>
          <w:color w:val="0F1115"/>
        </w:rPr>
        <w:t>For a global firm like General Electronics, a restructuring plan must be designed with cross-border complexities in mind.</w:t>
      </w:r>
    </w:p>
    <w:p w14:paraId="3810A279" w14:textId="007E419C" w:rsidR="002B71D5" w:rsidRPr="00561979" w:rsidRDefault="00865D48" w:rsidP="00561979">
      <w:pPr>
        <w:pStyle w:val="ds-markdown-paragraph"/>
        <w:spacing w:after="0" w:line="360" w:lineRule="auto"/>
        <w:rPr>
          <w:rFonts w:ascii="Arial" w:eastAsiaTheme="majorEastAsia" w:hAnsi="Arial" w:cstheme="majorBidi"/>
          <w:b/>
          <w:sz w:val="28"/>
          <w:szCs w:val="26"/>
        </w:rPr>
      </w:pPr>
      <w:bookmarkStart w:id="37" w:name="_Toc217238022"/>
      <w:r w:rsidRPr="0063635E">
        <w:rPr>
          <w:rStyle w:val="Heading2Char"/>
        </w:rPr>
        <w:t>3.3</w:t>
      </w:r>
      <w:r w:rsidR="001367F5" w:rsidRPr="0063635E">
        <w:rPr>
          <w:rStyle w:val="Heading2Char"/>
        </w:rPr>
        <w:t>.1 Taxation and Currency Risk Mitigation</w:t>
      </w:r>
      <w:bookmarkEnd w:id="37"/>
      <w:r w:rsidR="001367F5" w:rsidRPr="001367F5">
        <w:rPr>
          <w:rFonts w:ascii="Arial" w:hAnsi="Arial" w:cs="Arial"/>
          <w:color w:val="0F1115"/>
        </w:rPr>
        <w:br/>
        <w:t xml:space="preserve">The execution of the rights issue and asset divestitures must be structured for global tax efficiency. This involves </w:t>
      </w:r>
      <w:r w:rsidR="00561979" w:rsidRPr="001367F5">
        <w:rPr>
          <w:rFonts w:ascii="Arial" w:hAnsi="Arial" w:cs="Arial"/>
          <w:color w:val="0F1115"/>
        </w:rPr>
        <w:t>utilizing</w:t>
      </w:r>
      <w:r w:rsidR="001367F5" w:rsidRPr="001367F5">
        <w:rPr>
          <w:rFonts w:ascii="Arial" w:hAnsi="Arial" w:cs="Arial"/>
          <w:color w:val="0F1115"/>
        </w:rPr>
        <w:t xml:space="preserve"> jurisdictions with </w:t>
      </w:r>
      <w:r w:rsidR="00561979" w:rsidRPr="001367F5">
        <w:rPr>
          <w:rFonts w:ascii="Arial" w:hAnsi="Arial" w:cs="Arial"/>
          <w:color w:val="0F1115"/>
        </w:rPr>
        <w:t>favorable</w:t>
      </w:r>
      <w:r w:rsidR="001367F5" w:rsidRPr="001367F5">
        <w:rPr>
          <w:rFonts w:ascii="Arial" w:hAnsi="Arial" w:cs="Arial"/>
          <w:color w:val="0F1115"/>
        </w:rPr>
        <w:t xml:space="preserve"> tax treaties to </w:t>
      </w:r>
      <w:r w:rsidR="00561979" w:rsidRPr="001367F5">
        <w:rPr>
          <w:rFonts w:ascii="Arial" w:hAnsi="Arial" w:cs="Arial"/>
          <w:color w:val="0F1115"/>
        </w:rPr>
        <w:t>minimize</w:t>
      </w:r>
      <w:r w:rsidR="001367F5" w:rsidRPr="001367F5">
        <w:rPr>
          <w:rFonts w:ascii="Arial" w:hAnsi="Arial" w:cs="Arial"/>
          <w:color w:val="0F1115"/>
        </w:rPr>
        <w:t xml:space="preserve"> withholding taxes on capital flows and capital gains </w:t>
      </w:r>
      <w:r w:rsidR="00717286" w:rsidRPr="002B71D5">
        <w:rPr>
          <w:rFonts w:ascii="Arial" w:hAnsi="Arial" w:cs="Arial"/>
          <w:noProof/>
          <w:color w:val="0F1115"/>
        </w:rPr>
        <w:t>(Andor, 2011)</w:t>
      </w:r>
      <w:r w:rsidR="00717286">
        <w:rPr>
          <w:rFonts w:ascii="Arial" w:hAnsi="Arial" w:cs="Arial"/>
          <w:noProof/>
          <w:color w:val="0F1115"/>
        </w:rPr>
        <w:t>.</w:t>
      </w:r>
    </w:p>
    <w:p w14:paraId="7135D5B8" w14:textId="77777777" w:rsidR="001367F5" w:rsidRPr="001367F5" w:rsidRDefault="001367F5" w:rsidP="00561979">
      <w:pPr>
        <w:pStyle w:val="ds-markdown-paragraph"/>
        <w:spacing w:after="0" w:line="360" w:lineRule="auto"/>
        <w:jc w:val="both"/>
        <w:rPr>
          <w:rFonts w:ascii="Arial" w:hAnsi="Arial" w:cs="Arial"/>
          <w:color w:val="0F1115"/>
        </w:rPr>
      </w:pPr>
      <w:r w:rsidRPr="001367F5">
        <w:rPr>
          <w:rFonts w:ascii="Arial" w:hAnsi="Arial" w:cs="Arial"/>
          <w:color w:val="0F1115"/>
        </w:rPr>
        <w:t>Furthermore, the strategic reduction of £10,000 million in pound-denominated debt inherently decreases the firm’s balance sheet exposure to foreign currency fluctuations on its liabilities. A formal treasury policy should be implemented to hedge any remaining foreign-currency-denominated obligations, thereby insulating the recovery plan from exchange rate volatility.</w:t>
      </w:r>
    </w:p>
    <w:p w14:paraId="3954E4E9" w14:textId="77777777" w:rsidR="001367F5" w:rsidRPr="001367F5" w:rsidRDefault="00865D48" w:rsidP="00717286">
      <w:pPr>
        <w:pStyle w:val="ds-markdown-paragraph"/>
        <w:spacing w:after="0" w:line="360" w:lineRule="auto"/>
        <w:jc w:val="both"/>
        <w:rPr>
          <w:rFonts w:ascii="Arial" w:hAnsi="Arial" w:cs="Arial"/>
          <w:color w:val="0F1115"/>
        </w:rPr>
      </w:pPr>
      <w:bookmarkStart w:id="38" w:name="_Toc217238023"/>
      <w:r w:rsidRPr="0063635E">
        <w:rPr>
          <w:rStyle w:val="Heading2Char"/>
        </w:rPr>
        <w:t>3.3</w:t>
      </w:r>
      <w:r w:rsidR="001367F5" w:rsidRPr="0063635E">
        <w:rPr>
          <w:rStyle w:val="Heading2Char"/>
        </w:rPr>
        <w:t>.2 Inflation and Corporate Social Responsibility (CSR)</w:t>
      </w:r>
      <w:bookmarkEnd w:id="38"/>
      <w:r w:rsidR="001367F5" w:rsidRPr="0063635E">
        <w:rPr>
          <w:rStyle w:val="Heading2Char"/>
        </w:rPr>
        <w:br/>
      </w:r>
      <w:r w:rsidR="001367F5" w:rsidRPr="001367F5">
        <w:rPr>
          <w:rFonts w:ascii="Arial" w:hAnsi="Arial" w:cs="Arial"/>
          <w:color w:val="0F1115"/>
        </w:rPr>
        <w:t>In the current macroeconomic environment of elevated inflation, reducing nominal debt through divestiture proceeds delivers a real economic benefit by shrinking future fixed monetary obligations. From a CSR and ESG (Environmental, Social, and Governance) perspective, the restructuring must be conducted with transparency and responsibility. Asset divestitures should be preceded by thorough assessments of environmental liabilities to prevent future contingent liabilities. Any associated workforce reductions must be managed ethically, with commitments to retraining, fair severance, and community support. Embedding ESG criteria into the selection of assets for divestiture and communicating the use of proceeds for balance sheet repair will align the turnaround with the expectations of modern stakeholders and socially conscious investors.</w:t>
      </w:r>
    </w:p>
    <w:p w14:paraId="08DE9C3C" w14:textId="77777777" w:rsidR="001367F5" w:rsidRPr="001367F5" w:rsidRDefault="00865D48" w:rsidP="00717286">
      <w:pPr>
        <w:pStyle w:val="ds-markdown-paragraph"/>
        <w:spacing w:after="0" w:line="360" w:lineRule="auto"/>
        <w:rPr>
          <w:rFonts w:ascii="Arial" w:hAnsi="Arial" w:cs="Arial"/>
          <w:color w:val="0F1115"/>
        </w:rPr>
      </w:pPr>
      <w:bookmarkStart w:id="39" w:name="_Toc217238024"/>
      <w:r w:rsidRPr="0063635E">
        <w:rPr>
          <w:rStyle w:val="Heading2Char"/>
        </w:rPr>
        <w:t>3.3</w:t>
      </w:r>
      <w:r w:rsidR="001367F5" w:rsidRPr="0063635E">
        <w:rPr>
          <w:rStyle w:val="Heading2Char"/>
        </w:rPr>
        <w:t>.3 Implementation Roadmap and Success Metrics</w:t>
      </w:r>
      <w:bookmarkEnd w:id="39"/>
      <w:r w:rsidR="001367F5" w:rsidRPr="001367F5">
        <w:rPr>
          <w:rFonts w:ascii="Arial" w:hAnsi="Arial" w:cs="Arial"/>
          <w:color w:val="0F1115"/>
        </w:rPr>
        <w:br/>
        <w:t>The successful implementation of this plan requires a phased, disciplined approach monitored by clear key performance indicators (KPIs):</w:t>
      </w:r>
    </w:p>
    <w:p w14:paraId="5F1C5840" w14:textId="77777777" w:rsidR="001367F5" w:rsidRPr="001367F5" w:rsidRDefault="001367F5" w:rsidP="00717286">
      <w:pPr>
        <w:pStyle w:val="ds-markdown-paragraph"/>
        <w:numPr>
          <w:ilvl w:val="0"/>
          <w:numId w:val="27"/>
        </w:numPr>
        <w:spacing w:line="360" w:lineRule="auto"/>
        <w:jc w:val="both"/>
        <w:rPr>
          <w:rFonts w:ascii="Arial" w:hAnsi="Arial" w:cs="Arial"/>
          <w:color w:val="0F1115"/>
        </w:rPr>
      </w:pPr>
      <w:r w:rsidRPr="001367F5">
        <w:rPr>
          <w:rFonts w:ascii="Arial" w:hAnsi="Arial" w:cs="Arial"/>
          <w:b/>
          <w:bCs/>
          <w:color w:val="0F1115"/>
        </w:rPr>
        <w:lastRenderedPageBreak/>
        <w:t>Phase 1 (Months 1–6):</w:t>
      </w:r>
      <w:r w:rsidRPr="001367F5">
        <w:rPr>
          <w:rFonts w:ascii="Arial" w:hAnsi="Arial" w:cs="Arial"/>
          <w:color w:val="0F1115"/>
        </w:rPr>
        <w:t> Launch the rights issue and commence the divestiture process for pre-identified non-core assets.</w:t>
      </w:r>
    </w:p>
    <w:p w14:paraId="5D7280C4" w14:textId="77777777" w:rsidR="001367F5" w:rsidRPr="001367F5" w:rsidRDefault="001367F5" w:rsidP="00717286">
      <w:pPr>
        <w:pStyle w:val="ds-markdown-paragraph"/>
        <w:numPr>
          <w:ilvl w:val="0"/>
          <w:numId w:val="27"/>
        </w:numPr>
        <w:spacing w:line="360" w:lineRule="auto"/>
        <w:jc w:val="both"/>
        <w:rPr>
          <w:rFonts w:ascii="Arial" w:hAnsi="Arial" w:cs="Arial"/>
          <w:color w:val="0F1115"/>
        </w:rPr>
      </w:pPr>
      <w:r w:rsidRPr="001367F5">
        <w:rPr>
          <w:rFonts w:ascii="Arial" w:hAnsi="Arial" w:cs="Arial"/>
          <w:b/>
          <w:bCs/>
          <w:color w:val="0F1115"/>
        </w:rPr>
        <w:t>Phase 2 (Months 6–18):</w:t>
      </w:r>
      <w:r w:rsidRPr="001367F5">
        <w:rPr>
          <w:rFonts w:ascii="Arial" w:hAnsi="Arial" w:cs="Arial"/>
          <w:color w:val="0F1115"/>
        </w:rPr>
        <w:t> Apply the divestiture proceeds to debt prepayment and integrate the enhanced liquidity into the working capital reforms outlined in Section 2.0.</w:t>
      </w:r>
    </w:p>
    <w:p w14:paraId="0CC2C02A" w14:textId="77777777" w:rsidR="001367F5" w:rsidRPr="001367F5" w:rsidRDefault="001367F5" w:rsidP="00717286">
      <w:pPr>
        <w:pStyle w:val="ds-markdown-paragraph"/>
        <w:numPr>
          <w:ilvl w:val="0"/>
          <w:numId w:val="27"/>
        </w:numPr>
        <w:spacing w:line="360" w:lineRule="auto"/>
        <w:jc w:val="both"/>
        <w:rPr>
          <w:rFonts w:ascii="Arial" w:hAnsi="Arial" w:cs="Arial"/>
          <w:color w:val="0F1115"/>
        </w:rPr>
      </w:pPr>
      <w:r w:rsidRPr="001367F5">
        <w:rPr>
          <w:rFonts w:ascii="Arial" w:hAnsi="Arial" w:cs="Arial"/>
          <w:b/>
          <w:bCs/>
          <w:color w:val="0F1115"/>
        </w:rPr>
        <w:t>Phase 3 (Ongoing):</w:t>
      </w:r>
      <w:r w:rsidRPr="001367F5">
        <w:rPr>
          <w:rFonts w:ascii="Arial" w:hAnsi="Arial" w:cs="Arial"/>
          <w:color w:val="0F1115"/>
        </w:rPr>
        <w:t> Continuously monitor the efficacy of the restructuring against predefined metrics derived from the pro-forma model. These include sustaining a Debt-to-Equity Ratio below 1.00, achieving a positive Interest Coverage Ratio upon return to operating profitability, and maintaining the strengthened equity buffer to support strategic initiatives.</w:t>
      </w:r>
    </w:p>
    <w:p w14:paraId="2652C062" w14:textId="77777777" w:rsidR="001367F5" w:rsidRPr="00865D48" w:rsidRDefault="001367F5" w:rsidP="0063635E">
      <w:pPr>
        <w:pStyle w:val="Heading2"/>
      </w:pPr>
      <w:bookmarkStart w:id="40" w:name="_Toc217238025"/>
      <w:r w:rsidRPr="00865D48">
        <w:t>Conclusion</w:t>
      </w:r>
      <w:bookmarkEnd w:id="40"/>
    </w:p>
    <w:p w14:paraId="4FAB411F" w14:textId="56555225" w:rsidR="00D740F8" w:rsidRDefault="00D740F8" w:rsidP="00D740F8">
      <w:pPr>
        <w:pStyle w:val="ds-markdown-paragraph"/>
        <w:spacing w:after="0" w:line="360" w:lineRule="auto"/>
        <w:jc w:val="both"/>
        <w:rPr>
          <w:rFonts w:ascii="Arial" w:hAnsi="Arial" w:cs="Arial"/>
          <w:color w:val="0F1115"/>
        </w:rPr>
      </w:pPr>
      <w:r w:rsidRPr="00D740F8">
        <w:rPr>
          <w:rFonts w:ascii="Arial" w:hAnsi="Arial" w:cs="Arial"/>
          <w:color w:val="0F1115"/>
        </w:rPr>
        <w:t xml:space="preserve">A hybrid strategy combining a strategic equity injection and targeted asset divestiture is conclusively demonstrated by pro-forma analysis to offer the most viable path to </w:t>
      </w:r>
      <w:r w:rsidR="00561979" w:rsidRPr="00D740F8">
        <w:rPr>
          <w:rFonts w:ascii="Arial" w:hAnsi="Arial" w:cs="Arial"/>
          <w:color w:val="0F1115"/>
        </w:rPr>
        <w:t>stabil</w:t>
      </w:r>
      <w:r w:rsidR="00561979">
        <w:rPr>
          <w:rFonts w:ascii="Arial" w:hAnsi="Arial" w:cs="Arial"/>
          <w:color w:val="0F1115"/>
        </w:rPr>
        <w:t>ization</w:t>
      </w:r>
      <w:r w:rsidR="005069AA">
        <w:rPr>
          <w:rFonts w:ascii="Arial" w:hAnsi="Arial" w:cs="Arial"/>
          <w:color w:val="0F1115"/>
        </w:rPr>
        <w:t xml:space="preserve"> for General Electronics. </w:t>
      </w:r>
      <w:r w:rsidRPr="00D740F8">
        <w:rPr>
          <w:rFonts w:ascii="Arial" w:hAnsi="Arial" w:cs="Arial"/>
          <w:color w:val="0F1115"/>
        </w:rPr>
        <w:t>This integrated approach directly mitigates the core pathology of excessive leverage, as evidenced by material improvements in key gearing ratios, while constructing a vital equity buffer. Concurrently, it addresses both sides of the distressed balance sheet, reducing solvency risk and restoring strategic optionality to enable the operational turnaround.</w:t>
      </w:r>
    </w:p>
    <w:p w14:paraId="77EE3413" w14:textId="77777777" w:rsidR="0063635E" w:rsidRDefault="00D740F8" w:rsidP="00D740F8">
      <w:pPr>
        <w:pStyle w:val="Heading1"/>
      </w:pPr>
      <w:bookmarkStart w:id="41" w:name="_Toc217238026"/>
      <w:r>
        <w:t xml:space="preserve">4.0 </w:t>
      </w:r>
      <w:r w:rsidR="00AD4654" w:rsidRPr="009E5890">
        <w:t>Investment Appraisal and Capital Budgeting</w:t>
      </w:r>
      <w:bookmarkEnd w:id="41"/>
    </w:p>
    <w:p w14:paraId="0850B9BD" w14:textId="77777777" w:rsidR="0063635E" w:rsidRPr="0063635E" w:rsidRDefault="0063635E" w:rsidP="0063635E"/>
    <w:p w14:paraId="1BF22C74" w14:textId="77777777" w:rsidR="000600A1" w:rsidRDefault="0063635E" w:rsidP="0063635E">
      <w:pPr>
        <w:pStyle w:val="Heading2"/>
      </w:pPr>
      <w:bookmarkStart w:id="42" w:name="_Toc217238027"/>
      <w:r>
        <w:t>Context</w:t>
      </w:r>
      <w:bookmarkEnd w:id="42"/>
    </w:p>
    <w:p w14:paraId="34A018BC" w14:textId="77777777" w:rsidR="0063635E" w:rsidRPr="0063635E" w:rsidRDefault="0063635E" w:rsidP="0063635E"/>
    <w:p w14:paraId="7CE1BFC8" w14:textId="212EC49D" w:rsidR="0063635E" w:rsidRPr="000600A1" w:rsidRDefault="000600A1" w:rsidP="00F60E9B">
      <w:pPr>
        <w:spacing w:line="360" w:lineRule="auto"/>
        <w:jc w:val="both"/>
        <w:rPr>
          <w:rFonts w:ascii="Arial" w:hAnsi="Arial" w:cs="Arial"/>
          <w:sz w:val="24"/>
          <w:szCs w:val="24"/>
        </w:rPr>
      </w:pPr>
      <w:r w:rsidRPr="000600A1">
        <w:rPr>
          <w:rFonts w:ascii="Arial" w:hAnsi="Arial" w:cs="Arial"/>
          <w:sz w:val="24"/>
          <w:szCs w:val="24"/>
        </w:rPr>
        <w:t xml:space="preserve">The financial viability and strategic direction of a firm are critically dependent on its ability to allocate scarce capital to the most value-generating opportunities </w:t>
      </w:r>
      <w:r w:rsidR="00C13441" w:rsidRPr="006A7143">
        <w:rPr>
          <w:rFonts w:ascii="Arial" w:hAnsi="Arial" w:cs="Arial"/>
          <w:noProof/>
          <w:sz w:val="24"/>
          <w:szCs w:val="24"/>
        </w:rPr>
        <w:t>(Keown</w:t>
      </w:r>
      <w:r w:rsidR="00C13441">
        <w:rPr>
          <w:rFonts w:ascii="Arial" w:hAnsi="Arial" w:cs="Arial"/>
          <w:noProof/>
          <w:sz w:val="24"/>
          <w:szCs w:val="24"/>
        </w:rPr>
        <w:t xml:space="preserve"> et. al</w:t>
      </w:r>
      <w:r w:rsidR="00C13441" w:rsidRPr="006A7143">
        <w:rPr>
          <w:rFonts w:ascii="Arial" w:hAnsi="Arial" w:cs="Arial"/>
          <w:noProof/>
          <w:sz w:val="24"/>
          <w:szCs w:val="24"/>
        </w:rPr>
        <w:t>, 2023)</w:t>
      </w:r>
      <w:r w:rsidR="00C13441">
        <w:rPr>
          <w:rFonts w:ascii="Arial" w:hAnsi="Arial" w:cs="Arial"/>
          <w:noProof/>
          <w:sz w:val="24"/>
          <w:szCs w:val="24"/>
        </w:rPr>
        <w:t xml:space="preserve">. </w:t>
      </w:r>
      <w:r w:rsidR="003F6FBE" w:rsidRPr="003F6FBE">
        <w:rPr>
          <w:rFonts w:ascii="Arial" w:hAnsi="Arial" w:cs="Arial"/>
          <w:sz w:val="24"/>
          <w:szCs w:val="24"/>
        </w:rPr>
        <w:t xml:space="preserve">Within the context of General Electronics’ turnaround strategy, a rigorous appraisal of three proposed investment projects (A, B, and C) is conducted, as mandated. Employing established capital budgeting techniques—including PBP, ARR, NPV, IRR, and PI—under a £60 million rationing constraint, an optimal selection is sought to </w:t>
      </w:r>
      <w:r w:rsidR="00561979" w:rsidRPr="003F6FBE">
        <w:rPr>
          <w:rFonts w:ascii="Arial" w:hAnsi="Arial" w:cs="Arial"/>
          <w:sz w:val="24"/>
          <w:szCs w:val="24"/>
        </w:rPr>
        <w:t>stabilize</w:t>
      </w:r>
      <w:r w:rsidR="003F6FBE" w:rsidRPr="003F6FBE">
        <w:rPr>
          <w:rFonts w:ascii="Arial" w:hAnsi="Arial" w:cs="Arial"/>
          <w:sz w:val="24"/>
          <w:szCs w:val="24"/>
        </w:rPr>
        <w:t xml:space="preserve"> the firm’s position and enable sustainable growth</w:t>
      </w:r>
      <w:r w:rsidR="003F6FBE">
        <w:rPr>
          <w:rFonts w:ascii="Arial" w:hAnsi="Arial" w:cs="Arial"/>
          <w:sz w:val="24"/>
          <w:szCs w:val="24"/>
        </w:rPr>
        <w:t xml:space="preserve"> (</w:t>
      </w:r>
      <w:proofErr w:type="spellStart"/>
      <w:r w:rsidR="003F6FBE">
        <w:rPr>
          <w:rFonts w:ascii="Arial" w:hAnsi="Arial" w:cs="Arial"/>
          <w:sz w:val="24"/>
          <w:szCs w:val="24"/>
        </w:rPr>
        <w:t>Keown</w:t>
      </w:r>
      <w:proofErr w:type="spellEnd"/>
      <w:r w:rsidR="003F6FBE">
        <w:rPr>
          <w:rFonts w:ascii="Arial" w:hAnsi="Arial" w:cs="Arial"/>
          <w:sz w:val="24"/>
          <w:szCs w:val="24"/>
        </w:rPr>
        <w:t xml:space="preserve"> et.al,2023).</w:t>
      </w:r>
    </w:p>
    <w:p w14:paraId="7B87538A" w14:textId="77777777" w:rsidR="000600A1" w:rsidRPr="00AE3F91" w:rsidRDefault="000600A1" w:rsidP="0063635E">
      <w:pPr>
        <w:pStyle w:val="Heading2"/>
        <w:rPr>
          <w:rFonts w:eastAsia="Times New Roman"/>
        </w:rPr>
      </w:pPr>
      <w:bookmarkStart w:id="43" w:name="_Toc217214286"/>
      <w:bookmarkStart w:id="44" w:name="_Toc217214550"/>
      <w:bookmarkStart w:id="45" w:name="_Toc217238028"/>
      <w:r w:rsidRPr="0014659C">
        <w:rPr>
          <w:rFonts w:eastAsia="Times New Roman"/>
        </w:rPr>
        <w:lastRenderedPageBreak/>
        <w:t>4.1 Methodology and Key Assumptions</w:t>
      </w:r>
      <w:bookmarkEnd w:id="43"/>
      <w:bookmarkEnd w:id="44"/>
      <w:bookmarkEnd w:id="45"/>
    </w:p>
    <w:p w14:paraId="119CC6F4" w14:textId="77777777" w:rsidR="000600A1" w:rsidRPr="00AE3F91" w:rsidRDefault="000600A1" w:rsidP="00717286">
      <w:pPr>
        <w:shd w:val="clear" w:color="auto" w:fill="FFFFFF"/>
        <w:spacing w:before="240" w:after="240" w:line="360" w:lineRule="auto"/>
        <w:jc w:val="both"/>
        <w:rPr>
          <w:rFonts w:ascii="Arial" w:eastAsia="Times New Roman" w:hAnsi="Arial" w:cs="Arial"/>
          <w:color w:val="0F1115"/>
          <w:sz w:val="24"/>
          <w:szCs w:val="24"/>
        </w:rPr>
      </w:pPr>
      <w:r w:rsidRPr="00AE3F91">
        <w:rPr>
          <w:rFonts w:ascii="Arial" w:eastAsia="Times New Roman" w:hAnsi="Arial" w:cs="Arial"/>
          <w:color w:val="0F1115"/>
          <w:sz w:val="24"/>
          <w:szCs w:val="24"/>
        </w:rPr>
        <w:t>The appraisal is conducted under the following parameters, consistent with corporate finance theory and the specifics of the case (</w:t>
      </w:r>
      <w:proofErr w:type="spellStart"/>
      <w:r w:rsidRPr="00AE3F91">
        <w:rPr>
          <w:rFonts w:ascii="Arial" w:eastAsia="Times New Roman" w:hAnsi="Arial" w:cs="Arial"/>
          <w:color w:val="0F1115"/>
          <w:sz w:val="24"/>
          <w:szCs w:val="24"/>
        </w:rPr>
        <w:t>Berk</w:t>
      </w:r>
      <w:proofErr w:type="spellEnd"/>
      <w:r w:rsidRPr="00AE3F91">
        <w:rPr>
          <w:rFonts w:ascii="Arial" w:eastAsia="Times New Roman" w:hAnsi="Arial" w:cs="Arial"/>
          <w:color w:val="0F1115"/>
          <w:sz w:val="24"/>
          <w:szCs w:val="24"/>
        </w:rPr>
        <w:t xml:space="preserve"> &amp; </w:t>
      </w:r>
      <w:proofErr w:type="spellStart"/>
      <w:r w:rsidRPr="00AE3F91">
        <w:rPr>
          <w:rFonts w:ascii="Arial" w:eastAsia="Times New Roman" w:hAnsi="Arial" w:cs="Arial"/>
          <w:color w:val="0F1115"/>
          <w:sz w:val="24"/>
          <w:szCs w:val="24"/>
        </w:rPr>
        <w:t>DeMarzo</w:t>
      </w:r>
      <w:proofErr w:type="spellEnd"/>
      <w:r w:rsidRPr="00AE3F91">
        <w:rPr>
          <w:rFonts w:ascii="Arial" w:eastAsia="Times New Roman" w:hAnsi="Arial" w:cs="Arial"/>
          <w:color w:val="0F1115"/>
          <w:sz w:val="24"/>
          <w:szCs w:val="24"/>
        </w:rPr>
        <w:t xml:space="preserve">, 2020). </w:t>
      </w:r>
      <w:r w:rsidR="003F6FBE" w:rsidRPr="003F6FBE">
        <w:rPr>
          <w:rFonts w:ascii="Arial" w:eastAsia="Times New Roman" w:hAnsi="Arial" w:cs="Arial"/>
          <w:color w:val="0F1115"/>
          <w:sz w:val="24"/>
          <w:szCs w:val="24"/>
        </w:rPr>
        <w:t>A discount rate of 10%, reflecting the firm’s estimated WACC, is used. A five-year project life with no salvage value and straight-line depreciation is assumed. A capital rationing constraint of £60 million is imposed, with detailed calc</w:t>
      </w:r>
      <w:r w:rsidR="003F6FBE">
        <w:rPr>
          <w:rFonts w:ascii="Arial" w:eastAsia="Times New Roman" w:hAnsi="Arial" w:cs="Arial"/>
          <w:color w:val="0F1115"/>
          <w:sz w:val="24"/>
          <w:szCs w:val="24"/>
        </w:rPr>
        <w:t>ulations provided in Appendix D</w:t>
      </w:r>
      <w:r w:rsidRPr="00AE3F91">
        <w:rPr>
          <w:rFonts w:ascii="Arial" w:eastAsia="Times New Roman" w:hAnsi="Arial" w:cs="Arial"/>
          <w:color w:val="0F1115"/>
          <w:sz w:val="24"/>
          <w:szCs w:val="24"/>
        </w:rPr>
        <w:t>.</w:t>
      </w:r>
    </w:p>
    <w:p w14:paraId="46892ED2" w14:textId="77777777" w:rsidR="002B3E36" w:rsidRPr="0014659C" w:rsidRDefault="002B3E36" w:rsidP="0063635E">
      <w:pPr>
        <w:pStyle w:val="Heading2"/>
      </w:pPr>
      <w:bookmarkStart w:id="46" w:name="_Toc217238029"/>
      <w:r w:rsidRPr="0014659C">
        <w:t>4.2 Comparative Appraisal of Investment Projects</w:t>
      </w:r>
      <w:bookmarkEnd w:id="46"/>
    </w:p>
    <w:p w14:paraId="17D60043" w14:textId="77777777" w:rsidR="002B3E36" w:rsidRDefault="002B3E36" w:rsidP="0063635E">
      <w:pPr>
        <w:pStyle w:val="Heading2"/>
      </w:pPr>
      <w:bookmarkStart w:id="47" w:name="_Toc217238030"/>
      <w:r w:rsidRPr="0014659C">
        <w:t>4.2.1 Payback Period (PBP) and Liquidity Assessment</w:t>
      </w:r>
      <w:bookmarkEnd w:id="47"/>
    </w:p>
    <w:p w14:paraId="07D4D93E" w14:textId="77777777" w:rsidR="0063635E" w:rsidRPr="0063635E" w:rsidRDefault="0063635E" w:rsidP="0063635E"/>
    <w:p w14:paraId="0B9EDD45" w14:textId="2470EF07" w:rsidR="002B3E36" w:rsidRPr="0014659C" w:rsidRDefault="002B3E36" w:rsidP="0014659C">
      <w:pPr>
        <w:spacing w:line="360" w:lineRule="auto"/>
        <w:jc w:val="both"/>
        <w:rPr>
          <w:rFonts w:ascii="Arial" w:hAnsi="Arial" w:cs="Arial"/>
          <w:sz w:val="24"/>
          <w:szCs w:val="24"/>
        </w:rPr>
      </w:pPr>
      <w:r w:rsidRPr="0014659C">
        <w:rPr>
          <w:rFonts w:ascii="Arial" w:hAnsi="Arial" w:cs="Arial"/>
          <w:sz w:val="24"/>
          <w:szCs w:val="24"/>
        </w:rPr>
        <w:t>The Payback Period is first employed to evaluate the liquidity risk associated with each project by measuring the time required to recoup the initial cash outlay. As shown in Table D1 (Appendix D), the PBP calculations yield distinct results. Project A demonstrates the shortest recovery period of 3.4 years, followed closely by Project C at 3.6 years. Project B, with constant annual inflows of £6 million against a £30 million investment, requires the full five-year term for payback. From a purely liquidity-focused perspective, Projects A and C are preferable, as they return invested capital more swiftly, thereby reducing exposure to long-term uncertainty; a significant consideration for a fir</w:t>
      </w:r>
      <w:r w:rsidR="006A7143">
        <w:rPr>
          <w:rFonts w:ascii="Arial" w:hAnsi="Arial" w:cs="Arial"/>
          <w:sz w:val="24"/>
          <w:szCs w:val="24"/>
        </w:rPr>
        <w:t xml:space="preserve">m experiencing cash flow strain </w:t>
      </w:r>
      <w:r w:rsidR="006A7143" w:rsidRPr="006A7143">
        <w:rPr>
          <w:rFonts w:ascii="Arial" w:hAnsi="Arial" w:cs="Arial"/>
          <w:noProof/>
          <w:sz w:val="24"/>
          <w:szCs w:val="24"/>
        </w:rPr>
        <w:t>(Atrill</w:t>
      </w:r>
      <w:r w:rsidR="006A7143">
        <w:rPr>
          <w:rFonts w:ascii="Arial" w:hAnsi="Arial" w:cs="Arial"/>
          <w:noProof/>
          <w:sz w:val="24"/>
          <w:szCs w:val="24"/>
        </w:rPr>
        <w:t xml:space="preserve"> &amp; McLaney</w:t>
      </w:r>
      <w:r w:rsidR="006A7143" w:rsidRPr="006A7143">
        <w:rPr>
          <w:rFonts w:ascii="Arial" w:hAnsi="Arial" w:cs="Arial"/>
          <w:noProof/>
          <w:sz w:val="24"/>
          <w:szCs w:val="24"/>
        </w:rPr>
        <w:t>, 2017)</w:t>
      </w:r>
      <w:r w:rsidR="006A7143">
        <w:rPr>
          <w:rFonts w:ascii="Arial" w:hAnsi="Arial" w:cs="Arial"/>
          <w:sz w:val="24"/>
          <w:szCs w:val="24"/>
        </w:rPr>
        <w:t xml:space="preserve">. </w:t>
      </w:r>
      <w:r w:rsidR="006D7995">
        <w:rPr>
          <w:rFonts w:ascii="Arial" w:hAnsi="Arial" w:cs="Arial"/>
          <w:sz w:val="24"/>
          <w:szCs w:val="24"/>
        </w:rPr>
        <w:t>However, it is recogniz</w:t>
      </w:r>
      <w:r w:rsidRPr="0014659C">
        <w:rPr>
          <w:rFonts w:ascii="Arial" w:hAnsi="Arial" w:cs="Arial"/>
          <w:sz w:val="24"/>
          <w:szCs w:val="24"/>
        </w:rPr>
        <w:t xml:space="preserve">ed that PBP is a limited tool, </w:t>
      </w:r>
      <w:r w:rsidR="00795815" w:rsidRPr="0014659C">
        <w:rPr>
          <w:rFonts w:ascii="Arial" w:hAnsi="Arial" w:cs="Arial"/>
          <w:sz w:val="24"/>
          <w:szCs w:val="24"/>
        </w:rPr>
        <w:t>criticized</w:t>
      </w:r>
      <w:r w:rsidRPr="0014659C">
        <w:rPr>
          <w:rFonts w:ascii="Arial" w:hAnsi="Arial" w:cs="Arial"/>
          <w:sz w:val="24"/>
          <w:szCs w:val="24"/>
        </w:rPr>
        <w:t xml:space="preserve"> for ignoring the time value of money and cash flows beyond the payback horizon.</w:t>
      </w:r>
    </w:p>
    <w:p w14:paraId="689B46F4" w14:textId="77777777" w:rsidR="002B3E36" w:rsidRDefault="002B3E36" w:rsidP="0063635E">
      <w:pPr>
        <w:pStyle w:val="Heading2"/>
      </w:pPr>
      <w:bookmarkStart w:id="48" w:name="_Toc217238031"/>
      <w:r w:rsidRPr="0014659C">
        <w:t>4.2.2 Accounting Rate of Return (ARR) and Profitability</w:t>
      </w:r>
      <w:bookmarkEnd w:id="48"/>
    </w:p>
    <w:p w14:paraId="27FDE2E5" w14:textId="77777777" w:rsidR="0063635E" w:rsidRPr="0063635E" w:rsidRDefault="0063635E" w:rsidP="0063635E"/>
    <w:p w14:paraId="51F64661" w14:textId="2B342807" w:rsidR="006A7143" w:rsidRDefault="002B3E36" w:rsidP="00717286">
      <w:pPr>
        <w:spacing w:line="360" w:lineRule="auto"/>
        <w:jc w:val="both"/>
        <w:rPr>
          <w:rFonts w:ascii="Arial" w:hAnsi="Arial" w:cs="Arial"/>
          <w:sz w:val="24"/>
          <w:szCs w:val="24"/>
        </w:rPr>
      </w:pPr>
      <w:r w:rsidRPr="0014659C">
        <w:rPr>
          <w:rFonts w:ascii="Arial" w:hAnsi="Arial" w:cs="Arial"/>
          <w:sz w:val="24"/>
          <w:szCs w:val="24"/>
        </w:rPr>
        <w:t xml:space="preserve">The Accounting Rate of Return provides an accounting-based perspective on profitability by comparing average annual accounting profit to the average capital invested. The calculations, </w:t>
      </w:r>
      <w:r w:rsidR="00561979" w:rsidRPr="0014659C">
        <w:rPr>
          <w:rFonts w:ascii="Arial" w:hAnsi="Arial" w:cs="Arial"/>
          <w:sz w:val="24"/>
          <w:szCs w:val="24"/>
        </w:rPr>
        <w:t>summarized</w:t>
      </w:r>
      <w:r w:rsidRPr="0014659C">
        <w:rPr>
          <w:rFonts w:ascii="Arial" w:hAnsi="Arial" w:cs="Arial"/>
          <w:sz w:val="24"/>
          <w:szCs w:val="24"/>
        </w:rPr>
        <w:t xml:space="preserve"> in Table D2, reveal Project A with the highest ARR at 14.0%, followed by Project C at 12.0%. Project B returns an ARR of 0.0%, as the total undiscounted cash inflows equal the initial investment, resulting in no accounting profit after depreciation. While ARR offers a familiar percentage return that can be benchmarked against existing corporate performance, its fundamental flaws are </w:t>
      </w:r>
      <w:r w:rsidRPr="0014659C">
        <w:rPr>
          <w:rFonts w:ascii="Arial" w:hAnsi="Arial" w:cs="Arial"/>
          <w:sz w:val="24"/>
          <w:szCs w:val="24"/>
        </w:rPr>
        <w:lastRenderedPageBreak/>
        <w:t>acknowledged: it is based on accounting profit rather than cash flow, ignores the timing of returns, and can be manipulated through depreciation policie</w:t>
      </w:r>
      <w:r w:rsidR="006A7143">
        <w:rPr>
          <w:rFonts w:ascii="Arial" w:hAnsi="Arial" w:cs="Arial"/>
          <w:sz w:val="24"/>
          <w:szCs w:val="24"/>
        </w:rPr>
        <w:t xml:space="preserve">s </w:t>
      </w:r>
      <w:r w:rsidR="006A7143" w:rsidRPr="006A7143">
        <w:rPr>
          <w:rFonts w:ascii="Arial" w:hAnsi="Arial" w:cs="Arial"/>
          <w:noProof/>
          <w:sz w:val="24"/>
          <w:szCs w:val="24"/>
        </w:rPr>
        <w:t>(Atrill</w:t>
      </w:r>
      <w:r w:rsidR="006A7143">
        <w:rPr>
          <w:rFonts w:ascii="Arial" w:hAnsi="Arial" w:cs="Arial"/>
          <w:noProof/>
          <w:sz w:val="24"/>
          <w:szCs w:val="24"/>
        </w:rPr>
        <w:t xml:space="preserve"> &amp; McLaney</w:t>
      </w:r>
      <w:r w:rsidR="006A7143" w:rsidRPr="006A7143">
        <w:rPr>
          <w:rFonts w:ascii="Arial" w:hAnsi="Arial" w:cs="Arial"/>
          <w:noProof/>
          <w:sz w:val="24"/>
          <w:szCs w:val="24"/>
        </w:rPr>
        <w:t>, 2017)</w:t>
      </w:r>
      <w:r w:rsidR="006A7143">
        <w:rPr>
          <w:rFonts w:ascii="Arial" w:hAnsi="Arial" w:cs="Arial"/>
          <w:sz w:val="24"/>
          <w:szCs w:val="24"/>
        </w:rPr>
        <w:t>.</w:t>
      </w:r>
    </w:p>
    <w:p w14:paraId="6FF6D33F" w14:textId="77777777" w:rsidR="002B3E36" w:rsidRDefault="002B3E36" w:rsidP="00717286">
      <w:pPr>
        <w:spacing w:line="360" w:lineRule="auto"/>
        <w:jc w:val="both"/>
        <w:rPr>
          <w:rFonts w:ascii="Arial" w:hAnsi="Arial" w:cs="Arial"/>
          <w:sz w:val="24"/>
          <w:szCs w:val="24"/>
        </w:rPr>
      </w:pPr>
      <w:r w:rsidRPr="0014659C">
        <w:rPr>
          <w:rFonts w:ascii="Arial" w:hAnsi="Arial" w:cs="Arial"/>
          <w:sz w:val="24"/>
          <w:szCs w:val="24"/>
        </w:rPr>
        <w:t>Consequently, while Project A ranks highest on this metric, its results are treated with caution and weighed against discounted cash flow methods.</w:t>
      </w:r>
    </w:p>
    <w:p w14:paraId="6B131A2F" w14:textId="77777777" w:rsidR="00A20C8C" w:rsidRPr="0014659C" w:rsidRDefault="00A20C8C" w:rsidP="00717286">
      <w:pPr>
        <w:spacing w:line="360" w:lineRule="auto"/>
        <w:jc w:val="both"/>
        <w:rPr>
          <w:rFonts w:ascii="Arial" w:hAnsi="Arial" w:cs="Arial"/>
          <w:sz w:val="24"/>
          <w:szCs w:val="24"/>
        </w:rPr>
      </w:pPr>
    </w:p>
    <w:p w14:paraId="56E0787B" w14:textId="77777777" w:rsidR="002B3E36" w:rsidRDefault="002B3E36" w:rsidP="0063635E">
      <w:pPr>
        <w:pStyle w:val="Heading2"/>
      </w:pPr>
      <w:bookmarkStart w:id="49" w:name="_Toc217238032"/>
      <w:r w:rsidRPr="0014659C">
        <w:t>4.2.3 Net Present Value (NPV) and Value Creation</w:t>
      </w:r>
      <w:bookmarkEnd w:id="49"/>
    </w:p>
    <w:p w14:paraId="7C7AE6D0" w14:textId="77777777" w:rsidR="0063635E" w:rsidRPr="0063635E" w:rsidRDefault="0063635E" w:rsidP="0063635E"/>
    <w:p w14:paraId="11F5BB7E" w14:textId="77777777" w:rsidR="002B3E36" w:rsidRPr="0014659C" w:rsidRDefault="002B3E36" w:rsidP="0014659C">
      <w:pPr>
        <w:spacing w:line="360" w:lineRule="auto"/>
        <w:jc w:val="both"/>
        <w:rPr>
          <w:rFonts w:ascii="Arial" w:hAnsi="Arial" w:cs="Arial"/>
          <w:sz w:val="24"/>
          <w:szCs w:val="24"/>
        </w:rPr>
      </w:pPr>
      <w:r w:rsidRPr="0014659C">
        <w:rPr>
          <w:rFonts w:ascii="Arial" w:hAnsi="Arial" w:cs="Arial"/>
          <w:sz w:val="24"/>
          <w:szCs w:val="24"/>
        </w:rPr>
        <w:t>Net Present Value represents the primary discounted cash flow (DCF) criterion and is considered the most theoretically sound measure for investment appraisal, as it directly quantifies the absolute economic value added to the firm in present value terms</w:t>
      </w:r>
      <w:r w:rsidR="006A7143">
        <w:rPr>
          <w:rFonts w:ascii="Arial" w:hAnsi="Arial" w:cs="Arial"/>
          <w:noProof/>
          <w:sz w:val="24"/>
          <w:szCs w:val="24"/>
        </w:rPr>
        <w:t xml:space="preserve"> </w:t>
      </w:r>
      <w:r w:rsidR="006D7995">
        <w:rPr>
          <w:rFonts w:ascii="Arial" w:eastAsia="Times New Roman" w:hAnsi="Arial" w:cs="Arial"/>
          <w:noProof/>
          <w:color w:val="0F1115"/>
          <w:sz w:val="24"/>
          <w:szCs w:val="24"/>
        </w:rPr>
        <w:t xml:space="preserve">(Berk et.al, </w:t>
      </w:r>
      <w:r w:rsidR="006D7995" w:rsidRPr="006D7995">
        <w:rPr>
          <w:rFonts w:ascii="Arial" w:eastAsia="Times New Roman" w:hAnsi="Arial" w:cs="Arial"/>
          <w:noProof/>
          <w:color w:val="0F1115"/>
          <w:sz w:val="24"/>
          <w:szCs w:val="24"/>
        </w:rPr>
        <w:t>2020)</w:t>
      </w:r>
      <w:r w:rsidR="006A7143" w:rsidRPr="00AE3F91">
        <w:rPr>
          <w:rFonts w:ascii="Arial" w:eastAsia="Times New Roman" w:hAnsi="Arial" w:cs="Arial"/>
          <w:color w:val="0F1115"/>
          <w:sz w:val="24"/>
          <w:szCs w:val="24"/>
        </w:rPr>
        <w:t xml:space="preserve">. </w:t>
      </w:r>
      <w:r w:rsidRPr="0014659C">
        <w:rPr>
          <w:rFonts w:ascii="Arial" w:hAnsi="Arial" w:cs="Arial"/>
          <w:sz w:val="24"/>
          <w:szCs w:val="24"/>
        </w:rPr>
        <w:t xml:space="preserve"> The NPV calculations, detailed in Table D3, present a clear hierarchy. Project C generates a substantial positive NPV of £21.28 million, indicating significant wealth creation for shareholders. Project A yields a modestly positive NPV of £1.92 million. In stark contrast, Project B has a negative NPV of -£0.21 million, signifying that, at the firm’s 10% cost of capital, this project would destroy shareholder value. According to the fundamental NPV rule, any project with a negative NPV should be rejected. Therefore, based on this paramount criterion, Project B is deemed financially non-viable and is eliminated from further consideration for standalone investment.</w:t>
      </w:r>
    </w:p>
    <w:p w14:paraId="1B26830E" w14:textId="77777777" w:rsidR="002B3E36" w:rsidRDefault="002B3E36" w:rsidP="0063635E">
      <w:pPr>
        <w:pStyle w:val="Heading2"/>
      </w:pPr>
      <w:bookmarkStart w:id="50" w:name="_Toc217238033"/>
      <w:r w:rsidRPr="0014659C">
        <w:t>4.2.4 Internal Rate of Return (IRR) and Project Yield</w:t>
      </w:r>
      <w:bookmarkEnd w:id="50"/>
    </w:p>
    <w:p w14:paraId="2F7E5EFE" w14:textId="77777777" w:rsidR="006D7995" w:rsidRDefault="006D7995" w:rsidP="0014659C">
      <w:pPr>
        <w:spacing w:line="360" w:lineRule="auto"/>
        <w:jc w:val="both"/>
      </w:pPr>
    </w:p>
    <w:p w14:paraId="1E0F04E0" w14:textId="77777777" w:rsidR="006A7143" w:rsidRDefault="006D7995" w:rsidP="0014659C">
      <w:pPr>
        <w:spacing w:line="360" w:lineRule="auto"/>
        <w:jc w:val="both"/>
        <w:rPr>
          <w:rFonts w:ascii="Arial" w:hAnsi="Arial" w:cs="Arial"/>
          <w:sz w:val="24"/>
          <w:szCs w:val="24"/>
        </w:rPr>
      </w:pPr>
      <w:r w:rsidRPr="006D7995">
        <w:rPr>
          <w:rFonts w:ascii="Arial" w:hAnsi="Arial" w:cs="Arial"/>
          <w:sz w:val="24"/>
          <w:szCs w:val="24"/>
        </w:rPr>
        <w:t xml:space="preserve">The Internal Rate of Return (IRR), defined as the discount rate yielding a Net Present Value of zero, provides a percentage measure of project yield </w:t>
      </w:r>
      <w:r w:rsidRPr="006D7995">
        <w:rPr>
          <w:rFonts w:ascii="Arial" w:hAnsi="Arial" w:cs="Arial"/>
          <w:noProof/>
          <w:sz w:val="24"/>
          <w:szCs w:val="24"/>
        </w:rPr>
        <w:t>(Berk</w:t>
      </w:r>
      <w:r>
        <w:rPr>
          <w:rFonts w:ascii="Arial" w:hAnsi="Arial" w:cs="Arial"/>
          <w:noProof/>
          <w:sz w:val="24"/>
          <w:szCs w:val="24"/>
        </w:rPr>
        <w:t xml:space="preserve"> et.al</w:t>
      </w:r>
      <w:r w:rsidRPr="006D7995">
        <w:rPr>
          <w:rFonts w:ascii="Arial" w:hAnsi="Arial" w:cs="Arial"/>
          <w:noProof/>
          <w:sz w:val="24"/>
          <w:szCs w:val="24"/>
        </w:rPr>
        <w:t>, 2020)</w:t>
      </w:r>
      <w:r>
        <w:rPr>
          <w:rFonts w:ascii="Arial" w:hAnsi="Arial" w:cs="Arial"/>
          <w:sz w:val="24"/>
          <w:szCs w:val="24"/>
        </w:rPr>
        <w:t xml:space="preserve">. </w:t>
      </w:r>
      <w:r w:rsidRPr="006D7995">
        <w:rPr>
          <w:rFonts w:ascii="Arial" w:hAnsi="Arial" w:cs="Arial"/>
          <w:sz w:val="24"/>
          <w:szCs w:val="24"/>
        </w:rPr>
        <w:t>Using the trial-and-error and interpolation method, IRRs of 12.75%, 11.33%, and 0.00% were calculated for Projects C, A, and B, respectively (Appendix D, Table D3). Given a 10% hurdle rate, Projects A and C are deemed acceptable, with Project C offering a superior margin of safety, while Project B is rejected. It is noted that the IRR metric can be problematic with non-conventional cash flows and may conflict with NPV rankings</w:t>
      </w:r>
      <w:r>
        <w:rPr>
          <w:rFonts w:ascii="Arial" w:hAnsi="Arial" w:cs="Arial"/>
          <w:sz w:val="24"/>
          <w:szCs w:val="24"/>
        </w:rPr>
        <w:t xml:space="preserve"> </w:t>
      </w:r>
      <w:r w:rsidR="006A7143" w:rsidRPr="006A7143">
        <w:rPr>
          <w:rFonts w:ascii="Arial" w:hAnsi="Arial" w:cs="Arial"/>
          <w:noProof/>
          <w:sz w:val="24"/>
          <w:szCs w:val="24"/>
        </w:rPr>
        <w:t>(Keown</w:t>
      </w:r>
      <w:r w:rsidR="006A7143">
        <w:rPr>
          <w:rFonts w:ascii="Arial" w:hAnsi="Arial" w:cs="Arial"/>
          <w:noProof/>
          <w:sz w:val="24"/>
          <w:szCs w:val="24"/>
        </w:rPr>
        <w:t xml:space="preserve"> et. al</w:t>
      </w:r>
      <w:r w:rsidR="006A7143" w:rsidRPr="006A7143">
        <w:rPr>
          <w:rFonts w:ascii="Arial" w:hAnsi="Arial" w:cs="Arial"/>
          <w:noProof/>
          <w:sz w:val="24"/>
          <w:szCs w:val="24"/>
        </w:rPr>
        <w:t>, 2023)</w:t>
      </w:r>
      <w:r w:rsidR="00C13441">
        <w:rPr>
          <w:rFonts w:ascii="Arial" w:hAnsi="Arial" w:cs="Arial"/>
          <w:noProof/>
          <w:sz w:val="24"/>
          <w:szCs w:val="24"/>
        </w:rPr>
        <w:t>.</w:t>
      </w:r>
    </w:p>
    <w:p w14:paraId="413ACD9B" w14:textId="77777777" w:rsidR="002B3E36" w:rsidRDefault="002B3E36" w:rsidP="0063635E">
      <w:pPr>
        <w:pStyle w:val="Heading2"/>
      </w:pPr>
      <w:bookmarkStart w:id="51" w:name="_Toc217238034"/>
      <w:r w:rsidRPr="0014659C">
        <w:lastRenderedPageBreak/>
        <w:t>4.2.5 Profitability Index (PI) and Capital Efficiency</w:t>
      </w:r>
      <w:bookmarkEnd w:id="51"/>
    </w:p>
    <w:p w14:paraId="07EE910C" w14:textId="77777777" w:rsidR="0063635E" w:rsidRPr="0063635E" w:rsidRDefault="0063635E" w:rsidP="0063635E"/>
    <w:p w14:paraId="663F35C0" w14:textId="77777777" w:rsidR="002B3E36" w:rsidRPr="0014659C" w:rsidRDefault="002B3E36" w:rsidP="0014659C">
      <w:pPr>
        <w:spacing w:line="360" w:lineRule="auto"/>
        <w:jc w:val="both"/>
        <w:rPr>
          <w:rFonts w:ascii="Arial" w:hAnsi="Arial" w:cs="Arial"/>
          <w:sz w:val="24"/>
          <w:szCs w:val="24"/>
        </w:rPr>
      </w:pPr>
      <w:r w:rsidRPr="0014659C">
        <w:rPr>
          <w:rFonts w:ascii="Arial" w:hAnsi="Arial" w:cs="Arial"/>
          <w:sz w:val="24"/>
          <w:szCs w:val="24"/>
        </w:rPr>
        <w:t xml:space="preserve">Under conditions of capital constraint, the Profitability Index becomes particularly salient, as it measures the present value created per unit of capital invested. The PI is defined as the ratio of the present value of future cash inflows to the initial investment (see Table D4, Appendix D). The calculations yield a PI of 1.085 for Project C, 1.033 for Project A, and 0.758 for Project B. A PI greater than 1.0 indicates value creation, consistent with a positive NPV. Consequently, Projects A and C are acceptable, while Project B is not. Crucially, Project C’s higher PI (1.085 versus 1.033) indicates it is the more efficient use of capital, generating £1.085 in present value for every £1.00 invested. This metric is vital for </w:t>
      </w:r>
      <w:proofErr w:type="spellStart"/>
      <w:r w:rsidRPr="0014659C">
        <w:rPr>
          <w:rFonts w:ascii="Arial" w:hAnsi="Arial" w:cs="Arial"/>
          <w:sz w:val="24"/>
          <w:szCs w:val="24"/>
        </w:rPr>
        <w:t>optimising</w:t>
      </w:r>
      <w:proofErr w:type="spellEnd"/>
      <w:r w:rsidRPr="0014659C">
        <w:rPr>
          <w:rFonts w:ascii="Arial" w:hAnsi="Arial" w:cs="Arial"/>
          <w:sz w:val="24"/>
          <w:szCs w:val="24"/>
        </w:rPr>
        <w:t xml:space="preserve"> value creation under the binding £60 million capital budget.</w:t>
      </w:r>
    </w:p>
    <w:p w14:paraId="21FDF007" w14:textId="77777777" w:rsidR="002B3E36" w:rsidRDefault="002B3E36" w:rsidP="001D5163">
      <w:pPr>
        <w:pStyle w:val="Heading2"/>
      </w:pPr>
      <w:bookmarkStart w:id="52" w:name="_Toc217238035"/>
      <w:r w:rsidRPr="0014659C">
        <w:t>4.3 Synthesis of Appraisal Results and Project Ranking</w:t>
      </w:r>
      <w:bookmarkEnd w:id="52"/>
    </w:p>
    <w:p w14:paraId="25EDF7E3" w14:textId="77777777" w:rsidR="001D5163" w:rsidRPr="001D5163" w:rsidRDefault="001D5163" w:rsidP="001D5163"/>
    <w:p w14:paraId="354B93E9" w14:textId="41384045" w:rsidR="005069AA" w:rsidRDefault="005069AA" w:rsidP="0014659C">
      <w:pPr>
        <w:spacing w:line="360" w:lineRule="auto"/>
        <w:jc w:val="both"/>
        <w:rPr>
          <w:rFonts w:ascii="Arial" w:hAnsi="Arial" w:cs="Arial"/>
          <w:sz w:val="24"/>
          <w:szCs w:val="24"/>
        </w:rPr>
      </w:pPr>
      <w:r w:rsidRPr="005069AA">
        <w:rPr>
          <w:rFonts w:ascii="Arial" w:hAnsi="Arial" w:cs="Arial"/>
          <w:sz w:val="24"/>
          <w:szCs w:val="24"/>
        </w:rPr>
        <w:t xml:space="preserve">A consistent narrative is revealed through a synthesis of five appraisal techniques. Across the principal discounted cash flow (DCF) metrics—Net Present Value (NPV) of £21.28 million, Internal Rate of Return (IRR) of 12.75%, and Profitability Index (PI) of 1.085—Project C is ranked first, followed by Project A (NPV: £1.92 million; IRR: 11.33%; PI: 1.033), with Project B consistently deemed unacceptable. In contrast, non-DCF metrics present a more nuanced outcome, with Project A ranking first on Payback Period (3.4 years) and Accounting Rate of Return (14.0%). The divergence underscores the critical importance of </w:t>
      </w:r>
      <w:r w:rsidR="00561979" w:rsidRPr="005069AA">
        <w:rPr>
          <w:rFonts w:ascii="Arial" w:hAnsi="Arial" w:cs="Arial"/>
          <w:sz w:val="24"/>
          <w:szCs w:val="24"/>
        </w:rPr>
        <w:t>prioritizing</w:t>
      </w:r>
      <w:r w:rsidRPr="005069AA">
        <w:rPr>
          <w:rFonts w:ascii="Arial" w:hAnsi="Arial" w:cs="Arial"/>
          <w:sz w:val="24"/>
          <w:szCs w:val="24"/>
        </w:rPr>
        <w:t xml:space="preserve"> time-value-adjusted measures in formal capital budgeting, establishing Project C's dominance in absolute value creation, investment yield, and capital efficiency</w:t>
      </w:r>
      <w:r>
        <w:rPr>
          <w:rFonts w:ascii="Arial" w:hAnsi="Arial" w:cs="Arial"/>
          <w:noProof/>
          <w:sz w:val="24"/>
          <w:szCs w:val="24"/>
        </w:rPr>
        <w:t xml:space="preserve"> </w:t>
      </w:r>
      <w:r w:rsidRPr="005069AA">
        <w:rPr>
          <w:rFonts w:ascii="Arial" w:hAnsi="Arial" w:cs="Arial"/>
          <w:noProof/>
          <w:sz w:val="24"/>
          <w:szCs w:val="24"/>
        </w:rPr>
        <w:t>(Berk</w:t>
      </w:r>
      <w:r>
        <w:rPr>
          <w:rFonts w:ascii="Arial" w:hAnsi="Arial" w:cs="Arial"/>
          <w:noProof/>
          <w:sz w:val="24"/>
          <w:szCs w:val="24"/>
        </w:rPr>
        <w:t xml:space="preserve"> et. al</w:t>
      </w:r>
      <w:r w:rsidRPr="005069AA">
        <w:rPr>
          <w:rFonts w:ascii="Arial" w:hAnsi="Arial" w:cs="Arial"/>
          <w:noProof/>
          <w:sz w:val="24"/>
          <w:szCs w:val="24"/>
        </w:rPr>
        <w:t>, 2020)</w:t>
      </w:r>
      <w:r>
        <w:rPr>
          <w:rFonts w:ascii="Arial" w:hAnsi="Arial" w:cs="Arial"/>
          <w:sz w:val="24"/>
          <w:szCs w:val="24"/>
        </w:rPr>
        <w:t>.</w:t>
      </w:r>
    </w:p>
    <w:p w14:paraId="2F762052" w14:textId="77777777" w:rsidR="002B3E36" w:rsidRDefault="002B3E36" w:rsidP="001D5163">
      <w:pPr>
        <w:pStyle w:val="Heading2"/>
      </w:pPr>
      <w:bookmarkStart w:id="53" w:name="_Toc217238036"/>
      <w:r w:rsidRPr="0014659C">
        <w:t>4.4 Capital Rationing and Optimal Project Selection</w:t>
      </w:r>
      <w:bookmarkEnd w:id="53"/>
    </w:p>
    <w:p w14:paraId="61C2B8FD" w14:textId="77777777" w:rsidR="001D5163" w:rsidRPr="001D5163" w:rsidRDefault="001D5163" w:rsidP="001D5163"/>
    <w:p w14:paraId="063F9B87" w14:textId="6062A33C" w:rsidR="0014659C" w:rsidRDefault="002B3E36" w:rsidP="0014659C">
      <w:pPr>
        <w:spacing w:line="360" w:lineRule="auto"/>
        <w:jc w:val="both"/>
        <w:rPr>
          <w:rFonts w:ascii="Arial" w:hAnsi="Arial" w:cs="Arial"/>
          <w:sz w:val="24"/>
          <w:szCs w:val="24"/>
        </w:rPr>
      </w:pPr>
      <w:r w:rsidRPr="0014659C">
        <w:rPr>
          <w:rFonts w:ascii="Arial" w:hAnsi="Arial" w:cs="Arial"/>
          <w:sz w:val="24"/>
          <w:szCs w:val="24"/>
        </w:rPr>
        <w:t xml:space="preserve">The analysis must now reconcile the project rankings with the imposed capital rationing constraint of £60 million. As the projects are considered indivisible, the feasible investment combinations within the budget are limited to selecting a single project: Project C (£50m), Project A (£40m), or Project B (£30m). The selection objective under capital rationing is to </w:t>
      </w:r>
      <w:r w:rsidR="00561979" w:rsidRPr="0014659C">
        <w:rPr>
          <w:rFonts w:ascii="Arial" w:hAnsi="Arial" w:cs="Arial"/>
          <w:sz w:val="24"/>
          <w:szCs w:val="24"/>
        </w:rPr>
        <w:t>maximize</w:t>
      </w:r>
      <w:r w:rsidRPr="0014659C">
        <w:rPr>
          <w:rFonts w:ascii="Arial" w:hAnsi="Arial" w:cs="Arial"/>
          <w:sz w:val="24"/>
          <w:szCs w:val="24"/>
        </w:rPr>
        <w:t xml:space="preserve"> the total NPV of the chosen portfoli</w:t>
      </w:r>
      <w:r w:rsidR="006A7143">
        <w:rPr>
          <w:rFonts w:ascii="Arial" w:hAnsi="Arial" w:cs="Arial"/>
          <w:sz w:val="24"/>
          <w:szCs w:val="24"/>
        </w:rPr>
        <w:t xml:space="preserve">o without exceeding the budget </w:t>
      </w:r>
      <w:r w:rsidR="006A7143">
        <w:rPr>
          <w:rFonts w:ascii="Arial" w:hAnsi="Arial" w:cs="Arial"/>
          <w:noProof/>
          <w:sz w:val="24"/>
          <w:szCs w:val="24"/>
        </w:rPr>
        <w:t>(Brealey et. al,2020)</w:t>
      </w:r>
      <w:r w:rsidR="00C16E8A">
        <w:rPr>
          <w:rFonts w:ascii="Arial" w:hAnsi="Arial" w:cs="Arial"/>
          <w:sz w:val="24"/>
          <w:szCs w:val="24"/>
        </w:rPr>
        <w:t>.</w:t>
      </w:r>
      <w:r w:rsidR="006A7143">
        <w:rPr>
          <w:rFonts w:ascii="Arial" w:hAnsi="Arial" w:cs="Arial"/>
          <w:sz w:val="24"/>
          <w:szCs w:val="24"/>
        </w:rPr>
        <w:t xml:space="preserve">  </w:t>
      </w:r>
      <w:r w:rsidRPr="0014659C">
        <w:rPr>
          <w:rFonts w:ascii="Arial" w:hAnsi="Arial" w:cs="Arial"/>
          <w:sz w:val="24"/>
          <w:szCs w:val="24"/>
        </w:rPr>
        <w:t xml:space="preserve">As demonstrated in the Week 9 lecture materials, while PI </w:t>
      </w:r>
      <w:r w:rsidRPr="0014659C">
        <w:rPr>
          <w:rFonts w:ascii="Arial" w:hAnsi="Arial" w:cs="Arial"/>
          <w:sz w:val="24"/>
          <w:szCs w:val="24"/>
        </w:rPr>
        <w:lastRenderedPageBreak/>
        <w:t>is useful for ranking efficiency, the goal is to select the combination with</w:t>
      </w:r>
      <w:r w:rsidR="001D5163">
        <w:rPr>
          <w:rFonts w:ascii="Arial" w:hAnsi="Arial" w:cs="Arial"/>
          <w:sz w:val="24"/>
          <w:szCs w:val="24"/>
        </w:rPr>
        <w:t xml:space="preserve"> the highest aggregate NPV.</w:t>
      </w:r>
    </w:p>
    <w:p w14:paraId="513E46CF" w14:textId="77777777" w:rsidR="00DE4E11" w:rsidRPr="0014659C" w:rsidRDefault="00DE4E11" w:rsidP="0014659C">
      <w:pPr>
        <w:spacing w:line="360" w:lineRule="auto"/>
        <w:jc w:val="both"/>
        <w:rPr>
          <w:rFonts w:ascii="Arial" w:hAnsi="Arial" w:cs="Arial"/>
          <w:sz w:val="24"/>
          <w:szCs w:val="24"/>
        </w:rPr>
      </w:pPr>
      <w:r w:rsidRPr="0014659C">
        <w:rPr>
          <w:rFonts w:ascii="Arial" w:hAnsi="Arial" w:cs="Arial"/>
          <w:sz w:val="24"/>
          <w:szCs w:val="24"/>
        </w:rPr>
        <w:t>The potential outcomes are evaluated as follows:</w:t>
      </w:r>
    </w:p>
    <w:p w14:paraId="5D2F58F3" w14:textId="77777777" w:rsidR="00DE4E11" w:rsidRPr="0014659C" w:rsidRDefault="00DE4E11" w:rsidP="0014659C">
      <w:pPr>
        <w:numPr>
          <w:ilvl w:val="0"/>
          <w:numId w:val="24"/>
        </w:numPr>
        <w:spacing w:line="360" w:lineRule="auto"/>
        <w:jc w:val="both"/>
        <w:rPr>
          <w:rFonts w:ascii="Arial" w:hAnsi="Arial" w:cs="Arial"/>
          <w:sz w:val="24"/>
          <w:szCs w:val="24"/>
        </w:rPr>
      </w:pPr>
      <w:r w:rsidRPr="0014659C">
        <w:rPr>
          <w:rFonts w:ascii="Arial" w:hAnsi="Arial" w:cs="Arial"/>
          <w:b/>
          <w:bCs/>
          <w:sz w:val="24"/>
          <w:szCs w:val="24"/>
        </w:rPr>
        <w:t>Invest in Project C:</w:t>
      </w:r>
      <w:r w:rsidRPr="0014659C">
        <w:rPr>
          <w:rFonts w:ascii="Arial" w:hAnsi="Arial" w:cs="Arial"/>
          <w:sz w:val="24"/>
          <w:szCs w:val="24"/>
        </w:rPr>
        <w:t> Requires £50m, delivers an NPV of </w:t>
      </w:r>
      <w:r w:rsidRPr="0014659C">
        <w:rPr>
          <w:rFonts w:ascii="Arial" w:hAnsi="Arial" w:cs="Arial"/>
          <w:b/>
          <w:bCs/>
          <w:sz w:val="24"/>
          <w:szCs w:val="24"/>
        </w:rPr>
        <w:t>£21.28m</w:t>
      </w:r>
      <w:r w:rsidRPr="0014659C">
        <w:rPr>
          <w:rFonts w:ascii="Arial" w:hAnsi="Arial" w:cs="Arial"/>
          <w:sz w:val="24"/>
          <w:szCs w:val="24"/>
        </w:rPr>
        <w:t xml:space="preserve">, leaves £10m </w:t>
      </w:r>
      <w:proofErr w:type="spellStart"/>
      <w:r w:rsidRPr="0014659C">
        <w:rPr>
          <w:rFonts w:ascii="Arial" w:hAnsi="Arial" w:cs="Arial"/>
          <w:sz w:val="24"/>
          <w:szCs w:val="24"/>
        </w:rPr>
        <w:t>uninvested</w:t>
      </w:r>
      <w:proofErr w:type="spellEnd"/>
      <w:r w:rsidRPr="0014659C">
        <w:rPr>
          <w:rFonts w:ascii="Arial" w:hAnsi="Arial" w:cs="Arial"/>
          <w:sz w:val="24"/>
          <w:szCs w:val="24"/>
        </w:rPr>
        <w:t>.</w:t>
      </w:r>
    </w:p>
    <w:p w14:paraId="7C7455BD" w14:textId="77777777" w:rsidR="00DE4E11" w:rsidRPr="0014659C" w:rsidRDefault="00DE4E11" w:rsidP="0014659C">
      <w:pPr>
        <w:numPr>
          <w:ilvl w:val="0"/>
          <w:numId w:val="24"/>
        </w:numPr>
        <w:spacing w:line="360" w:lineRule="auto"/>
        <w:jc w:val="both"/>
        <w:rPr>
          <w:rFonts w:ascii="Arial" w:hAnsi="Arial" w:cs="Arial"/>
          <w:sz w:val="24"/>
          <w:szCs w:val="24"/>
        </w:rPr>
      </w:pPr>
      <w:r w:rsidRPr="0014659C">
        <w:rPr>
          <w:rFonts w:ascii="Arial" w:hAnsi="Arial" w:cs="Arial"/>
          <w:b/>
          <w:bCs/>
          <w:sz w:val="24"/>
          <w:szCs w:val="24"/>
        </w:rPr>
        <w:t>Invest in Project A:</w:t>
      </w:r>
      <w:r w:rsidRPr="0014659C">
        <w:rPr>
          <w:rFonts w:ascii="Arial" w:hAnsi="Arial" w:cs="Arial"/>
          <w:sz w:val="24"/>
          <w:szCs w:val="24"/>
        </w:rPr>
        <w:t> Requires £40m, delivers an NPV of </w:t>
      </w:r>
      <w:r w:rsidRPr="0014659C">
        <w:rPr>
          <w:rFonts w:ascii="Arial" w:hAnsi="Arial" w:cs="Arial"/>
          <w:b/>
          <w:bCs/>
          <w:sz w:val="24"/>
          <w:szCs w:val="24"/>
        </w:rPr>
        <w:t>£1.92m</w:t>
      </w:r>
      <w:r w:rsidRPr="0014659C">
        <w:rPr>
          <w:rFonts w:ascii="Arial" w:hAnsi="Arial" w:cs="Arial"/>
          <w:sz w:val="24"/>
          <w:szCs w:val="24"/>
        </w:rPr>
        <w:t xml:space="preserve">, leaves £20m </w:t>
      </w:r>
      <w:proofErr w:type="spellStart"/>
      <w:r w:rsidRPr="0014659C">
        <w:rPr>
          <w:rFonts w:ascii="Arial" w:hAnsi="Arial" w:cs="Arial"/>
          <w:sz w:val="24"/>
          <w:szCs w:val="24"/>
        </w:rPr>
        <w:t>uninvested</w:t>
      </w:r>
      <w:proofErr w:type="spellEnd"/>
      <w:r w:rsidRPr="0014659C">
        <w:rPr>
          <w:rFonts w:ascii="Arial" w:hAnsi="Arial" w:cs="Arial"/>
          <w:sz w:val="24"/>
          <w:szCs w:val="24"/>
        </w:rPr>
        <w:t>.</w:t>
      </w:r>
    </w:p>
    <w:p w14:paraId="160A3058" w14:textId="77777777" w:rsidR="00DE4E11" w:rsidRPr="0014659C" w:rsidRDefault="00DE4E11" w:rsidP="0014659C">
      <w:pPr>
        <w:numPr>
          <w:ilvl w:val="0"/>
          <w:numId w:val="24"/>
        </w:numPr>
        <w:spacing w:line="360" w:lineRule="auto"/>
        <w:jc w:val="both"/>
        <w:rPr>
          <w:rFonts w:ascii="Arial" w:hAnsi="Arial" w:cs="Arial"/>
          <w:sz w:val="24"/>
          <w:szCs w:val="24"/>
        </w:rPr>
      </w:pPr>
      <w:r w:rsidRPr="0014659C">
        <w:rPr>
          <w:rFonts w:ascii="Arial" w:hAnsi="Arial" w:cs="Arial"/>
          <w:b/>
          <w:bCs/>
          <w:sz w:val="24"/>
          <w:szCs w:val="24"/>
        </w:rPr>
        <w:t>Invest in Project B:</w:t>
      </w:r>
      <w:r w:rsidRPr="0014659C">
        <w:rPr>
          <w:rFonts w:ascii="Arial" w:hAnsi="Arial" w:cs="Arial"/>
          <w:sz w:val="24"/>
          <w:szCs w:val="24"/>
        </w:rPr>
        <w:t> Requires £30m, delivers a negative NPV, and is therefore rejected irrespective of budget availability.</w:t>
      </w:r>
    </w:p>
    <w:p w14:paraId="1FED5D0A" w14:textId="77777777" w:rsidR="00CD4CDD" w:rsidRPr="001D5163" w:rsidRDefault="005069AA" w:rsidP="001D5163">
      <w:pPr>
        <w:spacing w:line="360" w:lineRule="auto"/>
        <w:jc w:val="both"/>
        <w:rPr>
          <w:rFonts w:ascii="Arial" w:hAnsi="Arial" w:cs="Arial"/>
          <w:sz w:val="24"/>
          <w:szCs w:val="24"/>
        </w:rPr>
      </w:pPr>
      <w:r w:rsidRPr="005069AA">
        <w:rPr>
          <w:rFonts w:ascii="Arial" w:hAnsi="Arial" w:cs="Arial"/>
          <w:sz w:val="24"/>
          <w:szCs w:val="24"/>
        </w:rPr>
        <w:t>Under capital rationing, the combination of Projects A and C (£90m) is deemed infeasible. A comparison reveals that Project C (£50m) yields an NPV of £21.28m, which is more than eleven times greater than the £1.92m generated by Project A (£40m), and its superior Profitability Index (PI) confirms its optimal capital efficiency</w:t>
      </w:r>
    </w:p>
    <w:p w14:paraId="7016FD88" w14:textId="77777777" w:rsidR="00DE4E11" w:rsidRDefault="00DE4E11" w:rsidP="001D5163">
      <w:pPr>
        <w:pStyle w:val="Heading2"/>
        <w:rPr>
          <w:bCs/>
        </w:rPr>
      </w:pPr>
      <w:bookmarkStart w:id="54" w:name="_Toc217238037"/>
      <w:r w:rsidRPr="0014659C">
        <w:rPr>
          <w:bCs/>
        </w:rPr>
        <w:t>4.5 Justification and Risk Considerations</w:t>
      </w:r>
      <w:bookmarkEnd w:id="54"/>
    </w:p>
    <w:p w14:paraId="3D092D63" w14:textId="77777777" w:rsidR="001D5163" w:rsidRPr="001D5163" w:rsidRDefault="001D5163" w:rsidP="001D5163"/>
    <w:p w14:paraId="241F06DC" w14:textId="483AB206" w:rsidR="005069AA" w:rsidRPr="0014659C" w:rsidRDefault="005069AA" w:rsidP="0014659C">
      <w:pPr>
        <w:spacing w:line="360" w:lineRule="auto"/>
        <w:jc w:val="both"/>
        <w:rPr>
          <w:rFonts w:ascii="Arial" w:hAnsi="Arial" w:cs="Arial"/>
          <w:sz w:val="24"/>
          <w:szCs w:val="24"/>
        </w:rPr>
      </w:pPr>
      <w:r w:rsidRPr="005069AA">
        <w:rPr>
          <w:rFonts w:ascii="Arial" w:hAnsi="Arial" w:cs="Arial"/>
          <w:sz w:val="24"/>
          <w:szCs w:val="24"/>
        </w:rPr>
        <w:t>The final recommendation to invest solely in Project C is justified with reference to General Electronics’ financial performance and the projects’ inherent risk characteristics. First, from a profitability and value creation perspective, Project C’s commanding NPV of £21.28m directly addresses the core weakness of shareholder value destruction identified in the financial health check (</w:t>
      </w:r>
      <w:proofErr w:type="spellStart"/>
      <w:r w:rsidRPr="005069AA">
        <w:rPr>
          <w:rFonts w:ascii="Arial" w:hAnsi="Arial" w:cs="Arial"/>
          <w:sz w:val="24"/>
          <w:szCs w:val="24"/>
        </w:rPr>
        <w:t>Keown</w:t>
      </w:r>
      <w:proofErr w:type="spellEnd"/>
      <w:r w:rsidRPr="005069AA">
        <w:rPr>
          <w:rFonts w:ascii="Arial" w:hAnsi="Arial" w:cs="Arial"/>
          <w:sz w:val="24"/>
          <w:szCs w:val="24"/>
        </w:rPr>
        <w:t xml:space="preserve"> et al., 2024). Its high IRR of 12.75% provides a comfortable margin above the 10% cost of capital, offering resilience against potential increases. Second, regarding liquidity, although Project A demonstrates a marginally shorter payback of 3.4 years versus 3.6 years, Project C’s payback remains acceptable. Its superior cash inflows, particularly the £20m and £25m inflows in Years 3 and 4, are expected to significantly bolster operating cash flow, thereby supporting the broader working capital reform agenda. Third, while Project C’s cash flow profile (£5m, £10m, £20m, £25m, £15m) exhibits higher volatility and a back-loaded structure, implying greater forecasting risk, this risk is deemed adequately compensated by the substantially higher expected returns, a justifiable trade-off for a firm requiring transformational value </w:t>
      </w:r>
      <w:r w:rsidRPr="005069AA">
        <w:rPr>
          <w:rFonts w:ascii="Arial" w:hAnsi="Arial" w:cs="Arial"/>
          <w:sz w:val="24"/>
          <w:szCs w:val="24"/>
        </w:rPr>
        <w:lastRenderedPageBreak/>
        <w:t>creation (</w:t>
      </w:r>
      <w:proofErr w:type="spellStart"/>
      <w:r w:rsidRPr="005069AA">
        <w:rPr>
          <w:rFonts w:ascii="Arial" w:hAnsi="Arial" w:cs="Arial"/>
          <w:sz w:val="24"/>
          <w:szCs w:val="24"/>
        </w:rPr>
        <w:t>Berk</w:t>
      </w:r>
      <w:proofErr w:type="spellEnd"/>
      <w:r w:rsidRPr="005069AA">
        <w:rPr>
          <w:rFonts w:ascii="Arial" w:hAnsi="Arial" w:cs="Arial"/>
          <w:sz w:val="24"/>
          <w:szCs w:val="24"/>
        </w:rPr>
        <w:t xml:space="preserve"> &amp; </w:t>
      </w:r>
      <w:proofErr w:type="spellStart"/>
      <w:r w:rsidRPr="005069AA">
        <w:rPr>
          <w:rFonts w:ascii="Arial" w:hAnsi="Arial" w:cs="Arial"/>
          <w:sz w:val="24"/>
          <w:szCs w:val="24"/>
        </w:rPr>
        <w:t>DeMarzo</w:t>
      </w:r>
      <w:proofErr w:type="spellEnd"/>
      <w:r w:rsidRPr="005069AA">
        <w:rPr>
          <w:rFonts w:ascii="Arial" w:hAnsi="Arial" w:cs="Arial"/>
          <w:sz w:val="24"/>
          <w:szCs w:val="24"/>
        </w:rPr>
        <w:t xml:space="preserve">, 2020). In contrast, Project B provides no economic return, and Project A offers only marginal value addition. Finally, the decision aligns with capital rationing principles; selecting the project with the highest NPV within the £60m budget </w:t>
      </w:r>
      <w:r w:rsidR="00795815" w:rsidRPr="005069AA">
        <w:rPr>
          <w:rFonts w:ascii="Arial" w:hAnsi="Arial" w:cs="Arial"/>
          <w:sz w:val="24"/>
          <w:szCs w:val="24"/>
        </w:rPr>
        <w:t>maximizes</w:t>
      </w:r>
      <w:r w:rsidRPr="005069AA">
        <w:rPr>
          <w:rFonts w:ascii="Arial" w:hAnsi="Arial" w:cs="Arial"/>
          <w:sz w:val="24"/>
          <w:szCs w:val="24"/>
        </w:rPr>
        <w:t xml:space="preserve"> shareholder wealth. The remaining £10m is advised to be retained as a strategic liquidity buffer rather than deployed into the sub-optimal Project A.</w:t>
      </w:r>
    </w:p>
    <w:p w14:paraId="5556DBDF" w14:textId="77777777" w:rsidR="00DE4E11" w:rsidRDefault="00DE4E11" w:rsidP="001D5163">
      <w:pPr>
        <w:pStyle w:val="Heading2"/>
      </w:pPr>
      <w:bookmarkStart w:id="55" w:name="_Toc217238038"/>
      <w:r w:rsidRPr="0014659C">
        <w:t>Conclusion</w:t>
      </w:r>
      <w:bookmarkEnd w:id="55"/>
      <w:r w:rsidRPr="0014659C">
        <w:t xml:space="preserve"> </w:t>
      </w:r>
    </w:p>
    <w:p w14:paraId="003DCB77" w14:textId="77777777" w:rsidR="001D5163" w:rsidRPr="001D5163" w:rsidRDefault="001D5163" w:rsidP="001D5163"/>
    <w:p w14:paraId="3E9F8149" w14:textId="0B7E7BA0" w:rsidR="00717286" w:rsidRDefault="003F6FBE" w:rsidP="0014659C">
      <w:pPr>
        <w:spacing w:line="360" w:lineRule="auto"/>
        <w:jc w:val="both"/>
        <w:rPr>
          <w:rFonts w:ascii="Arial" w:hAnsi="Arial" w:cs="Arial"/>
          <w:sz w:val="24"/>
          <w:szCs w:val="24"/>
        </w:rPr>
      </w:pPr>
      <w:r w:rsidRPr="003F6FBE">
        <w:rPr>
          <w:rFonts w:ascii="Arial" w:hAnsi="Arial" w:cs="Arial"/>
          <w:sz w:val="24"/>
          <w:szCs w:val="24"/>
        </w:rPr>
        <w:t xml:space="preserve">In conclusion, Project C is identified as the superior investment under capital rationing through </w:t>
      </w:r>
      <w:r w:rsidR="00795815" w:rsidRPr="003F6FBE">
        <w:rPr>
          <w:rFonts w:ascii="Arial" w:hAnsi="Arial" w:cs="Arial"/>
          <w:sz w:val="24"/>
          <w:szCs w:val="24"/>
        </w:rPr>
        <w:t>multi</w:t>
      </w:r>
      <w:r w:rsidRPr="003F6FBE">
        <w:rPr>
          <w:rFonts w:ascii="Arial" w:hAnsi="Arial" w:cs="Arial"/>
          <w:sz w:val="24"/>
          <w:szCs w:val="24"/>
        </w:rPr>
        <w:t xml:space="preserve">-method appraisal, dominating on NPV, IRR, and PI metrics for shareholder wealth </w:t>
      </w:r>
      <w:r w:rsidR="00561979" w:rsidRPr="003F6FBE">
        <w:rPr>
          <w:rFonts w:ascii="Arial" w:hAnsi="Arial" w:cs="Arial"/>
          <w:sz w:val="24"/>
          <w:szCs w:val="24"/>
        </w:rPr>
        <w:t>maximization</w:t>
      </w:r>
      <w:r w:rsidRPr="003F6FBE">
        <w:rPr>
          <w:rFonts w:ascii="Arial" w:hAnsi="Arial" w:cs="Arial"/>
          <w:sz w:val="24"/>
          <w:szCs w:val="24"/>
        </w:rPr>
        <w:t xml:space="preserve">. Its selection is integrated as the “value-creating growth” pillar within the broader turnaround strategy. The project’s cash inflows are projected to support liquidity and begin equity base reconstruction, </w:t>
      </w:r>
      <w:r w:rsidR="00561979" w:rsidRPr="003F6FBE">
        <w:rPr>
          <w:rFonts w:ascii="Arial" w:hAnsi="Arial" w:cs="Arial"/>
          <w:sz w:val="24"/>
          <w:szCs w:val="24"/>
        </w:rPr>
        <w:t>catalyzing</w:t>
      </w:r>
      <w:r w:rsidRPr="003F6FBE">
        <w:rPr>
          <w:rFonts w:ascii="Arial" w:hAnsi="Arial" w:cs="Arial"/>
          <w:sz w:val="24"/>
          <w:szCs w:val="24"/>
        </w:rPr>
        <w:t xml:space="preserve"> a sustainable recovery from financial distres</w:t>
      </w:r>
      <w:r>
        <w:rPr>
          <w:rFonts w:ascii="Arial" w:hAnsi="Arial" w:cs="Arial"/>
          <w:sz w:val="24"/>
          <w:szCs w:val="24"/>
        </w:rPr>
        <w:t xml:space="preserve">s. </w:t>
      </w:r>
    </w:p>
    <w:p w14:paraId="0E596DC3" w14:textId="77777777" w:rsidR="00E12AB3" w:rsidRPr="0014659C" w:rsidRDefault="00E12AB3" w:rsidP="0014659C">
      <w:pPr>
        <w:spacing w:line="360" w:lineRule="auto"/>
        <w:jc w:val="both"/>
        <w:rPr>
          <w:rFonts w:ascii="Arial" w:hAnsi="Arial" w:cs="Arial"/>
          <w:sz w:val="24"/>
          <w:szCs w:val="24"/>
        </w:rPr>
      </w:pPr>
    </w:p>
    <w:p w14:paraId="082FA68A" w14:textId="77777777" w:rsidR="00AD4654" w:rsidRDefault="005069AA" w:rsidP="001D5163">
      <w:pPr>
        <w:pStyle w:val="Heading1"/>
      </w:pPr>
      <w:bookmarkStart w:id="56" w:name="_Toc217238039"/>
      <w:r>
        <w:t>Summary</w:t>
      </w:r>
      <w:bookmarkEnd w:id="56"/>
    </w:p>
    <w:p w14:paraId="2714A785" w14:textId="77777777" w:rsidR="001D5163" w:rsidRPr="001D5163" w:rsidRDefault="001D5163" w:rsidP="001D5163"/>
    <w:p w14:paraId="5E6B534F" w14:textId="6AB0CDF4" w:rsidR="00D85581" w:rsidRPr="00422A24" w:rsidRDefault="0014659C" w:rsidP="00F60E9B">
      <w:pPr>
        <w:spacing w:line="360" w:lineRule="auto"/>
        <w:jc w:val="both"/>
        <w:rPr>
          <w:rFonts w:ascii="Arial" w:hAnsi="Arial" w:cs="Arial"/>
          <w:sz w:val="24"/>
          <w:szCs w:val="24"/>
        </w:rPr>
      </w:pPr>
      <w:r w:rsidRPr="0014659C">
        <w:rPr>
          <w:rFonts w:ascii="Arial" w:hAnsi="Arial" w:cs="Arial"/>
          <w:sz w:val="24"/>
          <w:szCs w:val="24"/>
        </w:rPr>
        <w:t>In conclusion, the analysis delineates a coherent and actionable pathway for General Electronics to navigate its current financial distress. The</w:t>
      </w:r>
      <w:r>
        <w:rPr>
          <w:rFonts w:ascii="Arial" w:hAnsi="Arial" w:cs="Arial"/>
          <w:sz w:val="24"/>
          <w:szCs w:val="24"/>
        </w:rPr>
        <w:t xml:space="preserve"> proposed three-pillar strategy; </w:t>
      </w:r>
      <w:r w:rsidRPr="0014659C">
        <w:rPr>
          <w:rFonts w:ascii="Arial" w:hAnsi="Arial" w:cs="Arial"/>
          <w:sz w:val="24"/>
          <w:szCs w:val="24"/>
        </w:rPr>
        <w:t xml:space="preserve">encompassing emergency liquidity </w:t>
      </w:r>
      <w:r w:rsidR="00561979" w:rsidRPr="0014659C">
        <w:rPr>
          <w:rFonts w:ascii="Arial" w:hAnsi="Arial" w:cs="Arial"/>
          <w:sz w:val="24"/>
          <w:szCs w:val="24"/>
        </w:rPr>
        <w:t>stabilization</w:t>
      </w:r>
      <w:r w:rsidRPr="0014659C">
        <w:rPr>
          <w:rFonts w:ascii="Arial" w:hAnsi="Arial" w:cs="Arial"/>
          <w:sz w:val="24"/>
          <w:szCs w:val="24"/>
        </w:rPr>
        <w:t xml:space="preserve"> through working capital reform, strategic balance sheet restructuring via equity injection and divestiture, and value-creating growth through </w:t>
      </w:r>
      <w:r>
        <w:rPr>
          <w:rFonts w:ascii="Arial" w:hAnsi="Arial" w:cs="Arial"/>
          <w:sz w:val="24"/>
          <w:szCs w:val="24"/>
        </w:rPr>
        <w:t xml:space="preserve">the selection of Project C; </w:t>
      </w:r>
      <w:r w:rsidRPr="0014659C">
        <w:rPr>
          <w:rFonts w:ascii="Arial" w:hAnsi="Arial" w:cs="Arial"/>
          <w:sz w:val="24"/>
          <w:szCs w:val="24"/>
        </w:rPr>
        <w:t>provides a holistic framework for recovery (</w:t>
      </w:r>
      <w:proofErr w:type="spellStart"/>
      <w:r w:rsidRPr="0014659C">
        <w:rPr>
          <w:rFonts w:ascii="Arial" w:hAnsi="Arial" w:cs="Arial"/>
          <w:sz w:val="24"/>
          <w:szCs w:val="24"/>
        </w:rPr>
        <w:t>Berk</w:t>
      </w:r>
      <w:proofErr w:type="spellEnd"/>
      <w:r w:rsidRPr="0014659C">
        <w:rPr>
          <w:rFonts w:ascii="Arial" w:hAnsi="Arial" w:cs="Arial"/>
          <w:sz w:val="24"/>
          <w:szCs w:val="24"/>
        </w:rPr>
        <w:t xml:space="preserve"> &amp; </w:t>
      </w:r>
      <w:proofErr w:type="spellStart"/>
      <w:r w:rsidRPr="0014659C">
        <w:rPr>
          <w:rFonts w:ascii="Arial" w:hAnsi="Arial" w:cs="Arial"/>
          <w:sz w:val="24"/>
          <w:szCs w:val="24"/>
        </w:rPr>
        <w:t>DeMarzo</w:t>
      </w:r>
      <w:proofErr w:type="spellEnd"/>
      <w:r w:rsidRPr="0014659C">
        <w:rPr>
          <w:rFonts w:ascii="Arial" w:hAnsi="Arial" w:cs="Arial"/>
          <w:sz w:val="24"/>
          <w:szCs w:val="24"/>
        </w:rPr>
        <w:t xml:space="preserve">, 2020). Successful execution demands decisive leadership and unwavering financial discipline. By implementing these integrated recommendations, General Electronics can </w:t>
      </w:r>
      <w:r w:rsidR="00795815" w:rsidRPr="0014659C">
        <w:rPr>
          <w:rFonts w:ascii="Arial" w:hAnsi="Arial" w:cs="Arial"/>
          <w:sz w:val="24"/>
          <w:szCs w:val="24"/>
        </w:rPr>
        <w:t>stabilize</w:t>
      </w:r>
      <w:r w:rsidRPr="0014659C">
        <w:rPr>
          <w:rFonts w:ascii="Arial" w:hAnsi="Arial" w:cs="Arial"/>
          <w:sz w:val="24"/>
          <w:szCs w:val="24"/>
        </w:rPr>
        <w:t xml:space="preserve"> its operations, repair stakeholder confidence, and establish a foundation for renewed, profitable growth in the competitive global electronics industry.</w:t>
      </w:r>
    </w:p>
    <w:p w14:paraId="5667EE2A" w14:textId="77777777" w:rsidR="00E240CF" w:rsidRPr="00A34D59" w:rsidRDefault="00A34D59" w:rsidP="00F60E9B">
      <w:pPr>
        <w:spacing w:line="360" w:lineRule="auto"/>
        <w:rPr>
          <w:rFonts w:ascii="Arial" w:hAnsi="Arial" w:cs="Arial"/>
        </w:rPr>
      </w:pPr>
      <w:r>
        <w:rPr>
          <w:rFonts w:ascii="Arial" w:hAnsi="Arial" w:cs="Arial"/>
        </w:rPr>
        <w:br w:type="page"/>
      </w:r>
    </w:p>
    <w:p w14:paraId="6C28B3BF" w14:textId="77777777" w:rsidR="001F6D3E" w:rsidRDefault="001F6D3E" w:rsidP="006D7995">
      <w:pPr>
        <w:pStyle w:val="Heading1"/>
        <w:numPr>
          <w:ilvl w:val="0"/>
          <w:numId w:val="32"/>
        </w:numPr>
        <w:rPr>
          <w:sz w:val="36"/>
        </w:rPr>
      </w:pPr>
      <w:bookmarkStart w:id="57" w:name="_Toc217238040"/>
      <w:r w:rsidRPr="001F6D3E">
        <w:lastRenderedPageBreak/>
        <w:t>Appendices</w:t>
      </w:r>
      <w:bookmarkEnd w:id="57"/>
    </w:p>
    <w:p w14:paraId="70849534" w14:textId="77777777" w:rsidR="001D5163" w:rsidRPr="001D5163" w:rsidRDefault="001D5163" w:rsidP="001D5163">
      <w:pPr>
        <w:pStyle w:val="ListParagraph"/>
        <w:ind w:left="528"/>
      </w:pPr>
    </w:p>
    <w:p w14:paraId="295CDE9C" w14:textId="77777777" w:rsidR="00AD4654" w:rsidRDefault="00517F75" w:rsidP="001D5163">
      <w:pPr>
        <w:pStyle w:val="Heading1"/>
      </w:pPr>
      <w:bookmarkStart w:id="58" w:name="_Toc217238041"/>
      <w:r w:rsidRPr="001F6D3E">
        <w:t>Appendix A: Financial Ratio Tables and Graphs</w:t>
      </w:r>
      <w:bookmarkEnd w:id="58"/>
    </w:p>
    <w:p w14:paraId="6AD4BDBE" w14:textId="264A8758" w:rsidR="001D5163" w:rsidRPr="001D5163" w:rsidRDefault="001D5163" w:rsidP="001D5163"/>
    <w:p w14:paraId="7E800F44" w14:textId="600AE0AE" w:rsidR="00E240CF" w:rsidRPr="001F6D3E" w:rsidRDefault="004215F2" w:rsidP="001D5163">
      <w:pPr>
        <w:pStyle w:val="Heading2"/>
      </w:pPr>
      <w:bookmarkStart w:id="59" w:name="_Toc217238042"/>
      <w:r w:rsidRPr="001F6D3E">
        <w:t>A1: Profitability Ratio Analysis for GE (2020-2024)</w:t>
      </w:r>
      <w:bookmarkEnd w:id="59"/>
    </w:p>
    <w:p w14:paraId="716957E4" w14:textId="1436F857" w:rsidR="002F2F7A" w:rsidRPr="001F6D3E" w:rsidRDefault="0049103B" w:rsidP="00AD4654">
      <w:pPr>
        <w:rPr>
          <w:rFonts w:ascii="Arial" w:hAnsi="Arial" w:cs="Arial"/>
        </w:rPr>
      </w:pPr>
      <w:r>
        <w:rPr>
          <w:noProof/>
        </w:rPr>
        <mc:AlternateContent>
          <mc:Choice Requires="wps">
            <w:drawing>
              <wp:anchor distT="0" distB="0" distL="114300" distR="114300" simplePos="0" relativeHeight="251676672" behindDoc="0" locked="0" layoutInCell="1" allowOverlap="1" wp14:anchorId="0C33A704" wp14:editId="150AA528">
                <wp:simplePos x="0" y="0"/>
                <wp:positionH relativeFrom="column">
                  <wp:posOffset>106680</wp:posOffset>
                </wp:positionH>
                <wp:positionV relativeFrom="paragraph">
                  <wp:posOffset>70485</wp:posOffset>
                </wp:positionV>
                <wp:extent cx="1638300" cy="182880"/>
                <wp:effectExtent l="0" t="0" r="0" b="7620"/>
                <wp:wrapNone/>
                <wp:docPr id="538892519" name="Text Box 1"/>
                <wp:cNvGraphicFramePr/>
                <a:graphic xmlns:a="http://schemas.openxmlformats.org/drawingml/2006/main">
                  <a:graphicData uri="http://schemas.microsoft.com/office/word/2010/wordprocessingShape">
                    <wps:wsp>
                      <wps:cNvSpPr txBox="1"/>
                      <wps:spPr>
                        <a:xfrm>
                          <a:off x="0" y="0"/>
                          <a:ext cx="1638300" cy="182880"/>
                        </a:xfrm>
                        <a:prstGeom prst="rect">
                          <a:avLst/>
                        </a:prstGeom>
                        <a:solidFill>
                          <a:prstClr val="white"/>
                        </a:solidFill>
                        <a:ln>
                          <a:noFill/>
                        </a:ln>
                      </wps:spPr>
                      <wps:txbx>
                        <w:txbxContent>
                          <w:p w14:paraId="323109CF" w14:textId="43670605" w:rsidR="00E54431" w:rsidRPr="008C0243" w:rsidRDefault="00E54431" w:rsidP="00E54431">
                            <w:pPr>
                              <w:pStyle w:val="Caption"/>
                              <w:rPr>
                                <w:rFonts w:ascii="Arial" w:hAnsi="Arial" w:cs="Arial"/>
                                <w:noProof/>
                                <w:sz w:val="22"/>
                                <w:szCs w:val="22"/>
                              </w:rPr>
                            </w:pPr>
                            <w:r>
                              <w:t xml:space="preserve">Table </w:t>
                            </w:r>
                            <w:r w:rsidR="002615F5">
                              <w:fldChar w:fldCharType="begin"/>
                            </w:r>
                            <w:r w:rsidR="002615F5">
                              <w:instrText xml:space="preserve"> SEQ Table \* ARABIC </w:instrText>
                            </w:r>
                            <w:r w:rsidR="002615F5">
                              <w:fldChar w:fldCharType="separate"/>
                            </w:r>
                            <w:r w:rsidR="005F7E78">
                              <w:rPr>
                                <w:noProof/>
                              </w:rPr>
                              <w:t>1</w:t>
                            </w:r>
                            <w:r w:rsidR="002615F5">
                              <w:rPr>
                                <w:noProof/>
                              </w:rPr>
                              <w:fldChar w:fldCharType="end"/>
                            </w:r>
                            <w:r>
                              <w:t xml:space="preserve">: </w:t>
                            </w:r>
                            <w:r w:rsidRPr="00741265">
                              <w:t>Profitability Ratio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33A704" id="_x0000_t202" coordsize="21600,21600" o:spt="202" path="m,l,21600r21600,l21600,xe">
                <v:stroke joinstyle="miter"/>
                <v:path gradientshapeok="t" o:connecttype="rect"/>
              </v:shapetype>
              <v:shape id="Text Box 1" o:spid="_x0000_s1026" type="#_x0000_t202" style="position:absolute;margin-left:8.4pt;margin-top:5.55pt;width:129pt;height:14.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" stroked="f">
                <v:textbox inset="0,0,0,0">
                  <w:txbxContent>
                    <w:p w14:paraId="323109CF" w14:textId="43670605" w:rsidR="00E54431" w:rsidRPr="008C0243" w:rsidRDefault="00E54431" w:rsidP="00E54431">
                      <w:pPr>
                        <w:pStyle w:val="Caption"/>
                        <w:rPr>
                          <w:rFonts w:ascii="Arial" w:hAnsi="Arial" w:cs="Arial"/>
                          <w:noProof/>
                          <w:sz w:val="22"/>
                          <w:szCs w:val="22"/>
                        </w:rPr>
                      </w:pPr>
                      <w:r>
                        <w:t xml:space="preserve">Table </w:t>
                      </w:r>
                      <w:r w:rsidR="002615F5">
                        <w:fldChar w:fldCharType="begin"/>
                      </w:r>
                      <w:r w:rsidR="002615F5">
                        <w:instrText xml:space="preserve"> SEQ Table \* ARABIC </w:instrText>
                      </w:r>
                      <w:r w:rsidR="002615F5">
                        <w:fldChar w:fldCharType="separate"/>
                      </w:r>
                      <w:r w:rsidR="005F7E78">
                        <w:rPr>
                          <w:noProof/>
                        </w:rPr>
                        <w:t>1</w:t>
                      </w:r>
                      <w:r w:rsidR="002615F5">
                        <w:rPr>
                          <w:noProof/>
                        </w:rPr>
                        <w:fldChar w:fldCharType="end"/>
                      </w:r>
                      <w:r>
                        <w:t xml:space="preserve">: </w:t>
                      </w:r>
                      <w:r w:rsidRPr="00741265">
                        <w:t>Profitability Ratio</w:t>
                      </w:r>
                    </w:p>
                  </w:txbxContent>
                </v:textbox>
              </v:shape>
            </w:pict>
          </mc:Fallback>
        </mc:AlternateContent>
      </w:r>
    </w:p>
    <w:p w14:paraId="715DA715" w14:textId="6EB816C4" w:rsidR="002F2F7A" w:rsidRPr="001F6D3E" w:rsidRDefault="0049103B" w:rsidP="00AD4654">
      <w:pPr>
        <w:rPr>
          <w:rFonts w:ascii="Arial" w:hAnsi="Arial" w:cs="Arial"/>
        </w:rPr>
      </w:pPr>
      <w:r w:rsidRPr="001F6D3E">
        <w:rPr>
          <w:rFonts w:ascii="Arial" w:hAnsi="Arial" w:cs="Arial"/>
          <w:noProof/>
        </w:rPr>
        <w:drawing>
          <wp:anchor distT="0" distB="0" distL="114300" distR="114300" simplePos="0" relativeHeight="251660288" behindDoc="0" locked="0" layoutInCell="1" allowOverlap="1" wp14:anchorId="2B9B5E1E" wp14:editId="79AABD85">
            <wp:simplePos x="0" y="0"/>
            <wp:positionH relativeFrom="margin">
              <wp:posOffset>104775</wp:posOffset>
            </wp:positionH>
            <wp:positionV relativeFrom="paragraph">
              <wp:posOffset>26035</wp:posOffset>
            </wp:positionV>
            <wp:extent cx="5613041" cy="2310430"/>
            <wp:effectExtent l="0" t="0" r="698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13041" cy="23104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DFC824" w14:textId="77777777" w:rsidR="00521CFD" w:rsidRPr="001F6D3E" w:rsidRDefault="00521CFD" w:rsidP="00521CFD">
      <w:pPr>
        <w:jc w:val="center"/>
        <w:rPr>
          <w:rFonts w:ascii="Arial" w:hAnsi="Arial" w:cs="Arial"/>
          <w:i/>
          <w:color w:val="2E74B5" w:themeColor="accent1" w:themeShade="BF"/>
          <w:sz w:val="20"/>
        </w:rPr>
      </w:pPr>
    </w:p>
    <w:p w14:paraId="140DDC21" w14:textId="77777777" w:rsidR="00521CFD" w:rsidRPr="001F6D3E" w:rsidRDefault="00521CFD" w:rsidP="00521CFD">
      <w:pPr>
        <w:jc w:val="center"/>
        <w:rPr>
          <w:rFonts w:ascii="Arial" w:hAnsi="Arial" w:cs="Arial"/>
          <w:i/>
          <w:color w:val="2E74B5" w:themeColor="accent1" w:themeShade="BF"/>
          <w:sz w:val="20"/>
        </w:rPr>
      </w:pPr>
    </w:p>
    <w:p w14:paraId="72C2A9AA" w14:textId="77777777" w:rsidR="00D85581" w:rsidRPr="001F6D3E" w:rsidRDefault="00D85581" w:rsidP="00AD4654">
      <w:pPr>
        <w:rPr>
          <w:rFonts w:ascii="Arial" w:hAnsi="Arial" w:cs="Arial"/>
        </w:rPr>
      </w:pPr>
    </w:p>
    <w:p w14:paraId="30F3CA22" w14:textId="77777777" w:rsidR="002F2F7A" w:rsidRPr="001F6D3E" w:rsidRDefault="002F2F7A" w:rsidP="00AD4654">
      <w:pPr>
        <w:rPr>
          <w:rFonts w:ascii="Arial" w:hAnsi="Arial" w:cs="Arial"/>
        </w:rPr>
      </w:pPr>
    </w:p>
    <w:p w14:paraId="139E3912" w14:textId="77777777" w:rsidR="00D85581" w:rsidRPr="001F6D3E" w:rsidRDefault="00D85581" w:rsidP="00AD4654">
      <w:pPr>
        <w:rPr>
          <w:rFonts w:ascii="Arial" w:hAnsi="Arial" w:cs="Arial"/>
        </w:rPr>
      </w:pPr>
    </w:p>
    <w:p w14:paraId="38001C4A" w14:textId="77777777" w:rsidR="00D85581" w:rsidRPr="001F6D3E" w:rsidRDefault="00D85581" w:rsidP="00AD4654">
      <w:pPr>
        <w:rPr>
          <w:rFonts w:ascii="Arial" w:hAnsi="Arial" w:cs="Arial"/>
        </w:rPr>
      </w:pPr>
    </w:p>
    <w:p w14:paraId="774A17EC" w14:textId="0A15F321" w:rsidR="00E240CF" w:rsidRDefault="00E240CF" w:rsidP="00A34D59">
      <w:pPr>
        <w:jc w:val="center"/>
        <w:rPr>
          <w:rFonts w:ascii="Arial" w:hAnsi="Arial" w:cs="Arial"/>
          <w:i/>
          <w:color w:val="2E74B5" w:themeColor="accent1" w:themeShade="BF"/>
          <w:sz w:val="20"/>
        </w:rPr>
      </w:pPr>
    </w:p>
    <w:p w14:paraId="7084BF27" w14:textId="77777777" w:rsidR="00165675" w:rsidRDefault="00165675" w:rsidP="00A34D59">
      <w:pPr>
        <w:jc w:val="center"/>
        <w:rPr>
          <w:rFonts w:ascii="Arial" w:hAnsi="Arial" w:cs="Arial"/>
          <w:color w:val="2E74B5" w:themeColor="accent1" w:themeShade="BF"/>
          <w:sz w:val="20"/>
        </w:rPr>
      </w:pPr>
    </w:p>
    <w:p w14:paraId="2FA63647" w14:textId="77777777" w:rsidR="00165675" w:rsidRDefault="00165675" w:rsidP="00A34D59">
      <w:pPr>
        <w:jc w:val="center"/>
        <w:rPr>
          <w:rFonts w:ascii="Arial" w:hAnsi="Arial" w:cs="Arial"/>
          <w:color w:val="2E74B5" w:themeColor="accent1" w:themeShade="BF"/>
          <w:sz w:val="20"/>
        </w:rPr>
      </w:pPr>
      <w:r>
        <w:rPr>
          <w:noProof/>
        </w:rPr>
        <w:drawing>
          <wp:inline distT="0" distB="0" distL="0" distR="0" wp14:anchorId="11BBC5F4" wp14:editId="6BA5E8AC">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67D060E" w14:textId="77777777" w:rsidR="00165675" w:rsidRPr="00B45D8A" w:rsidRDefault="00165675" w:rsidP="00A34D59">
      <w:pPr>
        <w:jc w:val="center"/>
        <w:rPr>
          <w:rFonts w:ascii="Arial" w:hAnsi="Arial" w:cs="Arial"/>
          <w:i/>
          <w:color w:val="2E74B5" w:themeColor="accent1" w:themeShade="BF"/>
          <w:sz w:val="20"/>
        </w:rPr>
      </w:pPr>
      <w:r w:rsidRPr="00B45D8A">
        <w:rPr>
          <w:rFonts w:ascii="Arial" w:hAnsi="Arial" w:cs="Arial"/>
          <w:i/>
          <w:color w:val="2E74B5" w:themeColor="accent1" w:themeShade="BF"/>
          <w:sz w:val="20"/>
        </w:rPr>
        <w:t>Graph 1 Profitab</w:t>
      </w:r>
      <w:r w:rsidR="00EC2722" w:rsidRPr="00B45D8A">
        <w:rPr>
          <w:rFonts w:ascii="Arial" w:hAnsi="Arial" w:cs="Arial"/>
          <w:i/>
          <w:color w:val="2E74B5" w:themeColor="accent1" w:themeShade="BF"/>
          <w:sz w:val="20"/>
        </w:rPr>
        <w:t>i</w:t>
      </w:r>
      <w:r w:rsidRPr="00B45D8A">
        <w:rPr>
          <w:rFonts w:ascii="Arial" w:hAnsi="Arial" w:cs="Arial"/>
          <w:i/>
          <w:color w:val="2E74B5" w:themeColor="accent1" w:themeShade="BF"/>
          <w:sz w:val="20"/>
        </w:rPr>
        <w:t>lity Ratio</w:t>
      </w:r>
    </w:p>
    <w:p w14:paraId="555E0CC5" w14:textId="77777777" w:rsidR="00165675" w:rsidRDefault="00165675" w:rsidP="00A34D59">
      <w:pPr>
        <w:jc w:val="center"/>
        <w:rPr>
          <w:rFonts w:ascii="Arial" w:hAnsi="Arial" w:cs="Arial"/>
          <w:color w:val="2E74B5" w:themeColor="accent1" w:themeShade="BF"/>
          <w:sz w:val="20"/>
        </w:rPr>
      </w:pPr>
    </w:p>
    <w:p w14:paraId="141CB890" w14:textId="77777777" w:rsidR="00165675" w:rsidRDefault="00165675" w:rsidP="00A34D59">
      <w:pPr>
        <w:jc w:val="center"/>
        <w:rPr>
          <w:rFonts w:ascii="Arial" w:hAnsi="Arial" w:cs="Arial"/>
          <w:color w:val="2E74B5" w:themeColor="accent1" w:themeShade="BF"/>
          <w:sz w:val="20"/>
        </w:rPr>
      </w:pPr>
    </w:p>
    <w:p w14:paraId="2CE11B5E" w14:textId="77777777" w:rsidR="00165675" w:rsidRDefault="00165675" w:rsidP="00B45D8A">
      <w:pPr>
        <w:rPr>
          <w:rFonts w:ascii="Arial" w:hAnsi="Arial" w:cs="Arial"/>
          <w:color w:val="2E74B5" w:themeColor="accent1" w:themeShade="BF"/>
          <w:sz w:val="20"/>
        </w:rPr>
      </w:pPr>
    </w:p>
    <w:p w14:paraId="52E3C1AF" w14:textId="77777777" w:rsidR="00165675" w:rsidRPr="00165675" w:rsidRDefault="00165675" w:rsidP="00A34D59">
      <w:pPr>
        <w:jc w:val="center"/>
        <w:rPr>
          <w:rFonts w:ascii="Arial" w:hAnsi="Arial" w:cs="Arial"/>
          <w:color w:val="2E74B5" w:themeColor="accent1" w:themeShade="BF"/>
          <w:sz w:val="20"/>
        </w:rPr>
      </w:pPr>
    </w:p>
    <w:p w14:paraId="068A3CEE" w14:textId="77777777" w:rsidR="00E74CE3" w:rsidRDefault="004215F2" w:rsidP="001D5163">
      <w:pPr>
        <w:pStyle w:val="Heading2"/>
      </w:pPr>
      <w:bookmarkStart w:id="60" w:name="_Toc217238043"/>
      <w:r w:rsidRPr="001F6D3E">
        <w:lastRenderedPageBreak/>
        <w:t>A2: Liquidity Ratio Analysis for GE (2020-2024)</w:t>
      </w:r>
      <w:bookmarkEnd w:id="60"/>
    </w:p>
    <w:p w14:paraId="60D15B40" w14:textId="77777777" w:rsidR="00720B10" w:rsidRPr="00720B10" w:rsidRDefault="00720B10" w:rsidP="00720B10"/>
    <w:p w14:paraId="76A307DB" w14:textId="0B9B82C5" w:rsidR="00720B10" w:rsidRDefault="00720B10" w:rsidP="00720B10">
      <w:pPr>
        <w:pStyle w:val="Caption"/>
        <w:keepNext/>
      </w:pPr>
      <w:r>
        <w:t xml:space="preserve">Table </w:t>
      </w:r>
      <w:r w:rsidR="002615F5">
        <w:fldChar w:fldCharType="begin"/>
      </w:r>
      <w:r w:rsidR="002615F5">
        <w:instrText xml:space="preserve"> SEQ Table \* ARABIC </w:instrText>
      </w:r>
      <w:r w:rsidR="002615F5">
        <w:fldChar w:fldCharType="separate"/>
      </w:r>
      <w:r w:rsidR="005F7E78">
        <w:rPr>
          <w:noProof/>
        </w:rPr>
        <w:t>2</w:t>
      </w:r>
      <w:r w:rsidR="002615F5">
        <w:rPr>
          <w:noProof/>
        </w:rPr>
        <w:fldChar w:fldCharType="end"/>
      </w:r>
      <w:r>
        <w:t xml:space="preserve">: </w:t>
      </w:r>
      <w:r w:rsidRPr="0041641E">
        <w:t>Liquidity Analysis</w:t>
      </w:r>
    </w:p>
    <w:tbl>
      <w:tblPr>
        <w:tblW w:w="8931" w:type="dxa"/>
        <w:tblInd w:w="-5" w:type="dxa"/>
        <w:tblLook w:val="04A0" w:firstRow="1" w:lastRow="0" w:firstColumn="1" w:lastColumn="0" w:noHBand="0" w:noVBand="1"/>
      </w:tblPr>
      <w:tblGrid>
        <w:gridCol w:w="1843"/>
        <w:gridCol w:w="1418"/>
        <w:gridCol w:w="1417"/>
        <w:gridCol w:w="1418"/>
        <w:gridCol w:w="1417"/>
        <w:gridCol w:w="1418"/>
      </w:tblGrid>
      <w:tr w:rsidR="004215F2" w:rsidRPr="001F6D3E" w14:paraId="0439A520" w14:textId="77777777" w:rsidTr="00AD2CBA">
        <w:trPr>
          <w:trHeight w:val="382"/>
        </w:trPr>
        <w:tc>
          <w:tcPr>
            <w:tcW w:w="1843" w:type="dxa"/>
            <w:tcBorders>
              <w:top w:val="single" w:sz="4" w:space="0" w:color="auto"/>
              <w:left w:val="single" w:sz="4" w:space="0" w:color="auto"/>
              <w:bottom w:val="single" w:sz="4" w:space="0" w:color="auto"/>
              <w:right w:val="single" w:sz="4" w:space="0" w:color="auto"/>
            </w:tcBorders>
            <w:noWrap/>
            <w:vAlign w:val="bottom"/>
            <w:hideMark/>
          </w:tcPr>
          <w:p w14:paraId="00502E96" w14:textId="77777777" w:rsidR="004215F2" w:rsidRPr="001F6D3E" w:rsidRDefault="004215F2" w:rsidP="004215F2">
            <w:pPr>
              <w:spacing w:after="0" w:line="240" w:lineRule="auto"/>
              <w:rPr>
                <w:rFonts w:ascii="Arial" w:eastAsia="Times New Roman" w:hAnsi="Arial" w:cs="Arial"/>
                <w:color w:val="000000"/>
                <w:sz w:val="20"/>
                <w:szCs w:val="20"/>
              </w:rPr>
            </w:pPr>
            <w:r w:rsidRPr="001F6D3E">
              <w:rPr>
                <w:rFonts w:ascii="Arial" w:eastAsia="Times New Roman" w:hAnsi="Arial" w:cs="Arial"/>
                <w:color w:val="000000"/>
                <w:sz w:val="20"/>
                <w:szCs w:val="20"/>
              </w:rPr>
              <w:t> </w:t>
            </w:r>
          </w:p>
        </w:tc>
        <w:tc>
          <w:tcPr>
            <w:tcW w:w="1418" w:type="dxa"/>
            <w:tcBorders>
              <w:top w:val="single" w:sz="4" w:space="0" w:color="auto"/>
              <w:left w:val="nil"/>
              <w:bottom w:val="single" w:sz="4" w:space="0" w:color="auto"/>
              <w:right w:val="single" w:sz="4" w:space="0" w:color="auto"/>
            </w:tcBorders>
            <w:noWrap/>
            <w:vAlign w:val="bottom"/>
            <w:hideMark/>
          </w:tcPr>
          <w:p w14:paraId="1F17E5D8" w14:textId="77777777" w:rsidR="004215F2" w:rsidRPr="001F6D3E" w:rsidRDefault="004215F2" w:rsidP="004215F2">
            <w:pPr>
              <w:spacing w:after="0" w:line="240" w:lineRule="auto"/>
              <w:jc w:val="right"/>
              <w:rPr>
                <w:rFonts w:ascii="Arial" w:eastAsia="Times New Roman" w:hAnsi="Arial" w:cs="Arial"/>
                <w:b/>
                <w:bCs/>
                <w:color w:val="000000"/>
                <w:sz w:val="20"/>
                <w:szCs w:val="20"/>
              </w:rPr>
            </w:pPr>
            <w:r w:rsidRPr="001F6D3E">
              <w:rPr>
                <w:rFonts w:ascii="Arial" w:eastAsia="Times New Roman" w:hAnsi="Arial" w:cs="Arial"/>
                <w:b/>
                <w:bCs/>
                <w:color w:val="000000"/>
                <w:sz w:val="20"/>
                <w:szCs w:val="20"/>
              </w:rPr>
              <w:t>2020</w:t>
            </w:r>
          </w:p>
        </w:tc>
        <w:tc>
          <w:tcPr>
            <w:tcW w:w="1417" w:type="dxa"/>
            <w:tcBorders>
              <w:top w:val="single" w:sz="4" w:space="0" w:color="auto"/>
              <w:left w:val="nil"/>
              <w:bottom w:val="single" w:sz="4" w:space="0" w:color="auto"/>
              <w:right w:val="single" w:sz="4" w:space="0" w:color="auto"/>
            </w:tcBorders>
            <w:noWrap/>
            <w:vAlign w:val="bottom"/>
            <w:hideMark/>
          </w:tcPr>
          <w:p w14:paraId="72D94F88" w14:textId="77777777" w:rsidR="004215F2" w:rsidRPr="001F6D3E" w:rsidRDefault="004215F2" w:rsidP="004215F2">
            <w:pPr>
              <w:spacing w:after="0" w:line="240" w:lineRule="auto"/>
              <w:jc w:val="right"/>
              <w:rPr>
                <w:rFonts w:ascii="Arial" w:eastAsia="Times New Roman" w:hAnsi="Arial" w:cs="Arial"/>
                <w:b/>
                <w:bCs/>
                <w:color w:val="000000"/>
                <w:sz w:val="20"/>
                <w:szCs w:val="20"/>
              </w:rPr>
            </w:pPr>
            <w:r w:rsidRPr="001F6D3E">
              <w:rPr>
                <w:rFonts w:ascii="Arial" w:eastAsia="Times New Roman" w:hAnsi="Arial" w:cs="Arial"/>
                <w:b/>
                <w:bCs/>
                <w:color w:val="000000"/>
                <w:sz w:val="20"/>
                <w:szCs w:val="20"/>
              </w:rPr>
              <w:t>2021</w:t>
            </w:r>
          </w:p>
        </w:tc>
        <w:tc>
          <w:tcPr>
            <w:tcW w:w="1418" w:type="dxa"/>
            <w:tcBorders>
              <w:top w:val="single" w:sz="4" w:space="0" w:color="auto"/>
              <w:left w:val="nil"/>
              <w:bottom w:val="single" w:sz="4" w:space="0" w:color="auto"/>
              <w:right w:val="single" w:sz="4" w:space="0" w:color="auto"/>
            </w:tcBorders>
            <w:noWrap/>
            <w:vAlign w:val="bottom"/>
            <w:hideMark/>
          </w:tcPr>
          <w:p w14:paraId="15CD0840" w14:textId="77777777" w:rsidR="004215F2" w:rsidRPr="001F6D3E" w:rsidRDefault="004215F2" w:rsidP="004215F2">
            <w:pPr>
              <w:spacing w:after="0" w:line="240" w:lineRule="auto"/>
              <w:jc w:val="right"/>
              <w:rPr>
                <w:rFonts w:ascii="Arial" w:eastAsia="Times New Roman" w:hAnsi="Arial" w:cs="Arial"/>
                <w:b/>
                <w:bCs/>
                <w:color w:val="000000"/>
                <w:sz w:val="20"/>
                <w:szCs w:val="20"/>
              </w:rPr>
            </w:pPr>
            <w:r w:rsidRPr="001F6D3E">
              <w:rPr>
                <w:rFonts w:ascii="Arial" w:eastAsia="Times New Roman" w:hAnsi="Arial" w:cs="Arial"/>
                <w:b/>
                <w:bCs/>
                <w:color w:val="000000"/>
                <w:sz w:val="20"/>
                <w:szCs w:val="20"/>
              </w:rPr>
              <w:t>2022</w:t>
            </w:r>
          </w:p>
        </w:tc>
        <w:tc>
          <w:tcPr>
            <w:tcW w:w="1417" w:type="dxa"/>
            <w:tcBorders>
              <w:top w:val="single" w:sz="4" w:space="0" w:color="auto"/>
              <w:left w:val="nil"/>
              <w:bottom w:val="single" w:sz="4" w:space="0" w:color="auto"/>
              <w:right w:val="single" w:sz="4" w:space="0" w:color="auto"/>
            </w:tcBorders>
            <w:noWrap/>
            <w:vAlign w:val="bottom"/>
            <w:hideMark/>
          </w:tcPr>
          <w:p w14:paraId="75C22BD4" w14:textId="77777777" w:rsidR="004215F2" w:rsidRPr="001F6D3E" w:rsidRDefault="004215F2" w:rsidP="004215F2">
            <w:pPr>
              <w:spacing w:after="0" w:line="240" w:lineRule="auto"/>
              <w:jc w:val="right"/>
              <w:rPr>
                <w:rFonts w:ascii="Arial" w:eastAsia="Times New Roman" w:hAnsi="Arial" w:cs="Arial"/>
                <w:b/>
                <w:bCs/>
                <w:color w:val="000000"/>
                <w:sz w:val="20"/>
                <w:szCs w:val="20"/>
              </w:rPr>
            </w:pPr>
            <w:r w:rsidRPr="001F6D3E">
              <w:rPr>
                <w:rFonts w:ascii="Arial" w:eastAsia="Times New Roman" w:hAnsi="Arial" w:cs="Arial"/>
                <w:b/>
                <w:bCs/>
                <w:color w:val="000000"/>
                <w:sz w:val="20"/>
                <w:szCs w:val="20"/>
              </w:rPr>
              <w:t>2023</w:t>
            </w:r>
          </w:p>
        </w:tc>
        <w:tc>
          <w:tcPr>
            <w:tcW w:w="1418" w:type="dxa"/>
            <w:tcBorders>
              <w:top w:val="single" w:sz="4" w:space="0" w:color="auto"/>
              <w:left w:val="nil"/>
              <w:bottom w:val="single" w:sz="4" w:space="0" w:color="auto"/>
              <w:right w:val="single" w:sz="4" w:space="0" w:color="auto"/>
            </w:tcBorders>
            <w:noWrap/>
            <w:vAlign w:val="bottom"/>
            <w:hideMark/>
          </w:tcPr>
          <w:p w14:paraId="35186724" w14:textId="77777777" w:rsidR="004215F2" w:rsidRPr="001F6D3E" w:rsidRDefault="004215F2" w:rsidP="004215F2">
            <w:pPr>
              <w:spacing w:after="0" w:line="240" w:lineRule="auto"/>
              <w:jc w:val="right"/>
              <w:rPr>
                <w:rFonts w:ascii="Arial" w:eastAsia="Times New Roman" w:hAnsi="Arial" w:cs="Arial"/>
                <w:b/>
                <w:bCs/>
                <w:color w:val="000000"/>
                <w:sz w:val="20"/>
                <w:szCs w:val="20"/>
              </w:rPr>
            </w:pPr>
            <w:r w:rsidRPr="001F6D3E">
              <w:rPr>
                <w:rFonts w:ascii="Arial" w:eastAsia="Times New Roman" w:hAnsi="Arial" w:cs="Arial"/>
                <w:b/>
                <w:bCs/>
                <w:color w:val="000000"/>
                <w:sz w:val="20"/>
                <w:szCs w:val="20"/>
              </w:rPr>
              <w:t>2024</w:t>
            </w:r>
          </w:p>
        </w:tc>
      </w:tr>
      <w:tr w:rsidR="004215F2" w:rsidRPr="001F6D3E" w14:paraId="52AF679B" w14:textId="77777777" w:rsidTr="00AD2CBA">
        <w:trPr>
          <w:trHeight w:val="382"/>
        </w:trPr>
        <w:tc>
          <w:tcPr>
            <w:tcW w:w="1843" w:type="dxa"/>
            <w:tcBorders>
              <w:top w:val="nil"/>
              <w:left w:val="single" w:sz="4" w:space="0" w:color="auto"/>
              <w:bottom w:val="single" w:sz="4" w:space="0" w:color="auto"/>
              <w:right w:val="single" w:sz="4" w:space="0" w:color="auto"/>
            </w:tcBorders>
            <w:noWrap/>
            <w:vAlign w:val="bottom"/>
            <w:hideMark/>
          </w:tcPr>
          <w:p w14:paraId="32807652" w14:textId="334CFBF1" w:rsidR="004215F2" w:rsidRPr="001F6D3E" w:rsidRDefault="004215F2" w:rsidP="004215F2">
            <w:pPr>
              <w:spacing w:after="0" w:line="240" w:lineRule="auto"/>
              <w:rPr>
                <w:rFonts w:ascii="Arial" w:eastAsia="Times New Roman" w:hAnsi="Arial" w:cs="Arial"/>
                <w:color w:val="000000"/>
                <w:sz w:val="20"/>
                <w:szCs w:val="20"/>
              </w:rPr>
            </w:pPr>
            <w:r w:rsidRPr="001F6D3E">
              <w:rPr>
                <w:rFonts w:ascii="Arial" w:eastAsia="Times New Roman" w:hAnsi="Arial" w:cs="Arial"/>
                <w:color w:val="000000"/>
                <w:sz w:val="20"/>
                <w:szCs w:val="20"/>
              </w:rPr>
              <w:t xml:space="preserve">Current </w:t>
            </w:r>
            <w:r w:rsidR="00561979" w:rsidRPr="001F6D3E">
              <w:rPr>
                <w:rFonts w:ascii="Arial" w:eastAsia="Times New Roman" w:hAnsi="Arial" w:cs="Arial"/>
                <w:color w:val="000000"/>
                <w:sz w:val="20"/>
                <w:szCs w:val="20"/>
              </w:rPr>
              <w:t>Assets</w:t>
            </w:r>
          </w:p>
        </w:tc>
        <w:tc>
          <w:tcPr>
            <w:tcW w:w="1418" w:type="dxa"/>
            <w:tcBorders>
              <w:top w:val="nil"/>
              <w:left w:val="nil"/>
              <w:bottom w:val="single" w:sz="4" w:space="0" w:color="auto"/>
              <w:right w:val="single" w:sz="4" w:space="0" w:color="auto"/>
            </w:tcBorders>
            <w:noWrap/>
            <w:vAlign w:val="bottom"/>
            <w:hideMark/>
          </w:tcPr>
          <w:p w14:paraId="0547FC63"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326,843</w:t>
            </w:r>
          </w:p>
        </w:tc>
        <w:tc>
          <w:tcPr>
            <w:tcW w:w="1417" w:type="dxa"/>
            <w:tcBorders>
              <w:top w:val="nil"/>
              <w:left w:val="nil"/>
              <w:bottom w:val="single" w:sz="4" w:space="0" w:color="auto"/>
              <w:right w:val="single" w:sz="4" w:space="0" w:color="auto"/>
            </w:tcBorders>
            <w:noWrap/>
            <w:vAlign w:val="bottom"/>
            <w:hideMark/>
          </w:tcPr>
          <w:p w14:paraId="35AA1837"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337,146</w:t>
            </w:r>
          </w:p>
        </w:tc>
        <w:tc>
          <w:tcPr>
            <w:tcW w:w="1418" w:type="dxa"/>
            <w:tcBorders>
              <w:top w:val="nil"/>
              <w:left w:val="nil"/>
              <w:bottom w:val="single" w:sz="4" w:space="0" w:color="auto"/>
              <w:right w:val="single" w:sz="4" w:space="0" w:color="auto"/>
            </w:tcBorders>
            <w:noWrap/>
            <w:vAlign w:val="bottom"/>
            <w:hideMark/>
          </w:tcPr>
          <w:p w14:paraId="596FBCF0"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338,040</w:t>
            </w:r>
          </w:p>
        </w:tc>
        <w:tc>
          <w:tcPr>
            <w:tcW w:w="1417" w:type="dxa"/>
            <w:tcBorders>
              <w:top w:val="nil"/>
              <w:left w:val="nil"/>
              <w:bottom w:val="single" w:sz="4" w:space="0" w:color="auto"/>
              <w:right w:val="single" w:sz="4" w:space="0" w:color="auto"/>
            </w:tcBorders>
            <w:noWrap/>
            <w:vAlign w:val="bottom"/>
            <w:hideMark/>
          </w:tcPr>
          <w:p w14:paraId="2EB01D8D"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258,851</w:t>
            </w:r>
          </w:p>
        </w:tc>
        <w:tc>
          <w:tcPr>
            <w:tcW w:w="1418" w:type="dxa"/>
            <w:tcBorders>
              <w:top w:val="nil"/>
              <w:left w:val="nil"/>
              <w:bottom w:val="single" w:sz="4" w:space="0" w:color="auto"/>
              <w:right w:val="single" w:sz="4" w:space="0" w:color="auto"/>
            </w:tcBorders>
            <w:noWrap/>
            <w:vAlign w:val="bottom"/>
            <w:hideMark/>
          </w:tcPr>
          <w:p w14:paraId="356A864F"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242,494</w:t>
            </w:r>
          </w:p>
        </w:tc>
      </w:tr>
      <w:tr w:rsidR="004215F2" w:rsidRPr="001F6D3E" w14:paraId="19E8406D" w14:textId="77777777" w:rsidTr="00AD2CBA">
        <w:trPr>
          <w:trHeight w:val="382"/>
        </w:trPr>
        <w:tc>
          <w:tcPr>
            <w:tcW w:w="1843" w:type="dxa"/>
            <w:tcBorders>
              <w:top w:val="nil"/>
              <w:left w:val="single" w:sz="4" w:space="0" w:color="auto"/>
              <w:bottom w:val="single" w:sz="4" w:space="0" w:color="auto"/>
              <w:right w:val="single" w:sz="4" w:space="0" w:color="auto"/>
            </w:tcBorders>
            <w:noWrap/>
            <w:vAlign w:val="bottom"/>
            <w:hideMark/>
          </w:tcPr>
          <w:p w14:paraId="2E267628" w14:textId="77777777" w:rsidR="004215F2" w:rsidRPr="001F6D3E" w:rsidRDefault="004215F2" w:rsidP="004215F2">
            <w:pPr>
              <w:spacing w:after="0" w:line="240" w:lineRule="auto"/>
              <w:rPr>
                <w:rFonts w:ascii="Arial" w:eastAsia="Times New Roman" w:hAnsi="Arial" w:cs="Arial"/>
                <w:color w:val="000000"/>
                <w:sz w:val="20"/>
                <w:szCs w:val="20"/>
              </w:rPr>
            </w:pPr>
            <w:r w:rsidRPr="001F6D3E">
              <w:rPr>
                <w:rFonts w:ascii="Arial" w:eastAsia="Times New Roman" w:hAnsi="Arial" w:cs="Arial"/>
                <w:color w:val="000000"/>
                <w:sz w:val="20"/>
                <w:szCs w:val="20"/>
              </w:rPr>
              <w:t>Current Liabilities</w:t>
            </w:r>
          </w:p>
        </w:tc>
        <w:tc>
          <w:tcPr>
            <w:tcW w:w="1418" w:type="dxa"/>
            <w:tcBorders>
              <w:top w:val="nil"/>
              <w:left w:val="nil"/>
              <w:bottom w:val="single" w:sz="4" w:space="0" w:color="auto"/>
              <w:right w:val="single" w:sz="4" w:space="0" w:color="auto"/>
            </w:tcBorders>
            <w:noWrap/>
            <w:vAlign w:val="bottom"/>
            <w:hideMark/>
          </w:tcPr>
          <w:p w14:paraId="148FB600"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179,510</w:t>
            </w:r>
          </w:p>
        </w:tc>
        <w:tc>
          <w:tcPr>
            <w:tcW w:w="1417" w:type="dxa"/>
            <w:tcBorders>
              <w:top w:val="nil"/>
              <w:left w:val="nil"/>
              <w:bottom w:val="single" w:sz="4" w:space="0" w:color="auto"/>
              <w:right w:val="single" w:sz="4" w:space="0" w:color="auto"/>
            </w:tcBorders>
            <w:noWrap/>
            <w:vAlign w:val="bottom"/>
            <w:hideMark/>
          </w:tcPr>
          <w:p w14:paraId="6845CCD4"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216,787</w:t>
            </w:r>
          </w:p>
        </w:tc>
        <w:tc>
          <w:tcPr>
            <w:tcW w:w="1418" w:type="dxa"/>
            <w:tcBorders>
              <w:top w:val="nil"/>
              <w:left w:val="nil"/>
              <w:bottom w:val="single" w:sz="4" w:space="0" w:color="auto"/>
              <w:right w:val="single" w:sz="4" w:space="0" w:color="auto"/>
            </w:tcBorders>
            <w:noWrap/>
            <w:vAlign w:val="bottom"/>
            <w:hideMark/>
          </w:tcPr>
          <w:p w14:paraId="58CFCF02"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216,473</w:t>
            </w:r>
          </w:p>
        </w:tc>
        <w:tc>
          <w:tcPr>
            <w:tcW w:w="1417" w:type="dxa"/>
            <w:tcBorders>
              <w:top w:val="nil"/>
              <w:left w:val="nil"/>
              <w:bottom w:val="single" w:sz="4" w:space="0" w:color="auto"/>
              <w:right w:val="single" w:sz="4" w:space="0" w:color="auto"/>
            </w:tcBorders>
            <w:noWrap/>
            <w:vAlign w:val="bottom"/>
            <w:hideMark/>
          </w:tcPr>
          <w:p w14:paraId="37457271"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161,148</w:t>
            </w:r>
          </w:p>
        </w:tc>
        <w:tc>
          <w:tcPr>
            <w:tcW w:w="1418" w:type="dxa"/>
            <w:tcBorders>
              <w:top w:val="nil"/>
              <w:left w:val="nil"/>
              <w:bottom w:val="single" w:sz="4" w:space="0" w:color="auto"/>
              <w:right w:val="single" w:sz="4" w:space="0" w:color="auto"/>
            </w:tcBorders>
            <w:noWrap/>
            <w:vAlign w:val="bottom"/>
            <w:hideMark/>
          </w:tcPr>
          <w:p w14:paraId="7E443668"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158,291</w:t>
            </w:r>
          </w:p>
        </w:tc>
      </w:tr>
      <w:tr w:rsidR="004215F2" w:rsidRPr="001F6D3E" w14:paraId="7FD2EA3F" w14:textId="77777777" w:rsidTr="00AD2CBA">
        <w:trPr>
          <w:trHeight w:val="382"/>
        </w:trPr>
        <w:tc>
          <w:tcPr>
            <w:tcW w:w="1843" w:type="dxa"/>
            <w:tcBorders>
              <w:top w:val="nil"/>
              <w:left w:val="single" w:sz="4" w:space="0" w:color="auto"/>
              <w:bottom w:val="single" w:sz="4" w:space="0" w:color="auto"/>
              <w:right w:val="single" w:sz="4" w:space="0" w:color="auto"/>
            </w:tcBorders>
            <w:noWrap/>
            <w:vAlign w:val="bottom"/>
            <w:hideMark/>
          </w:tcPr>
          <w:p w14:paraId="7DFC46D2" w14:textId="77777777" w:rsidR="004215F2" w:rsidRPr="001F6D3E" w:rsidRDefault="004215F2" w:rsidP="004215F2">
            <w:pPr>
              <w:spacing w:after="0" w:line="240" w:lineRule="auto"/>
              <w:rPr>
                <w:rFonts w:ascii="Arial" w:eastAsia="Times New Roman" w:hAnsi="Arial" w:cs="Arial"/>
                <w:color w:val="000000"/>
                <w:sz w:val="20"/>
                <w:szCs w:val="20"/>
              </w:rPr>
            </w:pPr>
            <w:r w:rsidRPr="001F6D3E">
              <w:rPr>
                <w:rFonts w:ascii="Arial" w:eastAsia="Times New Roman" w:hAnsi="Arial" w:cs="Arial"/>
                <w:color w:val="000000"/>
                <w:sz w:val="20"/>
                <w:szCs w:val="20"/>
              </w:rPr>
              <w:t>Inventory</w:t>
            </w:r>
          </w:p>
        </w:tc>
        <w:tc>
          <w:tcPr>
            <w:tcW w:w="1418" w:type="dxa"/>
            <w:tcBorders>
              <w:top w:val="nil"/>
              <w:left w:val="nil"/>
              <w:bottom w:val="single" w:sz="4" w:space="0" w:color="auto"/>
              <w:right w:val="single" w:sz="4" w:space="0" w:color="auto"/>
            </w:tcBorders>
            <w:noWrap/>
            <w:vAlign w:val="bottom"/>
            <w:hideMark/>
          </w:tcPr>
          <w:p w14:paraId="5235F374"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120,430</w:t>
            </w:r>
          </w:p>
        </w:tc>
        <w:tc>
          <w:tcPr>
            <w:tcW w:w="1417" w:type="dxa"/>
            <w:tcBorders>
              <w:top w:val="nil"/>
              <w:left w:val="nil"/>
              <w:bottom w:val="single" w:sz="4" w:space="0" w:color="auto"/>
              <w:right w:val="single" w:sz="4" w:space="0" w:color="auto"/>
            </w:tcBorders>
            <w:noWrap/>
            <w:vAlign w:val="bottom"/>
            <w:hideMark/>
          </w:tcPr>
          <w:p w14:paraId="7AC98B12"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134,469</w:t>
            </w:r>
          </w:p>
        </w:tc>
        <w:tc>
          <w:tcPr>
            <w:tcW w:w="1418" w:type="dxa"/>
            <w:tcBorders>
              <w:top w:val="nil"/>
              <w:left w:val="nil"/>
              <w:bottom w:val="single" w:sz="4" w:space="0" w:color="auto"/>
              <w:right w:val="single" w:sz="4" w:space="0" w:color="auto"/>
            </w:tcBorders>
            <w:noWrap/>
            <w:vAlign w:val="bottom"/>
            <w:hideMark/>
          </w:tcPr>
          <w:p w14:paraId="20E91AE4"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140,181</w:t>
            </w:r>
          </w:p>
        </w:tc>
        <w:tc>
          <w:tcPr>
            <w:tcW w:w="1417" w:type="dxa"/>
            <w:tcBorders>
              <w:top w:val="nil"/>
              <w:left w:val="nil"/>
              <w:bottom w:val="single" w:sz="4" w:space="0" w:color="auto"/>
              <w:right w:val="single" w:sz="4" w:space="0" w:color="auto"/>
            </w:tcBorders>
            <w:noWrap/>
            <w:vAlign w:val="bottom"/>
            <w:hideMark/>
          </w:tcPr>
          <w:p w14:paraId="29B95F4B"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88,273</w:t>
            </w:r>
          </w:p>
        </w:tc>
        <w:tc>
          <w:tcPr>
            <w:tcW w:w="1418" w:type="dxa"/>
            <w:tcBorders>
              <w:top w:val="nil"/>
              <w:left w:val="nil"/>
              <w:bottom w:val="single" w:sz="4" w:space="0" w:color="auto"/>
              <w:right w:val="single" w:sz="4" w:space="0" w:color="auto"/>
            </w:tcBorders>
            <w:noWrap/>
            <w:vAlign w:val="bottom"/>
            <w:hideMark/>
          </w:tcPr>
          <w:p w14:paraId="47897824"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79,355</w:t>
            </w:r>
          </w:p>
        </w:tc>
      </w:tr>
      <w:tr w:rsidR="004215F2" w:rsidRPr="001F6D3E" w14:paraId="2B733A40" w14:textId="77777777" w:rsidTr="00AD2CBA">
        <w:trPr>
          <w:trHeight w:val="382"/>
        </w:trPr>
        <w:tc>
          <w:tcPr>
            <w:tcW w:w="1843" w:type="dxa"/>
            <w:tcBorders>
              <w:top w:val="nil"/>
              <w:left w:val="single" w:sz="4" w:space="0" w:color="auto"/>
              <w:bottom w:val="single" w:sz="4" w:space="0" w:color="auto"/>
              <w:right w:val="single" w:sz="4" w:space="0" w:color="auto"/>
            </w:tcBorders>
            <w:noWrap/>
            <w:vAlign w:val="bottom"/>
            <w:hideMark/>
          </w:tcPr>
          <w:p w14:paraId="597165AD" w14:textId="77777777" w:rsidR="004215F2" w:rsidRPr="001F6D3E" w:rsidRDefault="004215F2" w:rsidP="004215F2">
            <w:pPr>
              <w:spacing w:after="0" w:line="240" w:lineRule="auto"/>
              <w:rPr>
                <w:rFonts w:ascii="Arial" w:eastAsia="Times New Roman" w:hAnsi="Arial" w:cs="Arial"/>
                <w:color w:val="000000"/>
                <w:sz w:val="20"/>
                <w:szCs w:val="20"/>
              </w:rPr>
            </w:pPr>
            <w:r w:rsidRPr="001F6D3E">
              <w:rPr>
                <w:rFonts w:ascii="Arial" w:eastAsia="Times New Roman" w:hAnsi="Arial" w:cs="Arial"/>
                <w:color w:val="000000"/>
                <w:sz w:val="20"/>
                <w:szCs w:val="20"/>
              </w:rPr>
              <w:t>Cash</w:t>
            </w:r>
          </w:p>
        </w:tc>
        <w:tc>
          <w:tcPr>
            <w:tcW w:w="1418" w:type="dxa"/>
            <w:tcBorders>
              <w:top w:val="nil"/>
              <w:left w:val="nil"/>
              <w:bottom w:val="single" w:sz="4" w:space="0" w:color="auto"/>
              <w:right w:val="single" w:sz="4" w:space="0" w:color="auto"/>
            </w:tcBorders>
            <w:noWrap/>
            <w:vAlign w:val="bottom"/>
            <w:hideMark/>
          </w:tcPr>
          <w:p w14:paraId="6E56822D"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57,153</w:t>
            </w:r>
          </w:p>
        </w:tc>
        <w:tc>
          <w:tcPr>
            <w:tcW w:w="1417" w:type="dxa"/>
            <w:tcBorders>
              <w:top w:val="nil"/>
              <w:left w:val="nil"/>
              <w:bottom w:val="single" w:sz="4" w:space="0" w:color="auto"/>
              <w:right w:val="single" w:sz="4" w:space="0" w:color="auto"/>
            </w:tcBorders>
            <w:noWrap/>
            <w:vAlign w:val="bottom"/>
            <w:hideMark/>
          </w:tcPr>
          <w:p w14:paraId="07CCDA82"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60,813</w:t>
            </w:r>
          </w:p>
        </w:tc>
        <w:tc>
          <w:tcPr>
            <w:tcW w:w="1418" w:type="dxa"/>
            <w:tcBorders>
              <w:top w:val="nil"/>
              <w:left w:val="nil"/>
              <w:bottom w:val="single" w:sz="4" w:space="0" w:color="auto"/>
              <w:right w:val="single" w:sz="4" w:space="0" w:color="auto"/>
            </w:tcBorders>
            <w:noWrap/>
            <w:vAlign w:val="bottom"/>
            <w:hideMark/>
          </w:tcPr>
          <w:p w14:paraId="58E75EE7"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66,740</w:t>
            </w:r>
          </w:p>
        </w:tc>
        <w:tc>
          <w:tcPr>
            <w:tcW w:w="1417" w:type="dxa"/>
            <w:tcBorders>
              <w:top w:val="nil"/>
              <w:left w:val="nil"/>
              <w:bottom w:val="single" w:sz="4" w:space="0" w:color="auto"/>
              <w:right w:val="single" w:sz="4" w:space="0" w:color="auto"/>
            </w:tcBorders>
            <w:noWrap/>
            <w:vAlign w:val="bottom"/>
            <w:hideMark/>
          </w:tcPr>
          <w:p w14:paraId="3F30AE2B"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42,751</w:t>
            </w:r>
          </w:p>
        </w:tc>
        <w:tc>
          <w:tcPr>
            <w:tcW w:w="1418" w:type="dxa"/>
            <w:tcBorders>
              <w:top w:val="nil"/>
              <w:left w:val="nil"/>
              <w:bottom w:val="single" w:sz="4" w:space="0" w:color="auto"/>
              <w:right w:val="single" w:sz="4" w:space="0" w:color="auto"/>
            </w:tcBorders>
            <w:noWrap/>
            <w:vAlign w:val="bottom"/>
            <w:hideMark/>
          </w:tcPr>
          <w:p w14:paraId="499670D3"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26,783</w:t>
            </w:r>
          </w:p>
        </w:tc>
      </w:tr>
      <w:tr w:rsidR="004215F2" w:rsidRPr="001F6D3E" w14:paraId="4832FB09" w14:textId="77777777" w:rsidTr="00AD2CBA">
        <w:trPr>
          <w:trHeight w:val="382"/>
        </w:trPr>
        <w:tc>
          <w:tcPr>
            <w:tcW w:w="1843" w:type="dxa"/>
            <w:tcBorders>
              <w:top w:val="nil"/>
              <w:left w:val="single" w:sz="4" w:space="0" w:color="auto"/>
              <w:bottom w:val="single" w:sz="4" w:space="0" w:color="auto"/>
              <w:right w:val="single" w:sz="4" w:space="0" w:color="auto"/>
            </w:tcBorders>
            <w:noWrap/>
            <w:vAlign w:val="bottom"/>
            <w:hideMark/>
          </w:tcPr>
          <w:p w14:paraId="7E8E7CCB" w14:textId="77777777" w:rsidR="004215F2" w:rsidRPr="001F6D3E" w:rsidRDefault="004215F2" w:rsidP="004215F2">
            <w:pPr>
              <w:spacing w:after="0" w:line="240" w:lineRule="auto"/>
              <w:rPr>
                <w:rFonts w:ascii="Arial" w:eastAsia="Times New Roman" w:hAnsi="Arial" w:cs="Arial"/>
                <w:b/>
                <w:bCs/>
                <w:color w:val="000000"/>
                <w:sz w:val="20"/>
                <w:szCs w:val="20"/>
              </w:rPr>
            </w:pPr>
            <w:r w:rsidRPr="001F6D3E">
              <w:rPr>
                <w:rFonts w:ascii="Arial" w:eastAsia="Times New Roman" w:hAnsi="Arial" w:cs="Arial"/>
                <w:b/>
                <w:bCs/>
                <w:color w:val="000000"/>
                <w:sz w:val="20"/>
                <w:szCs w:val="20"/>
              </w:rPr>
              <w:t>Current Ratio</w:t>
            </w:r>
          </w:p>
        </w:tc>
        <w:tc>
          <w:tcPr>
            <w:tcW w:w="1418" w:type="dxa"/>
            <w:tcBorders>
              <w:top w:val="nil"/>
              <w:left w:val="nil"/>
              <w:bottom w:val="single" w:sz="4" w:space="0" w:color="auto"/>
              <w:right w:val="single" w:sz="4" w:space="0" w:color="auto"/>
            </w:tcBorders>
            <w:noWrap/>
            <w:vAlign w:val="bottom"/>
            <w:hideMark/>
          </w:tcPr>
          <w:p w14:paraId="3B5665E4"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1.8207509</w:t>
            </w:r>
          </w:p>
        </w:tc>
        <w:tc>
          <w:tcPr>
            <w:tcW w:w="1417" w:type="dxa"/>
            <w:tcBorders>
              <w:top w:val="nil"/>
              <w:left w:val="nil"/>
              <w:bottom w:val="single" w:sz="4" w:space="0" w:color="auto"/>
              <w:right w:val="single" w:sz="4" w:space="0" w:color="auto"/>
            </w:tcBorders>
            <w:noWrap/>
            <w:vAlign w:val="bottom"/>
            <w:hideMark/>
          </w:tcPr>
          <w:p w14:paraId="7C8FB643"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1.555195</w:t>
            </w:r>
          </w:p>
        </w:tc>
        <w:tc>
          <w:tcPr>
            <w:tcW w:w="1418" w:type="dxa"/>
            <w:tcBorders>
              <w:top w:val="nil"/>
              <w:left w:val="nil"/>
              <w:bottom w:val="single" w:sz="4" w:space="0" w:color="auto"/>
              <w:right w:val="single" w:sz="4" w:space="0" w:color="auto"/>
            </w:tcBorders>
            <w:noWrap/>
            <w:vAlign w:val="bottom"/>
            <w:hideMark/>
          </w:tcPr>
          <w:p w14:paraId="305031C2"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1.56158</w:t>
            </w:r>
          </w:p>
        </w:tc>
        <w:tc>
          <w:tcPr>
            <w:tcW w:w="1417" w:type="dxa"/>
            <w:tcBorders>
              <w:top w:val="nil"/>
              <w:left w:val="nil"/>
              <w:bottom w:val="single" w:sz="4" w:space="0" w:color="auto"/>
              <w:right w:val="single" w:sz="4" w:space="0" w:color="auto"/>
            </w:tcBorders>
            <w:noWrap/>
            <w:vAlign w:val="bottom"/>
            <w:hideMark/>
          </w:tcPr>
          <w:p w14:paraId="0F91BE6A"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1.606294</w:t>
            </w:r>
          </w:p>
        </w:tc>
        <w:tc>
          <w:tcPr>
            <w:tcW w:w="1418" w:type="dxa"/>
            <w:tcBorders>
              <w:top w:val="nil"/>
              <w:left w:val="nil"/>
              <w:bottom w:val="single" w:sz="4" w:space="0" w:color="auto"/>
              <w:right w:val="single" w:sz="4" w:space="0" w:color="auto"/>
            </w:tcBorders>
            <w:noWrap/>
            <w:vAlign w:val="bottom"/>
            <w:hideMark/>
          </w:tcPr>
          <w:p w14:paraId="6542A14D"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1.531951</w:t>
            </w:r>
          </w:p>
        </w:tc>
      </w:tr>
      <w:tr w:rsidR="004215F2" w:rsidRPr="001F6D3E" w14:paraId="50EB398E" w14:textId="77777777" w:rsidTr="00AD2CBA">
        <w:trPr>
          <w:trHeight w:val="382"/>
        </w:trPr>
        <w:tc>
          <w:tcPr>
            <w:tcW w:w="1843" w:type="dxa"/>
            <w:tcBorders>
              <w:top w:val="nil"/>
              <w:left w:val="single" w:sz="4" w:space="0" w:color="auto"/>
              <w:bottom w:val="single" w:sz="4" w:space="0" w:color="auto"/>
              <w:right w:val="single" w:sz="4" w:space="0" w:color="auto"/>
            </w:tcBorders>
            <w:noWrap/>
            <w:vAlign w:val="bottom"/>
            <w:hideMark/>
          </w:tcPr>
          <w:p w14:paraId="66D56FF8" w14:textId="77777777" w:rsidR="004215F2" w:rsidRPr="001F6D3E" w:rsidRDefault="004215F2" w:rsidP="004215F2">
            <w:pPr>
              <w:spacing w:after="0" w:line="240" w:lineRule="auto"/>
              <w:rPr>
                <w:rFonts w:ascii="Arial" w:eastAsia="Times New Roman" w:hAnsi="Arial" w:cs="Arial"/>
                <w:b/>
                <w:bCs/>
                <w:color w:val="000000"/>
                <w:sz w:val="20"/>
                <w:szCs w:val="20"/>
              </w:rPr>
            </w:pPr>
            <w:r w:rsidRPr="001F6D3E">
              <w:rPr>
                <w:rFonts w:ascii="Arial" w:eastAsia="Times New Roman" w:hAnsi="Arial" w:cs="Arial"/>
                <w:b/>
                <w:bCs/>
                <w:color w:val="000000"/>
                <w:sz w:val="20"/>
                <w:szCs w:val="20"/>
              </w:rPr>
              <w:t>Quick Ratio</w:t>
            </w:r>
          </w:p>
        </w:tc>
        <w:tc>
          <w:tcPr>
            <w:tcW w:w="1418" w:type="dxa"/>
            <w:tcBorders>
              <w:top w:val="nil"/>
              <w:left w:val="nil"/>
              <w:bottom w:val="single" w:sz="4" w:space="0" w:color="auto"/>
              <w:right w:val="single" w:sz="4" w:space="0" w:color="auto"/>
            </w:tcBorders>
            <w:noWrap/>
            <w:vAlign w:val="bottom"/>
            <w:hideMark/>
          </w:tcPr>
          <w:p w14:paraId="253565EC"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1.1498691</w:t>
            </w:r>
          </w:p>
        </w:tc>
        <w:tc>
          <w:tcPr>
            <w:tcW w:w="1417" w:type="dxa"/>
            <w:tcBorders>
              <w:top w:val="nil"/>
              <w:left w:val="nil"/>
              <w:bottom w:val="single" w:sz="4" w:space="0" w:color="auto"/>
              <w:right w:val="single" w:sz="4" w:space="0" w:color="auto"/>
            </w:tcBorders>
            <w:noWrap/>
            <w:vAlign w:val="bottom"/>
            <w:hideMark/>
          </w:tcPr>
          <w:p w14:paraId="0C93C6A2"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0.934913</w:t>
            </w:r>
          </w:p>
        </w:tc>
        <w:tc>
          <w:tcPr>
            <w:tcW w:w="1418" w:type="dxa"/>
            <w:tcBorders>
              <w:top w:val="nil"/>
              <w:left w:val="nil"/>
              <w:bottom w:val="single" w:sz="4" w:space="0" w:color="auto"/>
              <w:right w:val="single" w:sz="4" w:space="0" w:color="auto"/>
            </w:tcBorders>
            <w:noWrap/>
            <w:vAlign w:val="bottom"/>
            <w:hideMark/>
          </w:tcPr>
          <w:p w14:paraId="1C37FBA9"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0.914012</w:t>
            </w:r>
          </w:p>
        </w:tc>
        <w:tc>
          <w:tcPr>
            <w:tcW w:w="1417" w:type="dxa"/>
            <w:tcBorders>
              <w:top w:val="nil"/>
              <w:left w:val="nil"/>
              <w:bottom w:val="single" w:sz="4" w:space="0" w:color="auto"/>
              <w:right w:val="single" w:sz="4" w:space="0" w:color="auto"/>
            </w:tcBorders>
            <w:noWrap/>
            <w:vAlign w:val="bottom"/>
            <w:hideMark/>
          </w:tcPr>
          <w:p w14:paraId="2ABE4ED3"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1.058518</w:t>
            </w:r>
          </w:p>
        </w:tc>
        <w:tc>
          <w:tcPr>
            <w:tcW w:w="1418" w:type="dxa"/>
            <w:tcBorders>
              <w:top w:val="nil"/>
              <w:left w:val="nil"/>
              <w:bottom w:val="single" w:sz="4" w:space="0" w:color="auto"/>
              <w:right w:val="single" w:sz="4" w:space="0" w:color="auto"/>
            </w:tcBorders>
            <w:noWrap/>
            <w:vAlign w:val="bottom"/>
            <w:hideMark/>
          </w:tcPr>
          <w:p w14:paraId="61E2B29E"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1.030627</w:t>
            </w:r>
          </w:p>
        </w:tc>
      </w:tr>
      <w:tr w:rsidR="004215F2" w:rsidRPr="001F6D3E" w14:paraId="00B904E1" w14:textId="77777777" w:rsidTr="00AD2CBA">
        <w:trPr>
          <w:trHeight w:val="382"/>
        </w:trPr>
        <w:tc>
          <w:tcPr>
            <w:tcW w:w="1843" w:type="dxa"/>
            <w:tcBorders>
              <w:top w:val="nil"/>
              <w:left w:val="single" w:sz="4" w:space="0" w:color="auto"/>
              <w:bottom w:val="single" w:sz="4" w:space="0" w:color="auto"/>
              <w:right w:val="single" w:sz="4" w:space="0" w:color="auto"/>
            </w:tcBorders>
            <w:noWrap/>
            <w:vAlign w:val="bottom"/>
            <w:hideMark/>
          </w:tcPr>
          <w:p w14:paraId="6B0BD479" w14:textId="77777777" w:rsidR="004215F2" w:rsidRPr="001F6D3E" w:rsidRDefault="004215F2" w:rsidP="004215F2">
            <w:pPr>
              <w:spacing w:after="0" w:line="240" w:lineRule="auto"/>
              <w:rPr>
                <w:rFonts w:ascii="Arial" w:eastAsia="Times New Roman" w:hAnsi="Arial" w:cs="Arial"/>
                <w:b/>
                <w:bCs/>
                <w:color w:val="000000"/>
                <w:sz w:val="20"/>
                <w:szCs w:val="20"/>
              </w:rPr>
            </w:pPr>
            <w:r w:rsidRPr="001F6D3E">
              <w:rPr>
                <w:rFonts w:ascii="Arial" w:eastAsia="Times New Roman" w:hAnsi="Arial" w:cs="Arial"/>
                <w:b/>
                <w:bCs/>
                <w:color w:val="000000"/>
                <w:sz w:val="20"/>
                <w:szCs w:val="20"/>
              </w:rPr>
              <w:t>Cash Ratio</w:t>
            </w:r>
          </w:p>
        </w:tc>
        <w:tc>
          <w:tcPr>
            <w:tcW w:w="1418" w:type="dxa"/>
            <w:tcBorders>
              <w:top w:val="nil"/>
              <w:left w:val="nil"/>
              <w:bottom w:val="single" w:sz="4" w:space="0" w:color="auto"/>
              <w:right w:val="single" w:sz="4" w:space="0" w:color="auto"/>
            </w:tcBorders>
            <w:noWrap/>
            <w:vAlign w:val="bottom"/>
            <w:hideMark/>
          </w:tcPr>
          <w:p w14:paraId="3FE328A2"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0.3183834</w:t>
            </w:r>
          </w:p>
        </w:tc>
        <w:tc>
          <w:tcPr>
            <w:tcW w:w="1417" w:type="dxa"/>
            <w:tcBorders>
              <w:top w:val="nil"/>
              <w:left w:val="nil"/>
              <w:bottom w:val="single" w:sz="4" w:space="0" w:color="auto"/>
              <w:right w:val="single" w:sz="4" w:space="0" w:color="auto"/>
            </w:tcBorders>
            <w:noWrap/>
            <w:vAlign w:val="bottom"/>
            <w:hideMark/>
          </w:tcPr>
          <w:p w14:paraId="089AA04D"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0.28052</w:t>
            </w:r>
          </w:p>
        </w:tc>
        <w:tc>
          <w:tcPr>
            <w:tcW w:w="1418" w:type="dxa"/>
            <w:tcBorders>
              <w:top w:val="nil"/>
              <w:left w:val="nil"/>
              <w:bottom w:val="single" w:sz="4" w:space="0" w:color="auto"/>
              <w:right w:val="single" w:sz="4" w:space="0" w:color="auto"/>
            </w:tcBorders>
            <w:noWrap/>
            <w:vAlign w:val="bottom"/>
            <w:hideMark/>
          </w:tcPr>
          <w:p w14:paraId="2F046E75"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0.308306</w:t>
            </w:r>
          </w:p>
        </w:tc>
        <w:tc>
          <w:tcPr>
            <w:tcW w:w="1417" w:type="dxa"/>
            <w:tcBorders>
              <w:top w:val="nil"/>
              <w:left w:val="nil"/>
              <w:bottom w:val="single" w:sz="4" w:space="0" w:color="auto"/>
              <w:right w:val="single" w:sz="4" w:space="0" w:color="auto"/>
            </w:tcBorders>
            <w:noWrap/>
            <w:vAlign w:val="bottom"/>
            <w:hideMark/>
          </w:tcPr>
          <w:p w14:paraId="580E5917"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0.26529</w:t>
            </w:r>
          </w:p>
        </w:tc>
        <w:tc>
          <w:tcPr>
            <w:tcW w:w="1418" w:type="dxa"/>
            <w:tcBorders>
              <w:top w:val="nil"/>
              <w:left w:val="nil"/>
              <w:bottom w:val="single" w:sz="4" w:space="0" w:color="auto"/>
              <w:right w:val="single" w:sz="4" w:space="0" w:color="auto"/>
            </w:tcBorders>
            <w:noWrap/>
            <w:vAlign w:val="bottom"/>
            <w:hideMark/>
          </w:tcPr>
          <w:p w14:paraId="397CB859" w14:textId="77777777" w:rsidR="004215F2" w:rsidRPr="001F6D3E" w:rsidRDefault="004215F2" w:rsidP="004215F2">
            <w:pPr>
              <w:spacing w:after="0" w:line="240" w:lineRule="auto"/>
              <w:jc w:val="right"/>
              <w:rPr>
                <w:rFonts w:ascii="Arial" w:eastAsia="Times New Roman" w:hAnsi="Arial" w:cs="Arial"/>
                <w:color w:val="000000"/>
                <w:sz w:val="20"/>
                <w:szCs w:val="20"/>
              </w:rPr>
            </w:pPr>
            <w:r w:rsidRPr="001F6D3E">
              <w:rPr>
                <w:rFonts w:ascii="Arial" w:eastAsia="Times New Roman" w:hAnsi="Arial" w:cs="Arial"/>
                <w:color w:val="000000"/>
                <w:sz w:val="20"/>
                <w:szCs w:val="20"/>
              </w:rPr>
              <w:t>0.169201</w:t>
            </w:r>
          </w:p>
        </w:tc>
      </w:tr>
    </w:tbl>
    <w:p w14:paraId="54FCD758" w14:textId="77777777" w:rsidR="00AD2CBA" w:rsidRDefault="004215F2" w:rsidP="004215F2">
      <w:pPr>
        <w:rPr>
          <w:rFonts w:ascii="Arial" w:hAnsi="Arial" w:cs="Arial"/>
          <w:i/>
          <w:color w:val="2E74B5" w:themeColor="accent1" w:themeShade="BF"/>
          <w:sz w:val="18"/>
        </w:rPr>
      </w:pPr>
      <w:r w:rsidRPr="001F6D3E">
        <w:rPr>
          <w:rFonts w:ascii="Arial" w:hAnsi="Arial" w:cs="Arial"/>
          <w:i/>
          <w:color w:val="2E74B5" w:themeColor="accent1" w:themeShade="BF"/>
          <w:sz w:val="18"/>
        </w:rPr>
        <w:t xml:space="preserve">                                          </w:t>
      </w:r>
      <w:r w:rsidR="00E240CF" w:rsidRPr="001F6D3E">
        <w:rPr>
          <w:rFonts w:ascii="Arial" w:hAnsi="Arial" w:cs="Arial"/>
          <w:i/>
          <w:color w:val="2E74B5" w:themeColor="accent1" w:themeShade="BF"/>
          <w:sz w:val="18"/>
        </w:rPr>
        <w:t xml:space="preserve">                               </w:t>
      </w:r>
      <w:r w:rsidR="004E7531" w:rsidRPr="001F6D3E">
        <w:rPr>
          <w:rFonts w:ascii="Arial" w:hAnsi="Arial" w:cs="Arial"/>
          <w:i/>
          <w:color w:val="2E74B5" w:themeColor="accent1" w:themeShade="BF"/>
          <w:sz w:val="18"/>
        </w:rPr>
        <w:t xml:space="preserve">       </w:t>
      </w:r>
    </w:p>
    <w:p w14:paraId="02DE403D" w14:textId="3F51C3C8" w:rsidR="00E240CF" w:rsidRPr="001F6D3E" w:rsidRDefault="00AD2CBA" w:rsidP="004215F2">
      <w:pPr>
        <w:rPr>
          <w:rFonts w:ascii="Arial" w:hAnsi="Arial" w:cs="Arial"/>
          <w:i/>
          <w:color w:val="2E74B5" w:themeColor="accent1" w:themeShade="BF"/>
          <w:sz w:val="18"/>
        </w:rPr>
      </w:pPr>
      <w:r>
        <w:rPr>
          <w:rFonts w:ascii="Arial" w:hAnsi="Arial" w:cs="Arial"/>
          <w:i/>
          <w:color w:val="2E74B5" w:themeColor="accent1" w:themeShade="BF"/>
          <w:sz w:val="18"/>
        </w:rPr>
        <w:t xml:space="preserve">                                                                           </w:t>
      </w:r>
      <w:r w:rsidR="004215F2" w:rsidRPr="001F6D3E">
        <w:rPr>
          <w:rFonts w:ascii="Arial" w:hAnsi="Arial" w:cs="Arial"/>
          <w:i/>
          <w:color w:val="2E74B5" w:themeColor="accent1" w:themeShade="BF"/>
          <w:sz w:val="18"/>
        </w:rPr>
        <w:t xml:space="preserve"> </w:t>
      </w:r>
    </w:p>
    <w:p w14:paraId="23530701" w14:textId="77777777" w:rsidR="001F6D3E" w:rsidRPr="001F6D3E" w:rsidRDefault="001F6D3E" w:rsidP="004215F2">
      <w:pPr>
        <w:rPr>
          <w:rFonts w:ascii="Arial" w:hAnsi="Arial" w:cs="Arial"/>
          <w:b/>
        </w:rPr>
      </w:pPr>
    </w:p>
    <w:p w14:paraId="43407699" w14:textId="77777777" w:rsidR="001F6D3E" w:rsidRPr="001F6D3E" w:rsidRDefault="00B45D8A" w:rsidP="004215F2">
      <w:pPr>
        <w:rPr>
          <w:rFonts w:ascii="Arial" w:hAnsi="Arial" w:cs="Arial"/>
          <w:b/>
        </w:rPr>
      </w:pPr>
      <w:r>
        <w:rPr>
          <w:noProof/>
        </w:rPr>
        <w:drawing>
          <wp:anchor distT="0" distB="0" distL="114300" distR="114300" simplePos="0" relativeHeight="251668480" behindDoc="0" locked="0" layoutInCell="1" allowOverlap="1" wp14:anchorId="56DC06D1" wp14:editId="51FE7556">
            <wp:simplePos x="0" y="0"/>
            <wp:positionH relativeFrom="margin">
              <wp:align>center</wp:align>
            </wp:positionH>
            <wp:positionV relativeFrom="paragraph">
              <wp:posOffset>5080</wp:posOffset>
            </wp:positionV>
            <wp:extent cx="4572000" cy="2743200"/>
            <wp:effectExtent l="0" t="0" r="0" b="0"/>
            <wp:wrapNone/>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1B12B622" w14:textId="77777777" w:rsidR="001F6D3E" w:rsidRPr="001F6D3E" w:rsidRDefault="001F6D3E" w:rsidP="004215F2">
      <w:pPr>
        <w:rPr>
          <w:rFonts w:ascii="Arial" w:hAnsi="Arial" w:cs="Arial"/>
          <w:b/>
        </w:rPr>
      </w:pPr>
    </w:p>
    <w:p w14:paraId="37E1F511" w14:textId="77777777" w:rsidR="001F6D3E" w:rsidRPr="001F6D3E" w:rsidRDefault="001F6D3E" w:rsidP="004215F2">
      <w:pPr>
        <w:rPr>
          <w:rFonts w:ascii="Arial" w:hAnsi="Arial" w:cs="Arial"/>
          <w:b/>
        </w:rPr>
      </w:pPr>
    </w:p>
    <w:p w14:paraId="72836849" w14:textId="77777777" w:rsidR="001F6D3E" w:rsidRDefault="001F6D3E" w:rsidP="004215F2">
      <w:pPr>
        <w:rPr>
          <w:rFonts w:ascii="Arial" w:hAnsi="Arial" w:cs="Arial"/>
          <w:b/>
        </w:rPr>
      </w:pPr>
    </w:p>
    <w:p w14:paraId="3644B3ED" w14:textId="77777777" w:rsidR="00B45D8A" w:rsidRDefault="00B45D8A" w:rsidP="004215F2">
      <w:pPr>
        <w:rPr>
          <w:rFonts w:ascii="Arial" w:hAnsi="Arial" w:cs="Arial"/>
          <w:b/>
        </w:rPr>
      </w:pPr>
    </w:p>
    <w:p w14:paraId="04B76B3C" w14:textId="77777777" w:rsidR="00B45D8A" w:rsidRDefault="00B45D8A" w:rsidP="004215F2">
      <w:pPr>
        <w:rPr>
          <w:rFonts w:ascii="Arial" w:hAnsi="Arial" w:cs="Arial"/>
          <w:b/>
        </w:rPr>
      </w:pPr>
    </w:p>
    <w:p w14:paraId="0B999200" w14:textId="77777777" w:rsidR="00B45D8A" w:rsidRPr="001F6D3E" w:rsidRDefault="00B45D8A" w:rsidP="004215F2">
      <w:pPr>
        <w:rPr>
          <w:rFonts w:ascii="Arial" w:hAnsi="Arial" w:cs="Arial"/>
          <w:b/>
        </w:rPr>
      </w:pPr>
    </w:p>
    <w:p w14:paraId="1D82BC21" w14:textId="77777777" w:rsidR="001F6D3E" w:rsidRDefault="001F6D3E" w:rsidP="004215F2">
      <w:pPr>
        <w:rPr>
          <w:rFonts w:ascii="Arial" w:hAnsi="Arial" w:cs="Arial"/>
          <w:b/>
        </w:rPr>
      </w:pPr>
    </w:p>
    <w:p w14:paraId="3B780552" w14:textId="77777777" w:rsidR="00B45D8A" w:rsidRDefault="00B45D8A" w:rsidP="004215F2">
      <w:pPr>
        <w:rPr>
          <w:rFonts w:ascii="Arial" w:hAnsi="Arial" w:cs="Arial"/>
          <w:b/>
        </w:rPr>
      </w:pPr>
    </w:p>
    <w:p w14:paraId="0670F1A3" w14:textId="77777777" w:rsidR="00B45D8A" w:rsidRDefault="00B45D8A" w:rsidP="004215F2">
      <w:pPr>
        <w:rPr>
          <w:rFonts w:ascii="Arial" w:hAnsi="Arial" w:cs="Arial"/>
          <w:b/>
        </w:rPr>
      </w:pPr>
    </w:p>
    <w:p w14:paraId="35F29B56" w14:textId="77777777" w:rsidR="00B45D8A" w:rsidRDefault="00B45D8A" w:rsidP="004215F2">
      <w:pPr>
        <w:rPr>
          <w:rFonts w:ascii="Arial" w:hAnsi="Arial" w:cs="Arial"/>
          <w:b/>
        </w:rPr>
      </w:pPr>
    </w:p>
    <w:p w14:paraId="373DF0A9" w14:textId="77777777" w:rsidR="00B45D8A" w:rsidRPr="001F6D3E" w:rsidRDefault="00B45D8A" w:rsidP="00B45D8A">
      <w:pPr>
        <w:rPr>
          <w:rFonts w:ascii="Arial" w:hAnsi="Arial" w:cs="Arial"/>
          <w:i/>
          <w:color w:val="2E74B5" w:themeColor="accent1" w:themeShade="BF"/>
          <w:sz w:val="18"/>
        </w:rPr>
      </w:pPr>
      <w:r>
        <w:rPr>
          <w:rFonts w:ascii="Arial" w:hAnsi="Arial" w:cs="Arial"/>
          <w:i/>
          <w:color w:val="2E74B5" w:themeColor="accent1" w:themeShade="BF"/>
          <w:sz w:val="18"/>
        </w:rPr>
        <w:t xml:space="preserve">                                                                          </w:t>
      </w:r>
      <w:r w:rsidRPr="001F6D3E">
        <w:rPr>
          <w:rFonts w:ascii="Arial" w:hAnsi="Arial" w:cs="Arial"/>
          <w:i/>
          <w:color w:val="2E74B5" w:themeColor="accent1" w:themeShade="BF"/>
          <w:sz w:val="18"/>
        </w:rPr>
        <w:t xml:space="preserve"> </w:t>
      </w:r>
      <w:r>
        <w:rPr>
          <w:rFonts w:ascii="Arial" w:hAnsi="Arial" w:cs="Arial"/>
          <w:i/>
          <w:color w:val="2E74B5" w:themeColor="accent1" w:themeShade="BF"/>
          <w:sz w:val="18"/>
        </w:rPr>
        <w:t>Graph</w:t>
      </w:r>
      <w:r w:rsidRPr="001F6D3E">
        <w:rPr>
          <w:rFonts w:ascii="Arial" w:hAnsi="Arial" w:cs="Arial"/>
          <w:i/>
          <w:color w:val="2E74B5" w:themeColor="accent1" w:themeShade="BF"/>
          <w:sz w:val="18"/>
        </w:rPr>
        <w:t xml:space="preserve"> 2 Liquidity Analysis</w:t>
      </w:r>
    </w:p>
    <w:p w14:paraId="5E4642A2" w14:textId="77777777" w:rsidR="00B45D8A" w:rsidRDefault="00B45D8A" w:rsidP="004215F2">
      <w:pPr>
        <w:rPr>
          <w:rFonts w:ascii="Arial" w:hAnsi="Arial" w:cs="Arial"/>
          <w:b/>
        </w:rPr>
      </w:pPr>
    </w:p>
    <w:p w14:paraId="48772661" w14:textId="77777777" w:rsidR="00B45D8A" w:rsidRDefault="00B45D8A" w:rsidP="004215F2">
      <w:pPr>
        <w:rPr>
          <w:rFonts w:ascii="Arial" w:hAnsi="Arial" w:cs="Arial"/>
          <w:b/>
        </w:rPr>
      </w:pPr>
    </w:p>
    <w:p w14:paraId="1E0835CD" w14:textId="77777777" w:rsidR="00B45D8A" w:rsidRDefault="00B45D8A" w:rsidP="004215F2">
      <w:pPr>
        <w:rPr>
          <w:rFonts w:ascii="Arial" w:hAnsi="Arial" w:cs="Arial"/>
          <w:b/>
        </w:rPr>
      </w:pPr>
    </w:p>
    <w:p w14:paraId="05F18DC5" w14:textId="1097F71D" w:rsidR="00B45D8A" w:rsidRPr="001F6D3E" w:rsidRDefault="00B45D8A" w:rsidP="004215F2">
      <w:pPr>
        <w:rPr>
          <w:rFonts w:ascii="Arial" w:hAnsi="Arial" w:cs="Arial"/>
          <w:b/>
        </w:rPr>
      </w:pPr>
    </w:p>
    <w:p w14:paraId="1ED86C46" w14:textId="77777777" w:rsidR="004215F2" w:rsidRDefault="004215F2" w:rsidP="001D5163">
      <w:pPr>
        <w:pStyle w:val="Heading2"/>
      </w:pPr>
      <w:bookmarkStart w:id="61" w:name="_Toc217238044"/>
      <w:r w:rsidRPr="001F6D3E">
        <w:lastRenderedPageBreak/>
        <w:t>A3: Efficiency Ratio Analysis</w:t>
      </w:r>
      <w:bookmarkEnd w:id="61"/>
    </w:p>
    <w:p w14:paraId="5F4B6319" w14:textId="77777777" w:rsidR="00561979" w:rsidRPr="00561979" w:rsidRDefault="00561979" w:rsidP="00561979"/>
    <w:p w14:paraId="48B46E0A" w14:textId="5BE63CFD" w:rsidR="00561979" w:rsidRDefault="00561979" w:rsidP="00561979">
      <w:pPr>
        <w:pStyle w:val="Caption"/>
        <w:keepNext/>
      </w:pPr>
      <w:r>
        <w:t xml:space="preserve">Table </w:t>
      </w:r>
      <w:r w:rsidR="002615F5">
        <w:fldChar w:fldCharType="begin"/>
      </w:r>
      <w:r w:rsidR="002615F5">
        <w:instrText xml:space="preserve"> SEQ Table \* ARABIC </w:instrText>
      </w:r>
      <w:r w:rsidR="002615F5">
        <w:fldChar w:fldCharType="separate"/>
      </w:r>
      <w:r w:rsidR="005F7E78">
        <w:rPr>
          <w:noProof/>
        </w:rPr>
        <w:t>3</w:t>
      </w:r>
      <w:r w:rsidR="002615F5">
        <w:rPr>
          <w:noProof/>
        </w:rPr>
        <w:fldChar w:fldCharType="end"/>
      </w:r>
      <w:r>
        <w:t xml:space="preserve">: </w:t>
      </w:r>
      <w:r w:rsidRPr="00EE1B32">
        <w:t>Efficiency &amp; Cash Flow Analysis</w:t>
      </w:r>
    </w:p>
    <w:tbl>
      <w:tblPr>
        <w:tblW w:w="9558" w:type="dxa"/>
        <w:tblInd w:w="-5" w:type="dxa"/>
        <w:tblLook w:val="04A0" w:firstRow="1" w:lastRow="0" w:firstColumn="1" w:lastColumn="0" w:noHBand="0" w:noVBand="1"/>
      </w:tblPr>
      <w:tblGrid>
        <w:gridCol w:w="3218"/>
        <w:gridCol w:w="1268"/>
        <w:gridCol w:w="1268"/>
        <w:gridCol w:w="1268"/>
        <w:gridCol w:w="1268"/>
        <w:gridCol w:w="1268"/>
      </w:tblGrid>
      <w:tr w:rsidR="004215F2" w:rsidRPr="001F6D3E" w14:paraId="64F83A6E" w14:textId="77777777" w:rsidTr="00AD2CBA">
        <w:trPr>
          <w:trHeight w:val="253"/>
        </w:trPr>
        <w:tc>
          <w:tcPr>
            <w:tcW w:w="3218" w:type="dxa"/>
            <w:tcBorders>
              <w:top w:val="single" w:sz="4" w:space="0" w:color="auto"/>
              <w:left w:val="single" w:sz="4" w:space="0" w:color="auto"/>
              <w:bottom w:val="single" w:sz="4" w:space="0" w:color="auto"/>
              <w:right w:val="single" w:sz="4" w:space="0" w:color="auto"/>
            </w:tcBorders>
            <w:noWrap/>
            <w:vAlign w:val="bottom"/>
            <w:hideMark/>
          </w:tcPr>
          <w:p w14:paraId="6FBE8BA0" w14:textId="77777777" w:rsidR="004215F2" w:rsidRPr="001F6D3E" w:rsidRDefault="004215F2" w:rsidP="004215F2">
            <w:pPr>
              <w:spacing w:after="0" w:line="240" w:lineRule="auto"/>
              <w:rPr>
                <w:rFonts w:ascii="Arial" w:eastAsia="Times New Roman" w:hAnsi="Arial" w:cs="Arial"/>
                <w:color w:val="000000"/>
              </w:rPr>
            </w:pPr>
            <w:r w:rsidRPr="001F6D3E">
              <w:rPr>
                <w:rFonts w:ascii="Arial" w:eastAsia="Times New Roman" w:hAnsi="Arial" w:cs="Arial"/>
                <w:color w:val="000000"/>
              </w:rPr>
              <w:t> </w:t>
            </w:r>
          </w:p>
        </w:tc>
        <w:tc>
          <w:tcPr>
            <w:tcW w:w="1268" w:type="dxa"/>
            <w:tcBorders>
              <w:top w:val="single" w:sz="4" w:space="0" w:color="auto"/>
              <w:left w:val="nil"/>
              <w:bottom w:val="single" w:sz="4" w:space="0" w:color="auto"/>
              <w:right w:val="single" w:sz="4" w:space="0" w:color="auto"/>
            </w:tcBorders>
            <w:noWrap/>
            <w:vAlign w:val="bottom"/>
            <w:hideMark/>
          </w:tcPr>
          <w:p w14:paraId="7BFF5CED"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2020</w:t>
            </w:r>
          </w:p>
        </w:tc>
        <w:tc>
          <w:tcPr>
            <w:tcW w:w="1268" w:type="dxa"/>
            <w:tcBorders>
              <w:top w:val="single" w:sz="4" w:space="0" w:color="auto"/>
              <w:left w:val="nil"/>
              <w:bottom w:val="single" w:sz="4" w:space="0" w:color="auto"/>
              <w:right w:val="single" w:sz="4" w:space="0" w:color="auto"/>
            </w:tcBorders>
            <w:noWrap/>
            <w:vAlign w:val="bottom"/>
            <w:hideMark/>
          </w:tcPr>
          <w:p w14:paraId="0E9CEE35"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2021</w:t>
            </w:r>
          </w:p>
        </w:tc>
        <w:tc>
          <w:tcPr>
            <w:tcW w:w="1268" w:type="dxa"/>
            <w:tcBorders>
              <w:top w:val="single" w:sz="4" w:space="0" w:color="auto"/>
              <w:left w:val="nil"/>
              <w:bottom w:val="single" w:sz="4" w:space="0" w:color="auto"/>
              <w:right w:val="single" w:sz="4" w:space="0" w:color="auto"/>
            </w:tcBorders>
            <w:noWrap/>
            <w:vAlign w:val="bottom"/>
            <w:hideMark/>
          </w:tcPr>
          <w:p w14:paraId="356B0F57"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2022</w:t>
            </w:r>
          </w:p>
        </w:tc>
        <w:tc>
          <w:tcPr>
            <w:tcW w:w="1268" w:type="dxa"/>
            <w:tcBorders>
              <w:top w:val="single" w:sz="4" w:space="0" w:color="auto"/>
              <w:left w:val="nil"/>
              <w:bottom w:val="single" w:sz="4" w:space="0" w:color="auto"/>
              <w:right w:val="single" w:sz="4" w:space="0" w:color="auto"/>
            </w:tcBorders>
            <w:noWrap/>
            <w:vAlign w:val="bottom"/>
            <w:hideMark/>
          </w:tcPr>
          <w:p w14:paraId="67385D43"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2023</w:t>
            </w:r>
          </w:p>
        </w:tc>
        <w:tc>
          <w:tcPr>
            <w:tcW w:w="1268" w:type="dxa"/>
            <w:tcBorders>
              <w:top w:val="single" w:sz="4" w:space="0" w:color="auto"/>
              <w:left w:val="nil"/>
              <w:bottom w:val="single" w:sz="4" w:space="0" w:color="auto"/>
              <w:right w:val="single" w:sz="4" w:space="0" w:color="auto"/>
            </w:tcBorders>
            <w:noWrap/>
            <w:vAlign w:val="bottom"/>
            <w:hideMark/>
          </w:tcPr>
          <w:p w14:paraId="785EB950"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2024</w:t>
            </w:r>
          </w:p>
        </w:tc>
      </w:tr>
      <w:tr w:rsidR="004215F2" w:rsidRPr="001F6D3E" w14:paraId="357BE99A" w14:textId="77777777" w:rsidTr="00AD2CBA">
        <w:trPr>
          <w:trHeight w:val="253"/>
        </w:trPr>
        <w:tc>
          <w:tcPr>
            <w:tcW w:w="3218" w:type="dxa"/>
            <w:tcBorders>
              <w:top w:val="nil"/>
              <w:left w:val="single" w:sz="4" w:space="0" w:color="auto"/>
              <w:bottom w:val="single" w:sz="4" w:space="0" w:color="auto"/>
              <w:right w:val="single" w:sz="4" w:space="0" w:color="auto"/>
            </w:tcBorders>
            <w:noWrap/>
            <w:vAlign w:val="bottom"/>
            <w:hideMark/>
          </w:tcPr>
          <w:p w14:paraId="21E67E48" w14:textId="77777777" w:rsidR="004215F2" w:rsidRPr="001F6D3E" w:rsidRDefault="004215F2" w:rsidP="004215F2">
            <w:pPr>
              <w:spacing w:after="0" w:line="240" w:lineRule="auto"/>
              <w:rPr>
                <w:rFonts w:ascii="Arial" w:eastAsia="Times New Roman" w:hAnsi="Arial" w:cs="Arial"/>
                <w:color w:val="000000"/>
              </w:rPr>
            </w:pPr>
            <w:r w:rsidRPr="001F6D3E">
              <w:rPr>
                <w:rFonts w:ascii="Arial" w:eastAsia="Times New Roman" w:hAnsi="Arial" w:cs="Arial"/>
                <w:color w:val="000000"/>
              </w:rPr>
              <w:t>Sales</w:t>
            </w:r>
          </w:p>
        </w:tc>
        <w:tc>
          <w:tcPr>
            <w:tcW w:w="1268" w:type="dxa"/>
            <w:tcBorders>
              <w:top w:val="nil"/>
              <w:left w:val="nil"/>
              <w:bottom w:val="single" w:sz="4" w:space="0" w:color="auto"/>
              <w:right w:val="single" w:sz="4" w:space="0" w:color="auto"/>
            </w:tcBorders>
            <w:noWrap/>
            <w:vAlign w:val="bottom"/>
            <w:hideMark/>
          </w:tcPr>
          <w:p w14:paraId="22874E59"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614,680</w:t>
            </w:r>
          </w:p>
        </w:tc>
        <w:tc>
          <w:tcPr>
            <w:tcW w:w="1268" w:type="dxa"/>
            <w:tcBorders>
              <w:top w:val="nil"/>
              <w:left w:val="nil"/>
              <w:bottom w:val="single" w:sz="4" w:space="0" w:color="auto"/>
              <w:right w:val="single" w:sz="4" w:space="0" w:color="auto"/>
            </w:tcBorders>
            <w:noWrap/>
            <w:vAlign w:val="bottom"/>
            <w:hideMark/>
          </w:tcPr>
          <w:p w14:paraId="3BD57D08"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601,602</w:t>
            </w:r>
          </w:p>
        </w:tc>
        <w:tc>
          <w:tcPr>
            <w:tcW w:w="1268" w:type="dxa"/>
            <w:tcBorders>
              <w:top w:val="nil"/>
              <w:left w:val="nil"/>
              <w:bottom w:val="single" w:sz="4" w:space="0" w:color="auto"/>
              <w:right w:val="single" w:sz="4" w:space="0" w:color="auto"/>
            </w:tcBorders>
            <w:noWrap/>
            <w:vAlign w:val="bottom"/>
            <w:hideMark/>
          </w:tcPr>
          <w:p w14:paraId="082A6770"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542,751</w:t>
            </w:r>
          </w:p>
        </w:tc>
        <w:tc>
          <w:tcPr>
            <w:tcW w:w="1268" w:type="dxa"/>
            <w:tcBorders>
              <w:top w:val="nil"/>
              <w:left w:val="nil"/>
              <w:bottom w:val="single" w:sz="4" w:space="0" w:color="auto"/>
              <w:right w:val="single" w:sz="4" w:space="0" w:color="auto"/>
            </w:tcBorders>
            <w:noWrap/>
            <w:vAlign w:val="bottom"/>
            <w:hideMark/>
          </w:tcPr>
          <w:p w14:paraId="5DCEEAC2"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420,457</w:t>
            </w:r>
          </w:p>
        </w:tc>
        <w:tc>
          <w:tcPr>
            <w:tcW w:w="1268" w:type="dxa"/>
            <w:tcBorders>
              <w:top w:val="nil"/>
              <w:left w:val="nil"/>
              <w:bottom w:val="single" w:sz="4" w:space="0" w:color="auto"/>
              <w:right w:val="single" w:sz="4" w:space="0" w:color="auto"/>
            </w:tcBorders>
            <w:noWrap/>
            <w:vAlign w:val="bottom"/>
            <w:hideMark/>
          </w:tcPr>
          <w:p w14:paraId="661101B8"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394,879</w:t>
            </w:r>
          </w:p>
        </w:tc>
      </w:tr>
      <w:tr w:rsidR="004215F2" w:rsidRPr="001F6D3E" w14:paraId="3D8B525F" w14:textId="77777777" w:rsidTr="00AD2CBA">
        <w:trPr>
          <w:trHeight w:val="253"/>
        </w:trPr>
        <w:tc>
          <w:tcPr>
            <w:tcW w:w="3218" w:type="dxa"/>
            <w:tcBorders>
              <w:top w:val="nil"/>
              <w:left w:val="single" w:sz="4" w:space="0" w:color="auto"/>
              <w:bottom w:val="single" w:sz="4" w:space="0" w:color="auto"/>
              <w:right w:val="single" w:sz="4" w:space="0" w:color="auto"/>
            </w:tcBorders>
            <w:noWrap/>
            <w:vAlign w:val="bottom"/>
            <w:hideMark/>
          </w:tcPr>
          <w:p w14:paraId="6DBD9927" w14:textId="77777777" w:rsidR="004215F2" w:rsidRPr="001F6D3E" w:rsidRDefault="004215F2" w:rsidP="004215F2">
            <w:pPr>
              <w:spacing w:after="0" w:line="240" w:lineRule="auto"/>
              <w:rPr>
                <w:rFonts w:ascii="Arial" w:eastAsia="Times New Roman" w:hAnsi="Arial" w:cs="Arial"/>
                <w:color w:val="000000"/>
              </w:rPr>
            </w:pPr>
            <w:r w:rsidRPr="001F6D3E">
              <w:rPr>
                <w:rFonts w:ascii="Arial" w:eastAsia="Times New Roman" w:hAnsi="Arial" w:cs="Arial"/>
                <w:color w:val="000000"/>
              </w:rPr>
              <w:t>Total Assets</w:t>
            </w:r>
          </w:p>
        </w:tc>
        <w:tc>
          <w:tcPr>
            <w:tcW w:w="1268" w:type="dxa"/>
            <w:tcBorders>
              <w:top w:val="nil"/>
              <w:left w:val="nil"/>
              <w:bottom w:val="single" w:sz="4" w:space="0" w:color="auto"/>
              <w:right w:val="single" w:sz="4" w:space="0" w:color="auto"/>
            </w:tcBorders>
            <w:noWrap/>
            <w:vAlign w:val="bottom"/>
            <w:hideMark/>
          </w:tcPr>
          <w:p w14:paraId="1DA94FB3"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510,290</w:t>
            </w:r>
          </w:p>
        </w:tc>
        <w:tc>
          <w:tcPr>
            <w:tcW w:w="1268" w:type="dxa"/>
            <w:tcBorders>
              <w:top w:val="nil"/>
              <w:left w:val="nil"/>
              <w:bottom w:val="single" w:sz="4" w:space="0" w:color="auto"/>
              <w:right w:val="single" w:sz="4" w:space="0" w:color="auto"/>
            </w:tcBorders>
            <w:noWrap/>
            <w:vAlign w:val="bottom"/>
            <w:hideMark/>
          </w:tcPr>
          <w:p w14:paraId="03635A7A"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510,348</w:t>
            </w:r>
          </w:p>
        </w:tc>
        <w:tc>
          <w:tcPr>
            <w:tcW w:w="1268" w:type="dxa"/>
            <w:tcBorders>
              <w:top w:val="nil"/>
              <w:left w:val="nil"/>
              <w:bottom w:val="single" w:sz="4" w:space="0" w:color="auto"/>
              <w:right w:val="single" w:sz="4" w:space="0" w:color="auto"/>
            </w:tcBorders>
            <w:noWrap/>
            <w:vAlign w:val="bottom"/>
            <w:hideMark/>
          </w:tcPr>
          <w:p w14:paraId="1592A2A2"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504,163</w:t>
            </w:r>
          </w:p>
        </w:tc>
        <w:tc>
          <w:tcPr>
            <w:tcW w:w="1268" w:type="dxa"/>
            <w:tcBorders>
              <w:top w:val="nil"/>
              <w:left w:val="nil"/>
              <w:bottom w:val="single" w:sz="4" w:space="0" w:color="auto"/>
              <w:right w:val="single" w:sz="4" w:space="0" w:color="auto"/>
            </w:tcBorders>
            <w:noWrap/>
            <w:vAlign w:val="bottom"/>
            <w:hideMark/>
          </w:tcPr>
          <w:p w14:paraId="3575F00D"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355,872</w:t>
            </w:r>
          </w:p>
        </w:tc>
        <w:tc>
          <w:tcPr>
            <w:tcW w:w="1268" w:type="dxa"/>
            <w:tcBorders>
              <w:top w:val="nil"/>
              <w:left w:val="nil"/>
              <w:bottom w:val="single" w:sz="4" w:space="0" w:color="auto"/>
              <w:right w:val="single" w:sz="4" w:space="0" w:color="auto"/>
            </w:tcBorders>
            <w:noWrap/>
            <w:vAlign w:val="bottom"/>
            <w:hideMark/>
          </w:tcPr>
          <w:p w14:paraId="0886FC57"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323,354</w:t>
            </w:r>
          </w:p>
        </w:tc>
      </w:tr>
      <w:tr w:rsidR="004215F2" w:rsidRPr="001F6D3E" w14:paraId="25026998" w14:textId="77777777" w:rsidTr="00AD2CBA">
        <w:trPr>
          <w:trHeight w:val="253"/>
        </w:trPr>
        <w:tc>
          <w:tcPr>
            <w:tcW w:w="3218" w:type="dxa"/>
            <w:tcBorders>
              <w:top w:val="nil"/>
              <w:left w:val="single" w:sz="4" w:space="0" w:color="auto"/>
              <w:bottom w:val="single" w:sz="4" w:space="0" w:color="auto"/>
              <w:right w:val="single" w:sz="4" w:space="0" w:color="auto"/>
            </w:tcBorders>
            <w:noWrap/>
            <w:vAlign w:val="bottom"/>
            <w:hideMark/>
          </w:tcPr>
          <w:p w14:paraId="24E3EC44" w14:textId="77777777" w:rsidR="004215F2" w:rsidRPr="001F6D3E" w:rsidRDefault="004215F2" w:rsidP="004215F2">
            <w:pPr>
              <w:spacing w:after="0" w:line="240" w:lineRule="auto"/>
              <w:rPr>
                <w:rFonts w:ascii="Arial" w:eastAsia="Times New Roman" w:hAnsi="Arial" w:cs="Arial"/>
                <w:color w:val="000000"/>
              </w:rPr>
            </w:pPr>
            <w:r w:rsidRPr="001F6D3E">
              <w:rPr>
                <w:rFonts w:ascii="Arial" w:eastAsia="Times New Roman" w:hAnsi="Arial" w:cs="Arial"/>
                <w:color w:val="000000"/>
              </w:rPr>
              <w:t>Account Receivable</w:t>
            </w:r>
          </w:p>
        </w:tc>
        <w:tc>
          <w:tcPr>
            <w:tcW w:w="1268" w:type="dxa"/>
            <w:tcBorders>
              <w:top w:val="nil"/>
              <w:left w:val="nil"/>
              <w:bottom w:val="single" w:sz="4" w:space="0" w:color="auto"/>
              <w:right w:val="single" w:sz="4" w:space="0" w:color="auto"/>
            </w:tcBorders>
            <w:noWrap/>
            <w:vAlign w:val="bottom"/>
            <w:hideMark/>
          </w:tcPr>
          <w:p w14:paraId="56EBB9CE"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114,182</w:t>
            </w:r>
          </w:p>
        </w:tc>
        <w:tc>
          <w:tcPr>
            <w:tcW w:w="1268" w:type="dxa"/>
            <w:tcBorders>
              <w:top w:val="nil"/>
              <w:left w:val="nil"/>
              <w:bottom w:val="single" w:sz="4" w:space="0" w:color="auto"/>
              <w:right w:val="single" w:sz="4" w:space="0" w:color="auto"/>
            </w:tcBorders>
            <w:noWrap/>
            <w:vAlign w:val="bottom"/>
            <w:hideMark/>
          </w:tcPr>
          <w:p w14:paraId="2C43EA28"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112,596</w:t>
            </w:r>
          </w:p>
        </w:tc>
        <w:tc>
          <w:tcPr>
            <w:tcW w:w="1268" w:type="dxa"/>
            <w:tcBorders>
              <w:top w:val="nil"/>
              <w:left w:val="nil"/>
              <w:bottom w:val="single" w:sz="4" w:space="0" w:color="auto"/>
              <w:right w:val="single" w:sz="4" w:space="0" w:color="auto"/>
            </w:tcBorders>
            <w:noWrap/>
            <w:vAlign w:val="bottom"/>
            <w:hideMark/>
          </w:tcPr>
          <w:p w14:paraId="447ABD99"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112,346</w:t>
            </w:r>
          </w:p>
        </w:tc>
        <w:tc>
          <w:tcPr>
            <w:tcW w:w="1268" w:type="dxa"/>
            <w:tcBorders>
              <w:top w:val="nil"/>
              <w:left w:val="nil"/>
              <w:bottom w:val="single" w:sz="4" w:space="0" w:color="auto"/>
              <w:right w:val="single" w:sz="4" w:space="0" w:color="auto"/>
            </w:tcBorders>
            <w:noWrap/>
            <w:vAlign w:val="bottom"/>
            <w:hideMark/>
          </w:tcPr>
          <w:p w14:paraId="33C871D9"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129,215</w:t>
            </w:r>
          </w:p>
        </w:tc>
        <w:tc>
          <w:tcPr>
            <w:tcW w:w="1268" w:type="dxa"/>
            <w:tcBorders>
              <w:top w:val="nil"/>
              <w:left w:val="nil"/>
              <w:bottom w:val="single" w:sz="4" w:space="0" w:color="auto"/>
              <w:right w:val="single" w:sz="4" w:space="0" w:color="auto"/>
            </w:tcBorders>
            <w:noWrap/>
            <w:vAlign w:val="bottom"/>
            <w:hideMark/>
          </w:tcPr>
          <w:p w14:paraId="2BC44E73"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129,433</w:t>
            </w:r>
          </w:p>
        </w:tc>
      </w:tr>
      <w:tr w:rsidR="004215F2" w:rsidRPr="001F6D3E" w14:paraId="57FDD6A5" w14:textId="77777777" w:rsidTr="00AD2CBA">
        <w:trPr>
          <w:trHeight w:val="253"/>
        </w:trPr>
        <w:tc>
          <w:tcPr>
            <w:tcW w:w="3218" w:type="dxa"/>
            <w:tcBorders>
              <w:top w:val="nil"/>
              <w:left w:val="single" w:sz="4" w:space="0" w:color="auto"/>
              <w:bottom w:val="single" w:sz="4" w:space="0" w:color="auto"/>
              <w:right w:val="single" w:sz="4" w:space="0" w:color="auto"/>
            </w:tcBorders>
            <w:noWrap/>
            <w:vAlign w:val="bottom"/>
            <w:hideMark/>
          </w:tcPr>
          <w:p w14:paraId="6899C18F" w14:textId="77777777" w:rsidR="004215F2" w:rsidRPr="001F6D3E" w:rsidRDefault="004215F2" w:rsidP="004215F2">
            <w:pPr>
              <w:spacing w:after="0" w:line="240" w:lineRule="auto"/>
              <w:rPr>
                <w:rFonts w:ascii="Arial" w:eastAsia="Times New Roman" w:hAnsi="Arial" w:cs="Arial"/>
                <w:color w:val="000000"/>
              </w:rPr>
            </w:pPr>
            <w:r w:rsidRPr="001F6D3E">
              <w:rPr>
                <w:rFonts w:ascii="Arial" w:eastAsia="Times New Roman" w:hAnsi="Arial" w:cs="Arial"/>
                <w:color w:val="000000"/>
              </w:rPr>
              <w:t>Average Daily Sales</w:t>
            </w:r>
          </w:p>
        </w:tc>
        <w:tc>
          <w:tcPr>
            <w:tcW w:w="1268" w:type="dxa"/>
            <w:tcBorders>
              <w:top w:val="nil"/>
              <w:left w:val="nil"/>
              <w:bottom w:val="single" w:sz="4" w:space="0" w:color="auto"/>
              <w:right w:val="single" w:sz="4" w:space="0" w:color="auto"/>
            </w:tcBorders>
            <w:noWrap/>
            <w:vAlign w:val="bottom"/>
            <w:hideMark/>
          </w:tcPr>
          <w:p w14:paraId="6DA386E1"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1684.055</w:t>
            </w:r>
          </w:p>
        </w:tc>
        <w:tc>
          <w:tcPr>
            <w:tcW w:w="1268" w:type="dxa"/>
            <w:tcBorders>
              <w:top w:val="nil"/>
              <w:left w:val="nil"/>
              <w:bottom w:val="single" w:sz="4" w:space="0" w:color="auto"/>
              <w:right w:val="single" w:sz="4" w:space="0" w:color="auto"/>
            </w:tcBorders>
            <w:noWrap/>
            <w:vAlign w:val="bottom"/>
            <w:hideMark/>
          </w:tcPr>
          <w:p w14:paraId="357A5036"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1648.225</w:t>
            </w:r>
          </w:p>
        </w:tc>
        <w:tc>
          <w:tcPr>
            <w:tcW w:w="1268" w:type="dxa"/>
            <w:tcBorders>
              <w:top w:val="nil"/>
              <w:left w:val="nil"/>
              <w:bottom w:val="single" w:sz="4" w:space="0" w:color="auto"/>
              <w:right w:val="single" w:sz="4" w:space="0" w:color="auto"/>
            </w:tcBorders>
            <w:noWrap/>
            <w:vAlign w:val="bottom"/>
            <w:hideMark/>
          </w:tcPr>
          <w:p w14:paraId="306405CE"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1486.989</w:t>
            </w:r>
          </w:p>
        </w:tc>
        <w:tc>
          <w:tcPr>
            <w:tcW w:w="1268" w:type="dxa"/>
            <w:tcBorders>
              <w:top w:val="nil"/>
              <w:left w:val="nil"/>
              <w:bottom w:val="single" w:sz="4" w:space="0" w:color="auto"/>
              <w:right w:val="single" w:sz="4" w:space="0" w:color="auto"/>
            </w:tcBorders>
            <w:noWrap/>
            <w:vAlign w:val="bottom"/>
            <w:hideMark/>
          </w:tcPr>
          <w:p w14:paraId="083F6FAE"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1151.937</w:t>
            </w:r>
          </w:p>
        </w:tc>
        <w:tc>
          <w:tcPr>
            <w:tcW w:w="1268" w:type="dxa"/>
            <w:tcBorders>
              <w:top w:val="nil"/>
              <w:left w:val="nil"/>
              <w:bottom w:val="single" w:sz="4" w:space="0" w:color="auto"/>
              <w:right w:val="single" w:sz="4" w:space="0" w:color="auto"/>
            </w:tcBorders>
            <w:noWrap/>
            <w:vAlign w:val="bottom"/>
            <w:hideMark/>
          </w:tcPr>
          <w:p w14:paraId="04AC1066"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1081.86</w:t>
            </w:r>
          </w:p>
        </w:tc>
      </w:tr>
      <w:tr w:rsidR="004215F2" w:rsidRPr="001F6D3E" w14:paraId="05241D2F" w14:textId="77777777" w:rsidTr="00AD2CBA">
        <w:trPr>
          <w:trHeight w:val="253"/>
        </w:trPr>
        <w:tc>
          <w:tcPr>
            <w:tcW w:w="3218" w:type="dxa"/>
            <w:tcBorders>
              <w:top w:val="nil"/>
              <w:left w:val="single" w:sz="4" w:space="0" w:color="auto"/>
              <w:bottom w:val="single" w:sz="4" w:space="0" w:color="auto"/>
              <w:right w:val="single" w:sz="4" w:space="0" w:color="auto"/>
            </w:tcBorders>
            <w:noWrap/>
            <w:vAlign w:val="bottom"/>
            <w:hideMark/>
          </w:tcPr>
          <w:p w14:paraId="40205D9F" w14:textId="77777777" w:rsidR="004215F2" w:rsidRPr="001F6D3E" w:rsidRDefault="004215F2" w:rsidP="004215F2">
            <w:pPr>
              <w:spacing w:after="0" w:line="240" w:lineRule="auto"/>
              <w:rPr>
                <w:rFonts w:ascii="Arial" w:eastAsia="Times New Roman" w:hAnsi="Arial" w:cs="Arial"/>
                <w:color w:val="000000"/>
              </w:rPr>
            </w:pPr>
            <w:r w:rsidRPr="001F6D3E">
              <w:rPr>
                <w:rFonts w:ascii="Arial" w:eastAsia="Times New Roman" w:hAnsi="Arial" w:cs="Arial"/>
                <w:color w:val="000000"/>
              </w:rPr>
              <w:t>Cost of Goods Sold</w:t>
            </w:r>
          </w:p>
        </w:tc>
        <w:tc>
          <w:tcPr>
            <w:tcW w:w="1268" w:type="dxa"/>
            <w:tcBorders>
              <w:top w:val="nil"/>
              <w:left w:val="nil"/>
              <w:bottom w:val="single" w:sz="4" w:space="0" w:color="auto"/>
              <w:right w:val="single" w:sz="4" w:space="0" w:color="auto"/>
            </w:tcBorders>
            <w:noWrap/>
            <w:vAlign w:val="bottom"/>
            <w:hideMark/>
          </w:tcPr>
          <w:p w14:paraId="34B462E5"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-438,424</w:t>
            </w:r>
          </w:p>
        </w:tc>
        <w:tc>
          <w:tcPr>
            <w:tcW w:w="1268" w:type="dxa"/>
            <w:tcBorders>
              <w:top w:val="nil"/>
              <w:left w:val="nil"/>
              <w:bottom w:val="single" w:sz="4" w:space="0" w:color="auto"/>
              <w:right w:val="single" w:sz="4" w:space="0" w:color="auto"/>
            </w:tcBorders>
            <w:noWrap/>
            <w:vAlign w:val="bottom"/>
            <w:hideMark/>
          </w:tcPr>
          <w:p w14:paraId="0742C5A2"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-428,586</w:t>
            </w:r>
          </w:p>
        </w:tc>
        <w:tc>
          <w:tcPr>
            <w:tcW w:w="1268" w:type="dxa"/>
            <w:tcBorders>
              <w:top w:val="nil"/>
              <w:left w:val="nil"/>
              <w:bottom w:val="single" w:sz="4" w:space="0" w:color="auto"/>
              <w:right w:val="single" w:sz="4" w:space="0" w:color="auto"/>
            </w:tcBorders>
            <w:noWrap/>
            <w:vAlign w:val="bottom"/>
            <w:hideMark/>
          </w:tcPr>
          <w:p w14:paraId="27A4948C"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-390,459</w:t>
            </w:r>
          </w:p>
        </w:tc>
        <w:tc>
          <w:tcPr>
            <w:tcW w:w="1268" w:type="dxa"/>
            <w:tcBorders>
              <w:top w:val="nil"/>
              <w:left w:val="nil"/>
              <w:bottom w:val="single" w:sz="4" w:space="0" w:color="auto"/>
              <w:right w:val="single" w:sz="4" w:space="0" w:color="auto"/>
            </w:tcBorders>
            <w:noWrap/>
            <w:vAlign w:val="bottom"/>
            <w:hideMark/>
          </w:tcPr>
          <w:p w14:paraId="6FE37747"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-322,897</w:t>
            </w:r>
          </w:p>
        </w:tc>
        <w:tc>
          <w:tcPr>
            <w:tcW w:w="1268" w:type="dxa"/>
            <w:tcBorders>
              <w:top w:val="nil"/>
              <w:left w:val="nil"/>
              <w:bottom w:val="single" w:sz="4" w:space="0" w:color="auto"/>
              <w:right w:val="single" w:sz="4" w:space="0" w:color="auto"/>
            </w:tcBorders>
            <w:noWrap/>
            <w:vAlign w:val="bottom"/>
            <w:hideMark/>
          </w:tcPr>
          <w:p w14:paraId="0463D662"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-280,885</w:t>
            </w:r>
          </w:p>
        </w:tc>
      </w:tr>
      <w:tr w:rsidR="004215F2" w:rsidRPr="001F6D3E" w14:paraId="6AECF00C" w14:textId="77777777" w:rsidTr="00AD2CBA">
        <w:trPr>
          <w:trHeight w:val="253"/>
        </w:trPr>
        <w:tc>
          <w:tcPr>
            <w:tcW w:w="3218" w:type="dxa"/>
            <w:tcBorders>
              <w:top w:val="nil"/>
              <w:left w:val="single" w:sz="4" w:space="0" w:color="auto"/>
              <w:bottom w:val="single" w:sz="4" w:space="0" w:color="auto"/>
              <w:right w:val="single" w:sz="4" w:space="0" w:color="auto"/>
            </w:tcBorders>
            <w:noWrap/>
            <w:vAlign w:val="bottom"/>
            <w:hideMark/>
          </w:tcPr>
          <w:p w14:paraId="558054A9" w14:textId="77777777" w:rsidR="004215F2" w:rsidRPr="001F6D3E" w:rsidRDefault="004215F2" w:rsidP="004215F2">
            <w:pPr>
              <w:spacing w:after="0" w:line="240" w:lineRule="auto"/>
              <w:rPr>
                <w:rFonts w:ascii="Arial" w:eastAsia="Times New Roman" w:hAnsi="Arial" w:cs="Arial"/>
                <w:color w:val="000000"/>
              </w:rPr>
            </w:pPr>
            <w:r w:rsidRPr="001F6D3E">
              <w:rPr>
                <w:rFonts w:ascii="Arial" w:eastAsia="Times New Roman" w:hAnsi="Arial" w:cs="Arial"/>
                <w:color w:val="000000"/>
              </w:rPr>
              <w:t>Inventory</w:t>
            </w:r>
          </w:p>
        </w:tc>
        <w:tc>
          <w:tcPr>
            <w:tcW w:w="1268" w:type="dxa"/>
            <w:tcBorders>
              <w:top w:val="nil"/>
              <w:left w:val="nil"/>
              <w:bottom w:val="single" w:sz="4" w:space="0" w:color="auto"/>
              <w:right w:val="single" w:sz="4" w:space="0" w:color="auto"/>
            </w:tcBorders>
            <w:noWrap/>
            <w:vAlign w:val="bottom"/>
            <w:hideMark/>
          </w:tcPr>
          <w:p w14:paraId="373CC743"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120,430</w:t>
            </w:r>
          </w:p>
        </w:tc>
        <w:tc>
          <w:tcPr>
            <w:tcW w:w="1268" w:type="dxa"/>
            <w:tcBorders>
              <w:top w:val="nil"/>
              <w:left w:val="nil"/>
              <w:bottom w:val="single" w:sz="4" w:space="0" w:color="auto"/>
              <w:right w:val="single" w:sz="4" w:space="0" w:color="auto"/>
            </w:tcBorders>
            <w:noWrap/>
            <w:vAlign w:val="bottom"/>
            <w:hideMark/>
          </w:tcPr>
          <w:p w14:paraId="31B53673"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134,469</w:t>
            </w:r>
          </w:p>
        </w:tc>
        <w:tc>
          <w:tcPr>
            <w:tcW w:w="1268" w:type="dxa"/>
            <w:tcBorders>
              <w:top w:val="nil"/>
              <w:left w:val="nil"/>
              <w:bottom w:val="single" w:sz="4" w:space="0" w:color="auto"/>
              <w:right w:val="single" w:sz="4" w:space="0" w:color="auto"/>
            </w:tcBorders>
            <w:noWrap/>
            <w:vAlign w:val="bottom"/>
            <w:hideMark/>
          </w:tcPr>
          <w:p w14:paraId="0FF69CD7"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140,181</w:t>
            </w:r>
          </w:p>
        </w:tc>
        <w:tc>
          <w:tcPr>
            <w:tcW w:w="1268" w:type="dxa"/>
            <w:tcBorders>
              <w:top w:val="nil"/>
              <w:left w:val="nil"/>
              <w:bottom w:val="single" w:sz="4" w:space="0" w:color="auto"/>
              <w:right w:val="single" w:sz="4" w:space="0" w:color="auto"/>
            </w:tcBorders>
            <w:noWrap/>
            <w:vAlign w:val="bottom"/>
            <w:hideMark/>
          </w:tcPr>
          <w:p w14:paraId="02EBAD64"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88,273</w:t>
            </w:r>
          </w:p>
        </w:tc>
        <w:tc>
          <w:tcPr>
            <w:tcW w:w="1268" w:type="dxa"/>
            <w:tcBorders>
              <w:top w:val="nil"/>
              <w:left w:val="nil"/>
              <w:bottom w:val="single" w:sz="4" w:space="0" w:color="auto"/>
              <w:right w:val="single" w:sz="4" w:space="0" w:color="auto"/>
            </w:tcBorders>
            <w:noWrap/>
            <w:vAlign w:val="bottom"/>
            <w:hideMark/>
          </w:tcPr>
          <w:p w14:paraId="26677B2B"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79,355</w:t>
            </w:r>
          </w:p>
        </w:tc>
      </w:tr>
      <w:tr w:rsidR="004215F2" w:rsidRPr="001F6D3E" w14:paraId="391D9DE6" w14:textId="77777777" w:rsidTr="00AD2CBA">
        <w:trPr>
          <w:trHeight w:val="253"/>
        </w:trPr>
        <w:tc>
          <w:tcPr>
            <w:tcW w:w="3218" w:type="dxa"/>
            <w:tcBorders>
              <w:top w:val="nil"/>
              <w:left w:val="single" w:sz="4" w:space="0" w:color="auto"/>
              <w:bottom w:val="single" w:sz="4" w:space="0" w:color="auto"/>
              <w:right w:val="single" w:sz="4" w:space="0" w:color="auto"/>
            </w:tcBorders>
            <w:noWrap/>
            <w:vAlign w:val="bottom"/>
            <w:hideMark/>
          </w:tcPr>
          <w:p w14:paraId="1EC1DB85" w14:textId="77777777" w:rsidR="004215F2" w:rsidRPr="001F6D3E" w:rsidRDefault="004215F2" w:rsidP="004215F2">
            <w:pPr>
              <w:spacing w:after="0" w:line="240" w:lineRule="auto"/>
              <w:rPr>
                <w:rFonts w:ascii="Arial" w:eastAsia="Times New Roman" w:hAnsi="Arial" w:cs="Arial"/>
                <w:color w:val="000000"/>
              </w:rPr>
            </w:pPr>
            <w:r w:rsidRPr="001F6D3E">
              <w:rPr>
                <w:rFonts w:ascii="Arial" w:eastAsia="Times New Roman" w:hAnsi="Arial" w:cs="Arial"/>
                <w:color w:val="000000"/>
              </w:rPr>
              <w:t>Account Payable</w:t>
            </w:r>
          </w:p>
        </w:tc>
        <w:tc>
          <w:tcPr>
            <w:tcW w:w="1268" w:type="dxa"/>
            <w:tcBorders>
              <w:top w:val="nil"/>
              <w:left w:val="nil"/>
              <w:bottom w:val="single" w:sz="4" w:space="0" w:color="auto"/>
              <w:right w:val="single" w:sz="4" w:space="0" w:color="auto"/>
            </w:tcBorders>
            <w:noWrap/>
            <w:vAlign w:val="bottom"/>
            <w:hideMark/>
          </w:tcPr>
          <w:p w14:paraId="0E0F4B2C"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83,229</w:t>
            </w:r>
          </w:p>
        </w:tc>
        <w:tc>
          <w:tcPr>
            <w:tcW w:w="1268" w:type="dxa"/>
            <w:tcBorders>
              <w:top w:val="nil"/>
              <w:left w:val="nil"/>
              <w:bottom w:val="single" w:sz="4" w:space="0" w:color="auto"/>
              <w:right w:val="single" w:sz="4" w:space="0" w:color="auto"/>
            </w:tcBorders>
            <w:noWrap/>
            <w:vAlign w:val="bottom"/>
            <w:hideMark/>
          </w:tcPr>
          <w:p w14:paraId="7BC37FE4"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92,707</w:t>
            </w:r>
          </w:p>
        </w:tc>
        <w:tc>
          <w:tcPr>
            <w:tcW w:w="1268" w:type="dxa"/>
            <w:tcBorders>
              <w:top w:val="nil"/>
              <w:left w:val="nil"/>
              <w:bottom w:val="single" w:sz="4" w:space="0" w:color="auto"/>
              <w:right w:val="single" w:sz="4" w:space="0" w:color="auto"/>
            </w:tcBorders>
            <w:noWrap/>
            <w:vAlign w:val="bottom"/>
            <w:hideMark/>
          </w:tcPr>
          <w:p w14:paraId="160E54C7"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71,373</w:t>
            </w:r>
          </w:p>
        </w:tc>
        <w:tc>
          <w:tcPr>
            <w:tcW w:w="1268" w:type="dxa"/>
            <w:tcBorders>
              <w:top w:val="nil"/>
              <w:left w:val="nil"/>
              <w:bottom w:val="single" w:sz="4" w:space="0" w:color="auto"/>
              <w:right w:val="single" w:sz="4" w:space="0" w:color="auto"/>
            </w:tcBorders>
            <w:noWrap/>
            <w:vAlign w:val="bottom"/>
            <w:hideMark/>
          </w:tcPr>
          <w:p w14:paraId="3ED70F04"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57,033</w:t>
            </w:r>
          </w:p>
        </w:tc>
        <w:tc>
          <w:tcPr>
            <w:tcW w:w="1268" w:type="dxa"/>
            <w:tcBorders>
              <w:top w:val="nil"/>
              <w:left w:val="nil"/>
              <w:bottom w:val="single" w:sz="4" w:space="0" w:color="auto"/>
              <w:right w:val="single" w:sz="4" w:space="0" w:color="auto"/>
            </w:tcBorders>
            <w:noWrap/>
            <w:vAlign w:val="bottom"/>
            <w:hideMark/>
          </w:tcPr>
          <w:p w14:paraId="5B67D32F" w14:textId="77777777" w:rsidR="004215F2" w:rsidRPr="001F6D3E" w:rsidRDefault="004215F2" w:rsidP="004215F2">
            <w:pPr>
              <w:spacing w:after="0" w:line="240" w:lineRule="auto"/>
              <w:jc w:val="right"/>
              <w:rPr>
                <w:rFonts w:ascii="Arial" w:eastAsia="Times New Roman" w:hAnsi="Arial" w:cs="Arial"/>
                <w:color w:val="000000"/>
              </w:rPr>
            </w:pPr>
            <w:r w:rsidRPr="001F6D3E">
              <w:rPr>
                <w:rFonts w:ascii="Arial" w:eastAsia="Times New Roman" w:hAnsi="Arial" w:cs="Arial"/>
                <w:color w:val="000000"/>
              </w:rPr>
              <w:t>72,031</w:t>
            </w:r>
          </w:p>
        </w:tc>
      </w:tr>
      <w:tr w:rsidR="004215F2" w:rsidRPr="001F6D3E" w14:paraId="753BFB25" w14:textId="77777777" w:rsidTr="00AD2CBA">
        <w:trPr>
          <w:trHeight w:val="253"/>
        </w:trPr>
        <w:tc>
          <w:tcPr>
            <w:tcW w:w="3218" w:type="dxa"/>
            <w:tcBorders>
              <w:top w:val="nil"/>
              <w:left w:val="single" w:sz="4" w:space="0" w:color="auto"/>
              <w:bottom w:val="single" w:sz="4" w:space="0" w:color="auto"/>
              <w:right w:val="single" w:sz="4" w:space="0" w:color="auto"/>
            </w:tcBorders>
            <w:noWrap/>
            <w:vAlign w:val="bottom"/>
            <w:hideMark/>
          </w:tcPr>
          <w:p w14:paraId="403F42A4" w14:textId="77777777" w:rsidR="004215F2" w:rsidRPr="001F6D3E" w:rsidRDefault="004215F2" w:rsidP="004215F2">
            <w:pPr>
              <w:spacing w:after="0" w:line="240" w:lineRule="auto"/>
              <w:rPr>
                <w:rFonts w:ascii="Arial" w:eastAsia="Times New Roman" w:hAnsi="Arial" w:cs="Arial"/>
                <w:b/>
                <w:bCs/>
                <w:color w:val="000000"/>
              </w:rPr>
            </w:pPr>
            <w:r w:rsidRPr="001F6D3E">
              <w:rPr>
                <w:rFonts w:ascii="Arial" w:eastAsia="Times New Roman" w:hAnsi="Arial" w:cs="Arial"/>
                <w:b/>
                <w:bCs/>
                <w:color w:val="000000"/>
              </w:rPr>
              <w:t>Asset Turnover</w:t>
            </w:r>
          </w:p>
        </w:tc>
        <w:tc>
          <w:tcPr>
            <w:tcW w:w="1268" w:type="dxa"/>
            <w:tcBorders>
              <w:top w:val="nil"/>
              <w:left w:val="nil"/>
              <w:bottom w:val="single" w:sz="4" w:space="0" w:color="auto"/>
              <w:right w:val="single" w:sz="4" w:space="0" w:color="auto"/>
            </w:tcBorders>
            <w:noWrap/>
            <w:vAlign w:val="bottom"/>
            <w:hideMark/>
          </w:tcPr>
          <w:p w14:paraId="55EC6F5C"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1.20457</w:t>
            </w:r>
          </w:p>
        </w:tc>
        <w:tc>
          <w:tcPr>
            <w:tcW w:w="1268" w:type="dxa"/>
            <w:tcBorders>
              <w:top w:val="nil"/>
              <w:left w:val="nil"/>
              <w:bottom w:val="single" w:sz="4" w:space="0" w:color="auto"/>
              <w:right w:val="single" w:sz="4" w:space="0" w:color="auto"/>
            </w:tcBorders>
            <w:noWrap/>
            <w:vAlign w:val="bottom"/>
            <w:hideMark/>
          </w:tcPr>
          <w:p w14:paraId="6A78F7D5"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1.178807</w:t>
            </w:r>
          </w:p>
        </w:tc>
        <w:tc>
          <w:tcPr>
            <w:tcW w:w="1268" w:type="dxa"/>
            <w:tcBorders>
              <w:top w:val="nil"/>
              <w:left w:val="nil"/>
              <w:bottom w:val="single" w:sz="4" w:space="0" w:color="auto"/>
              <w:right w:val="single" w:sz="4" w:space="0" w:color="auto"/>
            </w:tcBorders>
            <w:noWrap/>
            <w:vAlign w:val="bottom"/>
            <w:hideMark/>
          </w:tcPr>
          <w:p w14:paraId="3DC8974C"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1.076539</w:t>
            </w:r>
          </w:p>
        </w:tc>
        <w:tc>
          <w:tcPr>
            <w:tcW w:w="1268" w:type="dxa"/>
            <w:tcBorders>
              <w:top w:val="nil"/>
              <w:left w:val="nil"/>
              <w:bottom w:val="single" w:sz="4" w:space="0" w:color="auto"/>
              <w:right w:val="single" w:sz="4" w:space="0" w:color="auto"/>
            </w:tcBorders>
            <w:noWrap/>
            <w:vAlign w:val="bottom"/>
            <w:hideMark/>
          </w:tcPr>
          <w:p w14:paraId="53610E2F"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1.181484</w:t>
            </w:r>
          </w:p>
        </w:tc>
        <w:tc>
          <w:tcPr>
            <w:tcW w:w="1268" w:type="dxa"/>
            <w:tcBorders>
              <w:top w:val="nil"/>
              <w:left w:val="nil"/>
              <w:bottom w:val="single" w:sz="4" w:space="0" w:color="auto"/>
              <w:right w:val="single" w:sz="4" w:space="0" w:color="auto"/>
            </w:tcBorders>
            <w:noWrap/>
            <w:vAlign w:val="bottom"/>
            <w:hideMark/>
          </w:tcPr>
          <w:p w14:paraId="4D69F72B"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1.221197</w:t>
            </w:r>
          </w:p>
        </w:tc>
      </w:tr>
      <w:tr w:rsidR="004215F2" w:rsidRPr="001F6D3E" w14:paraId="0F48CC7F" w14:textId="77777777" w:rsidTr="00AD2CBA">
        <w:trPr>
          <w:trHeight w:val="253"/>
        </w:trPr>
        <w:tc>
          <w:tcPr>
            <w:tcW w:w="3218" w:type="dxa"/>
            <w:tcBorders>
              <w:top w:val="nil"/>
              <w:left w:val="single" w:sz="4" w:space="0" w:color="auto"/>
              <w:bottom w:val="single" w:sz="4" w:space="0" w:color="auto"/>
              <w:right w:val="single" w:sz="4" w:space="0" w:color="auto"/>
            </w:tcBorders>
            <w:noWrap/>
            <w:vAlign w:val="bottom"/>
            <w:hideMark/>
          </w:tcPr>
          <w:p w14:paraId="191EA212" w14:textId="77777777" w:rsidR="004215F2" w:rsidRPr="001F6D3E" w:rsidRDefault="004215F2" w:rsidP="004215F2">
            <w:pPr>
              <w:spacing w:after="0" w:line="240" w:lineRule="auto"/>
              <w:rPr>
                <w:rFonts w:ascii="Arial" w:eastAsia="Times New Roman" w:hAnsi="Arial" w:cs="Arial"/>
                <w:b/>
                <w:bCs/>
                <w:color w:val="000000"/>
              </w:rPr>
            </w:pPr>
            <w:r w:rsidRPr="001F6D3E">
              <w:rPr>
                <w:rFonts w:ascii="Arial" w:eastAsia="Times New Roman" w:hAnsi="Arial" w:cs="Arial"/>
                <w:b/>
                <w:bCs/>
                <w:color w:val="000000"/>
              </w:rPr>
              <w:t>Inventory Days</w:t>
            </w:r>
          </w:p>
        </w:tc>
        <w:tc>
          <w:tcPr>
            <w:tcW w:w="1268" w:type="dxa"/>
            <w:tcBorders>
              <w:top w:val="nil"/>
              <w:left w:val="nil"/>
              <w:bottom w:val="single" w:sz="4" w:space="0" w:color="auto"/>
              <w:right w:val="single" w:sz="4" w:space="0" w:color="auto"/>
            </w:tcBorders>
            <w:noWrap/>
            <w:vAlign w:val="bottom"/>
            <w:hideMark/>
          </w:tcPr>
          <w:p w14:paraId="473C481B"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-100.261</w:t>
            </w:r>
          </w:p>
        </w:tc>
        <w:tc>
          <w:tcPr>
            <w:tcW w:w="1268" w:type="dxa"/>
            <w:tcBorders>
              <w:top w:val="nil"/>
              <w:left w:val="nil"/>
              <w:bottom w:val="single" w:sz="4" w:space="0" w:color="auto"/>
              <w:right w:val="single" w:sz="4" w:space="0" w:color="auto"/>
            </w:tcBorders>
            <w:noWrap/>
            <w:vAlign w:val="bottom"/>
            <w:hideMark/>
          </w:tcPr>
          <w:p w14:paraId="6EA71D28"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-114.519</w:t>
            </w:r>
          </w:p>
        </w:tc>
        <w:tc>
          <w:tcPr>
            <w:tcW w:w="1268" w:type="dxa"/>
            <w:tcBorders>
              <w:top w:val="nil"/>
              <w:left w:val="nil"/>
              <w:bottom w:val="single" w:sz="4" w:space="0" w:color="auto"/>
              <w:right w:val="single" w:sz="4" w:space="0" w:color="auto"/>
            </w:tcBorders>
            <w:noWrap/>
            <w:vAlign w:val="bottom"/>
            <w:hideMark/>
          </w:tcPr>
          <w:p w14:paraId="1C167035"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-131.041</w:t>
            </w:r>
          </w:p>
        </w:tc>
        <w:tc>
          <w:tcPr>
            <w:tcW w:w="1268" w:type="dxa"/>
            <w:tcBorders>
              <w:top w:val="nil"/>
              <w:left w:val="nil"/>
              <w:bottom w:val="single" w:sz="4" w:space="0" w:color="auto"/>
              <w:right w:val="single" w:sz="4" w:space="0" w:color="auto"/>
            </w:tcBorders>
            <w:noWrap/>
            <w:vAlign w:val="bottom"/>
            <w:hideMark/>
          </w:tcPr>
          <w:p w14:paraId="23DB71A7"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-99.783</w:t>
            </w:r>
          </w:p>
        </w:tc>
        <w:tc>
          <w:tcPr>
            <w:tcW w:w="1268" w:type="dxa"/>
            <w:tcBorders>
              <w:top w:val="nil"/>
              <w:left w:val="nil"/>
              <w:bottom w:val="single" w:sz="4" w:space="0" w:color="auto"/>
              <w:right w:val="single" w:sz="4" w:space="0" w:color="auto"/>
            </w:tcBorders>
            <w:noWrap/>
            <w:vAlign w:val="bottom"/>
            <w:hideMark/>
          </w:tcPr>
          <w:p w14:paraId="34A3E9B0"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-103.119</w:t>
            </w:r>
          </w:p>
        </w:tc>
      </w:tr>
      <w:tr w:rsidR="004215F2" w:rsidRPr="001F6D3E" w14:paraId="55DCC2BB" w14:textId="77777777" w:rsidTr="00AD2CBA">
        <w:trPr>
          <w:trHeight w:val="253"/>
        </w:trPr>
        <w:tc>
          <w:tcPr>
            <w:tcW w:w="3218" w:type="dxa"/>
            <w:tcBorders>
              <w:top w:val="nil"/>
              <w:left w:val="single" w:sz="4" w:space="0" w:color="auto"/>
              <w:bottom w:val="single" w:sz="4" w:space="0" w:color="auto"/>
              <w:right w:val="single" w:sz="4" w:space="0" w:color="auto"/>
            </w:tcBorders>
            <w:noWrap/>
            <w:vAlign w:val="bottom"/>
            <w:hideMark/>
          </w:tcPr>
          <w:p w14:paraId="76D9E984" w14:textId="77777777" w:rsidR="004215F2" w:rsidRPr="001F6D3E" w:rsidRDefault="004215F2" w:rsidP="004215F2">
            <w:pPr>
              <w:spacing w:after="0" w:line="240" w:lineRule="auto"/>
              <w:rPr>
                <w:rFonts w:ascii="Arial" w:eastAsia="Times New Roman" w:hAnsi="Arial" w:cs="Arial"/>
                <w:b/>
                <w:bCs/>
                <w:color w:val="000000"/>
              </w:rPr>
            </w:pPr>
            <w:r w:rsidRPr="001F6D3E">
              <w:rPr>
                <w:rFonts w:ascii="Arial" w:eastAsia="Times New Roman" w:hAnsi="Arial" w:cs="Arial"/>
                <w:b/>
                <w:bCs/>
                <w:color w:val="000000"/>
              </w:rPr>
              <w:t>Accounts Receivable Days</w:t>
            </w:r>
          </w:p>
        </w:tc>
        <w:tc>
          <w:tcPr>
            <w:tcW w:w="1268" w:type="dxa"/>
            <w:tcBorders>
              <w:top w:val="nil"/>
              <w:left w:val="nil"/>
              <w:bottom w:val="single" w:sz="4" w:space="0" w:color="auto"/>
              <w:right w:val="single" w:sz="4" w:space="0" w:color="auto"/>
            </w:tcBorders>
            <w:noWrap/>
            <w:vAlign w:val="bottom"/>
            <w:hideMark/>
          </w:tcPr>
          <w:p w14:paraId="20E074CD"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67.80183</w:t>
            </w:r>
          </w:p>
        </w:tc>
        <w:tc>
          <w:tcPr>
            <w:tcW w:w="1268" w:type="dxa"/>
            <w:tcBorders>
              <w:top w:val="nil"/>
              <w:left w:val="nil"/>
              <w:bottom w:val="single" w:sz="4" w:space="0" w:color="auto"/>
              <w:right w:val="single" w:sz="4" w:space="0" w:color="auto"/>
            </w:tcBorders>
            <w:noWrap/>
            <w:vAlign w:val="bottom"/>
            <w:hideMark/>
          </w:tcPr>
          <w:p w14:paraId="5DED9C16"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68.3135</w:t>
            </w:r>
          </w:p>
        </w:tc>
        <w:tc>
          <w:tcPr>
            <w:tcW w:w="1268" w:type="dxa"/>
            <w:tcBorders>
              <w:top w:val="nil"/>
              <w:left w:val="nil"/>
              <w:bottom w:val="single" w:sz="4" w:space="0" w:color="auto"/>
              <w:right w:val="single" w:sz="4" w:space="0" w:color="auto"/>
            </w:tcBorders>
            <w:noWrap/>
            <w:vAlign w:val="bottom"/>
            <w:hideMark/>
          </w:tcPr>
          <w:p w14:paraId="7F89D9FF"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75.55268</w:t>
            </w:r>
          </w:p>
        </w:tc>
        <w:tc>
          <w:tcPr>
            <w:tcW w:w="1268" w:type="dxa"/>
            <w:tcBorders>
              <w:top w:val="nil"/>
              <w:left w:val="nil"/>
              <w:bottom w:val="single" w:sz="4" w:space="0" w:color="auto"/>
              <w:right w:val="single" w:sz="4" w:space="0" w:color="auto"/>
            </w:tcBorders>
            <w:noWrap/>
            <w:vAlign w:val="bottom"/>
            <w:hideMark/>
          </w:tcPr>
          <w:p w14:paraId="667CFBF4"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112.1719</w:t>
            </w:r>
          </w:p>
        </w:tc>
        <w:tc>
          <w:tcPr>
            <w:tcW w:w="1268" w:type="dxa"/>
            <w:tcBorders>
              <w:top w:val="nil"/>
              <w:left w:val="nil"/>
              <w:bottom w:val="single" w:sz="4" w:space="0" w:color="auto"/>
              <w:right w:val="single" w:sz="4" w:space="0" w:color="auto"/>
            </w:tcBorders>
            <w:noWrap/>
            <w:vAlign w:val="bottom"/>
            <w:hideMark/>
          </w:tcPr>
          <w:p w14:paraId="63DAA444"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119.6393</w:t>
            </w:r>
          </w:p>
        </w:tc>
      </w:tr>
      <w:tr w:rsidR="004215F2" w:rsidRPr="001F6D3E" w14:paraId="210955AB" w14:textId="77777777" w:rsidTr="00AD2CBA">
        <w:trPr>
          <w:trHeight w:val="253"/>
        </w:trPr>
        <w:tc>
          <w:tcPr>
            <w:tcW w:w="3218" w:type="dxa"/>
            <w:tcBorders>
              <w:top w:val="nil"/>
              <w:left w:val="single" w:sz="4" w:space="0" w:color="auto"/>
              <w:bottom w:val="single" w:sz="4" w:space="0" w:color="auto"/>
              <w:right w:val="single" w:sz="4" w:space="0" w:color="auto"/>
            </w:tcBorders>
            <w:noWrap/>
            <w:vAlign w:val="bottom"/>
            <w:hideMark/>
          </w:tcPr>
          <w:p w14:paraId="11276DB5" w14:textId="77777777" w:rsidR="004215F2" w:rsidRPr="001F6D3E" w:rsidRDefault="004215F2" w:rsidP="004215F2">
            <w:pPr>
              <w:spacing w:after="0" w:line="240" w:lineRule="auto"/>
              <w:rPr>
                <w:rFonts w:ascii="Arial" w:eastAsia="Times New Roman" w:hAnsi="Arial" w:cs="Arial"/>
                <w:b/>
                <w:bCs/>
                <w:color w:val="000000"/>
              </w:rPr>
            </w:pPr>
            <w:r w:rsidRPr="001F6D3E">
              <w:rPr>
                <w:rFonts w:ascii="Arial" w:eastAsia="Times New Roman" w:hAnsi="Arial" w:cs="Arial"/>
                <w:b/>
                <w:bCs/>
                <w:color w:val="000000"/>
              </w:rPr>
              <w:t>Accounts Payable Days</w:t>
            </w:r>
          </w:p>
        </w:tc>
        <w:tc>
          <w:tcPr>
            <w:tcW w:w="1268" w:type="dxa"/>
            <w:tcBorders>
              <w:top w:val="nil"/>
              <w:left w:val="nil"/>
              <w:bottom w:val="single" w:sz="4" w:space="0" w:color="auto"/>
              <w:right w:val="nil"/>
            </w:tcBorders>
            <w:noWrap/>
            <w:vAlign w:val="bottom"/>
            <w:hideMark/>
          </w:tcPr>
          <w:p w14:paraId="30A87034"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-69.2904</w:t>
            </w:r>
          </w:p>
        </w:tc>
        <w:tc>
          <w:tcPr>
            <w:tcW w:w="1268" w:type="dxa"/>
            <w:tcBorders>
              <w:top w:val="nil"/>
              <w:left w:val="nil"/>
              <w:bottom w:val="single" w:sz="4" w:space="0" w:color="auto"/>
              <w:right w:val="nil"/>
            </w:tcBorders>
            <w:noWrap/>
            <w:vAlign w:val="bottom"/>
            <w:hideMark/>
          </w:tcPr>
          <w:p w14:paraId="48E53E40"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-78.9528</w:t>
            </w:r>
          </w:p>
        </w:tc>
        <w:tc>
          <w:tcPr>
            <w:tcW w:w="1268" w:type="dxa"/>
            <w:tcBorders>
              <w:top w:val="nil"/>
              <w:left w:val="nil"/>
              <w:bottom w:val="single" w:sz="4" w:space="0" w:color="auto"/>
              <w:right w:val="nil"/>
            </w:tcBorders>
            <w:noWrap/>
            <w:vAlign w:val="bottom"/>
            <w:hideMark/>
          </w:tcPr>
          <w:p w14:paraId="1D920268"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-66.7193</w:t>
            </w:r>
          </w:p>
        </w:tc>
        <w:tc>
          <w:tcPr>
            <w:tcW w:w="1268" w:type="dxa"/>
            <w:tcBorders>
              <w:top w:val="nil"/>
              <w:left w:val="nil"/>
              <w:bottom w:val="single" w:sz="4" w:space="0" w:color="auto"/>
              <w:right w:val="nil"/>
            </w:tcBorders>
            <w:noWrap/>
            <w:vAlign w:val="bottom"/>
            <w:hideMark/>
          </w:tcPr>
          <w:p w14:paraId="05730B81"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-64.4696</w:t>
            </w:r>
          </w:p>
        </w:tc>
        <w:tc>
          <w:tcPr>
            <w:tcW w:w="1268" w:type="dxa"/>
            <w:tcBorders>
              <w:top w:val="nil"/>
              <w:left w:val="nil"/>
              <w:bottom w:val="single" w:sz="4" w:space="0" w:color="auto"/>
              <w:right w:val="nil"/>
            </w:tcBorders>
            <w:noWrap/>
            <w:vAlign w:val="bottom"/>
            <w:hideMark/>
          </w:tcPr>
          <w:p w14:paraId="298CFE6D" w14:textId="77777777" w:rsidR="004215F2" w:rsidRPr="001F6D3E" w:rsidRDefault="004215F2" w:rsidP="004215F2">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-93.6017</w:t>
            </w:r>
          </w:p>
        </w:tc>
      </w:tr>
    </w:tbl>
    <w:p w14:paraId="7E285231" w14:textId="77777777" w:rsidR="00AD2CBA" w:rsidRDefault="00E240CF" w:rsidP="004215F2">
      <w:pPr>
        <w:rPr>
          <w:rFonts w:ascii="Arial" w:hAnsi="Arial" w:cs="Arial"/>
        </w:rPr>
      </w:pPr>
      <w:r w:rsidRPr="001F6D3E">
        <w:rPr>
          <w:rFonts w:ascii="Arial" w:hAnsi="Arial" w:cs="Arial"/>
        </w:rPr>
        <w:t xml:space="preserve">                       </w:t>
      </w:r>
      <w:r w:rsidR="008F19AE" w:rsidRPr="001F6D3E">
        <w:rPr>
          <w:rFonts w:ascii="Arial" w:hAnsi="Arial" w:cs="Arial"/>
        </w:rPr>
        <w:t xml:space="preserve">                              </w:t>
      </w:r>
    </w:p>
    <w:p w14:paraId="740730E3" w14:textId="08FCCD56" w:rsidR="003C1B7B" w:rsidRPr="00537D12" w:rsidRDefault="00AD2CBA" w:rsidP="00AD4654">
      <w:pPr>
        <w:rPr>
          <w:rFonts w:ascii="Arial" w:hAnsi="Arial" w:cs="Arial"/>
          <w:i/>
          <w:color w:val="2E74B5" w:themeColor="accent1" w:themeShade="BF"/>
          <w:sz w:val="20"/>
        </w:rPr>
      </w:pPr>
      <w:r>
        <w:rPr>
          <w:rFonts w:ascii="Arial" w:hAnsi="Arial" w:cs="Arial"/>
        </w:rPr>
        <w:t xml:space="preserve">                                                    </w:t>
      </w:r>
    </w:p>
    <w:p w14:paraId="52EB6AA0" w14:textId="3DBD89E9" w:rsidR="00672AF1" w:rsidRDefault="004215F2" w:rsidP="001D5163">
      <w:pPr>
        <w:pStyle w:val="Heading2"/>
      </w:pPr>
      <w:bookmarkStart w:id="62" w:name="_Toc217238045"/>
      <w:r w:rsidRPr="003C1B7B">
        <w:t>A4: Gearing Ratio Analysis</w:t>
      </w:r>
      <w:bookmarkEnd w:id="62"/>
    </w:p>
    <w:p w14:paraId="2B607C4C" w14:textId="77777777" w:rsidR="0049103B" w:rsidRPr="0049103B" w:rsidRDefault="0049103B" w:rsidP="0049103B"/>
    <w:p w14:paraId="2C666733" w14:textId="77777777" w:rsidR="00B401B9" w:rsidRPr="001F6D3E" w:rsidRDefault="00672AF1" w:rsidP="00AD4654">
      <w:pPr>
        <w:rPr>
          <w:rFonts w:ascii="Arial" w:hAnsi="Arial" w:cs="Arial"/>
        </w:rPr>
      </w:pPr>
      <w:r w:rsidRPr="001F6D3E">
        <w:rPr>
          <w:rFonts w:ascii="Arial" w:hAnsi="Arial" w:cs="Arial"/>
        </w:rPr>
        <w:t xml:space="preserve">EBIT = Income before tax – Interest expense </w:t>
      </w:r>
    </w:p>
    <w:p w14:paraId="6F91D8A8" w14:textId="77777777" w:rsidR="00672AF1" w:rsidRPr="001F6D3E" w:rsidRDefault="00672AF1" w:rsidP="00AD4654">
      <w:pPr>
        <w:rPr>
          <w:rFonts w:ascii="Arial" w:hAnsi="Arial" w:cs="Arial"/>
        </w:rPr>
      </w:pPr>
      <w:r w:rsidRPr="001F6D3E">
        <w:rPr>
          <w:rFonts w:ascii="Arial" w:hAnsi="Arial" w:cs="Arial"/>
        </w:rPr>
        <w:t>Interest Coverage Ratio = EBIT ÷ Interest Expense</w:t>
      </w:r>
    </w:p>
    <w:p w14:paraId="493189A9" w14:textId="77777777" w:rsidR="00672AF1" w:rsidRPr="001F6D3E" w:rsidRDefault="00672AF1" w:rsidP="00AD4654">
      <w:pPr>
        <w:rPr>
          <w:rFonts w:ascii="Arial" w:hAnsi="Arial" w:cs="Arial"/>
        </w:rPr>
      </w:pPr>
      <w:r w:rsidRPr="001F6D3E">
        <w:rPr>
          <w:rFonts w:ascii="Arial" w:hAnsi="Arial" w:cs="Arial"/>
        </w:rPr>
        <w:t>Debt-to-Equity Ratio = Total Liabilities ÷ Total Shareholders’ Equity</w:t>
      </w:r>
    </w:p>
    <w:p w14:paraId="0C7AF024" w14:textId="77777777" w:rsidR="00672AF1" w:rsidRPr="001F6D3E" w:rsidRDefault="00672AF1" w:rsidP="00AD4654">
      <w:pPr>
        <w:rPr>
          <w:rFonts w:ascii="Arial" w:hAnsi="Arial" w:cs="Arial"/>
        </w:rPr>
      </w:pPr>
      <w:r w:rsidRPr="001F6D3E">
        <w:rPr>
          <w:rFonts w:ascii="Arial" w:hAnsi="Arial" w:cs="Arial"/>
        </w:rPr>
        <w:t>Debt-to-Capital Ratio= Total Liabilities / (Debt + Equity)</w:t>
      </w:r>
    </w:p>
    <w:p w14:paraId="635B3D17" w14:textId="77777777" w:rsidR="00672AF1" w:rsidRDefault="00672AF1" w:rsidP="00AD4654">
      <w:pPr>
        <w:rPr>
          <w:rFonts w:ascii="Arial" w:hAnsi="Arial" w:cs="Arial"/>
        </w:rPr>
      </w:pPr>
      <w:r w:rsidRPr="001F6D3E">
        <w:rPr>
          <w:rFonts w:ascii="Arial" w:hAnsi="Arial" w:cs="Arial"/>
        </w:rPr>
        <w:t>Equity Multiplier= Total Assets / Shareholders’ Equity</w:t>
      </w:r>
    </w:p>
    <w:p w14:paraId="3777A897" w14:textId="77777777" w:rsidR="00561979" w:rsidRPr="001F6D3E" w:rsidRDefault="00561979" w:rsidP="00AD4654">
      <w:pPr>
        <w:rPr>
          <w:rFonts w:ascii="Arial" w:hAnsi="Arial" w:cs="Arial"/>
        </w:rPr>
      </w:pPr>
    </w:p>
    <w:p w14:paraId="6CE3A442" w14:textId="15BA8264" w:rsidR="00561979" w:rsidRPr="00561979" w:rsidRDefault="00561979" w:rsidP="00561979">
      <w:pPr>
        <w:pStyle w:val="Caption"/>
        <w:keepNext/>
        <w:rPr>
          <w:b/>
          <w:bCs/>
        </w:rPr>
      </w:pPr>
      <w:r w:rsidRPr="00561979">
        <w:rPr>
          <w:b/>
          <w:bCs/>
        </w:rPr>
        <w:t xml:space="preserve">Table </w:t>
      </w:r>
      <w:r w:rsidRPr="00561979">
        <w:rPr>
          <w:b/>
          <w:bCs/>
        </w:rPr>
        <w:fldChar w:fldCharType="begin"/>
      </w:r>
      <w:r w:rsidRPr="00561979">
        <w:rPr>
          <w:b/>
          <w:bCs/>
        </w:rPr>
        <w:instrText xml:space="preserve"> SEQ Table \* ARABIC </w:instrText>
      </w:r>
      <w:r w:rsidRPr="00561979">
        <w:rPr>
          <w:b/>
          <w:bCs/>
        </w:rPr>
        <w:fldChar w:fldCharType="separate"/>
      </w:r>
      <w:r w:rsidR="005F7E78">
        <w:rPr>
          <w:b/>
          <w:bCs/>
          <w:noProof/>
        </w:rPr>
        <w:t>4</w:t>
      </w:r>
      <w:r w:rsidRPr="00561979">
        <w:rPr>
          <w:b/>
          <w:bCs/>
        </w:rPr>
        <w:fldChar w:fldCharType="end"/>
      </w:r>
      <w:r w:rsidRPr="00561979">
        <w:rPr>
          <w:b/>
          <w:bCs/>
        </w:rPr>
        <w:t>: Gearing Ratio Analysis</w:t>
      </w:r>
    </w:p>
    <w:tbl>
      <w:tblPr>
        <w:tblW w:w="9390" w:type="dxa"/>
        <w:tblLook w:val="04A0" w:firstRow="1" w:lastRow="0" w:firstColumn="1" w:lastColumn="0" w:noHBand="0" w:noVBand="1"/>
      </w:tblPr>
      <w:tblGrid>
        <w:gridCol w:w="3060"/>
        <w:gridCol w:w="1507"/>
        <w:gridCol w:w="1388"/>
        <w:gridCol w:w="1145"/>
        <w:gridCol w:w="1145"/>
        <w:gridCol w:w="1145"/>
      </w:tblGrid>
      <w:tr w:rsidR="00C4569D" w:rsidRPr="001F6D3E" w14:paraId="547299D2" w14:textId="77777777" w:rsidTr="003C1B7B">
        <w:trPr>
          <w:trHeight w:val="308"/>
        </w:trPr>
        <w:tc>
          <w:tcPr>
            <w:tcW w:w="3060" w:type="dxa"/>
            <w:tcBorders>
              <w:top w:val="single" w:sz="4" w:space="0" w:color="auto"/>
              <w:left w:val="single" w:sz="4" w:space="0" w:color="auto"/>
              <w:bottom w:val="single" w:sz="4" w:space="0" w:color="auto"/>
              <w:right w:val="single" w:sz="4" w:space="0" w:color="auto"/>
            </w:tcBorders>
            <w:noWrap/>
            <w:vAlign w:val="bottom"/>
            <w:hideMark/>
          </w:tcPr>
          <w:p w14:paraId="3E43750C" w14:textId="77777777" w:rsidR="00C4569D" w:rsidRPr="001F6D3E" w:rsidRDefault="00C4569D" w:rsidP="00C4569D">
            <w:pPr>
              <w:spacing w:after="0" w:line="240" w:lineRule="auto"/>
              <w:rPr>
                <w:rFonts w:ascii="Arial" w:eastAsia="Times New Roman" w:hAnsi="Arial" w:cs="Arial"/>
                <w:color w:val="000000"/>
              </w:rPr>
            </w:pPr>
            <w:r w:rsidRPr="001F6D3E">
              <w:rPr>
                <w:rFonts w:ascii="Arial" w:eastAsia="Times New Roman" w:hAnsi="Arial" w:cs="Arial"/>
                <w:color w:val="000000"/>
              </w:rPr>
              <w:t> </w:t>
            </w:r>
          </w:p>
        </w:tc>
        <w:tc>
          <w:tcPr>
            <w:tcW w:w="1507" w:type="dxa"/>
            <w:tcBorders>
              <w:top w:val="single" w:sz="4" w:space="0" w:color="auto"/>
              <w:left w:val="nil"/>
              <w:bottom w:val="single" w:sz="4" w:space="0" w:color="auto"/>
              <w:right w:val="single" w:sz="4" w:space="0" w:color="auto"/>
            </w:tcBorders>
            <w:noWrap/>
            <w:vAlign w:val="bottom"/>
            <w:hideMark/>
          </w:tcPr>
          <w:p w14:paraId="3CEE1118"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2020</w:t>
            </w:r>
          </w:p>
        </w:tc>
        <w:tc>
          <w:tcPr>
            <w:tcW w:w="1388" w:type="dxa"/>
            <w:tcBorders>
              <w:top w:val="single" w:sz="4" w:space="0" w:color="auto"/>
              <w:left w:val="nil"/>
              <w:bottom w:val="single" w:sz="4" w:space="0" w:color="auto"/>
              <w:right w:val="single" w:sz="4" w:space="0" w:color="auto"/>
            </w:tcBorders>
            <w:noWrap/>
            <w:vAlign w:val="bottom"/>
            <w:hideMark/>
          </w:tcPr>
          <w:p w14:paraId="1412A75A"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2021</w:t>
            </w:r>
          </w:p>
        </w:tc>
        <w:tc>
          <w:tcPr>
            <w:tcW w:w="1145" w:type="dxa"/>
            <w:tcBorders>
              <w:top w:val="single" w:sz="4" w:space="0" w:color="auto"/>
              <w:left w:val="nil"/>
              <w:bottom w:val="single" w:sz="4" w:space="0" w:color="auto"/>
              <w:right w:val="single" w:sz="4" w:space="0" w:color="auto"/>
            </w:tcBorders>
            <w:noWrap/>
            <w:vAlign w:val="bottom"/>
            <w:hideMark/>
          </w:tcPr>
          <w:p w14:paraId="2AAAF52C"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2022</w:t>
            </w:r>
          </w:p>
        </w:tc>
        <w:tc>
          <w:tcPr>
            <w:tcW w:w="1145" w:type="dxa"/>
            <w:tcBorders>
              <w:top w:val="single" w:sz="4" w:space="0" w:color="auto"/>
              <w:left w:val="nil"/>
              <w:bottom w:val="single" w:sz="4" w:space="0" w:color="auto"/>
              <w:right w:val="single" w:sz="4" w:space="0" w:color="auto"/>
            </w:tcBorders>
            <w:noWrap/>
            <w:vAlign w:val="bottom"/>
            <w:hideMark/>
          </w:tcPr>
          <w:p w14:paraId="7B8C6BC7"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2023</w:t>
            </w:r>
          </w:p>
        </w:tc>
        <w:tc>
          <w:tcPr>
            <w:tcW w:w="1145" w:type="dxa"/>
            <w:tcBorders>
              <w:top w:val="single" w:sz="4" w:space="0" w:color="auto"/>
              <w:left w:val="nil"/>
              <w:bottom w:val="single" w:sz="4" w:space="0" w:color="auto"/>
              <w:right w:val="single" w:sz="4" w:space="0" w:color="auto"/>
            </w:tcBorders>
            <w:noWrap/>
            <w:vAlign w:val="bottom"/>
            <w:hideMark/>
          </w:tcPr>
          <w:p w14:paraId="550FA67B"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2024</w:t>
            </w:r>
          </w:p>
        </w:tc>
      </w:tr>
      <w:tr w:rsidR="00C4569D" w:rsidRPr="001F6D3E" w14:paraId="31C4E2DA" w14:textId="77777777" w:rsidTr="003C1B7B">
        <w:trPr>
          <w:trHeight w:val="308"/>
        </w:trPr>
        <w:tc>
          <w:tcPr>
            <w:tcW w:w="3060" w:type="dxa"/>
            <w:tcBorders>
              <w:top w:val="nil"/>
              <w:left w:val="single" w:sz="4" w:space="0" w:color="auto"/>
              <w:bottom w:val="single" w:sz="4" w:space="0" w:color="auto"/>
              <w:right w:val="single" w:sz="4" w:space="0" w:color="auto"/>
            </w:tcBorders>
            <w:noWrap/>
            <w:vAlign w:val="bottom"/>
            <w:hideMark/>
          </w:tcPr>
          <w:p w14:paraId="4B83DEA9" w14:textId="77777777" w:rsidR="00C4569D" w:rsidRPr="001F6D3E" w:rsidRDefault="00C4569D" w:rsidP="00C4569D">
            <w:pPr>
              <w:spacing w:after="0" w:line="240" w:lineRule="auto"/>
              <w:rPr>
                <w:rFonts w:ascii="Arial" w:eastAsia="Times New Roman" w:hAnsi="Arial" w:cs="Arial"/>
                <w:color w:val="000000"/>
              </w:rPr>
            </w:pPr>
            <w:r w:rsidRPr="001F6D3E">
              <w:rPr>
                <w:rFonts w:ascii="Arial" w:eastAsia="Times New Roman" w:hAnsi="Arial" w:cs="Arial"/>
                <w:color w:val="000000"/>
              </w:rPr>
              <w:t xml:space="preserve">Income before tax </w:t>
            </w:r>
          </w:p>
        </w:tc>
        <w:tc>
          <w:tcPr>
            <w:tcW w:w="1507" w:type="dxa"/>
            <w:tcBorders>
              <w:top w:val="nil"/>
              <w:left w:val="nil"/>
              <w:bottom w:val="single" w:sz="4" w:space="0" w:color="auto"/>
              <w:right w:val="single" w:sz="4" w:space="0" w:color="auto"/>
            </w:tcBorders>
            <w:noWrap/>
            <w:vAlign w:val="bottom"/>
            <w:hideMark/>
          </w:tcPr>
          <w:p w14:paraId="1D01DD47"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43,905</w:t>
            </w:r>
          </w:p>
        </w:tc>
        <w:tc>
          <w:tcPr>
            <w:tcW w:w="1388" w:type="dxa"/>
            <w:tcBorders>
              <w:top w:val="nil"/>
              <w:left w:val="nil"/>
              <w:bottom w:val="single" w:sz="4" w:space="0" w:color="auto"/>
              <w:right w:val="single" w:sz="4" w:space="0" w:color="auto"/>
            </w:tcBorders>
            <w:noWrap/>
            <w:vAlign w:val="bottom"/>
            <w:hideMark/>
          </w:tcPr>
          <w:p w14:paraId="6B92A523"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16,080</w:t>
            </w:r>
          </w:p>
        </w:tc>
        <w:tc>
          <w:tcPr>
            <w:tcW w:w="1145" w:type="dxa"/>
            <w:tcBorders>
              <w:top w:val="nil"/>
              <w:left w:val="nil"/>
              <w:bottom w:val="single" w:sz="4" w:space="0" w:color="auto"/>
              <w:right w:val="single" w:sz="4" w:space="0" w:color="auto"/>
            </w:tcBorders>
            <w:noWrap/>
            <w:vAlign w:val="bottom"/>
            <w:hideMark/>
          </w:tcPr>
          <w:p w14:paraId="73D62054"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11,393</w:t>
            </w:r>
          </w:p>
        </w:tc>
        <w:tc>
          <w:tcPr>
            <w:tcW w:w="1145" w:type="dxa"/>
            <w:tcBorders>
              <w:top w:val="nil"/>
              <w:left w:val="nil"/>
              <w:bottom w:val="single" w:sz="4" w:space="0" w:color="auto"/>
              <w:right w:val="single" w:sz="4" w:space="0" w:color="auto"/>
            </w:tcBorders>
            <w:noWrap/>
            <w:vAlign w:val="bottom"/>
            <w:hideMark/>
          </w:tcPr>
          <w:p w14:paraId="78A33704"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-92,254</w:t>
            </w:r>
          </w:p>
        </w:tc>
        <w:tc>
          <w:tcPr>
            <w:tcW w:w="1145" w:type="dxa"/>
            <w:tcBorders>
              <w:top w:val="nil"/>
              <w:left w:val="nil"/>
              <w:bottom w:val="single" w:sz="4" w:space="0" w:color="auto"/>
              <w:right w:val="single" w:sz="4" w:space="0" w:color="auto"/>
            </w:tcBorders>
            <w:noWrap/>
            <w:vAlign w:val="bottom"/>
            <w:hideMark/>
          </w:tcPr>
          <w:p w14:paraId="28828213"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-18,598</w:t>
            </w:r>
          </w:p>
        </w:tc>
      </w:tr>
      <w:tr w:rsidR="00C4569D" w:rsidRPr="001F6D3E" w14:paraId="3B577B09" w14:textId="77777777" w:rsidTr="003C1B7B">
        <w:trPr>
          <w:trHeight w:val="308"/>
        </w:trPr>
        <w:tc>
          <w:tcPr>
            <w:tcW w:w="3060" w:type="dxa"/>
            <w:tcBorders>
              <w:top w:val="nil"/>
              <w:left w:val="single" w:sz="4" w:space="0" w:color="auto"/>
              <w:bottom w:val="single" w:sz="4" w:space="0" w:color="auto"/>
              <w:right w:val="single" w:sz="4" w:space="0" w:color="auto"/>
            </w:tcBorders>
            <w:noWrap/>
            <w:vAlign w:val="bottom"/>
            <w:hideMark/>
          </w:tcPr>
          <w:p w14:paraId="693F97C4" w14:textId="77777777" w:rsidR="00C4569D" w:rsidRPr="001F6D3E" w:rsidRDefault="00C4569D" w:rsidP="00C4569D">
            <w:pPr>
              <w:spacing w:after="0" w:line="240" w:lineRule="auto"/>
              <w:rPr>
                <w:rFonts w:ascii="Arial" w:eastAsia="Times New Roman" w:hAnsi="Arial" w:cs="Arial"/>
                <w:color w:val="000000"/>
              </w:rPr>
            </w:pPr>
            <w:r w:rsidRPr="001F6D3E">
              <w:rPr>
                <w:rFonts w:ascii="Arial" w:eastAsia="Times New Roman" w:hAnsi="Arial" w:cs="Arial"/>
                <w:color w:val="000000"/>
              </w:rPr>
              <w:t xml:space="preserve">Interest expense </w:t>
            </w:r>
          </w:p>
        </w:tc>
        <w:tc>
          <w:tcPr>
            <w:tcW w:w="1507" w:type="dxa"/>
            <w:tcBorders>
              <w:top w:val="nil"/>
              <w:left w:val="nil"/>
              <w:bottom w:val="single" w:sz="4" w:space="0" w:color="auto"/>
              <w:right w:val="single" w:sz="4" w:space="0" w:color="auto"/>
            </w:tcBorders>
            <w:noWrap/>
            <w:vAlign w:val="bottom"/>
            <w:hideMark/>
          </w:tcPr>
          <w:p w14:paraId="47AE1A7C"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-1,422</w:t>
            </w:r>
          </w:p>
        </w:tc>
        <w:tc>
          <w:tcPr>
            <w:tcW w:w="1388" w:type="dxa"/>
            <w:tcBorders>
              <w:top w:val="nil"/>
              <w:left w:val="nil"/>
              <w:bottom w:val="single" w:sz="4" w:space="0" w:color="auto"/>
              <w:right w:val="single" w:sz="4" w:space="0" w:color="auto"/>
            </w:tcBorders>
            <w:noWrap/>
            <w:vAlign w:val="bottom"/>
            <w:hideMark/>
          </w:tcPr>
          <w:p w14:paraId="7D3AF08B"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-566</w:t>
            </w:r>
          </w:p>
        </w:tc>
        <w:tc>
          <w:tcPr>
            <w:tcW w:w="1145" w:type="dxa"/>
            <w:tcBorders>
              <w:top w:val="nil"/>
              <w:left w:val="nil"/>
              <w:bottom w:val="single" w:sz="4" w:space="0" w:color="auto"/>
              <w:right w:val="single" w:sz="4" w:space="0" w:color="auto"/>
            </w:tcBorders>
            <w:noWrap/>
            <w:vAlign w:val="bottom"/>
            <w:hideMark/>
          </w:tcPr>
          <w:p w14:paraId="592AFB1B"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-2,200</w:t>
            </w:r>
          </w:p>
        </w:tc>
        <w:tc>
          <w:tcPr>
            <w:tcW w:w="1145" w:type="dxa"/>
            <w:tcBorders>
              <w:top w:val="nil"/>
              <w:left w:val="nil"/>
              <w:bottom w:val="single" w:sz="4" w:space="0" w:color="auto"/>
              <w:right w:val="single" w:sz="4" w:space="0" w:color="auto"/>
            </w:tcBorders>
            <w:noWrap/>
            <w:vAlign w:val="bottom"/>
            <w:hideMark/>
          </w:tcPr>
          <w:p w14:paraId="60F02953"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-4,332</w:t>
            </w:r>
          </w:p>
        </w:tc>
        <w:tc>
          <w:tcPr>
            <w:tcW w:w="1145" w:type="dxa"/>
            <w:tcBorders>
              <w:top w:val="nil"/>
              <w:left w:val="nil"/>
              <w:bottom w:val="single" w:sz="4" w:space="0" w:color="auto"/>
              <w:right w:val="single" w:sz="4" w:space="0" w:color="auto"/>
            </w:tcBorders>
            <w:noWrap/>
            <w:vAlign w:val="bottom"/>
            <w:hideMark/>
          </w:tcPr>
          <w:p w14:paraId="786E5248"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-3,361</w:t>
            </w:r>
          </w:p>
        </w:tc>
      </w:tr>
      <w:tr w:rsidR="00C4569D" w:rsidRPr="001F6D3E" w14:paraId="0C9C3D0C" w14:textId="77777777" w:rsidTr="003C1B7B">
        <w:trPr>
          <w:trHeight w:val="308"/>
        </w:trPr>
        <w:tc>
          <w:tcPr>
            <w:tcW w:w="3060" w:type="dxa"/>
            <w:tcBorders>
              <w:top w:val="nil"/>
              <w:left w:val="single" w:sz="4" w:space="0" w:color="auto"/>
              <w:bottom w:val="single" w:sz="4" w:space="0" w:color="auto"/>
              <w:right w:val="single" w:sz="4" w:space="0" w:color="auto"/>
            </w:tcBorders>
            <w:noWrap/>
            <w:vAlign w:val="bottom"/>
            <w:hideMark/>
          </w:tcPr>
          <w:p w14:paraId="2617CAE2" w14:textId="77777777" w:rsidR="00C4569D" w:rsidRPr="001F6D3E" w:rsidRDefault="00C4569D" w:rsidP="00C4569D">
            <w:pPr>
              <w:spacing w:after="0" w:line="240" w:lineRule="auto"/>
              <w:rPr>
                <w:rFonts w:ascii="Arial" w:eastAsia="Times New Roman" w:hAnsi="Arial" w:cs="Arial"/>
                <w:color w:val="000000"/>
              </w:rPr>
            </w:pPr>
            <w:r w:rsidRPr="001F6D3E">
              <w:rPr>
                <w:rFonts w:ascii="Arial" w:eastAsia="Times New Roman" w:hAnsi="Arial" w:cs="Arial"/>
                <w:color w:val="000000"/>
              </w:rPr>
              <w:t xml:space="preserve">Total Liabilities </w:t>
            </w:r>
          </w:p>
        </w:tc>
        <w:tc>
          <w:tcPr>
            <w:tcW w:w="1507" w:type="dxa"/>
            <w:tcBorders>
              <w:top w:val="nil"/>
              <w:left w:val="nil"/>
              <w:bottom w:val="single" w:sz="4" w:space="0" w:color="auto"/>
              <w:right w:val="single" w:sz="4" w:space="0" w:color="auto"/>
            </w:tcBorders>
            <w:noWrap/>
            <w:vAlign w:val="bottom"/>
            <w:hideMark/>
          </w:tcPr>
          <w:p w14:paraId="79CF05EE"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1,96,989</w:t>
            </w:r>
          </w:p>
        </w:tc>
        <w:tc>
          <w:tcPr>
            <w:tcW w:w="1388" w:type="dxa"/>
            <w:tcBorders>
              <w:top w:val="nil"/>
              <w:left w:val="nil"/>
              <w:bottom w:val="single" w:sz="4" w:space="0" w:color="auto"/>
              <w:right w:val="single" w:sz="4" w:space="0" w:color="auto"/>
            </w:tcBorders>
            <w:noWrap/>
            <w:vAlign w:val="bottom"/>
            <w:hideMark/>
          </w:tcPr>
          <w:p w14:paraId="162386C1"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2,34,399</w:t>
            </w:r>
          </w:p>
        </w:tc>
        <w:tc>
          <w:tcPr>
            <w:tcW w:w="1145" w:type="dxa"/>
            <w:tcBorders>
              <w:top w:val="nil"/>
              <w:left w:val="nil"/>
              <w:bottom w:val="single" w:sz="4" w:space="0" w:color="auto"/>
              <w:right w:val="single" w:sz="4" w:space="0" w:color="auto"/>
            </w:tcBorders>
            <w:noWrap/>
            <w:vAlign w:val="bottom"/>
            <w:hideMark/>
          </w:tcPr>
          <w:p w14:paraId="6BF5675D"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2,35,757</w:t>
            </w:r>
          </w:p>
        </w:tc>
        <w:tc>
          <w:tcPr>
            <w:tcW w:w="1145" w:type="dxa"/>
            <w:tcBorders>
              <w:top w:val="nil"/>
              <w:left w:val="nil"/>
              <w:bottom w:val="single" w:sz="4" w:space="0" w:color="auto"/>
              <w:right w:val="single" w:sz="4" w:space="0" w:color="auto"/>
            </w:tcBorders>
            <w:noWrap/>
            <w:vAlign w:val="bottom"/>
            <w:hideMark/>
          </w:tcPr>
          <w:p w14:paraId="408B3F0A"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1,76,952</w:t>
            </w:r>
          </w:p>
        </w:tc>
        <w:tc>
          <w:tcPr>
            <w:tcW w:w="1145" w:type="dxa"/>
            <w:tcBorders>
              <w:top w:val="nil"/>
              <w:left w:val="nil"/>
              <w:bottom w:val="single" w:sz="4" w:space="0" w:color="auto"/>
              <w:right w:val="single" w:sz="4" w:space="0" w:color="auto"/>
            </w:tcBorders>
            <w:noWrap/>
            <w:vAlign w:val="bottom"/>
            <w:hideMark/>
          </w:tcPr>
          <w:p w14:paraId="38FE3DF9"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1,70,249</w:t>
            </w:r>
          </w:p>
        </w:tc>
      </w:tr>
      <w:tr w:rsidR="00C4569D" w:rsidRPr="001F6D3E" w14:paraId="5D47D87A" w14:textId="77777777" w:rsidTr="003C1B7B">
        <w:trPr>
          <w:trHeight w:val="308"/>
        </w:trPr>
        <w:tc>
          <w:tcPr>
            <w:tcW w:w="3060" w:type="dxa"/>
            <w:tcBorders>
              <w:top w:val="nil"/>
              <w:left w:val="single" w:sz="4" w:space="0" w:color="auto"/>
              <w:bottom w:val="single" w:sz="4" w:space="0" w:color="auto"/>
              <w:right w:val="single" w:sz="4" w:space="0" w:color="auto"/>
            </w:tcBorders>
            <w:noWrap/>
            <w:vAlign w:val="bottom"/>
            <w:hideMark/>
          </w:tcPr>
          <w:p w14:paraId="60DEA2B0" w14:textId="77777777" w:rsidR="00C4569D" w:rsidRPr="001F6D3E" w:rsidRDefault="00C4569D" w:rsidP="00C4569D">
            <w:pPr>
              <w:spacing w:after="0" w:line="240" w:lineRule="auto"/>
              <w:rPr>
                <w:rFonts w:ascii="Arial" w:eastAsia="Times New Roman" w:hAnsi="Arial" w:cs="Arial"/>
                <w:color w:val="000000"/>
              </w:rPr>
            </w:pPr>
            <w:r w:rsidRPr="001F6D3E">
              <w:rPr>
                <w:rFonts w:ascii="Arial" w:eastAsia="Times New Roman" w:hAnsi="Arial" w:cs="Arial"/>
                <w:color w:val="000000"/>
              </w:rPr>
              <w:t>Total Shareholders’ Equity</w:t>
            </w:r>
          </w:p>
        </w:tc>
        <w:tc>
          <w:tcPr>
            <w:tcW w:w="1507" w:type="dxa"/>
            <w:tcBorders>
              <w:top w:val="nil"/>
              <w:left w:val="nil"/>
              <w:bottom w:val="single" w:sz="4" w:space="0" w:color="auto"/>
              <w:right w:val="single" w:sz="4" w:space="0" w:color="auto"/>
            </w:tcBorders>
            <w:noWrap/>
            <w:vAlign w:val="bottom"/>
            <w:hideMark/>
          </w:tcPr>
          <w:p w14:paraId="58143605"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3,13,301</w:t>
            </w:r>
          </w:p>
        </w:tc>
        <w:tc>
          <w:tcPr>
            <w:tcW w:w="1388" w:type="dxa"/>
            <w:tcBorders>
              <w:top w:val="nil"/>
              <w:left w:val="nil"/>
              <w:bottom w:val="single" w:sz="4" w:space="0" w:color="auto"/>
              <w:right w:val="single" w:sz="4" w:space="0" w:color="auto"/>
            </w:tcBorders>
            <w:noWrap/>
            <w:vAlign w:val="bottom"/>
            <w:hideMark/>
          </w:tcPr>
          <w:p w14:paraId="1A692FDE"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2,75,949</w:t>
            </w:r>
          </w:p>
        </w:tc>
        <w:tc>
          <w:tcPr>
            <w:tcW w:w="1145" w:type="dxa"/>
            <w:tcBorders>
              <w:top w:val="nil"/>
              <w:left w:val="nil"/>
              <w:bottom w:val="single" w:sz="4" w:space="0" w:color="auto"/>
              <w:right w:val="single" w:sz="4" w:space="0" w:color="auto"/>
            </w:tcBorders>
            <w:noWrap/>
            <w:vAlign w:val="bottom"/>
            <w:hideMark/>
          </w:tcPr>
          <w:p w14:paraId="505E0727"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2,68,406</w:t>
            </w:r>
          </w:p>
        </w:tc>
        <w:tc>
          <w:tcPr>
            <w:tcW w:w="1145" w:type="dxa"/>
            <w:tcBorders>
              <w:top w:val="nil"/>
              <w:left w:val="nil"/>
              <w:bottom w:val="single" w:sz="4" w:space="0" w:color="auto"/>
              <w:right w:val="single" w:sz="4" w:space="0" w:color="auto"/>
            </w:tcBorders>
            <w:noWrap/>
            <w:vAlign w:val="bottom"/>
            <w:hideMark/>
          </w:tcPr>
          <w:p w14:paraId="42454327"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1,78,920</w:t>
            </w:r>
          </w:p>
        </w:tc>
        <w:tc>
          <w:tcPr>
            <w:tcW w:w="1145" w:type="dxa"/>
            <w:tcBorders>
              <w:top w:val="nil"/>
              <w:left w:val="nil"/>
              <w:bottom w:val="single" w:sz="4" w:space="0" w:color="auto"/>
              <w:right w:val="single" w:sz="4" w:space="0" w:color="auto"/>
            </w:tcBorders>
            <w:noWrap/>
            <w:vAlign w:val="bottom"/>
            <w:hideMark/>
          </w:tcPr>
          <w:p w14:paraId="762DFCCA"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1,53,105</w:t>
            </w:r>
          </w:p>
        </w:tc>
      </w:tr>
      <w:tr w:rsidR="00C4569D" w:rsidRPr="001F6D3E" w14:paraId="70388DCA" w14:textId="77777777" w:rsidTr="003C1B7B">
        <w:trPr>
          <w:trHeight w:val="308"/>
        </w:trPr>
        <w:tc>
          <w:tcPr>
            <w:tcW w:w="3060" w:type="dxa"/>
            <w:tcBorders>
              <w:top w:val="nil"/>
              <w:left w:val="single" w:sz="4" w:space="0" w:color="auto"/>
              <w:bottom w:val="single" w:sz="4" w:space="0" w:color="auto"/>
              <w:right w:val="single" w:sz="4" w:space="0" w:color="auto"/>
            </w:tcBorders>
            <w:noWrap/>
            <w:vAlign w:val="bottom"/>
            <w:hideMark/>
          </w:tcPr>
          <w:p w14:paraId="2848AD58" w14:textId="77777777" w:rsidR="00C4569D" w:rsidRPr="001F6D3E" w:rsidRDefault="00C4569D" w:rsidP="00C4569D">
            <w:pPr>
              <w:spacing w:after="0" w:line="240" w:lineRule="auto"/>
              <w:rPr>
                <w:rFonts w:ascii="Arial" w:eastAsia="Times New Roman" w:hAnsi="Arial" w:cs="Arial"/>
                <w:color w:val="000000"/>
              </w:rPr>
            </w:pPr>
            <w:r w:rsidRPr="001F6D3E">
              <w:rPr>
                <w:rFonts w:ascii="Arial" w:eastAsia="Times New Roman" w:hAnsi="Arial" w:cs="Arial"/>
                <w:color w:val="000000"/>
              </w:rPr>
              <w:t>Total Assets</w:t>
            </w:r>
          </w:p>
        </w:tc>
        <w:tc>
          <w:tcPr>
            <w:tcW w:w="1507" w:type="dxa"/>
            <w:tcBorders>
              <w:top w:val="nil"/>
              <w:left w:val="nil"/>
              <w:bottom w:val="single" w:sz="4" w:space="0" w:color="auto"/>
              <w:right w:val="single" w:sz="4" w:space="0" w:color="auto"/>
            </w:tcBorders>
            <w:noWrap/>
            <w:vAlign w:val="bottom"/>
            <w:hideMark/>
          </w:tcPr>
          <w:p w14:paraId="072EC776"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5,10,290</w:t>
            </w:r>
          </w:p>
        </w:tc>
        <w:tc>
          <w:tcPr>
            <w:tcW w:w="1388" w:type="dxa"/>
            <w:tcBorders>
              <w:top w:val="nil"/>
              <w:left w:val="nil"/>
              <w:bottom w:val="single" w:sz="4" w:space="0" w:color="auto"/>
              <w:right w:val="single" w:sz="4" w:space="0" w:color="auto"/>
            </w:tcBorders>
            <w:noWrap/>
            <w:vAlign w:val="bottom"/>
            <w:hideMark/>
          </w:tcPr>
          <w:p w14:paraId="28A6C014"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5,10,348</w:t>
            </w:r>
          </w:p>
        </w:tc>
        <w:tc>
          <w:tcPr>
            <w:tcW w:w="1145" w:type="dxa"/>
            <w:tcBorders>
              <w:top w:val="nil"/>
              <w:left w:val="nil"/>
              <w:bottom w:val="single" w:sz="4" w:space="0" w:color="auto"/>
              <w:right w:val="single" w:sz="4" w:space="0" w:color="auto"/>
            </w:tcBorders>
            <w:noWrap/>
            <w:vAlign w:val="bottom"/>
            <w:hideMark/>
          </w:tcPr>
          <w:p w14:paraId="20237A50"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5,04,163</w:t>
            </w:r>
          </w:p>
        </w:tc>
        <w:tc>
          <w:tcPr>
            <w:tcW w:w="1145" w:type="dxa"/>
            <w:tcBorders>
              <w:top w:val="nil"/>
              <w:left w:val="nil"/>
              <w:bottom w:val="single" w:sz="4" w:space="0" w:color="auto"/>
              <w:right w:val="single" w:sz="4" w:space="0" w:color="auto"/>
            </w:tcBorders>
            <w:noWrap/>
            <w:vAlign w:val="bottom"/>
            <w:hideMark/>
          </w:tcPr>
          <w:p w14:paraId="0C1807A3"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3,55,872</w:t>
            </w:r>
          </w:p>
        </w:tc>
        <w:tc>
          <w:tcPr>
            <w:tcW w:w="1145" w:type="dxa"/>
            <w:tcBorders>
              <w:top w:val="nil"/>
              <w:left w:val="nil"/>
              <w:bottom w:val="single" w:sz="4" w:space="0" w:color="auto"/>
              <w:right w:val="single" w:sz="4" w:space="0" w:color="auto"/>
            </w:tcBorders>
            <w:noWrap/>
            <w:vAlign w:val="bottom"/>
            <w:hideMark/>
          </w:tcPr>
          <w:p w14:paraId="10E9B104"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3,23,354</w:t>
            </w:r>
          </w:p>
        </w:tc>
      </w:tr>
      <w:tr w:rsidR="00C4569D" w:rsidRPr="001F6D3E" w14:paraId="21C272CB" w14:textId="77777777" w:rsidTr="003C1B7B">
        <w:trPr>
          <w:trHeight w:val="308"/>
        </w:trPr>
        <w:tc>
          <w:tcPr>
            <w:tcW w:w="3060" w:type="dxa"/>
            <w:tcBorders>
              <w:top w:val="nil"/>
              <w:left w:val="single" w:sz="4" w:space="0" w:color="auto"/>
              <w:bottom w:val="single" w:sz="4" w:space="0" w:color="auto"/>
              <w:right w:val="single" w:sz="4" w:space="0" w:color="auto"/>
            </w:tcBorders>
            <w:noWrap/>
            <w:vAlign w:val="bottom"/>
            <w:hideMark/>
          </w:tcPr>
          <w:p w14:paraId="44A46615" w14:textId="77777777" w:rsidR="00C4569D" w:rsidRPr="001F6D3E" w:rsidRDefault="00C4569D" w:rsidP="00C4569D">
            <w:pPr>
              <w:spacing w:after="0" w:line="240" w:lineRule="auto"/>
              <w:rPr>
                <w:rFonts w:ascii="Arial" w:eastAsia="Times New Roman" w:hAnsi="Arial" w:cs="Arial"/>
                <w:color w:val="000000"/>
              </w:rPr>
            </w:pPr>
            <w:r w:rsidRPr="001F6D3E">
              <w:rPr>
                <w:rFonts w:ascii="Arial" w:eastAsia="Times New Roman" w:hAnsi="Arial" w:cs="Arial"/>
                <w:color w:val="000000"/>
              </w:rPr>
              <w:t>EBIT</w:t>
            </w:r>
          </w:p>
        </w:tc>
        <w:tc>
          <w:tcPr>
            <w:tcW w:w="1507" w:type="dxa"/>
            <w:tcBorders>
              <w:top w:val="nil"/>
              <w:left w:val="nil"/>
              <w:bottom w:val="single" w:sz="4" w:space="0" w:color="auto"/>
              <w:right w:val="single" w:sz="4" w:space="0" w:color="auto"/>
            </w:tcBorders>
            <w:noWrap/>
            <w:vAlign w:val="bottom"/>
            <w:hideMark/>
          </w:tcPr>
          <w:p w14:paraId="71ED1C73"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37,267</w:t>
            </w:r>
          </w:p>
        </w:tc>
        <w:tc>
          <w:tcPr>
            <w:tcW w:w="1388" w:type="dxa"/>
            <w:tcBorders>
              <w:top w:val="nil"/>
              <w:left w:val="nil"/>
              <w:bottom w:val="single" w:sz="4" w:space="0" w:color="auto"/>
              <w:right w:val="single" w:sz="4" w:space="0" w:color="auto"/>
            </w:tcBorders>
            <w:noWrap/>
            <w:vAlign w:val="bottom"/>
            <w:hideMark/>
          </w:tcPr>
          <w:p w14:paraId="30696C67"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23,253</w:t>
            </w:r>
          </w:p>
        </w:tc>
        <w:tc>
          <w:tcPr>
            <w:tcW w:w="1145" w:type="dxa"/>
            <w:tcBorders>
              <w:top w:val="nil"/>
              <w:left w:val="nil"/>
              <w:bottom w:val="single" w:sz="4" w:space="0" w:color="auto"/>
              <w:right w:val="single" w:sz="4" w:space="0" w:color="auto"/>
            </w:tcBorders>
            <w:noWrap/>
            <w:vAlign w:val="bottom"/>
            <w:hideMark/>
          </w:tcPr>
          <w:p w14:paraId="57707260"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14,548</w:t>
            </w:r>
          </w:p>
        </w:tc>
        <w:tc>
          <w:tcPr>
            <w:tcW w:w="1145" w:type="dxa"/>
            <w:tcBorders>
              <w:top w:val="nil"/>
              <w:left w:val="nil"/>
              <w:bottom w:val="nil"/>
              <w:right w:val="nil"/>
            </w:tcBorders>
            <w:noWrap/>
            <w:vAlign w:val="bottom"/>
            <w:hideMark/>
          </w:tcPr>
          <w:p w14:paraId="0FE0A73E" w14:textId="77777777" w:rsidR="00C4569D" w:rsidRPr="001F6D3E" w:rsidRDefault="00C4569D" w:rsidP="00C4569D">
            <w:pPr>
              <w:spacing w:after="0" w:line="240" w:lineRule="auto"/>
              <w:jc w:val="right"/>
              <w:rPr>
                <w:rFonts w:ascii="Arial" w:eastAsia="Times New Roman" w:hAnsi="Arial" w:cs="Arial"/>
                <w:color w:val="000000"/>
              </w:rPr>
            </w:pPr>
            <w:r w:rsidRPr="001F6D3E">
              <w:rPr>
                <w:rFonts w:ascii="Arial" w:eastAsia="Times New Roman" w:hAnsi="Arial" w:cs="Arial"/>
                <w:color w:val="000000"/>
              </w:rPr>
              <w:t>-85,301</w:t>
            </w:r>
          </w:p>
        </w:tc>
        <w:tc>
          <w:tcPr>
            <w:tcW w:w="1145" w:type="dxa"/>
            <w:tcBorders>
              <w:top w:val="nil"/>
              <w:left w:val="single" w:sz="4" w:space="0" w:color="auto"/>
              <w:bottom w:val="single" w:sz="4" w:space="0" w:color="auto"/>
              <w:right w:val="single" w:sz="4" w:space="0" w:color="auto"/>
            </w:tcBorders>
            <w:noWrap/>
            <w:vAlign w:val="bottom"/>
            <w:hideMark/>
          </w:tcPr>
          <w:p w14:paraId="387CAB3F" w14:textId="77777777" w:rsidR="00C4569D" w:rsidRPr="001F6D3E" w:rsidRDefault="00C4569D" w:rsidP="00C4569D">
            <w:pPr>
              <w:spacing w:after="0" w:line="240" w:lineRule="auto"/>
              <w:jc w:val="center"/>
              <w:rPr>
                <w:rFonts w:ascii="Arial" w:eastAsia="Times New Roman" w:hAnsi="Arial" w:cs="Arial"/>
                <w:color w:val="000000"/>
              </w:rPr>
            </w:pPr>
            <w:r w:rsidRPr="001F6D3E">
              <w:rPr>
                <w:rFonts w:ascii="Arial" w:eastAsia="Times New Roman" w:hAnsi="Arial" w:cs="Arial"/>
                <w:color w:val="000000"/>
              </w:rPr>
              <w:t>-15,297</w:t>
            </w:r>
          </w:p>
        </w:tc>
      </w:tr>
      <w:tr w:rsidR="00C4569D" w:rsidRPr="001F6D3E" w14:paraId="7D5CF7CA" w14:textId="77777777" w:rsidTr="003C1B7B">
        <w:trPr>
          <w:trHeight w:val="308"/>
        </w:trPr>
        <w:tc>
          <w:tcPr>
            <w:tcW w:w="3060" w:type="dxa"/>
            <w:tcBorders>
              <w:top w:val="nil"/>
              <w:left w:val="single" w:sz="4" w:space="0" w:color="auto"/>
              <w:bottom w:val="single" w:sz="4" w:space="0" w:color="auto"/>
              <w:right w:val="single" w:sz="4" w:space="0" w:color="auto"/>
            </w:tcBorders>
            <w:noWrap/>
            <w:vAlign w:val="bottom"/>
            <w:hideMark/>
          </w:tcPr>
          <w:p w14:paraId="3BBAA698" w14:textId="77777777" w:rsidR="00C4569D" w:rsidRPr="001F6D3E" w:rsidRDefault="00C4569D" w:rsidP="00C4569D">
            <w:pPr>
              <w:spacing w:after="0" w:line="240" w:lineRule="auto"/>
              <w:rPr>
                <w:rFonts w:ascii="Arial" w:eastAsia="Times New Roman" w:hAnsi="Arial" w:cs="Arial"/>
                <w:b/>
                <w:bCs/>
                <w:color w:val="000000"/>
              </w:rPr>
            </w:pPr>
            <w:r w:rsidRPr="001F6D3E">
              <w:rPr>
                <w:rFonts w:ascii="Arial" w:eastAsia="Times New Roman" w:hAnsi="Arial" w:cs="Arial"/>
                <w:b/>
                <w:bCs/>
                <w:color w:val="000000"/>
              </w:rPr>
              <w:t xml:space="preserve">Interest Coverage Ratio </w:t>
            </w:r>
          </w:p>
        </w:tc>
        <w:tc>
          <w:tcPr>
            <w:tcW w:w="1507" w:type="dxa"/>
            <w:tcBorders>
              <w:top w:val="nil"/>
              <w:left w:val="nil"/>
              <w:bottom w:val="single" w:sz="4" w:space="0" w:color="auto"/>
              <w:right w:val="single" w:sz="4" w:space="0" w:color="auto"/>
            </w:tcBorders>
            <w:noWrap/>
            <w:vAlign w:val="bottom"/>
            <w:hideMark/>
          </w:tcPr>
          <w:p w14:paraId="0295EEB0"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26.20745429</w:t>
            </w:r>
          </w:p>
        </w:tc>
        <w:tc>
          <w:tcPr>
            <w:tcW w:w="1388" w:type="dxa"/>
            <w:tcBorders>
              <w:top w:val="nil"/>
              <w:left w:val="nil"/>
              <w:bottom w:val="single" w:sz="4" w:space="0" w:color="auto"/>
              <w:right w:val="single" w:sz="4" w:space="0" w:color="auto"/>
            </w:tcBorders>
            <w:noWrap/>
            <w:vAlign w:val="bottom"/>
            <w:hideMark/>
          </w:tcPr>
          <w:p w14:paraId="4CF284C4"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41.0830389</w:t>
            </w:r>
          </w:p>
        </w:tc>
        <w:tc>
          <w:tcPr>
            <w:tcW w:w="1145" w:type="dxa"/>
            <w:tcBorders>
              <w:top w:val="nil"/>
              <w:left w:val="nil"/>
              <w:bottom w:val="single" w:sz="4" w:space="0" w:color="auto"/>
              <w:right w:val="single" w:sz="4" w:space="0" w:color="auto"/>
            </w:tcBorders>
            <w:noWrap/>
            <w:vAlign w:val="bottom"/>
            <w:hideMark/>
          </w:tcPr>
          <w:p w14:paraId="0EDC4134"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6.612727</w:t>
            </w:r>
          </w:p>
        </w:tc>
        <w:tc>
          <w:tcPr>
            <w:tcW w:w="1145" w:type="dxa"/>
            <w:tcBorders>
              <w:top w:val="single" w:sz="4" w:space="0" w:color="auto"/>
              <w:left w:val="nil"/>
              <w:bottom w:val="single" w:sz="4" w:space="0" w:color="auto"/>
              <w:right w:val="single" w:sz="4" w:space="0" w:color="auto"/>
            </w:tcBorders>
            <w:noWrap/>
            <w:vAlign w:val="bottom"/>
            <w:hideMark/>
          </w:tcPr>
          <w:p w14:paraId="32BE24E2"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-19.6909</w:t>
            </w:r>
          </w:p>
        </w:tc>
        <w:tc>
          <w:tcPr>
            <w:tcW w:w="1145" w:type="dxa"/>
            <w:tcBorders>
              <w:top w:val="nil"/>
              <w:left w:val="nil"/>
              <w:bottom w:val="single" w:sz="4" w:space="0" w:color="auto"/>
              <w:right w:val="single" w:sz="4" w:space="0" w:color="auto"/>
            </w:tcBorders>
            <w:noWrap/>
            <w:vAlign w:val="bottom"/>
            <w:hideMark/>
          </w:tcPr>
          <w:p w14:paraId="4399C665"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-4.55132</w:t>
            </w:r>
          </w:p>
        </w:tc>
      </w:tr>
      <w:tr w:rsidR="00C4569D" w:rsidRPr="001F6D3E" w14:paraId="0FCD0C3B" w14:textId="77777777" w:rsidTr="003C1B7B">
        <w:trPr>
          <w:trHeight w:val="308"/>
        </w:trPr>
        <w:tc>
          <w:tcPr>
            <w:tcW w:w="3060" w:type="dxa"/>
            <w:tcBorders>
              <w:top w:val="nil"/>
              <w:left w:val="single" w:sz="4" w:space="0" w:color="auto"/>
              <w:bottom w:val="single" w:sz="4" w:space="0" w:color="auto"/>
              <w:right w:val="single" w:sz="4" w:space="0" w:color="auto"/>
            </w:tcBorders>
            <w:noWrap/>
            <w:vAlign w:val="bottom"/>
            <w:hideMark/>
          </w:tcPr>
          <w:p w14:paraId="729AFE2F" w14:textId="77777777" w:rsidR="00C4569D" w:rsidRPr="001F6D3E" w:rsidRDefault="00C4569D" w:rsidP="00C4569D">
            <w:pPr>
              <w:spacing w:after="0" w:line="240" w:lineRule="auto"/>
              <w:rPr>
                <w:rFonts w:ascii="Arial" w:eastAsia="Times New Roman" w:hAnsi="Arial" w:cs="Arial"/>
                <w:b/>
                <w:bCs/>
                <w:color w:val="000000"/>
              </w:rPr>
            </w:pPr>
            <w:r w:rsidRPr="001F6D3E">
              <w:rPr>
                <w:rFonts w:ascii="Arial" w:eastAsia="Times New Roman" w:hAnsi="Arial" w:cs="Arial"/>
                <w:b/>
                <w:bCs/>
                <w:color w:val="000000"/>
              </w:rPr>
              <w:t xml:space="preserve">Debt-to-Equity Ratio </w:t>
            </w:r>
          </w:p>
        </w:tc>
        <w:tc>
          <w:tcPr>
            <w:tcW w:w="1507" w:type="dxa"/>
            <w:tcBorders>
              <w:top w:val="nil"/>
              <w:left w:val="nil"/>
              <w:bottom w:val="single" w:sz="4" w:space="0" w:color="auto"/>
              <w:right w:val="single" w:sz="4" w:space="0" w:color="auto"/>
            </w:tcBorders>
            <w:noWrap/>
            <w:vAlign w:val="bottom"/>
            <w:hideMark/>
          </w:tcPr>
          <w:p w14:paraId="3F165061"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0.62875318</w:t>
            </w:r>
          </w:p>
        </w:tc>
        <w:tc>
          <w:tcPr>
            <w:tcW w:w="1388" w:type="dxa"/>
            <w:tcBorders>
              <w:top w:val="nil"/>
              <w:left w:val="nil"/>
              <w:bottom w:val="single" w:sz="4" w:space="0" w:color="auto"/>
              <w:right w:val="single" w:sz="4" w:space="0" w:color="auto"/>
            </w:tcBorders>
            <w:noWrap/>
            <w:vAlign w:val="bottom"/>
            <w:hideMark/>
          </w:tcPr>
          <w:p w14:paraId="56166417"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0.8494287</w:t>
            </w:r>
          </w:p>
        </w:tc>
        <w:tc>
          <w:tcPr>
            <w:tcW w:w="1145" w:type="dxa"/>
            <w:tcBorders>
              <w:top w:val="nil"/>
              <w:left w:val="nil"/>
              <w:bottom w:val="single" w:sz="4" w:space="0" w:color="auto"/>
              <w:right w:val="single" w:sz="4" w:space="0" w:color="auto"/>
            </w:tcBorders>
            <w:noWrap/>
            <w:vAlign w:val="bottom"/>
            <w:hideMark/>
          </w:tcPr>
          <w:p w14:paraId="340AB1CE"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0.87836</w:t>
            </w:r>
          </w:p>
        </w:tc>
        <w:tc>
          <w:tcPr>
            <w:tcW w:w="1145" w:type="dxa"/>
            <w:tcBorders>
              <w:top w:val="nil"/>
              <w:left w:val="nil"/>
              <w:bottom w:val="single" w:sz="4" w:space="0" w:color="auto"/>
              <w:right w:val="single" w:sz="4" w:space="0" w:color="auto"/>
            </w:tcBorders>
            <w:noWrap/>
            <w:vAlign w:val="bottom"/>
            <w:hideMark/>
          </w:tcPr>
          <w:p w14:paraId="1953F172"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0.989001</w:t>
            </w:r>
          </w:p>
        </w:tc>
        <w:tc>
          <w:tcPr>
            <w:tcW w:w="1145" w:type="dxa"/>
            <w:tcBorders>
              <w:top w:val="nil"/>
              <w:left w:val="nil"/>
              <w:bottom w:val="single" w:sz="4" w:space="0" w:color="auto"/>
              <w:right w:val="single" w:sz="4" w:space="0" w:color="auto"/>
            </w:tcBorders>
            <w:noWrap/>
            <w:vAlign w:val="bottom"/>
            <w:hideMark/>
          </w:tcPr>
          <w:p w14:paraId="44627270"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1.111975</w:t>
            </w:r>
          </w:p>
        </w:tc>
      </w:tr>
      <w:tr w:rsidR="00C4569D" w:rsidRPr="001F6D3E" w14:paraId="112793AE" w14:textId="77777777" w:rsidTr="003C1B7B">
        <w:trPr>
          <w:trHeight w:val="308"/>
        </w:trPr>
        <w:tc>
          <w:tcPr>
            <w:tcW w:w="3060" w:type="dxa"/>
            <w:tcBorders>
              <w:top w:val="nil"/>
              <w:left w:val="single" w:sz="4" w:space="0" w:color="auto"/>
              <w:bottom w:val="single" w:sz="4" w:space="0" w:color="auto"/>
              <w:right w:val="single" w:sz="4" w:space="0" w:color="auto"/>
            </w:tcBorders>
            <w:noWrap/>
            <w:vAlign w:val="bottom"/>
            <w:hideMark/>
          </w:tcPr>
          <w:p w14:paraId="485AE93B" w14:textId="77777777" w:rsidR="00C4569D" w:rsidRPr="001F6D3E" w:rsidRDefault="00C4569D" w:rsidP="00C4569D">
            <w:pPr>
              <w:spacing w:after="0" w:line="240" w:lineRule="auto"/>
              <w:rPr>
                <w:rFonts w:ascii="Arial" w:eastAsia="Times New Roman" w:hAnsi="Arial" w:cs="Arial"/>
                <w:b/>
                <w:bCs/>
                <w:color w:val="000000"/>
              </w:rPr>
            </w:pPr>
            <w:r w:rsidRPr="001F6D3E">
              <w:rPr>
                <w:rFonts w:ascii="Arial" w:eastAsia="Times New Roman" w:hAnsi="Arial" w:cs="Arial"/>
                <w:b/>
                <w:bCs/>
                <w:color w:val="000000"/>
              </w:rPr>
              <w:t>Debt-to-Capital Ratio</w:t>
            </w:r>
          </w:p>
        </w:tc>
        <w:tc>
          <w:tcPr>
            <w:tcW w:w="1507" w:type="dxa"/>
            <w:tcBorders>
              <w:top w:val="nil"/>
              <w:left w:val="nil"/>
              <w:bottom w:val="single" w:sz="4" w:space="0" w:color="auto"/>
              <w:right w:val="single" w:sz="4" w:space="0" w:color="auto"/>
            </w:tcBorders>
            <w:noWrap/>
            <w:vAlign w:val="bottom"/>
            <w:hideMark/>
          </w:tcPr>
          <w:p w14:paraId="62B2664E"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0.386033432</w:t>
            </w:r>
          </w:p>
        </w:tc>
        <w:tc>
          <w:tcPr>
            <w:tcW w:w="1388" w:type="dxa"/>
            <w:tcBorders>
              <w:top w:val="nil"/>
              <w:left w:val="nil"/>
              <w:bottom w:val="single" w:sz="4" w:space="0" w:color="auto"/>
              <w:right w:val="single" w:sz="4" w:space="0" w:color="auto"/>
            </w:tcBorders>
            <w:noWrap/>
            <w:vAlign w:val="bottom"/>
            <w:hideMark/>
          </w:tcPr>
          <w:p w14:paraId="710BB16C"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0.45929248</w:t>
            </w:r>
          </w:p>
        </w:tc>
        <w:tc>
          <w:tcPr>
            <w:tcW w:w="1145" w:type="dxa"/>
            <w:tcBorders>
              <w:top w:val="nil"/>
              <w:left w:val="nil"/>
              <w:bottom w:val="single" w:sz="4" w:space="0" w:color="auto"/>
              <w:right w:val="single" w:sz="4" w:space="0" w:color="auto"/>
            </w:tcBorders>
            <w:noWrap/>
            <w:vAlign w:val="bottom"/>
            <w:hideMark/>
          </w:tcPr>
          <w:p w14:paraId="68A27C6F"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0.467621</w:t>
            </w:r>
          </w:p>
        </w:tc>
        <w:tc>
          <w:tcPr>
            <w:tcW w:w="1145" w:type="dxa"/>
            <w:tcBorders>
              <w:top w:val="nil"/>
              <w:left w:val="nil"/>
              <w:bottom w:val="single" w:sz="4" w:space="0" w:color="auto"/>
              <w:right w:val="single" w:sz="4" w:space="0" w:color="auto"/>
            </w:tcBorders>
            <w:noWrap/>
            <w:vAlign w:val="bottom"/>
            <w:hideMark/>
          </w:tcPr>
          <w:p w14:paraId="3C8CA66F"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0.497235</w:t>
            </w:r>
          </w:p>
        </w:tc>
        <w:tc>
          <w:tcPr>
            <w:tcW w:w="1145" w:type="dxa"/>
            <w:tcBorders>
              <w:top w:val="nil"/>
              <w:left w:val="nil"/>
              <w:bottom w:val="single" w:sz="4" w:space="0" w:color="auto"/>
              <w:right w:val="single" w:sz="4" w:space="0" w:color="auto"/>
            </w:tcBorders>
            <w:noWrap/>
            <w:vAlign w:val="bottom"/>
            <w:hideMark/>
          </w:tcPr>
          <w:p w14:paraId="7AD9D0AE"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0.52651</w:t>
            </w:r>
          </w:p>
        </w:tc>
      </w:tr>
      <w:tr w:rsidR="00C4569D" w:rsidRPr="001F6D3E" w14:paraId="14D73168" w14:textId="77777777" w:rsidTr="003C1B7B">
        <w:trPr>
          <w:trHeight w:val="308"/>
        </w:trPr>
        <w:tc>
          <w:tcPr>
            <w:tcW w:w="3060" w:type="dxa"/>
            <w:tcBorders>
              <w:top w:val="nil"/>
              <w:left w:val="single" w:sz="4" w:space="0" w:color="auto"/>
              <w:bottom w:val="single" w:sz="4" w:space="0" w:color="auto"/>
              <w:right w:val="single" w:sz="4" w:space="0" w:color="auto"/>
            </w:tcBorders>
            <w:noWrap/>
            <w:vAlign w:val="bottom"/>
            <w:hideMark/>
          </w:tcPr>
          <w:p w14:paraId="3659466A" w14:textId="77777777" w:rsidR="00C4569D" w:rsidRPr="001F6D3E" w:rsidRDefault="00C4569D" w:rsidP="00C4569D">
            <w:pPr>
              <w:spacing w:after="0" w:line="240" w:lineRule="auto"/>
              <w:rPr>
                <w:rFonts w:ascii="Arial" w:eastAsia="Times New Roman" w:hAnsi="Arial" w:cs="Arial"/>
                <w:b/>
                <w:bCs/>
                <w:color w:val="000000"/>
              </w:rPr>
            </w:pPr>
            <w:r w:rsidRPr="001F6D3E">
              <w:rPr>
                <w:rFonts w:ascii="Arial" w:eastAsia="Times New Roman" w:hAnsi="Arial" w:cs="Arial"/>
                <w:b/>
                <w:bCs/>
                <w:color w:val="000000"/>
              </w:rPr>
              <w:t>Equity Multiplier</w:t>
            </w:r>
          </w:p>
        </w:tc>
        <w:tc>
          <w:tcPr>
            <w:tcW w:w="1507" w:type="dxa"/>
            <w:tcBorders>
              <w:top w:val="nil"/>
              <w:left w:val="nil"/>
              <w:bottom w:val="single" w:sz="4" w:space="0" w:color="auto"/>
              <w:right w:val="single" w:sz="4" w:space="0" w:color="auto"/>
            </w:tcBorders>
            <w:noWrap/>
            <w:vAlign w:val="bottom"/>
            <w:hideMark/>
          </w:tcPr>
          <w:p w14:paraId="19EF1FEF" w14:textId="77777777" w:rsidR="00C4569D" w:rsidRPr="001F6D3E" w:rsidRDefault="00C4569D" w:rsidP="00C4569D">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1.62875318</w:t>
            </w:r>
          </w:p>
        </w:tc>
        <w:tc>
          <w:tcPr>
            <w:tcW w:w="1388" w:type="dxa"/>
            <w:tcBorders>
              <w:top w:val="nil"/>
              <w:left w:val="nil"/>
              <w:bottom w:val="single" w:sz="4" w:space="0" w:color="auto"/>
              <w:right w:val="single" w:sz="4" w:space="0" w:color="auto"/>
            </w:tcBorders>
            <w:noWrap/>
            <w:vAlign w:val="bottom"/>
            <w:hideMark/>
          </w:tcPr>
          <w:p w14:paraId="05A8DBFC" w14:textId="77777777" w:rsidR="00C4569D" w:rsidRPr="001F6D3E" w:rsidRDefault="00C4569D" w:rsidP="00C4569D">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1.85346543</w:t>
            </w:r>
          </w:p>
        </w:tc>
        <w:tc>
          <w:tcPr>
            <w:tcW w:w="1145" w:type="dxa"/>
            <w:tcBorders>
              <w:top w:val="nil"/>
              <w:left w:val="nil"/>
              <w:bottom w:val="single" w:sz="4" w:space="0" w:color="auto"/>
              <w:right w:val="single" w:sz="4" w:space="0" w:color="auto"/>
            </w:tcBorders>
            <w:noWrap/>
            <w:vAlign w:val="bottom"/>
            <w:hideMark/>
          </w:tcPr>
          <w:p w14:paraId="3A0C02F4" w14:textId="77777777" w:rsidR="00C4569D" w:rsidRPr="001F6D3E" w:rsidRDefault="00C4569D" w:rsidP="00C4569D">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1.87836</w:t>
            </w:r>
          </w:p>
        </w:tc>
        <w:tc>
          <w:tcPr>
            <w:tcW w:w="1145" w:type="dxa"/>
            <w:tcBorders>
              <w:top w:val="nil"/>
              <w:left w:val="nil"/>
              <w:bottom w:val="single" w:sz="4" w:space="0" w:color="auto"/>
              <w:right w:val="single" w:sz="4" w:space="0" w:color="auto"/>
            </w:tcBorders>
            <w:noWrap/>
            <w:vAlign w:val="bottom"/>
            <w:hideMark/>
          </w:tcPr>
          <w:p w14:paraId="79DA0B27" w14:textId="77777777" w:rsidR="00C4569D" w:rsidRPr="001F6D3E" w:rsidRDefault="00C4569D" w:rsidP="00C4569D">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1.989001</w:t>
            </w:r>
          </w:p>
        </w:tc>
        <w:tc>
          <w:tcPr>
            <w:tcW w:w="1145" w:type="dxa"/>
            <w:tcBorders>
              <w:top w:val="nil"/>
              <w:left w:val="nil"/>
              <w:bottom w:val="single" w:sz="4" w:space="0" w:color="auto"/>
              <w:right w:val="single" w:sz="4" w:space="0" w:color="auto"/>
            </w:tcBorders>
            <w:noWrap/>
            <w:vAlign w:val="bottom"/>
            <w:hideMark/>
          </w:tcPr>
          <w:p w14:paraId="3CEAC011" w14:textId="77777777" w:rsidR="00C4569D" w:rsidRPr="001F6D3E" w:rsidRDefault="00C4569D" w:rsidP="00C4569D">
            <w:pPr>
              <w:spacing w:after="0" w:line="240" w:lineRule="auto"/>
              <w:jc w:val="right"/>
              <w:rPr>
                <w:rFonts w:ascii="Arial" w:eastAsia="Times New Roman" w:hAnsi="Arial" w:cs="Arial"/>
                <w:b/>
                <w:bCs/>
                <w:color w:val="000000"/>
              </w:rPr>
            </w:pPr>
            <w:r w:rsidRPr="001F6D3E">
              <w:rPr>
                <w:rFonts w:ascii="Arial" w:eastAsia="Times New Roman" w:hAnsi="Arial" w:cs="Arial"/>
                <w:b/>
                <w:bCs/>
                <w:color w:val="000000"/>
              </w:rPr>
              <w:t>2.111975</w:t>
            </w:r>
          </w:p>
        </w:tc>
      </w:tr>
    </w:tbl>
    <w:p w14:paraId="1E8F2578" w14:textId="77777777" w:rsidR="00AD2CBA" w:rsidRDefault="00E240CF" w:rsidP="00AD4654">
      <w:pPr>
        <w:rPr>
          <w:rFonts w:ascii="Arial" w:hAnsi="Arial" w:cs="Arial"/>
        </w:rPr>
      </w:pPr>
      <w:r w:rsidRPr="001F6D3E">
        <w:rPr>
          <w:rFonts w:ascii="Arial" w:hAnsi="Arial" w:cs="Arial"/>
        </w:rPr>
        <w:t xml:space="preserve">                                             </w:t>
      </w:r>
      <w:r w:rsidR="003C1B7B">
        <w:rPr>
          <w:rFonts w:ascii="Arial" w:hAnsi="Arial" w:cs="Arial"/>
        </w:rPr>
        <w:t xml:space="preserve">                </w:t>
      </w:r>
    </w:p>
    <w:p w14:paraId="7FE4D07C" w14:textId="1567FFD9" w:rsidR="003C1B7B" w:rsidRPr="00537D12" w:rsidRDefault="00AD2CBA" w:rsidP="00AD4654">
      <w:pPr>
        <w:rPr>
          <w:rFonts w:ascii="Arial" w:hAnsi="Arial" w:cs="Arial"/>
          <w:i/>
          <w:color w:val="2E74B5" w:themeColor="accent1" w:themeShade="BF"/>
          <w:sz w:val="20"/>
        </w:rPr>
      </w:pPr>
      <w:r>
        <w:rPr>
          <w:rFonts w:ascii="Arial" w:hAnsi="Arial" w:cs="Arial"/>
        </w:rPr>
        <w:lastRenderedPageBreak/>
        <w:t xml:space="preserve">                          </w:t>
      </w:r>
      <w:r w:rsidR="00537D12">
        <w:rPr>
          <w:rFonts w:ascii="Arial" w:hAnsi="Arial" w:cs="Arial"/>
        </w:rPr>
        <w:t xml:space="preserve">                               </w:t>
      </w:r>
    </w:p>
    <w:p w14:paraId="081F161E" w14:textId="77777777" w:rsidR="00AB2174" w:rsidRDefault="00874AD3" w:rsidP="00AD4654">
      <w:pPr>
        <w:rPr>
          <w:rFonts w:ascii="Arial" w:hAnsi="Arial" w:cs="Arial"/>
          <w:b/>
          <w:sz w:val="24"/>
        </w:rPr>
      </w:pPr>
      <w:r w:rsidRPr="003C1B7B">
        <w:rPr>
          <w:rFonts w:ascii="Arial" w:hAnsi="Arial" w:cs="Arial"/>
          <w:b/>
          <w:sz w:val="24"/>
        </w:rPr>
        <w:t>A5 Investment Ratio Analysis</w:t>
      </w:r>
    </w:p>
    <w:p w14:paraId="2BA0341F" w14:textId="77777777" w:rsidR="003C1B7B" w:rsidRPr="003744E4" w:rsidRDefault="00AB2174" w:rsidP="00AD4654">
      <w:pPr>
        <w:rPr>
          <w:rFonts w:ascii="Arial" w:hAnsi="Arial" w:cs="Arial"/>
          <w:b/>
          <w:sz w:val="18"/>
        </w:rPr>
      </w:pPr>
      <m:oMathPara>
        <m:oMathParaPr>
          <m:jc m:val="left"/>
        </m:oMathParaPr>
        <m:oMath>
          <m:r>
            <w:rPr>
              <w:rFonts w:ascii="Cambria Math" w:hAnsi="Cambria Math" w:cs="Arial"/>
              <w:sz w:val="18"/>
              <w:szCs w:val="24"/>
            </w:rPr>
            <m:t xml:space="preserve">Earnings per share = </m:t>
          </m:r>
          <m:f>
            <m:fPr>
              <m:ctrlPr>
                <w:rPr>
                  <w:rFonts w:ascii="Cambria Math" w:hAnsi="Cambria Math" w:cs="Arial"/>
                  <w:i/>
                  <w:sz w:val="18"/>
                  <w:szCs w:val="24"/>
                </w:rPr>
              </m:ctrlPr>
            </m:fPr>
            <m:num>
              <m:r>
                <w:rPr>
                  <w:rFonts w:ascii="Cambria Math" w:hAnsi="Cambria Math" w:cs="Arial"/>
                  <w:sz w:val="18"/>
                  <w:szCs w:val="24"/>
                </w:rPr>
                <m:t>Net Income</m:t>
              </m:r>
            </m:num>
            <m:den>
              <m:r>
                <w:rPr>
                  <w:rFonts w:ascii="Cambria Math" w:hAnsi="Cambria Math" w:cs="Arial"/>
                  <w:sz w:val="18"/>
                  <w:szCs w:val="24"/>
                </w:rPr>
                <m:t>Share Outstanding</m:t>
              </m:r>
            </m:den>
          </m:f>
        </m:oMath>
      </m:oMathPara>
    </w:p>
    <w:p w14:paraId="3BFC5E15" w14:textId="77777777" w:rsidR="00874AD3" w:rsidRPr="003744E4" w:rsidRDefault="00AB2174" w:rsidP="00AB2174">
      <w:pPr>
        <w:spacing w:line="360" w:lineRule="auto"/>
        <w:rPr>
          <w:rFonts w:ascii="Arial" w:hAnsi="Arial" w:cs="Arial"/>
          <w:sz w:val="18"/>
          <w:szCs w:val="24"/>
        </w:rPr>
      </w:pPr>
      <m:oMathPara>
        <m:oMathParaPr>
          <m:jc m:val="left"/>
        </m:oMathParaPr>
        <m:oMath>
          <m:r>
            <w:rPr>
              <w:rFonts w:ascii="Cambria Math" w:hAnsi="Cambria Math" w:cs="Arial"/>
              <w:sz w:val="18"/>
              <w:szCs w:val="24"/>
            </w:rPr>
            <m:t xml:space="preserve">Price to earnings ratio = </m:t>
          </m:r>
          <m:f>
            <m:fPr>
              <m:ctrlPr>
                <w:rPr>
                  <w:rFonts w:ascii="Cambria Math" w:hAnsi="Cambria Math" w:cs="Arial"/>
                  <w:i/>
                  <w:sz w:val="18"/>
                  <w:szCs w:val="24"/>
                </w:rPr>
              </m:ctrlPr>
            </m:fPr>
            <m:num>
              <m:r>
                <w:rPr>
                  <w:rFonts w:ascii="Cambria Math" w:hAnsi="Cambria Math" w:cs="Arial"/>
                  <w:sz w:val="18"/>
                  <w:szCs w:val="24"/>
                </w:rPr>
                <m:t>Market Price per share</m:t>
              </m:r>
            </m:num>
            <m:den>
              <m:r>
                <w:rPr>
                  <w:rFonts w:ascii="Cambria Math" w:hAnsi="Cambria Math" w:cs="Arial"/>
                  <w:sz w:val="18"/>
                  <w:szCs w:val="24"/>
                </w:rPr>
                <m:t>Earning per share</m:t>
              </m:r>
            </m:den>
          </m:f>
          <m:r>
            <m:rPr>
              <m:sty m:val="p"/>
            </m:rPr>
            <w:rPr>
              <w:rFonts w:ascii="Cambria Math" w:hAnsi="Cambria Math" w:cs="Arial"/>
              <w:sz w:val="18"/>
              <w:szCs w:val="24"/>
            </w:rPr>
            <w:br/>
          </m:r>
        </m:oMath>
        <m:oMath>
          <m:r>
            <w:rPr>
              <w:rFonts w:ascii="Cambria Math" w:hAnsi="Cambria Math" w:cs="Arial"/>
              <w:sz w:val="18"/>
              <w:szCs w:val="24"/>
            </w:rPr>
            <m:t xml:space="preserve">Price to earnings ratio = </m:t>
          </m:r>
          <m:f>
            <m:fPr>
              <m:ctrlPr>
                <w:rPr>
                  <w:rFonts w:ascii="Cambria Math" w:hAnsi="Cambria Math" w:cs="Arial"/>
                  <w:i/>
                  <w:sz w:val="18"/>
                  <w:szCs w:val="24"/>
                </w:rPr>
              </m:ctrlPr>
            </m:fPr>
            <m:num>
              <m:r>
                <w:rPr>
                  <w:rFonts w:ascii="Cambria Math" w:hAnsi="Cambria Math" w:cs="Arial"/>
                  <w:sz w:val="18"/>
                  <w:szCs w:val="24"/>
                </w:rPr>
                <m:t>Market Price per share</m:t>
              </m:r>
            </m:num>
            <m:den>
              <m:r>
                <w:rPr>
                  <w:rFonts w:ascii="Cambria Math" w:hAnsi="Cambria Math" w:cs="Arial"/>
                  <w:sz w:val="18"/>
                  <w:szCs w:val="24"/>
                </w:rPr>
                <m:t>Earning per share</m:t>
              </m:r>
            </m:den>
          </m:f>
          <m:r>
            <m:rPr>
              <m:sty m:val="p"/>
            </m:rPr>
            <w:rPr>
              <w:rFonts w:ascii="Cambria Math" w:hAnsi="Cambria Math" w:cs="Arial"/>
              <w:sz w:val="18"/>
              <w:szCs w:val="24"/>
            </w:rPr>
            <w:br/>
          </m:r>
        </m:oMath>
        <m:oMath>
          <m:r>
            <w:rPr>
              <w:rFonts w:ascii="Cambria Math" w:hAnsi="Cambria Math" w:cs="Arial"/>
              <w:sz w:val="18"/>
              <w:szCs w:val="24"/>
            </w:rPr>
            <m:t xml:space="preserve">Return on equity = </m:t>
          </m:r>
          <m:f>
            <m:fPr>
              <m:ctrlPr>
                <w:rPr>
                  <w:rFonts w:ascii="Cambria Math" w:hAnsi="Cambria Math" w:cs="Arial"/>
                  <w:i/>
                  <w:sz w:val="18"/>
                  <w:szCs w:val="24"/>
                </w:rPr>
              </m:ctrlPr>
            </m:fPr>
            <m:num>
              <m:r>
                <w:rPr>
                  <w:rFonts w:ascii="Cambria Math" w:hAnsi="Cambria Math" w:cs="Arial"/>
                  <w:sz w:val="18"/>
                  <w:szCs w:val="24"/>
                </w:rPr>
                <m:t>Net Income</m:t>
              </m:r>
            </m:num>
            <m:den>
              <m:r>
                <w:rPr>
                  <w:rFonts w:ascii="Cambria Math" w:hAnsi="Cambria Math" w:cs="Arial"/>
                  <w:sz w:val="18"/>
                  <w:szCs w:val="24"/>
                </w:rPr>
                <m:t>Shareholde</m:t>
              </m:r>
              <m:sSup>
                <m:sSupPr>
                  <m:ctrlPr>
                    <w:rPr>
                      <w:rFonts w:ascii="Cambria Math" w:hAnsi="Cambria Math" w:cs="Arial"/>
                      <w:i/>
                      <w:sz w:val="18"/>
                      <w:szCs w:val="24"/>
                    </w:rPr>
                  </m:ctrlPr>
                </m:sSupPr>
                <m:e>
                  <m:r>
                    <w:rPr>
                      <w:rFonts w:ascii="Cambria Math" w:hAnsi="Cambria Math" w:cs="Arial"/>
                      <w:sz w:val="18"/>
                      <w:szCs w:val="24"/>
                    </w:rPr>
                    <m:t>r</m:t>
                  </m:r>
                </m:e>
                <m:sup>
                  <m:r>
                    <w:rPr>
                      <w:rFonts w:ascii="Cambria Math" w:hAnsi="Cambria Math" w:cs="Arial"/>
                      <w:sz w:val="18"/>
                      <w:szCs w:val="24"/>
                    </w:rPr>
                    <m:t>'</m:t>
                  </m:r>
                </m:sup>
              </m:sSup>
              <m:r>
                <w:rPr>
                  <w:rFonts w:ascii="Cambria Math" w:hAnsi="Cambria Math" w:cs="Arial"/>
                  <w:sz w:val="18"/>
                  <w:szCs w:val="24"/>
                </w:rPr>
                <m:t>sequity</m:t>
              </m:r>
            </m:den>
          </m:f>
          <m:r>
            <m:rPr>
              <m:sty m:val="p"/>
            </m:rPr>
            <w:rPr>
              <w:rFonts w:ascii="Cambria Math" w:hAnsi="Cambria Math" w:cs="Arial"/>
              <w:sz w:val="18"/>
              <w:szCs w:val="24"/>
            </w:rPr>
            <w:br/>
          </m:r>
        </m:oMath>
        <m:oMath>
          <m:r>
            <w:rPr>
              <w:rFonts w:ascii="Cambria Math" w:hAnsi="Cambria Math" w:cs="Arial"/>
              <w:sz w:val="18"/>
              <w:szCs w:val="24"/>
            </w:rPr>
            <m:t xml:space="preserve">Return on assets = </m:t>
          </m:r>
          <m:f>
            <m:fPr>
              <m:ctrlPr>
                <w:rPr>
                  <w:rFonts w:ascii="Cambria Math" w:hAnsi="Cambria Math" w:cs="Arial"/>
                  <w:i/>
                  <w:sz w:val="18"/>
                  <w:szCs w:val="24"/>
                </w:rPr>
              </m:ctrlPr>
            </m:fPr>
            <m:num>
              <m:r>
                <w:rPr>
                  <w:rFonts w:ascii="Cambria Math" w:hAnsi="Cambria Math" w:cs="Arial"/>
                  <w:sz w:val="18"/>
                  <w:szCs w:val="24"/>
                </w:rPr>
                <m:t>Net Income</m:t>
              </m:r>
            </m:num>
            <m:den>
              <m:r>
                <w:rPr>
                  <w:rFonts w:ascii="Cambria Math" w:hAnsi="Cambria Math" w:cs="Arial"/>
                  <w:sz w:val="18"/>
                  <w:szCs w:val="24"/>
                </w:rPr>
                <m:t>Total Assets</m:t>
              </m:r>
            </m:den>
          </m:f>
        </m:oMath>
      </m:oMathPara>
    </w:p>
    <w:p w14:paraId="5216DF42" w14:textId="7841E680" w:rsidR="00E54431" w:rsidRDefault="00874AD3" w:rsidP="00874AD3">
      <w:pPr>
        <w:rPr>
          <w:rFonts w:ascii="Arial" w:hAnsi="Arial" w:cs="Arial"/>
          <w:sz w:val="18"/>
          <w:szCs w:val="24"/>
        </w:rPr>
      </w:pPr>
      <w:r w:rsidRPr="003744E4">
        <w:rPr>
          <w:rFonts w:ascii="Arial" w:hAnsi="Arial" w:cs="Arial"/>
          <w:sz w:val="18"/>
          <w:szCs w:val="24"/>
        </w:rPr>
        <w:t>Assumed market price per share: £120</w:t>
      </w:r>
    </w:p>
    <w:p w14:paraId="09E405CD" w14:textId="1334BA15" w:rsidR="00E54431" w:rsidRDefault="0049103B" w:rsidP="00874AD3">
      <w:pPr>
        <w:rPr>
          <w:rFonts w:ascii="Arial" w:hAnsi="Arial" w:cs="Arial"/>
          <w:sz w:val="18"/>
          <w:szCs w:val="24"/>
        </w:rPr>
      </w:pPr>
      <w:r>
        <w:rPr>
          <w:noProof/>
        </w:rPr>
        <mc:AlternateContent>
          <mc:Choice Requires="wps">
            <w:drawing>
              <wp:anchor distT="0" distB="0" distL="114300" distR="114300" simplePos="0" relativeHeight="251678720" behindDoc="0" locked="0" layoutInCell="1" allowOverlap="1" wp14:anchorId="7502E073" wp14:editId="5F5FE2AB">
                <wp:simplePos x="0" y="0"/>
                <wp:positionH relativeFrom="column">
                  <wp:posOffset>822960</wp:posOffset>
                </wp:positionH>
                <wp:positionV relativeFrom="paragraph">
                  <wp:posOffset>5080</wp:posOffset>
                </wp:positionV>
                <wp:extent cx="2209800" cy="182880"/>
                <wp:effectExtent l="0" t="0" r="0" b="7620"/>
                <wp:wrapNone/>
                <wp:docPr id="2057218885" name="Text Box 1"/>
                <wp:cNvGraphicFramePr/>
                <a:graphic xmlns:a="http://schemas.openxmlformats.org/drawingml/2006/main">
                  <a:graphicData uri="http://schemas.microsoft.com/office/word/2010/wordprocessingShape">
                    <wps:wsp>
                      <wps:cNvSpPr txBox="1"/>
                      <wps:spPr>
                        <a:xfrm>
                          <a:off x="0" y="0"/>
                          <a:ext cx="2209800" cy="182880"/>
                        </a:xfrm>
                        <a:prstGeom prst="rect">
                          <a:avLst/>
                        </a:prstGeom>
                        <a:solidFill>
                          <a:prstClr val="white"/>
                        </a:solidFill>
                        <a:ln>
                          <a:noFill/>
                        </a:ln>
                      </wps:spPr>
                      <wps:txbx>
                        <w:txbxContent>
                          <w:p w14:paraId="1D704630" w14:textId="3AF98240" w:rsidR="00E54431" w:rsidRDefault="00E54431" w:rsidP="00E54431">
                            <w:pPr>
                              <w:pStyle w:val="Caption"/>
                            </w:pPr>
                            <w:r>
                              <w:t xml:space="preserve">Table </w:t>
                            </w:r>
                            <w:r w:rsidR="002615F5">
                              <w:fldChar w:fldCharType="begin"/>
                            </w:r>
                            <w:r w:rsidR="002615F5">
                              <w:instrText xml:space="preserve"> SEQ Table \* ARABIC </w:instrText>
                            </w:r>
                            <w:r w:rsidR="002615F5">
                              <w:fldChar w:fldCharType="separate"/>
                            </w:r>
                            <w:r w:rsidR="005F7E78">
                              <w:rPr>
                                <w:noProof/>
                              </w:rPr>
                              <w:t>5</w:t>
                            </w:r>
                            <w:r w:rsidR="002615F5">
                              <w:rPr>
                                <w:noProof/>
                              </w:rPr>
                              <w:fldChar w:fldCharType="end"/>
                            </w:r>
                            <w:r>
                              <w:t xml:space="preserve">: </w:t>
                            </w:r>
                            <w:r w:rsidRPr="00B824CD">
                              <w:t>Investment Ratio Analysis</w:t>
                            </w:r>
                          </w:p>
                          <w:p w14:paraId="10E98A0F" w14:textId="77777777" w:rsidR="00E54431" w:rsidRPr="00E54431" w:rsidRDefault="00E54431" w:rsidP="00E5443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2E073" id="_x0000_s1027" type="#_x0000_t202" style="position:absolute;margin-left:64.8pt;margin-top:.4pt;width:174pt;height:14.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" stroked="f">
                <v:textbox inset="0,0,0,0">
                  <w:txbxContent>
                    <w:p w14:paraId="1D704630" w14:textId="3AF98240" w:rsidR="00E54431" w:rsidRDefault="00E54431" w:rsidP="00E54431">
                      <w:pPr>
                        <w:pStyle w:val="Caption"/>
                      </w:pPr>
                      <w:r>
                        <w:t xml:space="preserve">Table </w:t>
                      </w:r>
                      <w:r w:rsidR="002615F5">
                        <w:fldChar w:fldCharType="begin"/>
                      </w:r>
                      <w:r w:rsidR="002615F5">
                        <w:instrText xml:space="preserve"> SEQ Table \* ARABIC </w:instrText>
                      </w:r>
                      <w:r w:rsidR="002615F5">
                        <w:fldChar w:fldCharType="separate"/>
                      </w:r>
                      <w:r w:rsidR="005F7E78">
                        <w:rPr>
                          <w:noProof/>
                        </w:rPr>
                        <w:t>5</w:t>
                      </w:r>
                      <w:r w:rsidR="002615F5">
                        <w:rPr>
                          <w:noProof/>
                        </w:rPr>
                        <w:fldChar w:fldCharType="end"/>
                      </w:r>
                      <w:r>
                        <w:t xml:space="preserve">: </w:t>
                      </w:r>
                      <w:r w:rsidRPr="00B824CD">
                        <w:t>Investment Ratio Analysis</w:t>
                      </w:r>
                    </w:p>
                    <w:p w14:paraId="10E98A0F" w14:textId="77777777" w:rsidR="00E54431" w:rsidRPr="00E54431" w:rsidRDefault="00E54431" w:rsidP="00E54431"/>
                  </w:txbxContent>
                </v:textbox>
              </v:shape>
            </w:pict>
          </mc:Fallback>
        </mc:AlternateContent>
      </w:r>
    </w:p>
    <w:p w14:paraId="157B4E25" w14:textId="4608F46F" w:rsidR="00E54431" w:rsidRPr="003744E4" w:rsidRDefault="00537D12" w:rsidP="00874AD3">
      <w:pPr>
        <w:rPr>
          <w:rFonts w:ascii="Arial" w:hAnsi="Arial" w:cs="Arial"/>
          <w:sz w:val="18"/>
          <w:szCs w:val="24"/>
        </w:rPr>
      </w:pPr>
      <w:r w:rsidRPr="003C1B7B">
        <w:rPr>
          <w:noProof/>
        </w:rPr>
        <w:drawing>
          <wp:anchor distT="0" distB="0" distL="114300" distR="114300" simplePos="0" relativeHeight="251673600" behindDoc="0" locked="0" layoutInCell="1" allowOverlap="1" wp14:anchorId="29E85649" wp14:editId="0AE11F8F">
            <wp:simplePos x="0" y="0"/>
            <wp:positionH relativeFrom="margin">
              <wp:posOffset>808355</wp:posOffset>
            </wp:positionH>
            <wp:positionV relativeFrom="paragraph">
              <wp:posOffset>17145</wp:posOffset>
            </wp:positionV>
            <wp:extent cx="4915862" cy="2087880"/>
            <wp:effectExtent l="0" t="0" r="0"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15862" cy="2087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20D79D" w14:textId="0638B9AA" w:rsidR="00E240CF" w:rsidRPr="001F6D3E" w:rsidRDefault="00E240CF" w:rsidP="00874AD3">
      <w:pPr>
        <w:rPr>
          <w:rFonts w:ascii="Arial" w:hAnsi="Arial" w:cs="Arial"/>
        </w:rPr>
      </w:pPr>
    </w:p>
    <w:p w14:paraId="38FC7D86" w14:textId="77777777" w:rsidR="00F250CB" w:rsidRDefault="00F250CB" w:rsidP="00AD4654">
      <w:pPr>
        <w:rPr>
          <w:rFonts w:ascii="Arial" w:hAnsi="Arial" w:cs="Arial"/>
        </w:rPr>
      </w:pPr>
    </w:p>
    <w:p w14:paraId="49684F34" w14:textId="77777777" w:rsidR="00F250CB" w:rsidRDefault="00F250CB" w:rsidP="00AD4654">
      <w:pPr>
        <w:rPr>
          <w:rFonts w:ascii="Arial" w:hAnsi="Arial" w:cs="Arial"/>
        </w:rPr>
      </w:pPr>
    </w:p>
    <w:p w14:paraId="41B34958" w14:textId="77777777" w:rsidR="00F250CB" w:rsidRDefault="00F250CB" w:rsidP="00AD4654">
      <w:pPr>
        <w:rPr>
          <w:rFonts w:ascii="Arial" w:hAnsi="Arial" w:cs="Arial"/>
        </w:rPr>
      </w:pPr>
    </w:p>
    <w:p w14:paraId="16118B70" w14:textId="77777777" w:rsidR="003744E4" w:rsidRDefault="003744E4" w:rsidP="003744E4">
      <w:pPr>
        <w:rPr>
          <w:rFonts w:ascii="Arial" w:hAnsi="Arial" w:cs="Arial"/>
        </w:rPr>
      </w:pPr>
      <w:r>
        <w:rPr>
          <w:rFonts w:ascii="Arial" w:hAnsi="Arial" w:cs="Arial"/>
        </w:rPr>
        <w:t xml:space="preserve">                                                          </w:t>
      </w:r>
    </w:p>
    <w:p w14:paraId="3A1F12B1" w14:textId="77777777" w:rsidR="003744E4" w:rsidRDefault="003744E4" w:rsidP="003744E4">
      <w:pPr>
        <w:rPr>
          <w:rFonts w:ascii="Arial" w:hAnsi="Arial" w:cs="Arial"/>
        </w:rPr>
      </w:pPr>
    </w:p>
    <w:p w14:paraId="551CE352" w14:textId="77777777" w:rsidR="003744E4" w:rsidRDefault="003744E4" w:rsidP="003744E4">
      <w:pPr>
        <w:rPr>
          <w:rFonts w:ascii="Arial" w:hAnsi="Arial" w:cs="Arial"/>
        </w:rPr>
      </w:pPr>
    </w:p>
    <w:p w14:paraId="5049A485" w14:textId="4415CD02" w:rsidR="003744E4" w:rsidRDefault="00537D12" w:rsidP="003744E4">
      <w:pPr>
        <w:rPr>
          <w:rFonts w:ascii="Arial" w:hAnsi="Arial" w:cs="Arial"/>
        </w:rPr>
      </w:pPr>
      <w:r>
        <w:rPr>
          <w:noProof/>
        </w:rPr>
        <w:drawing>
          <wp:anchor distT="0" distB="0" distL="114300" distR="114300" simplePos="0" relativeHeight="251669504" behindDoc="0" locked="0" layoutInCell="1" allowOverlap="1" wp14:anchorId="1085670D" wp14:editId="5F85853E">
            <wp:simplePos x="0" y="0"/>
            <wp:positionH relativeFrom="column">
              <wp:posOffset>822960</wp:posOffset>
            </wp:positionH>
            <wp:positionV relativeFrom="paragraph">
              <wp:posOffset>108585</wp:posOffset>
            </wp:positionV>
            <wp:extent cx="4846320" cy="2712720"/>
            <wp:effectExtent l="0" t="0" r="11430" b="11430"/>
            <wp:wrapNone/>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34395317" w14:textId="685FF3B8" w:rsidR="003744E4" w:rsidRPr="001F6D3E" w:rsidRDefault="003744E4" w:rsidP="003744E4">
      <w:pPr>
        <w:rPr>
          <w:rFonts w:ascii="Arial" w:hAnsi="Arial" w:cs="Arial"/>
          <w:i/>
          <w:color w:val="2E74B5" w:themeColor="accent1" w:themeShade="BF"/>
          <w:sz w:val="20"/>
        </w:rPr>
      </w:pPr>
      <w:r>
        <w:rPr>
          <w:rFonts w:ascii="Arial" w:hAnsi="Arial" w:cs="Arial"/>
          <w:i/>
          <w:color w:val="2E74B5" w:themeColor="accent1" w:themeShade="BF"/>
          <w:sz w:val="20"/>
        </w:rPr>
        <w:t xml:space="preserve">                                                             </w:t>
      </w:r>
    </w:p>
    <w:p w14:paraId="4180F43C" w14:textId="6B980121" w:rsidR="00E54431" w:rsidRDefault="00E54431" w:rsidP="003744E4">
      <w:pPr>
        <w:rPr>
          <w:rFonts w:ascii="Arial" w:hAnsi="Arial" w:cs="Arial"/>
          <w:i/>
          <w:color w:val="2E74B5" w:themeColor="accent1" w:themeShade="BF"/>
          <w:sz w:val="20"/>
        </w:rPr>
      </w:pPr>
    </w:p>
    <w:p w14:paraId="5F7E8115" w14:textId="0DDE8B06" w:rsidR="00E54431" w:rsidRDefault="00E54431" w:rsidP="003744E4">
      <w:pPr>
        <w:rPr>
          <w:rFonts w:ascii="Arial" w:hAnsi="Arial" w:cs="Arial"/>
          <w:i/>
          <w:color w:val="2E74B5" w:themeColor="accent1" w:themeShade="BF"/>
          <w:sz w:val="20"/>
        </w:rPr>
      </w:pPr>
    </w:p>
    <w:p w14:paraId="706101DB" w14:textId="5D002B33" w:rsidR="00E54431" w:rsidRDefault="00E54431" w:rsidP="003744E4">
      <w:pPr>
        <w:rPr>
          <w:rFonts w:ascii="Arial" w:hAnsi="Arial" w:cs="Arial"/>
          <w:i/>
          <w:color w:val="2E74B5" w:themeColor="accent1" w:themeShade="BF"/>
          <w:sz w:val="20"/>
        </w:rPr>
      </w:pPr>
    </w:p>
    <w:p w14:paraId="16356BDB" w14:textId="1D5B7BD2" w:rsidR="003744E4" w:rsidRDefault="003744E4" w:rsidP="003744E4">
      <w:pPr>
        <w:rPr>
          <w:rFonts w:ascii="Arial" w:hAnsi="Arial" w:cs="Arial"/>
          <w:i/>
          <w:color w:val="2E74B5" w:themeColor="accent1" w:themeShade="BF"/>
          <w:sz w:val="20"/>
        </w:rPr>
      </w:pPr>
    </w:p>
    <w:p w14:paraId="1A776383" w14:textId="77777777" w:rsidR="003744E4" w:rsidRDefault="003744E4" w:rsidP="003744E4">
      <w:pPr>
        <w:rPr>
          <w:rFonts w:ascii="Arial" w:hAnsi="Arial" w:cs="Arial"/>
          <w:i/>
          <w:color w:val="2E74B5" w:themeColor="accent1" w:themeShade="BF"/>
          <w:sz w:val="20"/>
        </w:rPr>
      </w:pPr>
    </w:p>
    <w:p w14:paraId="71315FD8" w14:textId="77777777" w:rsidR="003744E4" w:rsidRDefault="003744E4" w:rsidP="003744E4">
      <w:pPr>
        <w:rPr>
          <w:rFonts w:ascii="Arial" w:hAnsi="Arial" w:cs="Arial"/>
          <w:i/>
          <w:color w:val="2E74B5" w:themeColor="accent1" w:themeShade="BF"/>
          <w:sz w:val="20"/>
        </w:rPr>
      </w:pPr>
    </w:p>
    <w:p w14:paraId="0E36D7B5" w14:textId="77777777" w:rsidR="003744E4" w:rsidRDefault="003744E4" w:rsidP="003744E4">
      <w:pPr>
        <w:rPr>
          <w:rFonts w:ascii="Arial" w:hAnsi="Arial" w:cs="Arial"/>
          <w:i/>
          <w:color w:val="2E74B5" w:themeColor="accent1" w:themeShade="BF"/>
          <w:sz w:val="20"/>
        </w:rPr>
      </w:pPr>
    </w:p>
    <w:p w14:paraId="68FE0681" w14:textId="77777777" w:rsidR="003744E4" w:rsidRDefault="003744E4" w:rsidP="003744E4">
      <w:pPr>
        <w:rPr>
          <w:rFonts w:ascii="Arial" w:hAnsi="Arial" w:cs="Arial"/>
          <w:i/>
          <w:color w:val="2E74B5" w:themeColor="accent1" w:themeShade="BF"/>
          <w:sz w:val="20"/>
        </w:rPr>
      </w:pPr>
    </w:p>
    <w:p w14:paraId="6A409FB3" w14:textId="532E67CE" w:rsidR="003744E4" w:rsidRDefault="003744E4" w:rsidP="003744E4">
      <w:pPr>
        <w:rPr>
          <w:rFonts w:ascii="Arial" w:hAnsi="Arial" w:cs="Arial"/>
          <w:i/>
          <w:color w:val="2E74B5" w:themeColor="accent1" w:themeShade="BF"/>
          <w:sz w:val="20"/>
        </w:rPr>
      </w:pPr>
    </w:p>
    <w:p w14:paraId="4C3B8FEF" w14:textId="77777777" w:rsidR="003744E4" w:rsidRPr="001F6D3E" w:rsidRDefault="003744E4" w:rsidP="003744E4">
      <w:pPr>
        <w:rPr>
          <w:rFonts w:ascii="Arial" w:hAnsi="Arial" w:cs="Arial"/>
          <w:i/>
          <w:color w:val="2E74B5" w:themeColor="accent1" w:themeShade="BF"/>
          <w:sz w:val="20"/>
        </w:rPr>
      </w:pPr>
      <w:r>
        <w:rPr>
          <w:rFonts w:ascii="Arial" w:hAnsi="Arial" w:cs="Arial"/>
          <w:i/>
          <w:color w:val="2E74B5" w:themeColor="accent1" w:themeShade="BF"/>
          <w:sz w:val="20"/>
        </w:rPr>
        <w:t xml:space="preserve">                                                                Graph 5 Investment </w:t>
      </w:r>
      <w:r w:rsidRPr="001F6D3E">
        <w:rPr>
          <w:rFonts w:ascii="Arial" w:hAnsi="Arial" w:cs="Arial"/>
          <w:i/>
          <w:color w:val="2E74B5" w:themeColor="accent1" w:themeShade="BF"/>
          <w:sz w:val="20"/>
        </w:rPr>
        <w:t>Ratio Analysis</w:t>
      </w:r>
    </w:p>
    <w:p w14:paraId="240DB1F9" w14:textId="77777777" w:rsidR="007D7B17" w:rsidRPr="003C1B7B" w:rsidRDefault="00874AD3" w:rsidP="001D5163">
      <w:pPr>
        <w:pStyle w:val="Heading2"/>
      </w:pPr>
      <w:r w:rsidRPr="001F6D3E">
        <w:br w:type="page"/>
      </w:r>
      <w:bookmarkStart w:id="63" w:name="_Toc217238046"/>
      <w:r w:rsidR="007D7B17" w:rsidRPr="001F6D3E">
        <w:lastRenderedPageBreak/>
        <w:t>A6 Cash Flow Analysis Ratio</w:t>
      </w:r>
      <w:r w:rsidR="00B925B7" w:rsidRPr="001F6D3E">
        <w:t xml:space="preserve"> (2020-2024)</w:t>
      </w:r>
      <w:bookmarkEnd w:id="63"/>
    </w:p>
    <w:p w14:paraId="44648A4B" w14:textId="77777777" w:rsidR="00537D12" w:rsidRDefault="007D7B17" w:rsidP="007D7B17">
      <w:pPr>
        <w:spacing w:before="100" w:beforeAutospacing="1" w:after="100" w:afterAutospacing="1" w:line="360" w:lineRule="auto"/>
        <w:rPr>
          <w:rFonts w:ascii="Arial" w:eastAsia="Times New Roman" w:hAnsi="Arial" w:cs="Arial"/>
          <w:sz w:val="24"/>
          <w:szCs w:val="24"/>
        </w:rPr>
      </w:pPr>
      <w:r w:rsidRPr="001F6D3E">
        <w:rPr>
          <w:rFonts w:ascii="Arial" w:eastAsia="Times New Roman" w:hAnsi="Arial" w:cs="Arial"/>
          <w:sz w:val="24"/>
          <w:szCs w:val="24"/>
        </w:rPr>
        <w:t>Operating cash flow ratio = Operating cash flow / Current liabilities</w:t>
      </w:r>
      <w:r w:rsidRPr="001F6D3E">
        <w:rPr>
          <w:rFonts w:ascii="Arial" w:eastAsia="Times New Roman" w:hAnsi="Arial" w:cs="Arial"/>
          <w:sz w:val="24"/>
          <w:szCs w:val="24"/>
        </w:rPr>
        <w:br/>
        <w:t>Cash flow to debt ratio = Operating cash flow / Total liabilities</w:t>
      </w:r>
      <w:r w:rsidRPr="001F6D3E">
        <w:rPr>
          <w:rFonts w:ascii="Arial" w:eastAsia="Times New Roman" w:hAnsi="Arial" w:cs="Arial"/>
          <w:sz w:val="24"/>
          <w:szCs w:val="24"/>
        </w:rPr>
        <w:br/>
        <w:t>Cash flow margin = Operating cash flow / Net sales</w:t>
      </w:r>
    </w:p>
    <w:p w14:paraId="624BF1B8" w14:textId="344E8C2E" w:rsidR="007D7B17" w:rsidRPr="001F6D3E" w:rsidRDefault="007D7B17" w:rsidP="007D7B17">
      <w:pPr>
        <w:spacing w:before="100" w:beforeAutospacing="1" w:after="100" w:afterAutospacing="1" w:line="360" w:lineRule="auto"/>
        <w:rPr>
          <w:rFonts w:ascii="Arial" w:eastAsia="Times New Roman" w:hAnsi="Arial" w:cs="Arial"/>
          <w:sz w:val="24"/>
          <w:szCs w:val="24"/>
        </w:rPr>
      </w:pPr>
      <w:r w:rsidRPr="001F6D3E">
        <w:rPr>
          <w:rFonts w:ascii="Arial" w:eastAsia="Times New Roman" w:hAnsi="Arial" w:cs="Arial"/>
          <w:sz w:val="24"/>
          <w:szCs w:val="24"/>
        </w:rPr>
        <w:t xml:space="preserve">Five-year numerical calculations presented below: </w:t>
      </w:r>
    </w:p>
    <w:p w14:paraId="3978D02E" w14:textId="40C1CE81" w:rsidR="00D56935" w:rsidRDefault="00D56935" w:rsidP="00D56935">
      <w:pPr>
        <w:pStyle w:val="Caption"/>
        <w:keepNext/>
      </w:pPr>
      <w:r>
        <w:t xml:space="preserve">Table </w:t>
      </w:r>
      <w:r w:rsidR="002615F5">
        <w:fldChar w:fldCharType="begin"/>
      </w:r>
      <w:r w:rsidR="002615F5">
        <w:instrText xml:space="preserve"> SEQ Table \* ARABIC </w:instrText>
      </w:r>
      <w:r w:rsidR="002615F5">
        <w:fldChar w:fldCharType="separate"/>
      </w:r>
      <w:r w:rsidR="005F7E78">
        <w:rPr>
          <w:noProof/>
        </w:rPr>
        <w:t>6</w:t>
      </w:r>
      <w:r w:rsidR="002615F5">
        <w:rPr>
          <w:noProof/>
        </w:rPr>
        <w:fldChar w:fldCharType="end"/>
      </w:r>
      <w:r>
        <w:t xml:space="preserve">: </w:t>
      </w:r>
      <w:r w:rsidRPr="00BE2B78">
        <w:t>Cash Flow Ratio Analysis</w:t>
      </w:r>
    </w:p>
    <w:tbl>
      <w:tblPr>
        <w:tblW w:w="9247" w:type="dxa"/>
        <w:tblInd w:w="-5" w:type="dxa"/>
        <w:tblLook w:val="04A0" w:firstRow="1" w:lastRow="0" w:firstColumn="1" w:lastColumn="0" w:noHBand="0" w:noVBand="1"/>
      </w:tblPr>
      <w:tblGrid>
        <w:gridCol w:w="2947"/>
        <w:gridCol w:w="1260"/>
        <w:gridCol w:w="1260"/>
        <w:gridCol w:w="1260"/>
        <w:gridCol w:w="1260"/>
        <w:gridCol w:w="1260"/>
      </w:tblGrid>
      <w:tr w:rsidR="007F4B7C" w:rsidRPr="001F6D3E" w14:paraId="33DF9564" w14:textId="77777777" w:rsidTr="00537D12">
        <w:trPr>
          <w:trHeight w:val="328"/>
        </w:trPr>
        <w:tc>
          <w:tcPr>
            <w:tcW w:w="2947" w:type="dxa"/>
            <w:tcBorders>
              <w:top w:val="single" w:sz="4" w:space="0" w:color="auto"/>
              <w:left w:val="single" w:sz="4" w:space="0" w:color="auto"/>
              <w:bottom w:val="single" w:sz="4" w:space="0" w:color="auto"/>
              <w:right w:val="single" w:sz="4" w:space="0" w:color="auto"/>
            </w:tcBorders>
            <w:noWrap/>
            <w:vAlign w:val="bottom"/>
            <w:hideMark/>
          </w:tcPr>
          <w:p w14:paraId="168506DF" w14:textId="77777777" w:rsidR="007F4B7C" w:rsidRPr="001F6D3E" w:rsidRDefault="007F4B7C" w:rsidP="007F4B7C">
            <w:pPr>
              <w:spacing w:after="0" w:line="240" w:lineRule="auto"/>
              <w:rPr>
                <w:rFonts w:ascii="Arial" w:eastAsia="Times New Roman" w:hAnsi="Arial" w:cs="Arial"/>
                <w:color w:val="000000"/>
              </w:rPr>
            </w:pPr>
            <w:r w:rsidRPr="001F6D3E">
              <w:rPr>
                <w:rFonts w:ascii="Arial" w:eastAsia="Times New Roman" w:hAnsi="Arial" w:cs="Arial"/>
                <w:color w:val="000000"/>
              </w:rPr>
              <w:t> </w:t>
            </w:r>
          </w:p>
        </w:tc>
        <w:tc>
          <w:tcPr>
            <w:tcW w:w="1260" w:type="dxa"/>
            <w:tcBorders>
              <w:top w:val="single" w:sz="4" w:space="0" w:color="auto"/>
              <w:left w:val="nil"/>
              <w:bottom w:val="single" w:sz="4" w:space="0" w:color="auto"/>
              <w:right w:val="single" w:sz="4" w:space="0" w:color="auto"/>
            </w:tcBorders>
            <w:noWrap/>
            <w:vAlign w:val="bottom"/>
            <w:hideMark/>
          </w:tcPr>
          <w:p w14:paraId="0865697D" w14:textId="77777777" w:rsidR="007F4B7C" w:rsidRPr="001F6D3E" w:rsidRDefault="007F4B7C" w:rsidP="003C1B7B">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2020</w:t>
            </w:r>
          </w:p>
        </w:tc>
        <w:tc>
          <w:tcPr>
            <w:tcW w:w="1260" w:type="dxa"/>
            <w:tcBorders>
              <w:top w:val="single" w:sz="4" w:space="0" w:color="auto"/>
              <w:left w:val="nil"/>
              <w:bottom w:val="single" w:sz="4" w:space="0" w:color="auto"/>
              <w:right w:val="single" w:sz="4" w:space="0" w:color="auto"/>
            </w:tcBorders>
            <w:noWrap/>
            <w:vAlign w:val="bottom"/>
            <w:hideMark/>
          </w:tcPr>
          <w:p w14:paraId="358C9709" w14:textId="77777777" w:rsidR="007F4B7C" w:rsidRPr="001F6D3E" w:rsidRDefault="007F4B7C" w:rsidP="003C1B7B">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2021</w:t>
            </w:r>
          </w:p>
        </w:tc>
        <w:tc>
          <w:tcPr>
            <w:tcW w:w="1260" w:type="dxa"/>
            <w:tcBorders>
              <w:top w:val="single" w:sz="4" w:space="0" w:color="auto"/>
              <w:left w:val="nil"/>
              <w:bottom w:val="single" w:sz="4" w:space="0" w:color="auto"/>
              <w:right w:val="single" w:sz="4" w:space="0" w:color="auto"/>
            </w:tcBorders>
            <w:noWrap/>
            <w:vAlign w:val="bottom"/>
            <w:hideMark/>
          </w:tcPr>
          <w:p w14:paraId="6D8AF7B4" w14:textId="77777777" w:rsidR="007F4B7C" w:rsidRPr="001F6D3E" w:rsidRDefault="007F4B7C" w:rsidP="003C1B7B">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2022</w:t>
            </w:r>
          </w:p>
        </w:tc>
        <w:tc>
          <w:tcPr>
            <w:tcW w:w="1260" w:type="dxa"/>
            <w:tcBorders>
              <w:top w:val="single" w:sz="4" w:space="0" w:color="auto"/>
              <w:left w:val="nil"/>
              <w:bottom w:val="single" w:sz="4" w:space="0" w:color="auto"/>
              <w:right w:val="single" w:sz="4" w:space="0" w:color="auto"/>
            </w:tcBorders>
            <w:noWrap/>
            <w:vAlign w:val="bottom"/>
            <w:hideMark/>
          </w:tcPr>
          <w:p w14:paraId="074DA084" w14:textId="77777777" w:rsidR="007F4B7C" w:rsidRPr="001F6D3E" w:rsidRDefault="007F4B7C" w:rsidP="003C1B7B">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2023</w:t>
            </w:r>
          </w:p>
        </w:tc>
        <w:tc>
          <w:tcPr>
            <w:tcW w:w="1260" w:type="dxa"/>
            <w:tcBorders>
              <w:top w:val="single" w:sz="4" w:space="0" w:color="auto"/>
              <w:left w:val="nil"/>
              <w:bottom w:val="single" w:sz="4" w:space="0" w:color="auto"/>
              <w:right w:val="single" w:sz="4" w:space="0" w:color="auto"/>
            </w:tcBorders>
            <w:noWrap/>
            <w:vAlign w:val="bottom"/>
            <w:hideMark/>
          </w:tcPr>
          <w:p w14:paraId="48139FA0" w14:textId="77777777" w:rsidR="007F4B7C" w:rsidRPr="001F6D3E" w:rsidRDefault="007F4B7C" w:rsidP="003C1B7B">
            <w:pPr>
              <w:spacing w:after="0" w:line="240" w:lineRule="auto"/>
              <w:jc w:val="center"/>
              <w:rPr>
                <w:rFonts w:ascii="Arial" w:eastAsia="Times New Roman" w:hAnsi="Arial" w:cs="Arial"/>
                <w:b/>
                <w:bCs/>
                <w:color w:val="000000"/>
              </w:rPr>
            </w:pPr>
            <w:r w:rsidRPr="001F6D3E">
              <w:rPr>
                <w:rFonts w:ascii="Arial" w:eastAsia="Times New Roman" w:hAnsi="Arial" w:cs="Arial"/>
                <w:b/>
                <w:bCs/>
                <w:color w:val="000000"/>
              </w:rPr>
              <w:t>2024</w:t>
            </w:r>
          </w:p>
        </w:tc>
      </w:tr>
      <w:tr w:rsidR="007F4B7C" w:rsidRPr="001F6D3E" w14:paraId="7D149947" w14:textId="77777777" w:rsidTr="00537D12">
        <w:trPr>
          <w:trHeight w:val="328"/>
        </w:trPr>
        <w:tc>
          <w:tcPr>
            <w:tcW w:w="2947" w:type="dxa"/>
            <w:tcBorders>
              <w:top w:val="nil"/>
              <w:left w:val="single" w:sz="4" w:space="0" w:color="auto"/>
              <w:bottom w:val="single" w:sz="4" w:space="0" w:color="auto"/>
              <w:right w:val="single" w:sz="4" w:space="0" w:color="auto"/>
            </w:tcBorders>
            <w:noWrap/>
            <w:vAlign w:val="bottom"/>
            <w:hideMark/>
          </w:tcPr>
          <w:p w14:paraId="2372F61F" w14:textId="77777777" w:rsidR="007F4B7C" w:rsidRPr="001F6D3E" w:rsidRDefault="007F4B7C" w:rsidP="007F4B7C">
            <w:pPr>
              <w:spacing w:after="0" w:line="240" w:lineRule="auto"/>
              <w:rPr>
                <w:rFonts w:ascii="Arial" w:eastAsia="Times New Roman" w:hAnsi="Arial" w:cs="Arial"/>
                <w:color w:val="000000"/>
              </w:rPr>
            </w:pPr>
            <w:r w:rsidRPr="001F6D3E">
              <w:rPr>
                <w:rFonts w:ascii="Arial" w:eastAsia="Times New Roman" w:hAnsi="Arial" w:cs="Arial"/>
                <w:color w:val="000000"/>
              </w:rPr>
              <w:t xml:space="preserve">Operating cash flow </w:t>
            </w:r>
          </w:p>
        </w:tc>
        <w:tc>
          <w:tcPr>
            <w:tcW w:w="1260" w:type="dxa"/>
            <w:tcBorders>
              <w:top w:val="nil"/>
              <w:left w:val="nil"/>
              <w:bottom w:val="single" w:sz="4" w:space="0" w:color="auto"/>
              <w:right w:val="single" w:sz="4" w:space="0" w:color="auto"/>
            </w:tcBorders>
            <w:noWrap/>
            <w:vAlign w:val="bottom"/>
            <w:hideMark/>
          </w:tcPr>
          <w:p w14:paraId="0C58C01B"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73,392</w:t>
            </w:r>
          </w:p>
        </w:tc>
        <w:tc>
          <w:tcPr>
            <w:tcW w:w="1260" w:type="dxa"/>
            <w:tcBorders>
              <w:top w:val="nil"/>
              <w:left w:val="nil"/>
              <w:bottom w:val="single" w:sz="4" w:space="0" w:color="auto"/>
              <w:right w:val="single" w:sz="4" w:space="0" w:color="auto"/>
            </w:tcBorders>
            <w:noWrap/>
            <w:vAlign w:val="bottom"/>
            <w:hideMark/>
          </w:tcPr>
          <w:p w14:paraId="43CE922B"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40,283</w:t>
            </w:r>
          </w:p>
        </w:tc>
        <w:tc>
          <w:tcPr>
            <w:tcW w:w="1260" w:type="dxa"/>
            <w:tcBorders>
              <w:top w:val="nil"/>
              <w:left w:val="nil"/>
              <w:bottom w:val="single" w:sz="4" w:space="0" w:color="auto"/>
              <w:right w:val="single" w:sz="4" w:space="0" w:color="auto"/>
            </w:tcBorders>
            <w:noWrap/>
            <w:vAlign w:val="bottom"/>
            <w:hideMark/>
          </w:tcPr>
          <w:p w14:paraId="66CA4499"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10,926</w:t>
            </w:r>
          </w:p>
        </w:tc>
        <w:tc>
          <w:tcPr>
            <w:tcW w:w="1260" w:type="dxa"/>
            <w:tcBorders>
              <w:top w:val="nil"/>
              <w:left w:val="nil"/>
              <w:bottom w:val="single" w:sz="4" w:space="0" w:color="auto"/>
              <w:right w:val="single" w:sz="4" w:space="0" w:color="auto"/>
            </w:tcBorders>
            <w:noWrap/>
            <w:vAlign w:val="bottom"/>
            <w:hideMark/>
          </w:tcPr>
          <w:p w14:paraId="78B69EA2"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25,190</w:t>
            </w:r>
          </w:p>
        </w:tc>
        <w:tc>
          <w:tcPr>
            <w:tcW w:w="1260" w:type="dxa"/>
            <w:tcBorders>
              <w:top w:val="nil"/>
              <w:left w:val="nil"/>
              <w:bottom w:val="single" w:sz="4" w:space="0" w:color="auto"/>
              <w:right w:val="single" w:sz="4" w:space="0" w:color="auto"/>
            </w:tcBorders>
            <w:noWrap/>
            <w:vAlign w:val="bottom"/>
            <w:hideMark/>
          </w:tcPr>
          <w:p w14:paraId="10F0B320"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14,822</w:t>
            </w:r>
          </w:p>
        </w:tc>
      </w:tr>
      <w:tr w:rsidR="007F4B7C" w:rsidRPr="001F6D3E" w14:paraId="497AA5AA" w14:textId="77777777" w:rsidTr="00537D12">
        <w:trPr>
          <w:trHeight w:val="328"/>
        </w:trPr>
        <w:tc>
          <w:tcPr>
            <w:tcW w:w="2947" w:type="dxa"/>
            <w:tcBorders>
              <w:top w:val="nil"/>
              <w:left w:val="single" w:sz="4" w:space="0" w:color="auto"/>
              <w:bottom w:val="single" w:sz="4" w:space="0" w:color="auto"/>
              <w:right w:val="single" w:sz="4" w:space="0" w:color="auto"/>
            </w:tcBorders>
            <w:noWrap/>
            <w:vAlign w:val="bottom"/>
            <w:hideMark/>
          </w:tcPr>
          <w:p w14:paraId="1A494403" w14:textId="77777777" w:rsidR="007F4B7C" w:rsidRPr="001F6D3E" w:rsidRDefault="007F4B7C" w:rsidP="007F4B7C">
            <w:pPr>
              <w:spacing w:after="0" w:line="240" w:lineRule="auto"/>
              <w:rPr>
                <w:rFonts w:ascii="Arial" w:eastAsia="Times New Roman" w:hAnsi="Arial" w:cs="Arial"/>
                <w:color w:val="000000"/>
              </w:rPr>
            </w:pPr>
            <w:r w:rsidRPr="001F6D3E">
              <w:rPr>
                <w:rFonts w:ascii="Arial" w:eastAsia="Times New Roman" w:hAnsi="Arial" w:cs="Arial"/>
                <w:color w:val="000000"/>
              </w:rPr>
              <w:t>Current liabilities</w:t>
            </w:r>
          </w:p>
        </w:tc>
        <w:tc>
          <w:tcPr>
            <w:tcW w:w="1260" w:type="dxa"/>
            <w:tcBorders>
              <w:top w:val="nil"/>
              <w:left w:val="nil"/>
              <w:bottom w:val="single" w:sz="4" w:space="0" w:color="auto"/>
              <w:right w:val="single" w:sz="4" w:space="0" w:color="auto"/>
            </w:tcBorders>
            <w:noWrap/>
            <w:vAlign w:val="bottom"/>
            <w:hideMark/>
          </w:tcPr>
          <w:p w14:paraId="07C2ED74"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179,510</w:t>
            </w:r>
          </w:p>
        </w:tc>
        <w:tc>
          <w:tcPr>
            <w:tcW w:w="1260" w:type="dxa"/>
            <w:tcBorders>
              <w:top w:val="nil"/>
              <w:left w:val="nil"/>
              <w:bottom w:val="single" w:sz="4" w:space="0" w:color="auto"/>
              <w:right w:val="single" w:sz="4" w:space="0" w:color="auto"/>
            </w:tcBorders>
            <w:noWrap/>
            <w:vAlign w:val="bottom"/>
            <w:hideMark/>
          </w:tcPr>
          <w:p w14:paraId="5C1C1DC2"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216,787</w:t>
            </w:r>
          </w:p>
        </w:tc>
        <w:tc>
          <w:tcPr>
            <w:tcW w:w="1260" w:type="dxa"/>
            <w:tcBorders>
              <w:top w:val="nil"/>
              <w:left w:val="nil"/>
              <w:bottom w:val="single" w:sz="4" w:space="0" w:color="auto"/>
              <w:right w:val="single" w:sz="4" w:space="0" w:color="auto"/>
            </w:tcBorders>
            <w:noWrap/>
            <w:vAlign w:val="bottom"/>
            <w:hideMark/>
          </w:tcPr>
          <w:p w14:paraId="3DAE722B"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216,473</w:t>
            </w:r>
          </w:p>
        </w:tc>
        <w:tc>
          <w:tcPr>
            <w:tcW w:w="1260" w:type="dxa"/>
            <w:tcBorders>
              <w:top w:val="nil"/>
              <w:left w:val="nil"/>
              <w:bottom w:val="single" w:sz="4" w:space="0" w:color="auto"/>
              <w:right w:val="single" w:sz="4" w:space="0" w:color="auto"/>
            </w:tcBorders>
            <w:noWrap/>
            <w:vAlign w:val="bottom"/>
            <w:hideMark/>
          </w:tcPr>
          <w:p w14:paraId="685EBB87"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161,148</w:t>
            </w:r>
          </w:p>
        </w:tc>
        <w:tc>
          <w:tcPr>
            <w:tcW w:w="1260" w:type="dxa"/>
            <w:tcBorders>
              <w:top w:val="nil"/>
              <w:left w:val="nil"/>
              <w:bottom w:val="single" w:sz="4" w:space="0" w:color="auto"/>
              <w:right w:val="single" w:sz="4" w:space="0" w:color="auto"/>
            </w:tcBorders>
            <w:noWrap/>
            <w:vAlign w:val="bottom"/>
            <w:hideMark/>
          </w:tcPr>
          <w:p w14:paraId="154D1711"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158,291</w:t>
            </w:r>
          </w:p>
        </w:tc>
      </w:tr>
      <w:tr w:rsidR="007F4B7C" w:rsidRPr="001F6D3E" w14:paraId="162D0171" w14:textId="77777777" w:rsidTr="00537D12">
        <w:trPr>
          <w:trHeight w:val="328"/>
        </w:trPr>
        <w:tc>
          <w:tcPr>
            <w:tcW w:w="2947" w:type="dxa"/>
            <w:tcBorders>
              <w:top w:val="nil"/>
              <w:left w:val="single" w:sz="4" w:space="0" w:color="auto"/>
              <w:bottom w:val="single" w:sz="4" w:space="0" w:color="auto"/>
              <w:right w:val="single" w:sz="4" w:space="0" w:color="auto"/>
            </w:tcBorders>
            <w:noWrap/>
            <w:vAlign w:val="bottom"/>
            <w:hideMark/>
          </w:tcPr>
          <w:p w14:paraId="01325755" w14:textId="77777777" w:rsidR="007F4B7C" w:rsidRPr="001F6D3E" w:rsidRDefault="007F4B7C" w:rsidP="007F4B7C">
            <w:pPr>
              <w:spacing w:after="0" w:line="240" w:lineRule="auto"/>
              <w:rPr>
                <w:rFonts w:ascii="Arial" w:eastAsia="Times New Roman" w:hAnsi="Arial" w:cs="Arial"/>
                <w:color w:val="000000"/>
              </w:rPr>
            </w:pPr>
            <w:r w:rsidRPr="001F6D3E">
              <w:rPr>
                <w:rFonts w:ascii="Arial" w:eastAsia="Times New Roman" w:hAnsi="Arial" w:cs="Arial"/>
                <w:color w:val="000000"/>
              </w:rPr>
              <w:t>Total liabilities</w:t>
            </w:r>
          </w:p>
        </w:tc>
        <w:tc>
          <w:tcPr>
            <w:tcW w:w="1260" w:type="dxa"/>
            <w:tcBorders>
              <w:top w:val="nil"/>
              <w:left w:val="nil"/>
              <w:bottom w:val="single" w:sz="4" w:space="0" w:color="auto"/>
              <w:right w:val="single" w:sz="4" w:space="0" w:color="auto"/>
            </w:tcBorders>
            <w:noWrap/>
            <w:vAlign w:val="bottom"/>
            <w:hideMark/>
          </w:tcPr>
          <w:p w14:paraId="034D12ED"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196,989</w:t>
            </w:r>
          </w:p>
        </w:tc>
        <w:tc>
          <w:tcPr>
            <w:tcW w:w="1260" w:type="dxa"/>
            <w:tcBorders>
              <w:top w:val="nil"/>
              <w:left w:val="nil"/>
              <w:bottom w:val="single" w:sz="4" w:space="0" w:color="auto"/>
              <w:right w:val="single" w:sz="4" w:space="0" w:color="auto"/>
            </w:tcBorders>
            <w:noWrap/>
            <w:vAlign w:val="bottom"/>
            <w:hideMark/>
          </w:tcPr>
          <w:p w14:paraId="3EDBC6AC"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234,399</w:t>
            </w:r>
          </w:p>
        </w:tc>
        <w:tc>
          <w:tcPr>
            <w:tcW w:w="1260" w:type="dxa"/>
            <w:tcBorders>
              <w:top w:val="nil"/>
              <w:left w:val="nil"/>
              <w:bottom w:val="single" w:sz="4" w:space="0" w:color="auto"/>
              <w:right w:val="single" w:sz="4" w:space="0" w:color="auto"/>
            </w:tcBorders>
            <w:noWrap/>
            <w:vAlign w:val="bottom"/>
            <w:hideMark/>
          </w:tcPr>
          <w:p w14:paraId="106178C8"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235,757</w:t>
            </w:r>
          </w:p>
        </w:tc>
        <w:tc>
          <w:tcPr>
            <w:tcW w:w="1260" w:type="dxa"/>
            <w:tcBorders>
              <w:top w:val="nil"/>
              <w:left w:val="nil"/>
              <w:bottom w:val="single" w:sz="4" w:space="0" w:color="auto"/>
              <w:right w:val="single" w:sz="4" w:space="0" w:color="auto"/>
            </w:tcBorders>
            <w:noWrap/>
            <w:vAlign w:val="bottom"/>
            <w:hideMark/>
          </w:tcPr>
          <w:p w14:paraId="0663560B"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176,952</w:t>
            </w:r>
          </w:p>
        </w:tc>
        <w:tc>
          <w:tcPr>
            <w:tcW w:w="1260" w:type="dxa"/>
            <w:tcBorders>
              <w:top w:val="nil"/>
              <w:left w:val="nil"/>
              <w:bottom w:val="single" w:sz="4" w:space="0" w:color="auto"/>
              <w:right w:val="single" w:sz="4" w:space="0" w:color="auto"/>
            </w:tcBorders>
            <w:noWrap/>
            <w:vAlign w:val="bottom"/>
            <w:hideMark/>
          </w:tcPr>
          <w:p w14:paraId="2BE89F1E"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170,249</w:t>
            </w:r>
          </w:p>
        </w:tc>
      </w:tr>
      <w:tr w:rsidR="007F4B7C" w:rsidRPr="001F6D3E" w14:paraId="5034AEE6" w14:textId="77777777" w:rsidTr="00537D12">
        <w:trPr>
          <w:trHeight w:val="328"/>
        </w:trPr>
        <w:tc>
          <w:tcPr>
            <w:tcW w:w="2947" w:type="dxa"/>
            <w:tcBorders>
              <w:top w:val="nil"/>
              <w:left w:val="single" w:sz="4" w:space="0" w:color="auto"/>
              <w:bottom w:val="single" w:sz="4" w:space="0" w:color="auto"/>
              <w:right w:val="single" w:sz="4" w:space="0" w:color="auto"/>
            </w:tcBorders>
            <w:noWrap/>
            <w:vAlign w:val="bottom"/>
            <w:hideMark/>
          </w:tcPr>
          <w:p w14:paraId="579D00B9" w14:textId="77777777" w:rsidR="007F4B7C" w:rsidRPr="001F6D3E" w:rsidRDefault="007F4B7C" w:rsidP="007F4B7C">
            <w:pPr>
              <w:spacing w:after="0" w:line="240" w:lineRule="auto"/>
              <w:rPr>
                <w:rFonts w:ascii="Arial" w:eastAsia="Times New Roman" w:hAnsi="Arial" w:cs="Arial"/>
                <w:color w:val="000000"/>
              </w:rPr>
            </w:pPr>
            <w:r w:rsidRPr="001F6D3E">
              <w:rPr>
                <w:rFonts w:ascii="Arial" w:eastAsia="Times New Roman" w:hAnsi="Arial" w:cs="Arial"/>
                <w:color w:val="000000"/>
              </w:rPr>
              <w:t>Net sales</w:t>
            </w:r>
          </w:p>
        </w:tc>
        <w:tc>
          <w:tcPr>
            <w:tcW w:w="1260" w:type="dxa"/>
            <w:tcBorders>
              <w:top w:val="nil"/>
              <w:left w:val="nil"/>
              <w:bottom w:val="single" w:sz="4" w:space="0" w:color="auto"/>
              <w:right w:val="single" w:sz="4" w:space="0" w:color="auto"/>
            </w:tcBorders>
            <w:noWrap/>
            <w:vAlign w:val="bottom"/>
            <w:hideMark/>
          </w:tcPr>
          <w:p w14:paraId="3D31ADA5"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614,680</w:t>
            </w:r>
          </w:p>
        </w:tc>
        <w:tc>
          <w:tcPr>
            <w:tcW w:w="1260" w:type="dxa"/>
            <w:tcBorders>
              <w:top w:val="nil"/>
              <w:left w:val="nil"/>
              <w:bottom w:val="single" w:sz="4" w:space="0" w:color="auto"/>
              <w:right w:val="single" w:sz="4" w:space="0" w:color="auto"/>
            </w:tcBorders>
            <w:noWrap/>
            <w:vAlign w:val="bottom"/>
            <w:hideMark/>
          </w:tcPr>
          <w:p w14:paraId="35DF771F"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601,602</w:t>
            </w:r>
          </w:p>
        </w:tc>
        <w:tc>
          <w:tcPr>
            <w:tcW w:w="1260" w:type="dxa"/>
            <w:tcBorders>
              <w:top w:val="nil"/>
              <w:left w:val="nil"/>
              <w:bottom w:val="single" w:sz="4" w:space="0" w:color="auto"/>
              <w:right w:val="single" w:sz="4" w:space="0" w:color="auto"/>
            </w:tcBorders>
            <w:noWrap/>
            <w:vAlign w:val="bottom"/>
            <w:hideMark/>
          </w:tcPr>
          <w:p w14:paraId="58E9B47B"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542,751</w:t>
            </w:r>
          </w:p>
        </w:tc>
        <w:tc>
          <w:tcPr>
            <w:tcW w:w="1260" w:type="dxa"/>
            <w:tcBorders>
              <w:top w:val="nil"/>
              <w:left w:val="nil"/>
              <w:bottom w:val="single" w:sz="4" w:space="0" w:color="auto"/>
              <w:right w:val="single" w:sz="4" w:space="0" w:color="auto"/>
            </w:tcBorders>
            <w:noWrap/>
            <w:vAlign w:val="bottom"/>
            <w:hideMark/>
          </w:tcPr>
          <w:p w14:paraId="18BDB2D2"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420,457</w:t>
            </w:r>
          </w:p>
        </w:tc>
        <w:tc>
          <w:tcPr>
            <w:tcW w:w="1260" w:type="dxa"/>
            <w:tcBorders>
              <w:top w:val="nil"/>
              <w:left w:val="nil"/>
              <w:bottom w:val="single" w:sz="4" w:space="0" w:color="auto"/>
              <w:right w:val="single" w:sz="4" w:space="0" w:color="auto"/>
            </w:tcBorders>
            <w:noWrap/>
            <w:vAlign w:val="bottom"/>
            <w:hideMark/>
          </w:tcPr>
          <w:p w14:paraId="4081D77D"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394,879</w:t>
            </w:r>
          </w:p>
        </w:tc>
      </w:tr>
      <w:tr w:rsidR="007F4B7C" w:rsidRPr="001F6D3E" w14:paraId="498C3A0A" w14:textId="77777777" w:rsidTr="00537D12">
        <w:trPr>
          <w:trHeight w:val="328"/>
        </w:trPr>
        <w:tc>
          <w:tcPr>
            <w:tcW w:w="2947" w:type="dxa"/>
            <w:tcBorders>
              <w:top w:val="nil"/>
              <w:left w:val="single" w:sz="4" w:space="0" w:color="auto"/>
              <w:bottom w:val="single" w:sz="4" w:space="0" w:color="auto"/>
              <w:right w:val="single" w:sz="4" w:space="0" w:color="auto"/>
            </w:tcBorders>
            <w:noWrap/>
            <w:vAlign w:val="bottom"/>
            <w:hideMark/>
          </w:tcPr>
          <w:p w14:paraId="10269B41" w14:textId="77777777" w:rsidR="007F4B7C" w:rsidRPr="001F6D3E" w:rsidRDefault="007F4B7C" w:rsidP="007F4B7C">
            <w:pPr>
              <w:spacing w:after="0" w:line="240" w:lineRule="auto"/>
              <w:rPr>
                <w:rFonts w:ascii="Arial" w:eastAsia="Times New Roman" w:hAnsi="Arial" w:cs="Arial"/>
                <w:b/>
                <w:bCs/>
                <w:color w:val="000000"/>
              </w:rPr>
            </w:pPr>
            <w:r w:rsidRPr="001F6D3E">
              <w:rPr>
                <w:rFonts w:ascii="Arial" w:eastAsia="Times New Roman" w:hAnsi="Arial" w:cs="Arial"/>
                <w:b/>
                <w:bCs/>
                <w:color w:val="000000"/>
              </w:rPr>
              <w:t xml:space="preserve">Operating cash flow ratio </w:t>
            </w:r>
          </w:p>
        </w:tc>
        <w:tc>
          <w:tcPr>
            <w:tcW w:w="1260" w:type="dxa"/>
            <w:tcBorders>
              <w:top w:val="nil"/>
              <w:left w:val="nil"/>
              <w:bottom w:val="single" w:sz="4" w:space="0" w:color="auto"/>
              <w:right w:val="single" w:sz="4" w:space="0" w:color="auto"/>
            </w:tcBorders>
            <w:noWrap/>
            <w:vAlign w:val="bottom"/>
            <w:hideMark/>
          </w:tcPr>
          <w:p w14:paraId="341EBD18"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0.408846</w:t>
            </w:r>
          </w:p>
        </w:tc>
        <w:tc>
          <w:tcPr>
            <w:tcW w:w="1260" w:type="dxa"/>
            <w:tcBorders>
              <w:top w:val="nil"/>
              <w:left w:val="nil"/>
              <w:bottom w:val="single" w:sz="4" w:space="0" w:color="auto"/>
              <w:right w:val="single" w:sz="4" w:space="0" w:color="auto"/>
            </w:tcBorders>
            <w:noWrap/>
            <w:vAlign w:val="bottom"/>
            <w:hideMark/>
          </w:tcPr>
          <w:p w14:paraId="1A490934"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0.185818</w:t>
            </w:r>
          </w:p>
        </w:tc>
        <w:tc>
          <w:tcPr>
            <w:tcW w:w="1260" w:type="dxa"/>
            <w:tcBorders>
              <w:top w:val="nil"/>
              <w:left w:val="nil"/>
              <w:bottom w:val="single" w:sz="4" w:space="0" w:color="auto"/>
              <w:right w:val="single" w:sz="4" w:space="0" w:color="auto"/>
            </w:tcBorders>
            <w:noWrap/>
            <w:vAlign w:val="bottom"/>
            <w:hideMark/>
          </w:tcPr>
          <w:p w14:paraId="7EF2CE4D"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0.050473</w:t>
            </w:r>
          </w:p>
        </w:tc>
        <w:tc>
          <w:tcPr>
            <w:tcW w:w="1260" w:type="dxa"/>
            <w:tcBorders>
              <w:top w:val="nil"/>
              <w:left w:val="nil"/>
              <w:bottom w:val="single" w:sz="4" w:space="0" w:color="auto"/>
              <w:right w:val="single" w:sz="4" w:space="0" w:color="auto"/>
            </w:tcBorders>
            <w:noWrap/>
            <w:vAlign w:val="bottom"/>
            <w:hideMark/>
          </w:tcPr>
          <w:p w14:paraId="43E16BF0"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0.156316</w:t>
            </w:r>
          </w:p>
        </w:tc>
        <w:tc>
          <w:tcPr>
            <w:tcW w:w="1260" w:type="dxa"/>
            <w:tcBorders>
              <w:top w:val="nil"/>
              <w:left w:val="nil"/>
              <w:bottom w:val="single" w:sz="4" w:space="0" w:color="auto"/>
              <w:right w:val="single" w:sz="4" w:space="0" w:color="auto"/>
            </w:tcBorders>
            <w:noWrap/>
            <w:vAlign w:val="bottom"/>
            <w:hideMark/>
          </w:tcPr>
          <w:p w14:paraId="39F6BBB7"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0.093638</w:t>
            </w:r>
          </w:p>
        </w:tc>
      </w:tr>
      <w:tr w:rsidR="007F4B7C" w:rsidRPr="001F6D3E" w14:paraId="6AC06949" w14:textId="77777777" w:rsidTr="00537D12">
        <w:trPr>
          <w:trHeight w:val="328"/>
        </w:trPr>
        <w:tc>
          <w:tcPr>
            <w:tcW w:w="2947" w:type="dxa"/>
            <w:tcBorders>
              <w:top w:val="nil"/>
              <w:left w:val="single" w:sz="4" w:space="0" w:color="auto"/>
              <w:bottom w:val="single" w:sz="4" w:space="0" w:color="auto"/>
              <w:right w:val="single" w:sz="4" w:space="0" w:color="auto"/>
            </w:tcBorders>
            <w:noWrap/>
            <w:vAlign w:val="bottom"/>
            <w:hideMark/>
          </w:tcPr>
          <w:p w14:paraId="239B7451" w14:textId="77777777" w:rsidR="007F4B7C" w:rsidRPr="001F6D3E" w:rsidRDefault="007F4B7C" w:rsidP="007F4B7C">
            <w:pPr>
              <w:spacing w:after="0" w:line="240" w:lineRule="auto"/>
              <w:rPr>
                <w:rFonts w:ascii="Arial" w:eastAsia="Times New Roman" w:hAnsi="Arial" w:cs="Arial"/>
                <w:b/>
                <w:bCs/>
                <w:color w:val="000000"/>
              </w:rPr>
            </w:pPr>
            <w:r w:rsidRPr="001F6D3E">
              <w:rPr>
                <w:rFonts w:ascii="Arial" w:eastAsia="Times New Roman" w:hAnsi="Arial" w:cs="Arial"/>
                <w:b/>
                <w:bCs/>
                <w:color w:val="000000"/>
              </w:rPr>
              <w:t xml:space="preserve">Cash flow to debt ratio </w:t>
            </w:r>
          </w:p>
        </w:tc>
        <w:tc>
          <w:tcPr>
            <w:tcW w:w="1260" w:type="dxa"/>
            <w:tcBorders>
              <w:top w:val="nil"/>
              <w:left w:val="nil"/>
              <w:bottom w:val="single" w:sz="4" w:space="0" w:color="auto"/>
              <w:right w:val="single" w:sz="4" w:space="0" w:color="auto"/>
            </w:tcBorders>
            <w:noWrap/>
            <w:vAlign w:val="bottom"/>
            <w:hideMark/>
          </w:tcPr>
          <w:p w14:paraId="1DCA035F"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0.372569</w:t>
            </w:r>
          </w:p>
        </w:tc>
        <w:tc>
          <w:tcPr>
            <w:tcW w:w="1260" w:type="dxa"/>
            <w:tcBorders>
              <w:top w:val="nil"/>
              <w:left w:val="nil"/>
              <w:bottom w:val="single" w:sz="4" w:space="0" w:color="auto"/>
              <w:right w:val="single" w:sz="4" w:space="0" w:color="auto"/>
            </w:tcBorders>
            <w:noWrap/>
            <w:vAlign w:val="bottom"/>
            <w:hideMark/>
          </w:tcPr>
          <w:p w14:paraId="69F012F9"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0.171857</w:t>
            </w:r>
          </w:p>
        </w:tc>
        <w:tc>
          <w:tcPr>
            <w:tcW w:w="1260" w:type="dxa"/>
            <w:tcBorders>
              <w:top w:val="nil"/>
              <w:left w:val="nil"/>
              <w:bottom w:val="single" w:sz="4" w:space="0" w:color="auto"/>
              <w:right w:val="single" w:sz="4" w:space="0" w:color="auto"/>
            </w:tcBorders>
            <w:noWrap/>
            <w:vAlign w:val="bottom"/>
            <w:hideMark/>
          </w:tcPr>
          <w:p w14:paraId="3A14D4E4"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0.046344</w:t>
            </w:r>
          </w:p>
        </w:tc>
        <w:tc>
          <w:tcPr>
            <w:tcW w:w="1260" w:type="dxa"/>
            <w:tcBorders>
              <w:top w:val="nil"/>
              <w:left w:val="nil"/>
              <w:bottom w:val="single" w:sz="4" w:space="0" w:color="auto"/>
              <w:right w:val="single" w:sz="4" w:space="0" w:color="auto"/>
            </w:tcBorders>
            <w:noWrap/>
            <w:vAlign w:val="bottom"/>
            <w:hideMark/>
          </w:tcPr>
          <w:p w14:paraId="4C380106"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0.142355</w:t>
            </w:r>
          </w:p>
        </w:tc>
        <w:tc>
          <w:tcPr>
            <w:tcW w:w="1260" w:type="dxa"/>
            <w:tcBorders>
              <w:top w:val="nil"/>
              <w:left w:val="nil"/>
              <w:bottom w:val="single" w:sz="4" w:space="0" w:color="auto"/>
              <w:right w:val="single" w:sz="4" w:space="0" w:color="auto"/>
            </w:tcBorders>
            <w:noWrap/>
            <w:vAlign w:val="bottom"/>
            <w:hideMark/>
          </w:tcPr>
          <w:p w14:paraId="1B8C26FD"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0.087061</w:t>
            </w:r>
          </w:p>
        </w:tc>
      </w:tr>
      <w:tr w:rsidR="007F4B7C" w:rsidRPr="001F6D3E" w14:paraId="5A46770C" w14:textId="77777777" w:rsidTr="00537D12">
        <w:trPr>
          <w:trHeight w:val="328"/>
        </w:trPr>
        <w:tc>
          <w:tcPr>
            <w:tcW w:w="2947" w:type="dxa"/>
            <w:tcBorders>
              <w:top w:val="nil"/>
              <w:left w:val="single" w:sz="4" w:space="0" w:color="auto"/>
              <w:bottom w:val="single" w:sz="4" w:space="0" w:color="auto"/>
              <w:right w:val="single" w:sz="4" w:space="0" w:color="auto"/>
            </w:tcBorders>
            <w:noWrap/>
            <w:vAlign w:val="bottom"/>
            <w:hideMark/>
          </w:tcPr>
          <w:p w14:paraId="72940A41" w14:textId="77777777" w:rsidR="007F4B7C" w:rsidRPr="001F6D3E" w:rsidRDefault="007F4B7C" w:rsidP="007F4B7C">
            <w:pPr>
              <w:spacing w:after="0" w:line="240" w:lineRule="auto"/>
              <w:rPr>
                <w:rFonts w:ascii="Arial" w:eastAsia="Times New Roman" w:hAnsi="Arial" w:cs="Arial"/>
                <w:b/>
                <w:bCs/>
                <w:color w:val="000000"/>
              </w:rPr>
            </w:pPr>
            <w:r w:rsidRPr="001F6D3E">
              <w:rPr>
                <w:rFonts w:ascii="Arial" w:eastAsia="Times New Roman" w:hAnsi="Arial" w:cs="Arial"/>
                <w:b/>
                <w:bCs/>
                <w:color w:val="000000"/>
              </w:rPr>
              <w:t xml:space="preserve">Cash flow margin </w:t>
            </w:r>
          </w:p>
        </w:tc>
        <w:tc>
          <w:tcPr>
            <w:tcW w:w="1260" w:type="dxa"/>
            <w:tcBorders>
              <w:top w:val="nil"/>
              <w:left w:val="nil"/>
              <w:bottom w:val="single" w:sz="4" w:space="0" w:color="auto"/>
              <w:right w:val="single" w:sz="4" w:space="0" w:color="auto"/>
            </w:tcBorders>
            <w:noWrap/>
            <w:vAlign w:val="bottom"/>
            <w:hideMark/>
          </w:tcPr>
          <w:p w14:paraId="345A5FAB"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12%</w:t>
            </w:r>
          </w:p>
        </w:tc>
        <w:tc>
          <w:tcPr>
            <w:tcW w:w="1260" w:type="dxa"/>
            <w:tcBorders>
              <w:top w:val="nil"/>
              <w:left w:val="nil"/>
              <w:bottom w:val="single" w:sz="4" w:space="0" w:color="auto"/>
              <w:right w:val="single" w:sz="4" w:space="0" w:color="auto"/>
            </w:tcBorders>
            <w:noWrap/>
            <w:vAlign w:val="bottom"/>
            <w:hideMark/>
          </w:tcPr>
          <w:p w14:paraId="0A14E6EF"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7%</w:t>
            </w:r>
          </w:p>
        </w:tc>
        <w:tc>
          <w:tcPr>
            <w:tcW w:w="1260" w:type="dxa"/>
            <w:tcBorders>
              <w:top w:val="nil"/>
              <w:left w:val="nil"/>
              <w:bottom w:val="single" w:sz="4" w:space="0" w:color="auto"/>
              <w:right w:val="single" w:sz="4" w:space="0" w:color="auto"/>
            </w:tcBorders>
            <w:noWrap/>
            <w:vAlign w:val="bottom"/>
            <w:hideMark/>
          </w:tcPr>
          <w:p w14:paraId="5EEC210F"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2%</w:t>
            </w:r>
          </w:p>
        </w:tc>
        <w:tc>
          <w:tcPr>
            <w:tcW w:w="1260" w:type="dxa"/>
            <w:tcBorders>
              <w:top w:val="nil"/>
              <w:left w:val="nil"/>
              <w:bottom w:val="single" w:sz="4" w:space="0" w:color="auto"/>
              <w:right w:val="single" w:sz="4" w:space="0" w:color="auto"/>
            </w:tcBorders>
            <w:noWrap/>
            <w:vAlign w:val="bottom"/>
            <w:hideMark/>
          </w:tcPr>
          <w:p w14:paraId="23BD2C2B"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6%</w:t>
            </w:r>
          </w:p>
        </w:tc>
        <w:tc>
          <w:tcPr>
            <w:tcW w:w="1260" w:type="dxa"/>
            <w:tcBorders>
              <w:top w:val="nil"/>
              <w:left w:val="nil"/>
              <w:bottom w:val="single" w:sz="4" w:space="0" w:color="auto"/>
              <w:right w:val="single" w:sz="4" w:space="0" w:color="auto"/>
            </w:tcBorders>
            <w:noWrap/>
            <w:vAlign w:val="bottom"/>
            <w:hideMark/>
          </w:tcPr>
          <w:p w14:paraId="2B5440CB" w14:textId="77777777" w:rsidR="007F4B7C" w:rsidRPr="001F6D3E" w:rsidRDefault="007F4B7C" w:rsidP="003C1B7B">
            <w:pPr>
              <w:spacing w:after="0" w:line="240" w:lineRule="auto"/>
              <w:jc w:val="center"/>
              <w:rPr>
                <w:rFonts w:ascii="Arial" w:eastAsia="Times New Roman" w:hAnsi="Arial" w:cs="Arial"/>
                <w:color w:val="000000"/>
              </w:rPr>
            </w:pPr>
            <w:r w:rsidRPr="001F6D3E">
              <w:rPr>
                <w:rFonts w:ascii="Arial" w:eastAsia="Times New Roman" w:hAnsi="Arial" w:cs="Arial"/>
                <w:color w:val="000000"/>
              </w:rPr>
              <w:t>4%</w:t>
            </w:r>
          </w:p>
        </w:tc>
      </w:tr>
    </w:tbl>
    <w:p w14:paraId="79EBD99B" w14:textId="4805489F" w:rsidR="00537D12" w:rsidRDefault="00537D12" w:rsidP="001D5163">
      <w:pPr>
        <w:pStyle w:val="Heading2"/>
        <w:rPr>
          <w:rFonts w:eastAsia="Times New Roman"/>
        </w:rPr>
      </w:pPr>
    </w:p>
    <w:p w14:paraId="3B838293" w14:textId="2467322A" w:rsidR="003C1B7B" w:rsidRPr="00537D12" w:rsidRDefault="004C51C5" w:rsidP="00537D12">
      <w:pPr>
        <w:pStyle w:val="Heading2"/>
        <w:rPr>
          <w:rFonts w:eastAsia="Times New Roman"/>
        </w:rPr>
      </w:pPr>
      <w:bookmarkStart w:id="64" w:name="_Toc217238047"/>
      <w:r w:rsidRPr="001F6D3E">
        <w:rPr>
          <w:rFonts w:eastAsia="Times New Roman"/>
        </w:rPr>
        <w:t xml:space="preserve">A7 </w:t>
      </w:r>
      <w:r w:rsidR="00B925B7" w:rsidRPr="001F6D3E">
        <w:rPr>
          <w:rFonts w:eastAsia="Times New Roman"/>
        </w:rPr>
        <w:t>Altman Z-Score calculation for GE (2020-2024)</w:t>
      </w:r>
      <w:bookmarkEnd w:id="64"/>
    </w:p>
    <w:p w14:paraId="3F351506" w14:textId="329F109A" w:rsidR="003C1B7B" w:rsidRDefault="00537D12" w:rsidP="005747BE">
      <w:pPr>
        <w:spacing w:before="100" w:beforeAutospacing="1" w:after="100" w:afterAutospacing="1" w:line="360" w:lineRule="auto"/>
        <w:jc w:val="center"/>
        <w:rPr>
          <w:rFonts w:ascii="Arial" w:eastAsia="Times New Roman" w:hAnsi="Arial" w:cs="Arial"/>
          <w:i/>
          <w:color w:val="2E74B5" w:themeColor="accent1" w:themeShade="BF"/>
          <w:sz w:val="14"/>
          <w:szCs w:val="24"/>
        </w:rPr>
      </w:pPr>
      <w:r>
        <w:rPr>
          <w:noProof/>
        </w:rPr>
        <mc:AlternateContent>
          <mc:Choice Requires="wps">
            <w:drawing>
              <wp:anchor distT="0" distB="0" distL="114300" distR="114300" simplePos="0" relativeHeight="251680768" behindDoc="0" locked="0" layoutInCell="1" allowOverlap="1" wp14:anchorId="3BFFC476" wp14:editId="2B1442B8">
                <wp:simplePos x="0" y="0"/>
                <wp:positionH relativeFrom="page">
                  <wp:posOffset>838200</wp:posOffset>
                </wp:positionH>
                <wp:positionV relativeFrom="paragraph">
                  <wp:posOffset>147320</wp:posOffset>
                </wp:positionV>
                <wp:extent cx="2872740" cy="190500"/>
                <wp:effectExtent l="0" t="0" r="3810" b="0"/>
                <wp:wrapNone/>
                <wp:docPr id="225266201" name="Text Box 1"/>
                <wp:cNvGraphicFramePr/>
                <a:graphic xmlns:a="http://schemas.openxmlformats.org/drawingml/2006/main">
                  <a:graphicData uri="http://schemas.microsoft.com/office/word/2010/wordprocessingShape">
                    <wps:wsp>
                      <wps:cNvSpPr txBox="1"/>
                      <wps:spPr>
                        <a:xfrm>
                          <a:off x="0" y="0"/>
                          <a:ext cx="2872740" cy="190500"/>
                        </a:xfrm>
                        <a:prstGeom prst="rect">
                          <a:avLst/>
                        </a:prstGeom>
                        <a:solidFill>
                          <a:prstClr val="white"/>
                        </a:solidFill>
                        <a:ln>
                          <a:noFill/>
                        </a:ln>
                      </wps:spPr>
                      <wps:txbx>
                        <w:txbxContent>
                          <w:p w14:paraId="07D61FE4" w14:textId="21BFE74B" w:rsidR="00D56935" w:rsidRPr="007D3E95" w:rsidRDefault="00D56935" w:rsidP="00D56935">
                            <w:pPr>
                              <w:pStyle w:val="Caption"/>
                              <w:rPr>
                                <w:rFonts w:ascii="Arial" w:hAnsi="Arial"/>
                                <w:b/>
                                <w:noProof/>
                                <w:color w:val="auto"/>
                                <w:sz w:val="28"/>
                                <w:szCs w:val="26"/>
                              </w:rPr>
                            </w:pPr>
                            <w:r>
                              <w:t xml:space="preserve">Table </w:t>
                            </w:r>
                            <w:r w:rsidR="002615F5">
                              <w:fldChar w:fldCharType="begin"/>
                            </w:r>
                            <w:r w:rsidR="002615F5">
                              <w:instrText xml:space="preserve"> SEQ Table \* ARABIC </w:instrText>
                            </w:r>
                            <w:r w:rsidR="002615F5">
                              <w:fldChar w:fldCharType="separate"/>
                            </w:r>
                            <w:r w:rsidR="005F7E78">
                              <w:rPr>
                                <w:noProof/>
                              </w:rPr>
                              <w:t>7</w:t>
                            </w:r>
                            <w:r w:rsidR="002615F5">
                              <w:rPr>
                                <w:noProof/>
                              </w:rPr>
                              <w:fldChar w:fldCharType="end"/>
                            </w:r>
                            <w:r>
                              <w:t xml:space="preserve">: </w:t>
                            </w:r>
                            <w:r w:rsidRPr="002C3B2C">
                              <w:t>Altman Z-Score calculation for assess risk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FC476" id="_x0000_s1028" type="#_x0000_t202" style="position:absolute;left:0;text-align:left;margin-left:66pt;margin-top:11.6pt;width:226.2pt;height:15pt;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" stroked="f">
                <v:textbox inset="0,0,0,0">
                  <w:txbxContent>
                    <w:p w14:paraId="07D61FE4" w14:textId="21BFE74B" w:rsidR="00D56935" w:rsidRPr="007D3E95" w:rsidRDefault="00D56935" w:rsidP="00D56935">
                      <w:pPr>
                        <w:pStyle w:val="Caption"/>
                        <w:rPr>
                          <w:rFonts w:ascii="Arial" w:hAnsi="Arial"/>
                          <w:b/>
                          <w:noProof/>
                          <w:color w:val="auto"/>
                          <w:sz w:val="28"/>
                          <w:szCs w:val="26"/>
                        </w:rPr>
                      </w:pPr>
                      <w:r>
                        <w:t xml:space="preserve">Table </w:t>
                      </w:r>
                      <w:r w:rsidR="002615F5">
                        <w:fldChar w:fldCharType="begin"/>
                      </w:r>
                      <w:r w:rsidR="002615F5">
                        <w:instrText xml:space="preserve"> SEQ Table \* ARABIC </w:instrText>
                      </w:r>
                      <w:r w:rsidR="002615F5">
                        <w:fldChar w:fldCharType="separate"/>
                      </w:r>
                      <w:r w:rsidR="005F7E78">
                        <w:rPr>
                          <w:noProof/>
                        </w:rPr>
                        <w:t>7</w:t>
                      </w:r>
                      <w:r w:rsidR="002615F5">
                        <w:rPr>
                          <w:noProof/>
                        </w:rPr>
                        <w:fldChar w:fldCharType="end"/>
                      </w:r>
                      <w:r>
                        <w:t xml:space="preserve">: </w:t>
                      </w:r>
                      <w:r w:rsidRPr="002C3B2C">
                        <w:t>Altman Z-Score calculation for assess risk</w:t>
                      </w:r>
                    </w:p>
                  </w:txbxContent>
                </v:textbox>
                <w10:wrap anchorx="page"/>
              </v:shape>
            </w:pict>
          </mc:Fallback>
        </mc:AlternateContent>
      </w:r>
      <w:r w:rsidRPr="003C1B7B">
        <w:rPr>
          <w:noProof/>
        </w:rPr>
        <w:drawing>
          <wp:anchor distT="0" distB="0" distL="114300" distR="114300" simplePos="0" relativeHeight="251667456" behindDoc="0" locked="0" layoutInCell="1" allowOverlap="1" wp14:anchorId="69F92D07" wp14:editId="0846A209">
            <wp:simplePos x="0" y="0"/>
            <wp:positionH relativeFrom="column">
              <wp:posOffset>-99060</wp:posOffset>
            </wp:positionH>
            <wp:positionV relativeFrom="paragraph">
              <wp:posOffset>429895</wp:posOffset>
            </wp:positionV>
            <wp:extent cx="5768190" cy="3139440"/>
            <wp:effectExtent l="0" t="0" r="4445" b="381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8190" cy="3139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7455ED" w14:textId="77777777" w:rsidR="003C1B7B" w:rsidRDefault="003C1B7B" w:rsidP="005747BE">
      <w:pPr>
        <w:spacing w:before="100" w:beforeAutospacing="1" w:after="100" w:afterAutospacing="1" w:line="360" w:lineRule="auto"/>
        <w:jc w:val="center"/>
        <w:rPr>
          <w:rFonts w:ascii="Arial" w:eastAsia="Times New Roman" w:hAnsi="Arial" w:cs="Arial"/>
          <w:i/>
          <w:color w:val="2E74B5" w:themeColor="accent1" w:themeShade="BF"/>
          <w:sz w:val="14"/>
          <w:szCs w:val="24"/>
        </w:rPr>
      </w:pPr>
    </w:p>
    <w:p w14:paraId="741161A0" w14:textId="77777777" w:rsidR="003C1B7B" w:rsidRDefault="003C1B7B" w:rsidP="005747BE">
      <w:pPr>
        <w:spacing w:before="100" w:beforeAutospacing="1" w:after="100" w:afterAutospacing="1" w:line="360" w:lineRule="auto"/>
        <w:jc w:val="center"/>
        <w:rPr>
          <w:rFonts w:ascii="Arial" w:eastAsia="Times New Roman" w:hAnsi="Arial" w:cs="Arial"/>
          <w:i/>
          <w:color w:val="2E74B5" w:themeColor="accent1" w:themeShade="BF"/>
          <w:sz w:val="14"/>
          <w:szCs w:val="24"/>
        </w:rPr>
      </w:pPr>
    </w:p>
    <w:p w14:paraId="59DB3321" w14:textId="77777777" w:rsidR="003C1B7B" w:rsidRDefault="003C1B7B" w:rsidP="005747BE">
      <w:pPr>
        <w:spacing w:before="100" w:beforeAutospacing="1" w:after="100" w:afterAutospacing="1" w:line="360" w:lineRule="auto"/>
        <w:jc w:val="center"/>
        <w:rPr>
          <w:rFonts w:ascii="Arial" w:eastAsia="Times New Roman" w:hAnsi="Arial" w:cs="Arial"/>
          <w:i/>
          <w:color w:val="2E74B5" w:themeColor="accent1" w:themeShade="BF"/>
          <w:sz w:val="14"/>
          <w:szCs w:val="24"/>
        </w:rPr>
      </w:pPr>
    </w:p>
    <w:p w14:paraId="49456A81" w14:textId="77777777" w:rsidR="003C1B7B" w:rsidRDefault="003C1B7B" w:rsidP="005747BE">
      <w:pPr>
        <w:spacing w:before="100" w:beforeAutospacing="1" w:after="100" w:afterAutospacing="1" w:line="360" w:lineRule="auto"/>
        <w:jc w:val="center"/>
        <w:rPr>
          <w:rFonts w:ascii="Arial" w:eastAsia="Times New Roman" w:hAnsi="Arial" w:cs="Arial"/>
          <w:i/>
          <w:color w:val="2E74B5" w:themeColor="accent1" w:themeShade="BF"/>
          <w:sz w:val="14"/>
          <w:szCs w:val="24"/>
        </w:rPr>
      </w:pPr>
    </w:p>
    <w:p w14:paraId="0713B7D3" w14:textId="77777777" w:rsidR="003C1B7B" w:rsidRDefault="003C1B7B" w:rsidP="005747BE">
      <w:pPr>
        <w:spacing w:before="100" w:beforeAutospacing="1" w:after="100" w:afterAutospacing="1" w:line="360" w:lineRule="auto"/>
        <w:jc w:val="center"/>
        <w:rPr>
          <w:rFonts w:ascii="Arial" w:eastAsia="Times New Roman" w:hAnsi="Arial" w:cs="Arial"/>
          <w:i/>
          <w:color w:val="2E74B5" w:themeColor="accent1" w:themeShade="BF"/>
          <w:sz w:val="14"/>
          <w:szCs w:val="24"/>
        </w:rPr>
      </w:pPr>
    </w:p>
    <w:p w14:paraId="1A7FCEC7" w14:textId="77777777" w:rsidR="003C1B7B" w:rsidRDefault="003C1B7B" w:rsidP="005747BE">
      <w:pPr>
        <w:spacing w:before="100" w:beforeAutospacing="1" w:after="100" w:afterAutospacing="1" w:line="360" w:lineRule="auto"/>
        <w:jc w:val="center"/>
        <w:rPr>
          <w:rFonts w:ascii="Arial" w:eastAsia="Times New Roman" w:hAnsi="Arial" w:cs="Arial"/>
          <w:i/>
          <w:color w:val="2E74B5" w:themeColor="accent1" w:themeShade="BF"/>
          <w:sz w:val="14"/>
          <w:szCs w:val="24"/>
        </w:rPr>
      </w:pPr>
    </w:p>
    <w:p w14:paraId="342C79D1" w14:textId="77777777" w:rsidR="003C1B7B" w:rsidRDefault="003C1B7B" w:rsidP="005747BE">
      <w:pPr>
        <w:spacing w:before="100" w:beforeAutospacing="1" w:after="100" w:afterAutospacing="1" w:line="360" w:lineRule="auto"/>
        <w:jc w:val="center"/>
        <w:rPr>
          <w:rFonts w:ascii="Arial" w:eastAsia="Times New Roman" w:hAnsi="Arial" w:cs="Arial"/>
          <w:i/>
          <w:color w:val="2E74B5" w:themeColor="accent1" w:themeShade="BF"/>
          <w:sz w:val="14"/>
          <w:szCs w:val="24"/>
        </w:rPr>
      </w:pPr>
    </w:p>
    <w:p w14:paraId="294A1261" w14:textId="77777777" w:rsidR="003C1B7B" w:rsidRDefault="003C1B7B" w:rsidP="005747BE">
      <w:pPr>
        <w:spacing w:before="100" w:beforeAutospacing="1" w:after="100" w:afterAutospacing="1" w:line="360" w:lineRule="auto"/>
        <w:jc w:val="center"/>
        <w:rPr>
          <w:rFonts w:ascii="Arial" w:eastAsia="Times New Roman" w:hAnsi="Arial" w:cs="Arial"/>
          <w:i/>
          <w:color w:val="2E74B5" w:themeColor="accent1" w:themeShade="BF"/>
          <w:sz w:val="14"/>
          <w:szCs w:val="24"/>
        </w:rPr>
      </w:pPr>
    </w:p>
    <w:p w14:paraId="19AFE9B5" w14:textId="7D942E43" w:rsidR="00B925B7" w:rsidRPr="001F6D3E" w:rsidRDefault="00B925B7" w:rsidP="005747BE">
      <w:pPr>
        <w:spacing w:before="100" w:beforeAutospacing="1" w:after="100" w:afterAutospacing="1" w:line="360" w:lineRule="auto"/>
        <w:jc w:val="center"/>
        <w:rPr>
          <w:rFonts w:ascii="Arial" w:eastAsia="Times New Roman" w:hAnsi="Arial" w:cs="Arial"/>
          <w:i/>
          <w:color w:val="2E74B5" w:themeColor="accent1" w:themeShade="BF"/>
          <w:sz w:val="14"/>
          <w:szCs w:val="24"/>
        </w:rPr>
      </w:pPr>
    </w:p>
    <w:p w14:paraId="0CA58FC3" w14:textId="77777777" w:rsidR="00517F75" w:rsidRPr="001612E6" w:rsidRDefault="007D7B17" w:rsidP="001D5163">
      <w:pPr>
        <w:pStyle w:val="Heading1"/>
      </w:pPr>
      <w:r w:rsidRPr="001F6D3E">
        <w:br w:type="page"/>
      </w:r>
      <w:bookmarkStart w:id="65" w:name="_Toc216755995"/>
      <w:bookmarkStart w:id="66" w:name="_Toc217238048"/>
      <w:r w:rsidR="00517F75" w:rsidRPr="001612E6">
        <w:lastRenderedPageBreak/>
        <w:t>Appendix B: Working Capital Calculations</w:t>
      </w:r>
      <w:bookmarkEnd w:id="65"/>
      <w:bookmarkEnd w:id="66"/>
    </w:p>
    <w:p w14:paraId="4688D87F" w14:textId="77777777" w:rsidR="007D7B17" w:rsidRPr="001F6D3E" w:rsidRDefault="007D7B17" w:rsidP="00AD4654">
      <w:pPr>
        <w:rPr>
          <w:rFonts w:ascii="Arial" w:hAnsi="Arial" w:cs="Arial"/>
        </w:rPr>
      </w:pPr>
    </w:p>
    <w:p w14:paraId="0AE663DF" w14:textId="77777777" w:rsidR="00517F75" w:rsidRPr="001612E6" w:rsidRDefault="00517F75" w:rsidP="001D5163">
      <w:pPr>
        <w:pStyle w:val="Heading2"/>
      </w:pPr>
      <w:bookmarkStart w:id="67" w:name="_Toc216755996"/>
      <w:bookmarkStart w:id="68" w:name="_Toc217238049"/>
      <w:r w:rsidRPr="001612E6">
        <w:t>Table B1: Cash Operating Cycle Components (Days)</w:t>
      </w:r>
      <w:bookmarkEnd w:id="67"/>
      <w:bookmarkEnd w:id="68"/>
    </w:p>
    <w:p w14:paraId="43920C6C" w14:textId="77777777" w:rsidR="00517F75" w:rsidRPr="001F6D3E" w:rsidRDefault="00517F75" w:rsidP="00517F75">
      <w:pPr>
        <w:rPr>
          <w:rFonts w:ascii="Arial" w:hAnsi="Arial" w:cs="Arial"/>
        </w:rPr>
      </w:pPr>
      <w:r w:rsidRPr="001F6D3E">
        <w:rPr>
          <w:rFonts w:ascii="Arial" w:hAnsi="Arial" w:cs="Arial"/>
          <w:i/>
        </w:rPr>
        <w:t xml:space="preserve">Receivables days </w:t>
      </w:r>
      <w:r w:rsidRPr="001F6D3E">
        <w:rPr>
          <w:rFonts w:ascii="Arial" w:hAnsi="Arial" w:cs="Arial"/>
        </w:rPr>
        <w:t xml:space="preserve">= </w:t>
      </w:r>
      <m:oMath>
        <m:f>
          <m:fPr>
            <m:ctrlPr>
              <w:rPr>
                <w:rFonts w:ascii="Cambria Math" w:hAnsi="Cambria Math" w:cs="Arial"/>
                <w:bCs/>
                <w:i/>
                <w:iCs/>
              </w:rPr>
            </m:ctrlPr>
          </m:fPr>
          <m:num>
            <m:r>
              <w:rPr>
                <w:rFonts w:ascii="Cambria Math" w:hAnsi="Cambria Math" w:cs="Arial"/>
                <w:lang w:val="en-GB"/>
              </w:rPr>
              <m:t>Account Receivable</m:t>
            </m:r>
          </m:num>
          <m:den>
            <m:r>
              <w:rPr>
                <w:rFonts w:ascii="Cambria Math" w:hAnsi="Cambria Math" w:cs="Arial"/>
                <w:lang w:val="en-GB"/>
              </w:rPr>
              <m:t>Sales/365</m:t>
            </m:r>
          </m:den>
        </m:f>
      </m:oMath>
    </w:p>
    <w:p w14:paraId="54F35DBB" w14:textId="77777777" w:rsidR="00517F75" w:rsidRPr="001F6D3E" w:rsidRDefault="00517F75" w:rsidP="00517F75">
      <w:pPr>
        <w:rPr>
          <w:rFonts w:ascii="Arial" w:hAnsi="Arial" w:cs="Arial"/>
        </w:rPr>
      </w:pPr>
      <w:r w:rsidRPr="001F6D3E">
        <w:rPr>
          <w:rFonts w:ascii="Arial" w:hAnsi="Arial" w:cs="Arial"/>
          <w:i/>
        </w:rPr>
        <w:t>Inventory days</w:t>
      </w:r>
      <w:r w:rsidRPr="001F6D3E">
        <w:rPr>
          <w:rFonts w:ascii="Arial" w:hAnsi="Arial" w:cs="Arial"/>
        </w:rPr>
        <w:t xml:space="preserve"> = </w:t>
      </w:r>
      <m:oMath>
        <m:f>
          <m:fPr>
            <m:ctrlPr>
              <w:rPr>
                <w:rFonts w:ascii="Cambria Math" w:hAnsi="Cambria Math" w:cs="Arial"/>
                <w:i/>
                <w:iCs/>
              </w:rPr>
            </m:ctrlPr>
          </m:fPr>
          <m:num>
            <m:r>
              <w:rPr>
                <w:rFonts w:ascii="Cambria Math" w:hAnsi="Cambria Math" w:cs="Arial"/>
                <w:lang w:val="en-GB"/>
              </w:rPr>
              <m:t>Inventory</m:t>
            </m:r>
          </m:num>
          <m:den>
            <m:r>
              <w:rPr>
                <w:rFonts w:ascii="Cambria Math" w:hAnsi="Cambria Math" w:cs="Arial"/>
                <w:lang w:val="en-GB"/>
              </w:rPr>
              <m:t>COGS/365</m:t>
            </m:r>
          </m:den>
        </m:f>
      </m:oMath>
    </w:p>
    <w:p w14:paraId="175FA840" w14:textId="77777777" w:rsidR="00517F75" w:rsidRPr="001F6D3E" w:rsidRDefault="008A328C" w:rsidP="00517F75">
      <w:pPr>
        <w:rPr>
          <w:rFonts w:ascii="Arial" w:hAnsi="Arial" w:cs="Arial"/>
        </w:rPr>
      </w:pPr>
      <w:r w:rsidRPr="001F6D3E">
        <w:rPr>
          <w:rFonts w:ascii="Arial" w:hAnsi="Arial" w:cs="Arial"/>
          <w:i/>
        </w:rPr>
        <w:t>Payables days</w:t>
      </w:r>
      <w:r w:rsidRPr="001F6D3E">
        <w:rPr>
          <w:rFonts w:ascii="Arial" w:hAnsi="Arial" w:cs="Arial"/>
        </w:rPr>
        <w:t xml:space="preserve"> = </w:t>
      </w:r>
      <m:oMath>
        <m:f>
          <m:fPr>
            <m:ctrlPr>
              <w:rPr>
                <w:rFonts w:ascii="Cambria Math" w:hAnsi="Cambria Math" w:cs="Arial"/>
                <w:i/>
                <w:iCs/>
              </w:rPr>
            </m:ctrlPr>
          </m:fPr>
          <m:num>
            <m:r>
              <w:rPr>
                <w:rFonts w:ascii="Cambria Math" w:hAnsi="Cambria Math" w:cs="Arial"/>
                <w:lang w:val="en-GB"/>
              </w:rPr>
              <m:t>Account Payable</m:t>
            </m:r>
          </m:num>
          <m:den>
            <m:r>
              <w:rPr>
                <w:rFonts w:ascii="Cambria Math" w:hAnsi="Cambria Math" w:cs="Arial"/>
                <w:lang w:val="en-GB"/>
              </w:rPr>
              <m:t>COGS/365</m:t>
            </m:r>
          </m:den>
        </m:f>
      </m:oMath>
    </w:p>
    <w:p w14:paraId="29754BFD" w14:textId="14A2E0E2" w:rsidR="00D56935" w:rsidRPr="001612E6" w:rsidRDefault="00517F75" w:rsidP="00517F75">
      <w:pPr>
        <w:rPr>
          <w:rFonts w:ascii="Arial" w:hAnsi="Arial" w:cs="Arial"/>
          <w:i/>
          <w:sz w:val="24"/>
        </w:rPr>
      </w:pPr>
      <w:r w:rsidRPr="001612E6">
        <w:rPr>
          <w:rFonts w:ascii="Arial" w:hAnsi="Arial" w:cs="Arial"/>
          <w:i/>
          <w:sz w:val="24"/>
        </w:rPr>
        <w:t>Cash operating cycle = Receivables days + Inventory days − Payables days</w:t>
      </w:r>
    </w:p>
    <w:p w14:paraId="530A4EBD" w14:textId="651AB8CB" w:rsidR="00D56935" w:rsidRDefault="00D56935" w:rsidP="00D56935">
      <w:pPr>
        <w:pStyle w:val="Caption"/>
        <w:keepNext/>
      </w:pPr>
      <w:r>
        <w:t xml:space="preserve">Table </w:t>
      </w:r>
      <w:r w:rsidR="002615F5">
        <w:fldChar w:fldCharType="begin"/>
      </w:r>
      <w:r w:rsidR="002615F5">
        <w:instrText xml:space="preserve"> SEQ Table \* ARABIC </w:instrText>
      </w:r>
      <w:r w:rsidR="002615F5">
        <w:fldChar w:fldCharType="separate"/>
      </w:r>
      <w:r w:rsidR="005F7E78">
        <w:rPr>
          <w:noProof/>
        </w:rPr>
        <w:t>8</w:t>
      </w:r>
      <w:r w:rsidR="002615F5">
        <w:rPr>
          <w:noProof/>
        </w:rPr>
        <w:fldChar w:fldCharType="end"/>
      </w:r>
      <w:r>
        <w:t xml:space="preserve">: </w:t>
      </w:r>
      <w:r w:rsidRPr="003E12A4">
        <w:t>Cash Operating Cycle Ratio</w:t>
      </w:r>
    </w:p>
    <w:tbl>
      <w:tblPr>
        <w:tblW w:w="8330" w:type="dxa"/>
        <w:tblLook w:val="04A0" w:firstRow="1" w:lastRow="0" w:firstColumn="1" w:lastColumn="0" w:noHBand="0" w:noVBand="1"/>
      </w:tblPr>
      <w:tblGrid>
        <w:gridCol w:w="2450"/>
        <w:gridCol w:w="1176"/>
        <w:gridCol w:w="1176"/>
        <w:gridCol w:w="1176"/>
        <w:gridCol w:w="1176"/>
        <w:gridCol w:w="1176"/>
      </w:tblGrid>
      <w:tr w:rsidR="001612E6" w:rsidRPr="001612E6" w14:paraId="53E6B05D" w14:textId="77777777" w:rsidTr="001612E6">
        <w:trPr>
          <w:trHeight w:val="301"/>
        </w:trPr>
        <w:tc>
          <w:tcPr>
            <w:tcW w:w="2450" w:type="dxa"/>
            <w:tcBorders>
              <w:top w:val="nil"/>
              <w:left w:val="nil"/>
              <w:bottom w:val="nil"/>
              <w:right w:val="nil"/>
            </w:tcBorders>
            <w:noWrap/>
            <w:vAlign w:val="bottom"/>
            <w:hideMark/>
          </w:tcPr>
          <w:p w14:paraId="1557591A" w14:textId="77777777" w:rsidR="001612E6" w:rsidRPr="001612E6" w:rsidRDefault="001612E6" w:rsidP="001612E6">
            <w:pPr>
              <w:spacing w:after="0" w:line="240" w:lineRule="auto"/>
              <w:rPr>
                <w:rFonts w:ascii="Times New Roman" w:eastAsia="Times New Roman" w:hAnsi="Times New Roman" w:cs="Times New Roman"/>
                <w:sz w:val="24"/>
                <w:szCs w:val="24"/>
              </w:rPr>
            </w:pPr>
          </w:p>
        </w:tc>
        <w:tc>
          <w:tcPr>
            <w:tcW w:w="1176" w:type="dxa"/>
            <w:tcBorders>
              <w:top w:val="nil"/>
              <w:left w:val="nil"/>
              <w:bottom w:val="nil"/>
              <w:right w:val="nil"/>
            </w:tcBorders>
            <w:noWrap/>
            <w:vAlign w:val="bottom"/>
            <w:hideMark/>
          </w:tcPr>
          <w:p w14:paraId="5302060C"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2020</w:t>
            </w:r>
          </w:p>
        </w:tc>
        <w:tc>
          <w:tcPr>
            <w:tcW w:w="1176" w:type="dxa"/>
            <w:tcBorders>
              <w:top w:val="nil"/>
              <w:left w:val="nil"/>
              <w:bottom w:val="nil"/>
              <w:right w:val="nil"/>
            </w:tcBorders>
            <w:noWrap/>
            <w:vAlign w:val="bottom"/>
            <w:hideMark/>
          </w:tcPr>
          <w:p w14:paraId="0FAEDEC4"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2021</w:t>
            </w:r>
          </w:p>
        </w:tc>
        <w:tc>
          <w:tcPr>
            <w:tcW w:w="1176" w:type="dxa"/>
            <w:tcBorders>
              <w:top w:val="nil"/>
              <w:left w:val="nil"/>
              <w:bottom w:val="nil"/>
              <w:right w:val="nil"/>
            </w:tcBorders>
            <w:noWrap/>
            <w:vAlign w:val="bottom"/>
            <w:hideMark/>
          </w:tcPr>
          <w:p w14:paraId="42A4C7F7"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2022</w:t>
            </w:r>
          </w:p>
        </w:tc>
        <w:tc>
          <w:tcPr>
            <w:tcW w:w="1176" w:type="dxa"/>
            <w:tcBorders>
              <w:top w:val="nil"/>
              <w:left w:val="nil"/>
              <w:bottom w:val="nil"/>
              <w:right w:val="nil"/>
            </w:tcBorders>
            <w:noWrap/>
            <w:vAlign w:val="bottom"/>
            <w:hideMark/>
          </w:tcPr>
          <w:p w14:paraId="46982280"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2023</w:t>
            </w:r>
          </w:p>
        </w:tc>
        <w:tc>
          <w:tcPr>
            <w:tcW w:w="1176" w:type="dxa"/>
            <w:tcBorders>
              <w:top w:val="nil"/>
              <w:left w:val="nil"/>
              <w:bottom w:val="nil"/>
              <w:right w:val="nil"/>
            </w:tcBorders>
            <w:noWrap/>
            <w:vAlign w:val="bottom"/>
            <w:hideMark/>
          </w:tcPr>
          <w:p w14:paraId="5570652F"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2024</w:t>
            </w:r>
          </w:p>
        </w:tc>
      </w:tr>
      <w:tr w:rsidR="001612E6" w:rsidRPr="001612E6" w14:paraId="570771A9" w14:textId="77777777" w:rsidTr="001612E6">
        <w:trPr>
          <w:trHeight w:val="301"/>
        </w:trPr>
        <w:tc>
          <w:tcPr>
            <w:tcW w:w="2450" w:type="dxa"/>
            <w:tcBorders>
              <w:top w:val="single" w:sz="4" w:space="0" w:color="auto"/>
              <w:left w:val="single" w:sz="4" w:space="0" w:color="auto"/>
              <w:bottom w:val="single" w:sz="4" w:space="0" w:color="auto"/>
              <w:right w:val="single" w:sz="4" w:space="0" w:color="auto"/>
            </w:tcBorders>
            <w:noWrap/>
            <w:vAlign w:val="bottom"/>
            <w:hideMark/>
          </w:tcPr>
          <w:p w14:paraId="5408B607" w14:textId="77777777" w:rsidR="001612E6" w:rsidRPr="001612E6" w:rsidRDefault="001612E6" w:rsidP="001612E6">
            <w:pPr>
              <w:spacing w:after="0" w:line="240" w:lineRule="auto"/>
              <w:rPr>
                <w:rFonts w:ascii="Calibri" w:eastAsia="Times New Roman" w:hAnsi="Calibri" w:cs="Calibri"/>
                <w:color w:val="000000"/>
              </w:rPr>
            </w:pPr>
            <w:r w:rsidRPr="001612E6">
              <w:rPr>
                <w:rFonts w:ascii="Calibri" w:eastAsia="Times New Roman" w:hAnsi="Calibri" w:cs="Calibri"/>
                <w:color w:val="000000"/>
              </w:rPr>
              <w:t>Account Receivable</w:t>
            </w:r>
          </w:p>
        </w:tc>
        <w:tc>
          <w:tcPr>
            <w:tcW w:w="1176" w:type="dxa"/>
            <w:tcBorders>
              <w:top w:val="single" w:sz="4" w:space="0" w:color="auto"/>
              <w:left w:val="nil"/>
              <w:bottom w:val="single" w:sz="4" w:space="0" w:color="auto"/>
              <w:right w:val="single" w:sz="4" w:space="0" w:color="auto"/>
            </w:tcBorders>
            <w:noWrap/>
            <w:vAlign w:val="bottom"/>
            <w:hideMark/>
          </w:tcPr>
          <w:p w14:paraId="6D3C0701"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114,182</w:t>
            </w:r>
          </w:p>
        </w:tc>
        <w:tc>
          <w:tcPr>
            <w:tcW w:w="1176" w:type="dxa"/>
            <w:tcBorders>
              <w:top w:val="single" w:sz="4" w:space="0" w:color="auto"/>
              <w:left w:val="nil"/>
              <w:bottom w:val="single" w:sz="4" w:space="0" w:color="auto"/>
              <w:right w:val="single" w:sz="4" w:space="0" w:color="auto"/>
            </w:tcBorders>
            <w:noWrap/>
            <w:vAlign w:val="bottom"/>
            <w:hideMark/>
          </w:tcPr>
          <w:p w14:paraId="32E590C0"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112,596</w:t>
            </w:r>
          </w:p>
        </w:tc>
        <w:tc>
          <w:tcPr>
            <w:tcW w:w="1176" w:type="dxa"/>
            <w:tcBorders>
              <w:top w:val="single" w:sz="4" w:space="0" w:color="auto"/>
              <w:left w:val="nil"/>
              <w:bottom w:val="single" w:sz="4" w:space="0" w:color="auto"/>
              <w:right w:val="single" w:sz="4" w:space="0" w:color="auto"/>
            </w:tcBorders>
            <w:noWrap/>
            <w:vAlign w:val="bottom"/>
            <w:hideMark/>
          </w:tcPr>
          <w:p w14:paraId="2BEED212"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112,346</w:t>
            </w:r>
          </w:p>
        </w:tc>
        <w:tc>
          <w:tcPr>
            <w:tcW w:w="1176" w:type="dxa"/>
            <w:tcBorders>
              <w:top w:val="single" w:sz="4" w:space="0" w:color="auto"/>
              <w:left w:val="nil"/>
              <w:bottom w:val="single" w:sz="4" w:space="0" w:color="auto"/>
              <w:right w:val="single" w:sz="4" w:space="0" w:color="auto"/>
            </w:tcBorders>
            <w:noWrap/>
            <w:vAlign w:val="bottom"/>
            <w:hideMark/>
          </w:tcPr>
          <w:p w14:paraId="03FDB87C"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129,215</w:t>
            </w:r>
          </w:p>
        </w:tc>
        <w:tc>
          <w:tcPr>
            <w:tcW w:w="1176" w:type="dxa"/>
            <w:tcBorders>
              <w:top w:val="single" w:sz="4" w:space="0" w:color="auto"/>
              <w:left w:val="nil"/>
              <w:bottom w:val="single" w:sz="4" w:space="0" w:color="auto"/>
              <w:right w:val="single" w:sz="4" w:space="0" w:color="auto"/>
            </w:tcBorders>
            <w:noWrap/>
            <w:vAlign w:val="bottom"/>
            <w:hideMark/>
          </w:tcPr>
          <w:p w14:paraId="379B2C83"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129,433</w:t>
            </w:r>
          </w:p>
        </w:tc>
      </w:tr>
      <w:tr w:rsidR="001612E6" w:rsidRPr="001612E6" w14:paraId="693DBC21" w14:textId="77777777" w:rsidTr="001612E6">
        <w:trPr>
          <w:trHeight w:val="301"/>
        </w:trPr>
        <w:tc>
          <w:tcPr>
            <w:tcW w:w="2450" w:type="dxa"/>
            <w:tcBorders>
              <w:top w:val="nil"/>
              <w:left w:val="single" w:sz="4" w:space="0" w:color="auto"/>
              <w:bottom w:val="single" w:sz="4" w:space="0" w:color="auto"/>
              <w:right w:val="single" w:sz="4" w:space="0" w:color="auto"/>
            </w:tcBorders>
            <w:noWrap/>
            <w:vAlign w:val="bottom"/>
            <w:hideMark/>
          </w:tcPr>
          <w:p w14:paraId="53A03297" w14:textId="77777777" w:rsidR="001612E6" w:rsidRPr="001612E6" w:rsidRDefault="001612E6" w:rsidP="001612E6">
            <w:pPr>
              <w:spacing w:after="0" w:line="240" w:lineRule="auto"/>
              <w:rPr>
                <w:rFonts w:ascii="Calibri" w:eastAsia="Times New Roman" w:hAnsi="Calibri" w:cs="Calibri"/>
                <w:color w:val="000000"/>
              </w:rPr>
            </w:pPr>
            <w:r w:rsidRPr="001612E6">
              <w:rPr>
                <w:rFonts w:ascii="Calibri" w:eastAsia="Times New Roman" w:hAnsi="Calibri" w:cs="Calibri"/>
                <w:color w:val="000000"/>
              </w:rPr>
              <w:t>Account Payable</w:t>
            </w:r>
          </w:p>
        </w:tc>
        <w:tc>
          <w:tcPr>
            <w:tcW w:w="1176" w:type="dxa"/>
            <w:tcBorders>
              <w:top w:val="nil"/>
              <w:left w:val="nil"/>
              <w:bottom w:val="single" w:sz="4" w:space="0" w:color="auto"/>
              <w:right w:val="single" w:sz="4" w:space="0" w:color="auto"/>
            </w:tcBorders>
            <w:noWrap/>
            <w:vAlign w:val="bottom"/>
            <w:hideMark/>
          </w:tcPr>
          <w:p w14:paraId="43C1AEA9"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83,229</w:t>
            </w:r>
          </w:p>
        </w:tc>
        <w:tc>
          <w:tcPr>
            <w:tcW w:w="1176" w:type="dxa"/>
            <w:tcBorders>
              <w:top w:val="nil"/>
              <w:left w:val="nil"/>
              <w:bottom w:val="single" w:sz="4" w:space="0" w:color="auto"/>
              <w:right w:val="single" w:sz="4" w:space="0" w:color="auto"/>
            </w:tcBorders>
            <w:noWrap/>
            <w:vAlign w:val="bottom"/>
            <w:hideMark/>
          </w:tcPr>
          <w:p w14:paraId="78566122"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92,707</w:t>
            </w:r>
          </w:p>
        </w:tc>
        <w:tc>
          <w:tcPr>
            <w:tcW w:w="1176" w:type="dxa"/>
            <w:tcBorders>
              <w:top w:val="nil"/>
              <w:left w:val="nil"/>
              <w:bottom w:val="single" w:sz="4" w:space="0" w:color="auto"/>
              <w:right w:val="single" w:sz="4" w:space="0" w:color="auto"/>
            </w:tcBorders>
            <w:noWrap/>
            <w:vAlign w:val="bottom"/>
            <w:hideMark/>
          </w:tcPr>
          <w:p w14:paraId="24D94A18"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71,373</w:t>
            </w:r>
          </w:p>
        </w:tc>
        <w:tc>
          <w:tcPr>
            <w:tcW w:w="1176" w:type="dxa"/>
            <w:tcBorders>
              <w:top w:val="nil"/>
              <w:left w:val="nil"/>
              <w:bottom w:val="single" w:sz="4" w:space="0" w:color="auto"/>
              <w:right w:val="single" w:sz="4" w:space="0" w:color="auto"/>
            </w:tcBorders>
            <w:noWrap/>
            <w:vAlign w:val="bottom"/>
            <w:hideMark/>
          </w:tcPr>
          <w:p w14:paraId="3EFC2E32"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57,033</w:t>
            </w:r>
          </w:p>
        </w:tc>
        <w:tc>
          <w:tcPr>
            <w:tcW w:w="1176" w:type="dxa"/>
            <w:tcBorders>
              <w:top w:val="nil"/>
              <w:left w:val="nil"/>
              <w:bottom w:val="single" w:sz="4" w:space="0" w:color="auto"/>
              <w:right w:val="single" w:sz="4" w:space="0" w:color="auto"/>
            </w:tcBorders>
            <w:noWrap/>
            <w:vAlign w:val="bottom"/>
            <w:hideMark/>
          </w:tcPr>
          <w:p w14:paraId="6B8505D5"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72,031</w:t>
            </w:r>
          </w:p>
        </w:tc>
      </w:tr>
      <w:tr w:rsidR="001612E6" w:rsidRPr="001612E6" w14:paraId="5D6400AC" w14:textId="77777777" w:rsidTr="001612E6">
        <w:trPr>
          <w:trHeight w:val="301"/>
        </w:trPr>
        <w:tc>
          <w:tcPr>
            <w:tcW w:w="2450" w:type="dxa"/>
            <w:tcBorders>
              <w:top w:val="nil"/>
              <w:left w:val="single" w:sz="4" w:space="0" w:color="auto"/>
              <w:bottom w:val="single" w:sz="4" w:space="0" w:color="auto"/>
              <w:right w:val="single" w:sz="4" w:space="0" w:color="auto"/>
            </w:tcBorders>
            <w:noWrap/>
            <w:vAlign w:val="bottom"/>
            <w:hideMark/>
          </w:tcPr>
          <w:p w14:paraId="006732A8" w14:textId="77777777" w:rsidR="001612E6" w:rsidRPr="001612E6" w:rsidRDefault="001612E6" w:rsidP="001612E6">
            <w:pPr>
              <w:spacing w:after="0" w:line="240" w:lineRule="auto"/>
              <w:rPr>
                <w:rFonts w:ascii="Calibri" w:eastAsia="Times New Roman" w:hAnsi="Calibri" w:cs="Calibri"/>
                <w:color w:val="000000"/>
              </w:rPr>
            </w:pPr>
            <w:r w:rsidRPr="001612E6">
              <w:rPr>
                <w:rFonts w:ascii="Calibri" w:eastAsia="Times New Roman" w:hAnsi="Calibri" w:cs="Calibri"/>
                <w:color w:val="000000"/>
              </w:rPr>
              <w:t>Cost of Sales</w:t>
            </w:r>
          </w:p>
        </w:tc>
        <w:tc>
          <w:tcPr>
            <w:tcW w:w="1176" w:type="dxa"/>
            <w:tcBorders>
              <w:top w:val="nil"/>
              <w:left w:val="nil"/>
              <w:bottom w:val="single" w:sz="4" w:space="0" w:color="auto"/>
              <w:right w:val="single" w:sz="4" w:space="0" w:color="auto"/>
            </w:tcBorders>
            <w:noWrap/>
            <w:vAlign w:val="bottom"/>
            <w:hideMark/>
          </w:tcPr>
          <w:p w14:paraId="120F0364"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-438,424</w:t>
            </w:r>
          </w:p>
        </w:tc>
        <w:tc>
          <w:tcPr>
            <w:tcW w:w="1176" w:type="dxa"/>
            <w:tcBorders>
              <w:top w:val="nil"/>
              <w:left w:val="nil"/>
              <w:bottom w:val="single" w:sz="4" w:space="0" w:color="auto"/>
              <w:right w:val="single" w:sz="4" w:space="0" w:color="auto"/>
            </w:tcBorders>
            <w:noWrap/>
            <w:vAlign w:val="bottom"/>
            <w:hideMark/>
          </w:tcPr>
          <w:p w14:paraId="6501DB2F"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-428,586</w:t>
            </w:r>
          </w:p>
        </w:tc>
        <w:tc>
          <w:tcPr>
            <w:tcW w:w="1176" w:type="dxa"/>
            <w:tcBorders>
              <w:top w:val="nil"/>
              <w:left w:val="nil"/>
              <w:bottom w:val="single" w:sz="4" w:space="0" w:color="auto"/>
              <w:right w:val="single" w:sz="4" w:space="0" w:color="auto"/>
            </w:tcBorders>
            <w:noWrap/>
            <w:vAlign w:val="bottom"/>
            <w:hideMark/>
          </w:tcPr>
          <w:p w14:paraId="134289B4"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-390,459</w:t>
            </w:r>
          </w:p>
        </w:tc>
        <w:tc>
          <w:tcPr>
            <w:tcW w:w="1176" w:type="dxa"/>
            <w:tcBorders>
              <w:top w:val="nil"/>
              <w:left w:val="nil"/>
              <w:bottom w:val="single" w:sz="4" w:space="0" w:color="auto"/>
              <w:right w:val="single" w:sz="4" w:space="0" w:color="auto"/>
            </w:tcBorders>
            <w:noWrap/>
            <w:vAlign w:val="bottom"/>
            <w:hideMark/>
          </w:tcPr>
          <w:p w14:paraId="7AA96C18"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-322,897</w:t>
            </w:r>
          </w:p>
        </w:tc>
        <w:tc>
          <w:tcPr>
            <w:tcW w:w="1176" w:type="dxa"/>
            <w:tcBorders>
              <w:top w:val="nil"/>
              <w:left w:val="nil"/>
              <w:bottom w:val="single" w:sz="4" w:space="0" w:color="auto"/>
              <w:right w:val="single" w:sz="4" w:space="0" w:color="auto"/>
            </w:tcBorders>
            <w:noWrap/>
            <w:vAlign w:val="bottom"/>
            <w:hideMark/>
          </w:tcPr>
          <w:p w14:paraId="50A4CD47"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-280,885</w:t>
            </w:r>
          </w:p>
        </w:tc>
      </w:tr>
      <w:tr w:rsidR="001612E6" w:rsidRPr="001612E6" w14:paraId="6973EA63" w14:textId="77777777" w:rsidTr="001612E6">
        <w:trPr>
          <w:trHeight w:val="301"/>
        </w:trPr>
        <w:tc>
          <w:tcPr>
            <w:tcW w:w="2450" w:type="dxa"/>
            <w:tcBorders>
              <w:top w:val="nil"/>
              <w:left w:val="single" w:sz="4" w:space="0" w:color="auto"/>
              <w:bottom w:val="single" w:sz="4" w:space="0" w:color="auto"/>
              <w:right w:val="single" w:sz="4" w:space="0" w:color="auto"/>
            </w:tcBorders>
            <w:noWrap/>
            <w:vAlign w:val="bottom"/>
            <w:hideMark/>
          </w:tcPr>
          <w:p w14:paraId="607AA531" w14:textId="77777777" w:rsidR="001612E6" w:rsidRPr="001612E6" w:rsidRDefault="001612E6" w:rsidP="001612E6">
            <w:pPr>
              <w:spacing w:after="0" w:line="240" w:lineRule="auto"/>
              <w:rPr>
                <w:rFonts w:ascii="Calibri" w:eastAsia="Times New Roman" w:hAnsi="Calibri" w:cs="Calibri"/>
                <w:color w:val="000000"/>
              </w:rPr>
            </w:pPr>
            <w:r w:rsidRPr="001612E6">
              <w:rPr>
                <w:rFonts w:ascii="Calibri" w:eastAsia="Times New Roman" w:hAnsi="Calibri" w:cs="Calibri"/>
                <w:color w:val="000000"/>
              </w:rPr>
              <w:t>Sales</w:t>
            </w:r>
          </w:p>
        </w:tc>
        <w:tc>
          <w:tcPr>
            <w:tcW w:w="1176" w:type="dxa"/>
            <w:tcBorders>
              <w:top w:val="nil"/>
              <w:left w:val="nil"/>
              <w:bottom w:val="single" w:sz="4" w:space="0" w:color="auto"/>
              <w:right w:val="single" w:sz="4" w:space="0" w:color="auto"/>
            </w:tcBorders>
            <w:noWrap/>
            <w:vAlign w:val="bottom"/>
            <w:hideMark/>
          </w:tcPr>
          <w:p w14:paraId="5C20396B"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614,680</w:t>
            </w:r>
          </w:p>
        </w:tc>
        <w:tc>
          <w:tcPr>
            <w:tcW w:w="1176" w:type="dxa"/>
            <w:tcBorders>
              <w:top w:val="nil"/>
              <w:left w:val="nil"/>
              <w:bottom w:val="single" w:sz="4" w:space="0" w:color="auto"/>
              <w:right w:val="single" w:sz="4" w:space="0" w:color="auto"/>
            </w:tcBorders>
            <w:noWrap/>
            <w:vAlign w:val="bottom"/>
            <w:hideMark/>
          </w:tcPr>
          <w:p w14:paraId="5B4797EF"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601,602</w:t>
            </w:r>
          </w:p>
        </w:tc>
        <w:tc>
          <w:tcPr>
            <w:tcW w:w="1176" w:type="dxa"/>
            <w:tcBorders>
              <w:top w:val="nil"/>
              <w:left w:val="nil"/>
              <w:bottom w:val="single" w:sz="4" w:space="0" w:color="auto"/>
              <w:right w:val="single" w:sz="4" w:space="0" w:color="auto"/>
            </w:tcBorders>
            <w:noWrap/>
            <w:vAlign w:val="bottom"/>
            <w:hideMark/>
          </w:tcPr>
          <w:p w14:paraId="649C9266"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542,751</w:t>
            </w:r>
          </w:p>
        </w:tc>
        <w:tc>
          <w:tcPr>
            <w:tcW w:w="1176" w:type="dxa"/>
            <w:tcBorders>
              <w:top w:val="nil"/>
              <w:left w:val="nil"/>
              <w:bottom w:val="single" w:sz="4" w:space="0" w:color="auto"/>
              <w:right w:val="single" w:sz="4" w:space="0" w:color="auto"/>
            </w:tcBorders>
            <w:noWrap/>
            <w:vAlign w:val="bottom"/>
            <w:hideMark/>
          </w:tcPr>
          <w:p w14:paraId="65A94671"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420,457</w:t>
            </w:r>
          </w:p>
        </w:tc>
        <w:tc>
          <w:tcPr>
            <w:tcW w:w="1176" w:type="dxa"/>
            <w:tcBorders>
              <w:top w:val="nil"/>
              <w:left w:val="nil"/>
              <w:bottom w:val="single" w:sz="4" w:space="0" w:color="auto"/>
              <w:right w:val="single" w:sz="4" w:space="0" w:color="auto"/>
            </w:tcBorders>
            <w:noWrap/>
            <w:vAlign w:val="bottom"/>
            <w:hideMark/>
          </w:tcPr>
          <w:p w14:paraId="2A0052C4"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394,879</w:t>
            </w:r>
          </w:p>
        </w:tc>
      </w:tr>
      <w:tr w:rsidR="001612E6" w:rsidRPr="001612E6" w14:paraId="1EBF969C" w14:textId="77777777" w:rsidTr="001612E6">
        <w:trPr>
          <w:trHeight w:val="301"/>
        </w:trPr>
        <w:tc>
          <w:tcPr>
            <w:tcW w:w="2450" w:type="dxa"/>
            <w:tcBorders>
              <w:top w:val="nil"/>
              <w:left w:val="single" w:sz="4" w:space="0" w:color="auto"/>
              <w:bottom w:val="single" w:sz="4" w:space="0" w:color="auto"/>
              <w:right w:val="single" w:sz="4" w:space="0" w:color="auto"/>
            </w:tcBorders>
            <w:noWrap/>
            <w:vAlign w:val="bottom"/>
            <w:hideMark/>
          </w:tcPr>
          <w:p w14:paraId="1EF3D938" w14:textId="77777777" w:rsidR="001612E6" w:rsidRPr="001612E6" w:rsidRDefault="001612E6" w:rsidP="001612E6">
            <w:pPr>
              <w:spacing w:after="0" w:line="240" w:lineRule="auto"/>
              <w:rPr>
                <w:rFonts w:ascii="Calibri" w:eastAsia="Times New Roman" w:hAnsi="Calibri" w:cs="Calibri"/>
                <w:color w:val="000000"/>
              </w:rPr>
            </w:pPr>
            <w:r w:rsidRPr="001612E6">
              <w:rPr>
                <w:rFonts w:ascii="Calibri" w:eastAsia="Times New Roman" w:hAnsi="Calibri" w:cs="Calibri"/>
                <w:color w:val="000000"/>
              </w:rPr>
              <w:t>Inventory</w:t>
            </w:r>
          </w:p>
        </w:tc>
        <w:tc>
          <w:tcPr>
            <w:tcW w:w="1176" w:type="dxa"/>
            <w:tcBorders>
              <w:top w:val="nil"/>
              <w:left w:val="nil"/>
              <w:bottom w:val="single" w:sz="4" w:space="0" w:color="auto"/>
              <w:right w:val="single" w:sz="4" w:space="0" w:color="auto"/>
            </w:tcBorders>
            <w:noWrap/>
            <w:vAlign w:val="bottom"/>
            <w:hideMark/>
          </w:tcPr>
          <w:p w14:paraId="0BE0F97C"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120,430</w:t>
            </w:r>
          </w:p>
        </w:tc>
        <w:tc>
          <w:tcPr>
            <w:tcW w:w="1176" w:type="dxa"/>
            <w:tcBorders>
              <w:top w:val="nil"/>
              <w:left w:val="nil"/>
              <w:bottom w:val="single" w:sz="4" w:space="0" w:color="auto"/>
              <w:right w:val="single" w:sz="4" w:space="0" w:color="auto"/>
            </w:tcBorders>
            <w:noWrap/>
            <w:vAlign w:val="bottom"/>
            <w:hideMark/>
          </w:tcPr>
          <w:p w14:paraId="50CFD01B"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134,469</w:t>
            </w:r>
          </w:p>
        </w:tc>
        <w:tc>
          <w:tcPr>
            <w:tcW w:w="1176" w:type="dxa"/>
            <w:tcBorders>
              <w:top w:val="nil"/>
              <w:left w:val="nil"/>
              <w:bottom w:val="single" w:sz="4" w:space="0" w:color="auto"/>
              <w:right w:val="single" w:sz="4" w:space="0" w:color="auto"/>
            </w:tcBorders>
            <w:noWrap/>
            <w:vAlign w:val="bottom"/>
            <w:hideMark/>
          </w:tcPr>
          <w:p w14:paraId="4F6F6F47"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140,181</w:t>
            </w:r>
          </w:p>
        </w:tc>
        <w:tc>
          <w:tcPr>
            <w:tcW w:w="1176" w:type="dxa"/>
            <w:tcBorders>
              <w:top w:val="nil"/>
              <w:left w:val="nil"/>
              <w:bottom w:val="single" w:sz="4" w:space="0" w:color="auto"/>
              <w:right w:val="single" w:sz="4" w:space="0" w:color="auto"/>
            </w:tcBorders>
            <w:noWrap/>
            <w:vAlign w:val="bottom"/>
            <w:hideMark/>
          </w:tcPr>
          <w:p w14:paraId="010CDDF9"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88,273</w:t>
            </w:r>
          </w:p>
        </w:tc>
        <w:tc>
          <w:tcPr>
            <w:tcW w:w="1176" w:type="dxa"/>
            <w:tcBorders>
              <w:top w:val="nil"/>
              <w:left w:val="nil"/>
              <w:bottom w:val="single" w:sz="4" w:space="0" w:color="auto"/>
              <w:right w:val="single" w:sz="4" w:space="0" w:color="auto"/>
            </w:tcBorders>
            <w:noWrap/>
            <w:vAlign w:val="bottom"/>
            <w:hideMark/>
          </w:tcPr>
          <w:p w14:paraId="65AC5180" w14:textId="77777777" w:rsidR="001612E6" w:rsidRPr="001612E6" w:rsidRDefault="001612E6" w:rsidP="001612E6">
            <w:pPr>
              <w:spacing w:after="0" w:line="240" w:lineRule="auto"/>
              <w:jc w:val="right"/>
              <w:rPr>
                <w:rFonts w:ascii="Calibri" w:eastAsia="Times New Roman" w:hAnsi="Calibri" w:cs="Calibri"/>
                <w:color w:val="000000"/>
              </w:rPr>
            </w:pPr>
            <w:r w:rsidRPr="001612E6">
              <w:rPr>
                <w:rFonts w:ascii="Calibri" w:eastAsia="Times New Roman" w:hAnsi="Calibri" w:cs="Calibri"/>
                <w:color w:val="000000"/>
              </w:rPr>
              <w:t>79,355</w:t>
            </w:r>
          </w:p>
        </w:tc>
      </w:tr>
      <w:tr w:rsidR="001612E6" w:rsidRPr="001612E6" w14:paraId="4DF16808" w14:textId="77777777" w:rsidTr="001612E6">
        <w:trPr>
          <w:trHeight w:val="301"/>
        </w:trPr>
        <w:tc>
          <w:tcPr>
            <w:tcW w:w="2450" w:type="dxa"/>
            <w:tcBorders>
              <w:top w:val="nil"/>
              <w:left w:val="single" w:sz="4" w:space="0" w:color="auto"/>
              <w:bottom w:val="single" w:sz="4" w:space="0" w:color="auto"/>
              <w:right w:val="single" w:sz="4" w:space="0" w:color="auto"/>
            </w:tcBorders>
            <w:noWrap/>
            <w:vAlign w:val="bottom"/>
            <w:hideMark/>
          </w:tcPr>
          <w:p w14:paraId="3701AE52" w14:textId="77777777" w:rsidR="001612E6" w:rsidRPr="001612E6" w:rsidRDefault="001612E6" w:rsidP="001612E6">
            <w:pPr>
              <w:spacing w:after="0" w:line="240" w:lineRule="auto"/>
              <w:rPr>
                <w:rFonts w:ascii="Calibri" w:eastAsia="Times New Roman" w:hAnsi="Calibri" w:cs="Calibri"/>
                <w:b/>
                <w:bCs/>
                <w:color w:val="000000"/>
              </w:rPr>
            </w:pPr>
            <w:r w:rsidRPr="001612E6">
              <w:rPr>
                <w:rFonts w:ascii="Calibri" w:eastAsia="Times New Roman" w:hAnsi="Calibri" w:cs="Calibri"/>
                <w:b/>
                <w:bCs/>
                <w:color w:val="000000"/>
              </w:rPr>
              <w:t xml:space="preserve">Receivables days </w:t>
            </w:r>
          </w:p>
        </w:tc>
        <w:tc>
          <w:tcPr>
            <w:tcW w:w="1176" w:type="dxa"/>
            <w:tcBorders>
              <w:top w:val="nil"/>
              <w:left w:val="nil"/>
              <w:bottom w:val="single" w:sz="4" w:space="0" w:color="auto"/>
              <w:right w:val="single" w:sz="4" w:space="0" w:color="auto"/>
            </w:tcBorders>
            <w:noWrap/>
            <w:vAlign w:val="bottom"/>
            <w:hideMark/>
          </w:tcPr>
          <w:p w14:paraId="56895CD9"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67.80183</w:t>
            </w:r>
          </w:p>
        </w:tc>
        <w:tc>
          <w:tcPr>
            <w:tcW w:w="1176" w:type="dxa"/>
            <w:tcBorders>
              <w:top w:val="nil"/>
              <w:left w:val="nil"/>
              <w:bottom w:val="single" w:sz="4" w:space="0" w:color="auto"/>
              <w:right w:val="single" w:sz="4" w:space="0" w:color="auto"/>
            </w:tcBorders>
            <w:noWrap/>
            <w:vAlign w:val="bottom"/>
            <w:hideMark/>
          </w:tcPr>
          <w:p w14:paraId="6EBBE199"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68.3135</w:t>
            </w:r>
          </w:p>
        </w:tc>
        <w:tc>
          <w:tcPr>
            <w:tcW w:w="1176" w:type="dxa"/>
            <w:tcBorders>
              <w:top w:val="nil"/>
              <w:left w:val="nil"/>
              <w:bottom w:val="single" w:sz="4" w:space="0" w:color="auto"/>
              <w:right w:val="single" w:sz="4" w:space="0" w:color="auto"/>
            </w:tcBorders>
            <w:noWrap/>
            <w:vAlign w:val="bottom"/>
            <w:hideMark/>
          </w:tcPr>
          <w:p w14:paraId="38CA9295"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75.55268</w:t>
            </w:r>
          </w:p>
        </w:tc>
        <w:tc>
          <w:tcPr>
            <w:tcW w:w="1176" w:type="dxa"/>
            <w:tcBorders>
              <w:top w:val="nil"/>
              <w:left w:val="nil"/>
              <w:bottom w:val="single" w:sz="4" w:space="0" w:color="auto"/>
              <w:right w:val="single" w:sz="4" w:space="0" w:color="auto"/>
            </w:tcBorders>
            <w:noWrap/>
            <w:vAlign w:val="bottom"/>
            <w:hideMark/>
          </w:tcPr>
          <w:p w14:paraId="4E663C77"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112.1719</w:t>
            </w:r>
          </w:p>
        </w:tc>
        <w:tc>
          <w:tcPr>
            <w:tcW w:w="1176" w:type="dxa"/>
            <w:tcBorders>
              <w:top w:val="nil"/>
              <w:left w:val="nil"/>
              <w:bottom w:val="single" w:sz="4" w:space="0" w:color="auto"/>
              <w:right w:val="single" w:sz="4" w:space="0" w:color="auto"/>
            </w:tcBorders>
            <w:noWrap/>
            <w:vAlign w:val="bottom"/>
            <w:hideMark/>
          </w:tcPr>
          <w:p w14:paraId="432A6F02"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119.6393</w:t>
            </w:r>
          </w:p>
        </w:tc>
      </w:tr>
      <w:tr w:rsidR="001612E6" w:rsidRPr="001612E6" w14:paraId="16B81F0F" w14:textId="77777777" w:rsidTr="001612E6">
        <w:trPr>
          <w:trHeight w:val="301"/>
        </w:trPr>
        <w:tc>
          <w:tcPr>
            <w:tcW w:w="2450" w:type="dxa"/>
            <w:tcBorders>
              <w:top w:val="nil"/>
              <w:left w:val="single" w:sz="4" w:space="0" w:color="auto"/>
              <w:bottom w:val="single" w:sz="4" w:space="0" w:color="auto"/>
              <w:right w:val="single" w:sz="4" w:space="0" w:color="auto"/>
            </w:tcBorders>
            <w:noWrap/>
            <w:vAlign w:val="bottom"/>
            <w:hideMark/>
          </w:tcPr>
          <w:p w14:paraId="4130DF9C" w14:textId="77777777" w:rsidR="001612E6" w:rsidRPr="001612E6" w:rsidRDefault="001612E6" w:rsidP="001612E6">
            <w:pPr>
              <w:spacing w:after="0" w:line="240" w:lineRule="auto"/>
              <w:rPr>
                <w:rFonts w:ascii="Calibri" w:eastAsia="Times New Roman" w:hAnsi="Calibri" w:cs="Calibri"/>
                <w:b/>
                <w:bCs/>
                <w:color w:val="000000"/>
              </w:rPr>
            </w:pPr>
            <w:r w:rsidRPr="001612E6">
              <w:rPr>
                <w:rFonts w:ascii="Calibri" w:eastAsia="Times New Roman" w:hAnsi="Calibri" w:cs="Calibri"/>
                <w:b/>
                <w:bCs/>
                <w:color w:val="000000"/>
              </w:rPr>
              <w:t xml:space="preserve">Payables days </w:t>
            </w:r>
          </w:p>
        </w:tc>
        <w:tc>
          <w:tcPr>
            <w:tcW w:w="1176" w:type="dxa"/>
            <w:tcBorders>
              <w:top w:val="nil"/>
              <w:left w:val="nil"/>
              <w:bottom w:val="single" w:sz="4" w:space="0" w:color="auto"/>
              <w:right w:val="single" w:sz="4" w:space="0" w:color="auto"/>
            </w:tcBorders>
            <w:noWrap/>
            <w:vAlign w:val="bottom"/>
            <w:hideMark/>
          </w:tcPr>
          <w:p w14:paraId="0AFF424F"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-69.2904</w:t>
            </w:r>
          </w:p>
        </w:tc>
        <w:tc>
          <w:tcPr>
            <w:tcW w:w="1176" w:type="dxa"/>
            <w:tcBorders>
              <w:top w:val="nil"/>
              <w:left w:val="nil"/>
              <w:bottom w:val="single" w:sz="4" w:space="0" w:color="auto"/>
              <w:right w:val="single" w:sz="4" w:space="0" w:color="auto"/>
            </w:tcBorders>
            <w:noWrap/>
            <w:vAlign w:val="bottom"/>
            <w:hideMark/>
          </w:tcPr>
          <w:p w14:paraId="7D9F93FB"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-78.9528</w:t>
            </w:r>
          </w:p>
        </w:tc>
        <w:tc>
          <w:tcPr>
            <w:tcW w:w="1176" w:type="dxa"/>
            <w:tcBorders>
              <w:top w:val="nil"/>
              <w:left w:val="nil"/>
              <w:bottom w:val="single" w:sz="4" w:space="0" w:color="auto"/>
              <w:right w:val="single" w:sz="4" w:space="0" w:color="auto"/>
            </w:tcBorders>
            <w:noWrap/>
            <w:vAlign w:val="bottom"/>
            <w:hideMark/>
          </w:tcPr>
          <w:p w14:paraId="6DFD08BB"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-66.7193</w:t>
            </w:r>
          </w:p>
        </w:tc>
        <w:tc>
          <w:tcPr>
            <w:tcW w:w="1176" w:type="dxa"/>
            <w:tcBorders>
              <w:top w:val="nil"/>
              <w:left w:val="nil"/>
              <w:bottom w:val="single" w:sz="4" w:space="0" w:color="auto"/>
              <w:right w:val="single" w:sz="4" w:space="0" w:color="auto"/>
            </w:tcBorders>
            <w:noWrap/>
            <w:vAlign w:val="bottom"/>
            <w:hideMark/>
          </w:tcPr>
          <w:p w14:paraId="1F44D437"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-64.4696</w:t>
            </w:r>
          </w:p>
        </w:tc>
        <w:tc>
          <w:tcPr>
            <w:tcW w:w="1176" w:type="dxa"/>
            <w:tcBorders>
              <w:top w:val="nil"/>
              <w:left w:val="nil"/>
              <w:bottom w:val="single" w:sz="4" w:space="0" w:color="auto"/>
              <w:right w:val="single" w:sz="4" w:space="0" w:color="auto"/>
            </w:tcBorders>
            <w:noWrap/>
            <w:vAlign w:val="bottom"/>
            <w:hideMark/>
          </w:tcPr>
          <w:p w14:paraId="2E8DF336"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-93.6017</w:t>
            </w:r>
          </w:p>
        </w:tc>
      </w:tr>
      <w:tr w:rsidR="001612E6" w:rsidRPr="001612E6" w14:paraId="2236ED13" w14:textId="77777777" w:rsidTr="001612E6">
        <w:trPr>
          <w:trHeight w:val="301"/>
        </w:trPr>
        <w:tc>
          <w:tcPr>
            <w:tcW w:w="2450" w:type="dxa"/>
            <w:tcBorders>
              <w:top w:val="nil"/>
              <w:left w:val="single" w:sz="4" w:space="0" w:color="auto"/>
              <w:bottom w:val="single" w:sz="4" w:space="0" w:color="auto"/>
              <w:right w:val="single" w:sz="4" w:space="0" w:color="auto"/>
            </w:tcBorders>
            <w:noWrap/>
            <w:vAlign w:val="bottom"/>
            <w:hideMark/>
          </w:tcPr>
          <w:p w14:paraId="308C3E05" w14:textId="77777777" w:rsidR="001612E6" w:rsidRPr="001612E6" w:rsidRDefault="001612E6" w:rsidP="001612E6">
            <w:pPr>
              <w:spacing w:after="0" w:line="240" w:lineRule="auto"/>
              <w:rPr>
                <w:rFonts w:ascii="Calibri" w:eastAsia="Times New Roman" w:hAnsi="Calibri" w:cs="Calibri"/>
                <w:b/>
                <w:bCs/>
                <w:color w:val="000000"/>
              </w:rPr>
            </w:pPr>
            <w:r w:rsidRPr="001612E6">
              <w:rPr>
                <w:rFonts w:ascii="Calibri" w:eastAsia="Times New Roman" w:hAnsi="Calibri" w:cs="Calibri"/>
                <w:b/>
                <w:bCs/>
                <w:color w:val="000000"/>
              </w:rPr>
              <w:t xml:space="preserve">Inventory days </w:t>
            </w:r>
          </w:p>
        </w:tc>
        <w:tc>
          <w:tcPr>
            <w:tcW w:w="1176" w:type="dxa"/>
            <w:tcBorders>
              <w:top w:val="nil"/>
              <w:left w:val="nil"/>
              <w:bottom w:val="single" w:sz="4" w:space="0" w:color="auto"/>
              <w:right w:val="single" w:sz="4" w:space="0" w:color="auto"/>
            </w:tcBorders>
            <w:noWrap/>
            <w:vAlign w:val="bottom"/>
            <w:hideMark/>
          </w:tcPr>
          <w:p w14:paraId="0F3408CE"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-100.261</w:t>
            </w:r>
          </w:p>
        </w:tc>
        <w:tc>
          <w:tcPr>
            <w:tcW w:w="1176" w:type="dxa"/>
            <w:tcBorders>
              <w:top w:val="nil"/>
              <w:left w:val="nil"/>
              <w:bottom w:val="single" w:sz="4" w:space="0" w:color="auto"/>
              <w:right w:val="single" w:sz="4" w:space="0" w:color="auto"/>
            </w:tcBorders>
            <w:noWrap/>
            <w:vAlign w:val="bottom"/>
            <w:hideMark/>
          </w:tcPr>
          <w:p w14:paraId="5A428925"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-114.519</w:t>
            </w:r>
          </w:p>
        </w:tc>
        <w:tc>
          <w:tcPr>
            <w:tcW w:w="1176" w:type="dxa"/>
            <w:tcBorders>
              <w:top w:val="nil"/>
              <w:left w:val="nil"/>
              <w:bottom w:val="single" w:sz="4" w:space="0" w:color="auto"/>
              <w:right w:val="single" w:sz="4" w:space="0" w:color="auto"/>
            </w:tcBorders>
            <w:noWrap/>
            <w:vAlign w:val="bottom"/>
            <w:hideMark/>
          </w:tcPr>
          <w:p w14:paraId="45944721"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-131.041</w:t>
            </w:r>
          </w:p>
        </w:tc>
        <w:tc>
          <w:tcPr>
            <w:tcW w:w="1176" w:type="dxa"/>
            <w:tcBorders>
              <w:top w:val="nil"/>
              <w:left w:val="nil"/>
              <w:bottom w:val="single" w:sz="4" w:space="0" w:color="auto"/>
              <w:right w:val="single" w:sz="4" w:space="0" w:color="auto"/>
            </w:tcBorders>
            <w:noWrap/>
            <w:vAlign w:val="bottom"/>
            <w:hideMark/>
          </w:tcPr>
          <w:p w14:paraId="64798C09"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-99.783</w:t>
            </w:r>
          </w:p>
        </w:tc>
        <w:tc>
          <w:tcPr>
            <w:tcW w:w="1176" w:type="dxa"/>
            <w:tcBorders>
              <w:top w:val="nil"/>
              <w:left w:val="nil"/>
              <w:bottom w:val="single" w:sz="4" w:space="0" w:color="auto"/>
              <w:right w:val="single" w:sz="4" w:space="0" w:color="auto"/>
            </w:tcBorders>
            <w:noWrap/>
            <w:vAlign w:val="bottom"/>
            <w:hideMark/>
          </w:tcPr>
          <w:p w14:paraId="25FE2750"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-103.119</w:t>
            </w:r>
          </w:p>
        </w:tc>
      </w:tr>
      <w:tr w:rsidR="001612E6" w:rsidRPr="001612E6" w14:paraId="181C7624" w14:textId="77777777" w:rsidTr="001612E6">
        <w:trPr>
          <w:trHeight w:val="301"/>
        </w:trPr>
        <w:tc>
          <w:tcPr>
            <w:tcW w:w="2450" w:type="dxa"/>
            <w:tcBorders>
              <w:top w:val="nil"/>
              <w:left w:val="single" w:sz="4" w:space="0" w:color="auto"/>
              <w:bottom w:val="single" w:sz="4" w:space="0" w:color="auto"/>
              <w:right w:val="single" w:sz="4" w:space="0" w:color="auto"/>
            </w:tcBorders>
            <w:noWrap/>
            <w:vAlign w:val="bottom"/>
            <w:hideMark/>
          </w:tcPr>
          <w:p w14:paraId="3031B08B" w14:textId="77777777" w:rsidR="001612E6" w:rsidRPr="001612E6" w:rsidRDefault="001612E6" w:rsidP="001612E6">
            <w:pPr>
              <w:spacing w:after="0" w:line="240" w:lineRule="auto"/>
              <w:rPr>
                <w:rFonts w:ascii="Calibri" w:eastAsia="Times New Roman" w:hAnsi="Calibri" w:cs="Calibri"/>
                <w:b/>
                <w:bCs/>
                <w:color w:val="000000"/>
              </w:rPr>
            </w:pPr>
            <w:r w:rsidRPr="001612E6">
              <w:rPr>
                <w:rFonts w:ascii="Calibri" w:eastAsia="Times New Roman" w:hAnsi="Calibri" w:cs="Calibri"/>
                <w:b/>
                <w:bCs/>
                <w:color w:val="000000"/>
              </w:rPr>
              <w:t xml:space="preserve">Cash operating cycle </w:t>
            </w:r>
          </w:p>
        </w:tc>
        <w:tc>
          <w:tcPr>
            <w:tcW w:w="1176" w:type="dxa"/>
            <w:tcBorders>
              <w:top w:val="nil"/>
              <w:left w:val="nil"/>
              <w:bottom w:val="single" w:sz="4" w:space="0" w:color="auto"/>
              <w:right w:val="single" w:sz="4" w:space="0" w:color="auto"/>
            </w:tcBorders>
            <w:noWrap/>
            <w:vAlign w:val="bottom"/>
            <w:hideMark/>
          </w:tcPr>
          <w:p w14:paraId="7D4E98A3"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98.77268</w:t>
            </w:r>
          </w:p>
        </w:tc>
        <w:tc>
          <w:tcPr>
            <w:tcW w:w="1176" w:type="dxa"/>
            <w:tcBorders>
              <w:top w:val="nil"/>
              <w:left w:val="nil"/>
              <w:bottom w:val="single" w:sz="4" w:space="0" w:color="auto"/>
              <w:right w:val="single" w:sz="4" w:space="0" w:color="auto"/>
            </w:tcBorders>
            <w:noWrap/>
            <w:vAlign w:val="bottom"/>
            <w:hideMark/>
          </w:tcPr>
          <w:p w14:paraId="4B42A4BE"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103.8796</w:t>
            </w:r>
          </w:p>
        </w:tc>
        <w:tc>
          <w:tcPr>
            <w:tcW w:w="1176" w:type="dxa"/>
            <w:tcBorders>
              <w:top w:val="nil"/>
              <w:left w:val="nil"/>
              <w:bottom w:val="single" w:sz="4" w:space="0" w:color="auto"/>
              <w:right w:val="single" w:sz="4" w:space="0" w:color="auto"/>
            </w:tcBorders>
            <w:noWrap/>
            <w:vAlign w:val="bottom"/>
            <w:hideMark/>
          </w:tcPr>
          <w:p w14:paraId="56B6ECDB"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139.8742</w:t>
            </w:r>
          </w:p>
        </w:tc>
        <w:tc>
          <w:tcPr>
            <w:tcW w:w="1176" w:type="dxa"/>
            <w:tcBorders>
              <w:top w:val="nil"/>
              <w:left w:val="nil"/>
              <w:bottom w:val="single" w:sz="4" w:space="0" w:color="auto"/>
              <w:right w:val="single" w:sz="4" w:space="0" w:color="auto"/>
            </w:tcBorders>
            <w:noWrap/>
            <w:vAlign w:val="bottom"/>
            <w:hideMark/>
          </w:tcPr>
          <w:p w14:paraId="42A9739C"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147.4854</w:t>
            </w:r>
          </w:p>
        </w:tc>
        <w:tc>
          <w:tcPr>
            <w:tcW w:w="1176" w:type="dxa"/>
            <w:tcBorders>
              <w:top w:val="nil"/>
              <w:left w:val="nil"/>
              <w:bottom w:val="single" w:sz="4" w:space="0" w:color="auto"/>
              <w:right w:val="single" w:sz="4" w:space="0" w:color="auto"/>
            </w:tcBorders>
            <w:noWrap/>
            <w:vAlign w:val="bottom"/>
            <w:hideMark/>
          </w:tcPr>
          <w:p w14:paraId="79C510A5" w14:textId="77777777" w:rsidR="001612E6" w:rsidRPr="001612E6" w:rsidRDefault="001612E6" w:rsidP="001612E6">
            <w:pPr>
              <w:spacing w:after="0" w:line="240" w:lineRule="auto"/>
              <w:jc w:val="right"/>
              <w:rPr>
                <w:rFonts w:ascii="Calibri" w:eastAsia="Times New Roman" w:hAnsi="Calibri" w:cs="Calibri"/>
                <w:b/>
                <w:bCs/>
                <w:color w:val="000000"/>
              </w:rPr>
            </w:pPr>
            <w:r w:rsidRPr="001612E6">
              <w:rPr>
                <w:rFonts w:ascii="Calibri" w:eastAsia="Times New Roman" w:hAnsi="Calibri" w:cs="Calibri"/>
                <w:b/>
                <w:bCs/>
                <w:color w:val="000000"/>
              </w:rPr>
              <w:t>129.1566</w:t>
            </w:r>
          </w:p>
        </w:tc>
      </w:tr>
    </w:tbl>
    <w:p w14:paraId="1D64E41F" w14:textId="71E88117" w:rsidR="00AD4654" w:rsidRPr="00FD5873" w:rsidRDefault="00444333" w:rsidP="00FD5873">
      <w:pPr>
        <w:spacing w:before="100" w:beforeAutospacing="1" w:after="100" w:afterAutospacing="1" w:line="360" w:lineRule="auto"/>
        <w:rPr>
          <w:rFonts w:ascii="Arial" w:eastAsia="Times New Roman" w:hAnsi="Arial" w:cs="Arial"/>
          <w:i/>
          <w:color w:val="2E74B5" w:themeColor="accent1" w:themeShade="BF"/>
          <w:sz w:val="12"/>
          <w:szCs w:val="24"/>
        </w:rPr>
      </w:pPr>
      <w:r w:rsidRPr="00FD5873">
        <w:rPr>
          <w:rFonts w:ascii="Arial" w:hAnsi="Arial" w:cs="Arial"/>
        </w:rPr>
        <w:t>Note: Payable’s days are calculated using trade payables reported in the dataset and cost of sales. Values are rounded to two decimal places.</w:t>
      </w:r>
    </w:p>
    <w:p w14:paraId="4290302F" w14:textId="77777777" w:rsidR="003A5893" w:rsidRDefault="003A5893" w:rsidP="001D5163">
      <w:pPr>
        <w:pStyle w:val="Heading1"/>
      </w:pPr>
      <w:bookmarkStart w:id="69" w:name="_Toc216755997"/>
      <w:bookmarkStart w:id="70" w:name="_Toc217238050"/>
      <w:r w:rsidRPr="001612E6">
        <w:t>Appendix C: Pro</w:t>
      </w:r>
      <w:r w:rsidRPr="001612E6">
        <w:noBreakHyphen/>
        <w:t>Forma Financial Restructuring Workings</w:t>
      </w:r>
      <w:bookmarkEnd w:id="69"/>
      <w:bookmarkEnd w:id="70"/>
    </w:p>
    <w:p w14:paraId="30955A62" w14:textId="77777777" w:rsidR="001D5163" w:rsidRPr="001D5163" w:rsidRDefault="001D5163" w:rsidP="001D5163"/>
    <w:p w14:paraId="6CB93D3D" w14:textId="373A0EF8" w:rsidR="003A5893" w:rsidRPr="001F6D3E" w:rsidRDefault="003A5893" w:rsidP="003A5893">
      <w:pPr>
        <w:rPr>
          <w:rFonts w:ascii="Arial" w:hAnsi="Arial" w:cs="Arial"/>
        </w:rPr>
      </w:pPr>
      <w:r w:rsidRPr="001F6D3E">
        <w:rPr>
          <w:rFonts w:ascii="Arial" w:hAnsi="Arial" w:cs="Arial"/>
        </w:rPr>
        <w:t xml:space="preserve">Appendix C presents detailed </w:t>
      </w:r>
      <w:r w:rsidR="00FD5873">
        <w:rPr>
          <w:rFonts w:ascii="Arial" w:hAnsi="Arial" w:cs="Arial"/>
        </w:rPr>
        <w:t>Excel-style</w:t>
      </w:r>
      <w:r w:rsidRPr="001F6D3E">
        <w:rPr>
          <w:rFonts w:ascii="Arial" w:hAnsi="Arial" w:cs="Arial"/>
        </w:rPr>
        <w:t xml:space="preserve"> workings to support the Strategic Financial Restructuring Plan. The calculations build directly on the 2024 financial position of General Electronics and apply the restructuring assumptions outlined in Section 3.</w:t>
      </w:r>
    </w:p>
    <w:p w14:paraId="196F2C9F" w14:textId="77777777" w:rsidR="003A5893" w:rsidRPr="001F6D3E" w:rsidRDefault="003A5893" w:rsidP="003A5893">
      <w:pPr>
        <w:rPr>
          <w:rFonts w:ascii="Arial" w:hAnsi="Arial" w:cs="Arial"/>
          <w:b/>
          <w:bCs/>
        </w:rPr>
      </w:pPr>
      <w:bookmarkStart w:id="71" w:name="_Toc216755998"/>
      <w:r w:rsidRPr="001F6D3E">
        <w:rPr>
          <w:rFonts w:ascii="Arial" w:hAnsi="Arial" w:cs="Arial"/>
          <w:b/>
          <w:bCs/>
        </w:rPr>
        <w:t>Key restructuring assumptions</w:t>
      </w:r>
      <w:bookmarkEnd w:id="71"/>
    </w:p>
    <w:p w14:paraId="590F931F" w14:textId="77777777" w:rsidR="003A5893" w:rsidRPr="001F6D3E" w:rsidRDefault="003A5893" w:rsidP="003A5893">
      <w:pPr>
        <w:numPr>
          <w:ilvl w:val="0"/>
          <w:numId w:val="8"/>
        </w:numPr>
        <w:rPr>
          <w:rFonts w:ascii="Arial" w:hAnsi="Arial" w:cs="Arial"/>
        </w:rPr>
      </w:pPr>
      <w:r w:rsidRPr="001F6D3E">
        <w:rPr>
          <w:rFonts w:ascii="Arial" w:hAnsi="Arial" w:cs="Arial"/>
        </w:rPr>
        <w:t xml:space="preserve">Equity injection through rights issue: £22,966 million (approximately 15 percent of 2024 shareholders’ equity). </w:t>
      </w:r>
    </w:p>
    <w:p w14:paraId="458BF16A" w14:textId="77777777" w:rsidR="003A5893" w:rsidRPr="001F6D3E" w:rsidRDefault="003A5893" w:rsidP="003A5893">
      <w:pPr>
        <w:numPr>
          <w:ilvl w:val="0"/>
          <w:numId w:val="8"/>
        </w:numPr>
        <w:rPr>
          <w:rFonts w:ascii="Arial" w:hAnsi="Arial" w:cs="Arial"/>
        </w:rPr>
      </w:pPr>
      <w:r w:rsidRPr="001F6D3E">
        <w:rPr>
          <w:rFonts w:ascii="Arial" w:hAnsi="Arial" w:cs="Arial"/>
        </w:rPr>
        <w:t xml:space="preserve">Selective divestiture proceeds: £10,000 million, applied fully to debt reduction. </w:t>
      </w:r>
    </w:p>
    <w:p w14:paraId="24B95197" w14:textId="77777777" w:rsidR="003A5893" w:rsidRPr="001F6D3E" w:rsidRDefault="003A5893" w:rsidP="003A5893">
      <w:pPr>
        <w:numPr>
          <w:ilvl w:val="0"/>
          <w:numId w:val="8"/>
        </w:numPr>
        <w:rPr>
          <w:rFonts w:ascii="Arial" w:hAnsi="Arial" w:cs="Arial"/>
        </w:rPr>
      </w:pPr>
      <w:r w:rsidRPr="001F6D3E">
        <w:rPr>
          <w:rFonts w:ascii="Arial" w:hAnsi="Arial" w:cs="Arial"/>
        </w:rPr>
        <w:t>No immediate change in operating income in the base pro</w:t>
      </w:r>
      <w:r w:rsidRPr="001F6D3E">
        <w:rPr>
          <w:rFonts w:ascii="Arial" w:hAnsi="Arial" w:cs="Arial"/>
        </w:rPr>
        <w:noBreakHyphen/>
        <w:t xml:space="preserve">forma, ensuring conservative estimation. </w:t>
      </w:r>
    </w:p>
    <w:p w14:paraId="747BDEC6" w14:textId="77777777" w:rsidR="003A5893" w:rsidRPr="001F6D3E" w:rsidRDefault="003A5893" w:rsidP="003A5893">
      <w:pPr>
        <w:numPr>
          <w:ilvl w:val="0"/>
          <w:numId w:val="8"/>
        </w:numPr>
        <w:rPr>
          <w:rFonts w:ascii="Arial" w:hAnsi="Arial" w:cs="Arial"/>
        </w:rPr>
      </w:pPr>
      <w:r w:rsidRPr="001F6D3E">
        <w:rPr>
          <w:rFonts w:ascii="Arial" w:hAnsi="Arial" w:cs="Arial"/>
        </w:rPr>
        <w:t>Interest expense assumed to decline proportionally with debt reduction.</w:t>
      </w:r>
    </w:p>
    <w:p w14:paraId="4F1E58BA" w14:textId="77777777" w:rsidR="003A5893" w:rsidRDefault="003A5893" w:rsidP="001D5163">
      <w:pPr>
        <w:pStyle w:val="Heading2"/>
      </w:pPr>
      <w:bookmarkStart w:id="72" w:name="_Toc216755999"/>
      <w:bookmarkStart w:id="73" w:name="_Toc217238051"/>
      <w:r w:rsidRPr="001612E6">
        <w:lastRenderedPageBreak/>
        <w:t>Table C1: Pro</w:t>
      </w:r>
      <w:r w:rsidRPr="001612E6">
        <w:noBreakHyphen/>
        <w:t>Forma Statement of Financial Position Impact (2024)</w:t>
      </w:r>
      <w:bookmarkEnd w:id="72"/>
      <w:bookmarkEnd w:id="73"/>
    </w:p>
    <w:p w14:paraId="5A3EA8B7" w14:textId="77777777" w:rsidR="001D5163" w:rsidRPr="001D5163" w:rsidRDefault="001D5163" w:rsidP="001D5163"/>
    <w:tbl>
      <w:tblPr>
        <w:tblStyle w:val="TableGrid"/>
        <w:tblW w:w="0" w:type="auto"/>
        <w:tblLook w:val="04A0" w:firstRow="1" w:lastRow="0" w:firstColumn="1" w:lastColumn="0" w:noHBand="0" w:noVBand="1"/>
      </w:tblPr>
      <w:tblGrid>
        <w:gridCol w:w="2208"/>
        <w:gridCol w:w="1414"/>
        <w:gridCol w:w="2848"/>
        <w:gridCol w:w="2880"/>
      </w:tblGrid>
      <w:tr w:rsidR="003A5893" w:rsidRPr="001F6D3E" w14:paraId="63B6FE10" w14:textId="77777777" w:rsidTr="008F19AE">
        <w:tc>
          <w:tcPr>
            <w:tcW w:w="0" w:type="auto"/>
            <w:hideMark/>
          </w:tcPr>
          <w:p w14:paraId="30DB69D2" w14:textId="77777777" w:rsidR="003A5893" w:rsidRPr="001F6D3E" w:rsidRDefault="003A5893" w:rsidP="003A5893">
            <w:pPr>
              <w:spacing w:after="160" w:line="259" w:lineRule="auto"/>
              <w:rPr>
                <w:rFonts w:ascii="Arial" w:hAnsi="Arial" w:cs="Arial"/>
                <w:b/>
                <w:bCs/>
              </w:rPr>
            </w:pPr>
            <w:r w:rsidRPr="001F6D3E">
              <w:rPr>
                <w:rFonts w:ascii="Arial" w:hAnsi="Arial" w:cs="Arial"/>
                <w:b/>
                <w:bCs/>
              </w:rPr>
              <w:t>Item (£ million)</w:t>
            </w:r>
          </w:p>
        </w:tc>
        <w:tc>
          <w:tcPr>
            <w:tcW w:w="0" w:type="auto"/>
            <w:hideMark/>
          </w:tcPr>
          <w:p w14:paraId="6C7761FF" w14:textId="77777777" w:rsidR="003A5893" w:rsidRPr="001F6D3E" w:rsidRDefault="003A5893" w:rsidP="003A5893">
            <w:pPr>
              <w:spacing w:after="160" w:line="259" w:lineRule="auto"/>
              <w:rPr>
                <w:rFonts w:ascii="Arial" w:hAnsi="Arial" w:cs="Arial"/>
                <w:b/>
                <w:bCs/>
              </w:rPr>
            </w:pPr>
            <w:r w:rsidRPr="001F6D3E">
              <w:rPr>
                <w:rFonts w:ascii="Arial" w:hAnsi="Arial" w:cs="Arial"/>
                <w:b/>
                <w:bCs/>
              </w:rPr>
              <w:t>Actual 2024</w:t>
            </w:r>
          </w:p>
        </w:tc>
        <w:tc>
          <w:tcPr>
            <w:tcW w:w="2848" w:type="dxa"/>
            <w:hideMark/>
          </w:tcPr>
          <w:p w14:paraId="3AF76321" w14:textId="77777777" w:rsidR="003A5893" w:rsidRPr="001F6D3E" w:rsidRDefault="003A5893" w:rsidP="003A5893">
            <w:pPr>
              <w:spacing w:after="160" w:line="259" w:lineRule="auto"/>
              <w:rPr>
                <w:rFonts w:ascii="Arial" w:hAnsi="Arial" w:cs="Arial"/>
                <w:b/>
                <w:bCs/>
              </w:rPr>
            </w:pPr>
            <w:r w:rsidRPr="001F6D3E">
              <w:rPr>
                <w:rFonts w:ascii="Arial" w:hAnsi="Arial" w:cs="Arial"/>
                <w:b/>
                <w:bCs/>
              </w:rPr>
              <w:t>Adjustment</w:t>
            </w:r>
          </w:p>
        </w:tc>
        <w:tc>
          <w:tcPr>
            <w:tcW w:w="2880" w:type="dxa"/>
            <w:hideMark/>
          </w:tcPr>
          <w:p w14:paraId="3FA2CD9E" w14:textId="77777777" w:rsidR="003A5893" w:rsidRPr="001F6D3E" w:rsidRDefault="003A5893" w:rsidP="003A5893">
            <w:pPr>
              <w:spacing w:after="160" w:line="259" w:lineRule="auto"/>
              <w:rPr>
                <w:rFonts w:ascii="Arial" w:hAnsi="Arial" w:cs="Arial"/>
                <w:b/>
                <w:bCs/>
              </w:rPr>
            </w:pPr>
            <w:r w:rsidRPr="001F6D3E">
              <w:rPr>
                <w:rFonts w:ascii="Arial" w:hAnsi="Arial" w:cs="Arial"/>
                <w:b/>
                <w:bCs/>
              </w:rPr>
              <w:t>Pro</w:t>
            </w:r>
            <w:r w:rsidRPr="001F6D3E">
              <w:rPr>
                <w:rFonts w:ascii="Arial" w:hAnsi="Arial" w:cs="Arial"/>
                <w:b/>
                <w:bCs/>
              </w:rPr>
              <w:noBreakHyphen/>
              <w:t>Forma 2024</w:t>
            </w:r>
          </w:p>
        </w:tc>
      </w:tr>
      <w:tr w:rsidR="003A5893" w:rsidRPr="001F6D3E" w14:paraId="04D46558" w14:textId="77777777" w:rsidTr="008F19AE">
        <w:tc>
          <w:tcPr>
            <w:tcW w:w="0" w:type="auto"/>
            <w:hideMark/>
          </w:tcPr>
          <w:p w14:paraId="7E3D9994" w14:textId="77777777" w:rsidR="003A5893" w:rsidRPr="001F6D3E" w:rsidRDefault="003A5893" w:rsidP="003A5893">
            <w:pPr>
              <w:spacing w:after="160" w:line="259" w:lineRule="auto"/>
              <w:rPr>
                <w:rFonts w:ascii="Arial" w:hAnsi="Arial" w:cs="Arial"/>
              </w:rPr>
            </w:pPr>
            <w:r w:rsidRPr="001F6D3E">
              <w:rPr>
                <w:rFonts w:ascii="Arial" w:hAnsi="Arial" w:cs="Arial"/>
              </w:rPr>
              <w:t>Total Assets</w:t>
            </w:r>
          </w:p>
        </w:tc>
        <w:tc>
          <w:tcPr>
            <w:tcW w:w="0" w:type="auto"/>
            <w:hideMark/>
          </w:tcPr>
          <w:p w14:paraId="1C39C6F1" w14:textId="77777777" w:rsidR="003A5893" w:rsidRPr="001F6D3E" w:rsidRDefault="003A5893" w:rsidP="003A5893">
            <w:pPr>
              <w:spacing w:after="160" w:line="259" w:lineRule="auto"/>
              <w:rPr>
                <w:rFonts w:ascii="Arial" w:hAnsi="Arial" w:cs="Arial"/>
              </w:rPr>
            </w:pPr>
            <w:r w:rsidRPr="001F6D3E">
              <w:rPr>
                <w:rFonts w:ascii="Arial" w:hAnsi="Arial" w:cs="Arial"/>
              </w:rPr>
              <w:t>323,354</w:t>
            </w:r>
          </w:p>
        </w:tc>
        <w:tc>
          <w:tcPr>
            <w:tcW w:w="2848" w:type="dxa"/>
            <w:hideMark/>
          </w:tcPr>
          <w:p w14:paraId="6F91CEE9" w14:textId="77777777" w:rsidR="003A5893" w:rsidRPr="001F6D3E" w:rsidRDefault="003A5893" w:rsidP="003A5893">
            <w:pPr>
              <w:spacing w:after="160" w:line="259" w:lineRule="auto"/>
              <w:rPr>
                <w:rFonts w:ascii="Arial" w:hAnsi="Arial" w:cs="Arial"/>
              </w:rPr>
            </w:pPr>
            <w:r w:rsidRPr="001F6D3E">
              <w:rPr>
                <w:rFonts w:ascii="Arial" w:hAnsi="Arial" w:cs="Arial"/>
              </w:rPr>
              <w:t>+12,966</w:t>
            </w:r>
          </w:p>
        </w:tc>
        <w:tc>
          <w:tcPr>
            <w:tcW w:w="2880" w:type="dxa"/>
            <w:hideMark/>
          </w:tcPr>
          <w:p w14:paraId="47BBA5CC" w14:textId="77777777" w:rsidR="003A5893" w:rsidRPr="001F6D3E" w:rsidRDefault="003A5893" w:rsidP="003A5893">
            <w:pPr>
              <w:spacing w:after="160" w:line="259" w:lineRule="auto"/>
              <w:rPr>
                <w:rFonts w:ascii="Arial" w:hAnsi="Arial" w:cs="Arial"/>
              </w:rPr>
            </w:pPr>
            <w:r w:rsidRPr="001F6D3E">
              <w:rPr>
                <w:rFonts w:ascii="Arial" w:hAnsi="Arial" w:cs="Arial"/>
              </w:rPr>
              <w:t>336,320</w:t>
            </w:r>
          </w:p>
        </w:tc>
      </w:tr>
      <w:tr w:rsidR="003A5893" w:rsidRPr="001F6D3E" w14:paraId="571FBB7D" w14:textId="77777777" w:rsidTr="008F19AE">
        <w:tc>
          <w:tcPr>
            <w:tcW w:w="0" w:type="auto"/>
            <w:hideMark/>
          </w:tcPr>
          <w:p w14:paraId="63409976" w14:textId="77777777" w:rsidR="003A5893" w:rsidRPr="001F6D3E" w:rsidRDefault="003A5893" w:rsidP="003A5893">
            <w:pPr>
              <w:spacing w:after="160" w:line="259" w:lineRule="auto"/>
              <w:rPr>
                <w:rFonts w:ascii="Arial" w:hAnsi="Arial" w:cs="Arial"/>
              </w:rPr>
            </w:pPr>
            <w:r w:rsidRPr="001F6D3E">
              <w:rPr>
                <w:rFonts w:ascii="Arial" w:hAnsi="Arial" w:cs="Arial"/>
              </w:rPr>
              <w:t>Total Liabilities</w:t>
            </w:r>
          </w:p>
        </w:tc>
        <w:tc>
          <w:tcPr>
            <w:tcW w:w="0" w:type="auto"/>
            <w:hideMark/>
          </w:tcPr>
          <w:p w14:paraId="404C426C" w14:textId="77777777" w:rsidR="003A5893" w:rsidRPr="001F6D3E" w:rsidRDefault="003A5893" w:rsidP="003A5893">
            <w:pPr>
              <w:spacing w:after="160" w:line="259" w:lineRule="auto"/>
              <w:rPr>
                <w:rFonts w:ascii="Arial" w:hAnsi="Arial" w:cs="Arial"/>
              </w:rPr>
            </w:pPr>
            <w:r w:rsidRPr="001F6D3E">
              <w:rPr>
                <w:rFonts w:ascii="Arial" w:hAnsi="Arial" w:cs="Arial"/>
              </w:rPr>
              <w:t>170,249</w:t>
            </w:r>
          </w:p>
        </w:tc>
        <w:tc>
          <w:tcPr>
            <w:tcW w:w="2848" w:type="dxa"/>
            <w:hideMark/>
          </w:tcPr>
          <w:p w14:paraId="489CFB0E" w14:textId="77777777" w:rsidR="003A5893" w:rsidRPr="001F6D3E" w:rsidRDefault="003A5893" w:rsidP="003A5893">
            <w:pPr>
              <w:spacing w:after="160" w:line="259" w:lineRule="auto"/>
              <w:rPr>
                <w:rFonts w:ascii="Arial" w:hAnsi="Arial" w:cs="Arial"/>
              </w:rPr>
            </w:pPr>
            <w:r w:rsidRPr="001F6D3E">
              <w:rPr>
                <w:rFonts w:ascii="Arial" w:hAnsi="Arial" w:cs="Arial"/>
              </w:rPr>
              <w:t>−10,000</w:t>
            </w:r>
          </w:p>
        </w:tc>
        <w:tc>
          <w:tcPr>
            <w:tcW w:w="2880" w:type="dxa"/>
            <w:hideMark/>
          </w:tcPr>
          <w:p w14:paraId="49582F69" w14:textId="77777777" w:rsidR="003A5893" w:rsidRPr="001F6D3E" w:rsidRDefault="003A5893" w:rsidP="003A5893">
            <w:pPr>
              <w:spacing w:after="160" w:line="259" w:lineRule="auto"/>
              <w:rPr>
                <w:rFonts w:ascii="Arial" w:hAnsi="Arial" w:cs="Arial"/>
              </w:rPr>
            </w:pPr>
            <w:r w:rsidRPr="001F6D3E">
              <w:rPr>
                <w:rFonts w:ascii="Arial" w:hAnsi="Arial" w:cs="Arial"/>
              </w:rPr>
              <w:t>160,249</w:t>
            </w:r>
          </w:p>
        </w:tc>
      </w:tr>
      <w:tr w:rsidR="003A5893" w:rsidRPr="001F6D3E" w14:paraId="77B70430" w14:textId="77777777" w:rsidTr="008F19AE">
        <w:tc>
          <w:tcPr>
            <w:tcW w:w="0" w:type="auto"/>
            <w:hideMark/>
          </w:tcPr>
          <w:p w14:paraId="77689D46" w14:textId="77777777" w:rsidR="003A5893" w:rsidRPr="001F6D3E" w:rsidRDefault="003A5893" w:rsidP="003A5893">
            <w:pPr>
              <w:spacing w:after="160" w:line="259" w:lineRule="auto"/>
              <w:rPr>
                <w:rFonts w:ascii="Arial" w:hAnsi="Arial" w:cs="Arial"/>
              </w:rPr>
            </w:pPr>
            <w:r w:rsidRPr="001F6D3E">
              <w:rPr>
                <w:rFonts w:ascii="Arial" w:hAnsi="Arial" w:cs="Arial"/>
              </w:rPr>
              <w:t>Shareholders’ Equity</w:t>
            </w:r>
          </w:p>
        </w:tc>
        <w:tc>
          <w:tcPr>
            <w:tcW w:w="0" w:type="auto"/>
            <w:hideMark/>
          </w:tcPr>
          <w:p w14:paraId="036671BB" w14:textId="77777777" w:rsidR="003A5893" w:rsidRPr="001F6D3E" w:rsidRDefault="003A5893" w:rsidP="003A5893">
            <w:pPr>
              <w:spacing w:after="160" w:line="259" w:lineRule="auto"/>
              <w:rPr>
                <w:rFonts w:ascii="Arial" w:hAnsi="Arial" w:cs="Arial"/>
              </w:rPr>
            </w:pPr>
            <w:r w:rsidRPr="001F6D3E">
              <w:rPr>
                <w:rFonts w:ascii="Arial" w:hAnsi="Arial" w:cs="Arial"/>
              </w:rPr>
              <w:t>153,105</w:t>
            </w:r>
          </w:p>
        </w:tc>
        <w:tc>
          <w:tcPr>
            <w:tcW w:w="2848" w:type="dxa"/>
            <w:hideMark/>
          </w:tcPr>
          <w:p w14:paraId="0C25CA9C" w14:textId="77777777" w:rsidR="003A5893" w:rsidRPr="001F6D3E" w:rsidRDefault="003A5893" w:rsidP="003A5893">
            <w:pPr>
              <w:spacing w:after="160" w:line="259" w:lineRule="auto"/>
              <w:rPr>
                <w:rFonts w:ascii="Arial" w:hAnsi="Arial" w:cs="Arial"/>
              </w:rPr>
            </w:pPr>
            <w:r w:rsidRPr="001F6D3E">
              <w:rPr>
                <w:rFonts w:ascii="Arial" w:hAnsi="Arial" w:cs="Arial"/>
              </w:rPr>
              <w:t>+22,966</w:t>
            </w:r>
          </w:p>
        </w:tc>
        <w:tc>
          <w:tcPr>
            <w:tcW w:w="2880" w:type="dxa"/>
            <w:hideMark/>
          </w:tcPr>
          <w:p w14:paraId="20DA7494" w14:textId="77777777" w:rsidR="003A5893" w:rsidRPr="001F6D3E" w:rsidRDefault="003A5893" w:rsidP="003A5893">
            <w:pPr>
              <w:spacing w:after="160" w:line="259" w:lineRule="auto"/>
              <w:rPr>
                <w:rFonts w:ascii="Arial" w:hAnsi="Arial" w:cs="Arial"/>
              </w:rPr>
            </w:pPr>
            <w:r w:rsidRPr="001F6D3E">
              <w:rPr>
                <w:rFonts w:ascii="Arial" w:hAnsi="Arial" w:cs="Arial"/>
              </w:rPr>
              <w:t>176,071</w:t>
            </w:r>
          </w:p>
        </w:tc>
      </w:tr>
    </w:tbl>
    <w:p w14:paraId="4328AF02" w14:textId="77777777" w:rsidR="003A5893" w:rsidRPr="001F6D3E" w:rsidRDefault="003A5893" w:rsidP="003A5893">
      <w:pPr>
        <w:rPr>
          <w:rFonts w:ascii="Arial" w:hAnsi="Arial" w:cs="Arial"/>
        </w:rPr>
      </w:pPr>
      <w:r w:rsidRPr="001F6D3E">
        <w:rPr>
          <w:rFonts w:ascii="Arial" w:hAnsi="Arial" w:cs="Arial"/>
        </w:rPr>
        <w:t>Note: Net asset increase reflects equity injection net of asset divestment.</w:t>
      </w:r>
      <w:r w:rsidR="007928F2">
        <w:rPr>
          <w:rFonts w:ascii="Arial" w:hAnsi="Arial" w:cs="Arial"/>
        </w:rPr>
        <w:t xml:space="preserve"> (Self-Analyzed)</w:t>
      </w:r>
    </w:p>
    <w:p w14:paraId="0ACEA616" w14:textId="77777777" w:rsidR="003A5893" w:rsidRPr="001612E6" w:rsidRDefault="003A5893" w:rsidP="001D5163">
      <w:pPr>
        <w:pStyle w:val="Heading2"/>
      </w:pPr>
      <w:bookmarkStart w:id="74" w:name="_Toc216756000"/>
      <w:bookmarkStart w:id="75" w:name="_Toc217238052"/>
      <w:r w:rsidRPr="001612E6">
        <w:t>Table C2: Pro</w:t>
      </w:r>
      <w:r w:rsidRPr="001612E6">
        <w:noBreakHyphen/>
        <w:t>Forma Capital Structure Ratios</w:t>
      </w:r>
      <w:bookmarkEnd w:id="74"/>
      <w:bookmarkEnd w:id="75"/>
    </w:p>
    <w:tbl>
      <w:tblPr>
        <w:tblStyle w:val="TableGrid"/>
        <w:tblW w:w="0" w:type="auto"/>
        <w:tblLook w:val="04A0" w:firstRow="1" w:lastRow="0" w:firstColumn="1" w:lastColumn="0" w:noHBand="0" w:noVBand="1"/>
      </w:tblPr>
      <w:tblGrid>
        <w:gridCol w:w="1738"/>
        <w:gridCol w:w="3123"/>
        <w:gridCol w:w="2059"/>
        <w:gridCol w:w="2430"/>
      </w:tblGrid>
      <w:tr w:rsidR="003A5893" w:rsidRPr="001F6D3E" w14:paraId="18B648A5" w14:textId="77777777" w:rsidTr="008F19AE">
        <w:tc>
          <w:tcPr>
            <w:tcW w:w="0" w:type="auto"/>
            <w:hideMark/>
          </w:tcPr>
          <w:p w14:paraId="34C662F9" w14:textId="77777777" w:rsidR="003A5893" w:rsidRPr="001F6D3E" w:rsidRDefault="003A5893" w:rsidP="003A5893">
            <w:pPr>
              <w:spacing w:after="160" w:line="259" w:lineRule="auto"/>
              <w:rPr>
                <w:rFonts w:ascii="Arial" w:hAnsi="Arial" w:cs="Arial"/>
              </w:rPr>
            </w:pPr>
            <w:r w:rsidRPr="001F6D3E">
              <w:rPr>
                <w:rFonts w:ascii="Arial" w:hAnsi="Arial" w:cs="Arial"/>
              </w:rPr>
              <w:t>Ratio</w:t>
            </w:r>
          </w:p>
        </w:tc>
        <w:tc>
          <w:tcPr>
            <w:tcW w:w="0" w:type="auto"/>
            <w:hideMark/>
          </w:tcPr>
          <w:p w14:paraId="39CFC126" w14:textId="77777777" w:rsidR="003A5893" w:rsidRPr="001F6D3E" w:rsidRDefault="003A5893" w:rsidP="003A5893">
            <w:pPr>
              <w:spacing w:after="160" w:line="259" w:lineRule="auto"/>
              <w:rPr>
                <w:rFonts w:ascii="Arial" w:hAnsi="Arial" w:cs="Arial"/>
              </w:rPr>
            </w:pPr>
            <w:r w:rsidRPr="001F6D3E">
              <w:rPr>
                <w:rFonts w:ascii="Arial" w:hAnsi="Arial" w:cs="Arial"/>
              </w:rPr>
              <w:t>Formula</w:t>
            </w:r>
          </w:p>
        </w:tc>
        <w:tc>
          <w:tcPr>
            <w:tcW w:w="2059" w:type="dxa"/>
            <w:hideMark/>
          </w:tcPr>
          <w:p w14:paraId="7231AEB6" w14:textId="77777777" w:rsidR="003A5893" w:rsidRPr="001F6D3E" w:rsidRDefault="003A5893" w:rsidP="003A5893">
            <w:pPr>
              <w:spacing w:after="160" w:line="259" w:lineRule="auto"/>
              <w:rPr>
                <w:rFonts w:ascii="Arial" w:hAnsi="Arial" w:cs="Arial"/>
              </w:rPr>
            </w:pPr>
            <w:r w:rsidRPr="001F6D3E">
              <w:rPr>
                <w:rFonts w:ascii="Arial" w:hAnsi="Arial" w:cs="Arial"/>
              </w:rPr>
              <w:t>Actual 2024</w:t>
            </w:r>
          </w:p>
        </w:tc>
        <w:tc>
          <w:tcPr>
            <w:tcW w:w="2430" w:type="dxa"/>
            <w:hideMark/>
          </w:tcPr>
          <w:p w14:paraId="77086923" w14:textId="77777777" w:rsidR="003A5893" w:rsidRPr="001F6D3E" w:rsidRDefault="003A5893" w:rsidP="003A5893">
            <w:pPr>
              <w:spacing w:after="160" w:line="259" w:lineRule="auto"/>
              <w:rPr>
                <w:rFonts w:ascii="Arial" w:hAnsi="Arial" w:cs="Arial"/>
              </w:rPr>
            </w:pPr>
            <w:r w:rsidRPr="001F6D3E">
              <w:rPr>
                <w:rFonts w:ascii="Arial" w:hAnsi="Arial" w:cs="Arial"/>
              </w:rPr>
              <w:t>Pro</w:t>
            </w:r>
            <w:r w:rsidRPr="001F6D3E">
              <w:rPr>
                <w:rFonts w:ascii="Arial" w:hAnsi="Arial" w:cs="Arial"/>
              </w:rPr>
              <w:noBreakHyphen/>
              <w:t>Forma 2024</w:t>
            </w:r>
          </w:p>
        </w:tc>
      </w:tr>
      <w:tr w:rsidR="003A5893" w:rsidRPr="001F6D3E" w14:paraId="598ABEFD" w14:textId="77777777" w:rsidTr="008F19AE">
        <w:tc>
          <w:tcPr>
            <w:tcW w:w="0" w:type="auto"/>
            <w:hideMark/>
          </w:tcPr>
          <w:p w14:paraId="240DAF32" w14:textId="77777777" w:rsidR="003A5893" w:rsidRPr="001F6D3E" w:rsidRDefault="003A5893" w:rsidP="003A5893">
            <w:pPr>
              <w:spacing w:after="160" w:line="259" w:lineRule="auto"/>
              <w:rPr>
                <w:rFonts w:ascii="Arial" w:hAnsi="Arial" w:cs="Arial"/>
              </w:rPr>
            </w:pPr>
            <w:r w:rsidRPr="001F6D3E">
              <w:rPr>
                <w:rFonts w:ascii="Arial" w:hAnsi="Arial" w:cs="Arial"/>
              </w:rPr>
              <w:t>Debt to Equity</w:t>
            </w:r>
          </w:p>
        </w:tc>
        <w:tc>
          <w:tcPr>
            <w:tcW w:w="0" w:type="auto"/>
            <w:hideMark/>
          </w:tcPr>
          <w:p w14:paraId="3C06CF0E" w14:textId="77777777" w:rsidR="003A5893" w:rsidRPr="001F6D3E" w:rsidRDefault="003A5893" w:rsidP="003A5893">
            <w:pPr>
              <w:spacing w:after="160" w:line="259" w:lineRule="auto"/>
              <w:rPr>
                <w:rFonts w:ascii="Arial" w:hAnsi="Arial" w:cs="Arial"/>
              </w:rPr>
            </w:pPr>
            <w:r w:rsidRPr="001F6D3E">
              <w:rPr>
                <w:rFonts w:ascii="Arial" w:hAnsi="Arial" w:cs="Arial"/>
              </w:rPr>
              <w:t>Total Liabilities / Equity</w:t>
            </w:r>
          </w:p>
        </w:tc>
        <w:tc>
          <w:tcPr>
            <w:tcW w:w="2059" w:type="dxa"/>
            <w:hideMark/>
          </w:tcPr>
          <w:p w14:paraId="6C422745" w14:textId="77777777" w:rsidR="003A5893" w:rsidRPr="001F6D3E" w:rsidRDefault="003A5893" w:rsidP="003A5893">
            <w:pPr>
              <w:spacing w:after="160" w:line="259" w:lineRule="auto"/>
              <w:rPr>
                <w:rFonts w:ascii="Arial" w:hAnsi="Arial" w:cs="Arial"/>
              </w:rPr>
            </w:pPr>
            <w:r w:rsidRPr="001F6D3E">
              <w:rPr>
                <w:rFonts w:ascii="Arial" w:hAnsi="Arial" w:cs="Arial"/>
              </w:rPr>
              <w:t>1.11</w:t>
            </w:r>
          </w:p>
        </w:tc>
        <w:tc>
          <w:tcPr>
            <w:tcW w:w="2430" w:type="dxa"/>
            <w:hideMark/>
          </w:tcPr>
          <w:p w14:paraId="40E98471" w14:textId="77777777" w:rsidR="003A5893" w:rsidRPr="001F6D3E" w:rsidRDefault="003A5893" w:rsidP="003A5893">
            <w:pPr>
              <w:spacing w:after="160" w:line="259" w:lineRule="auto"/>
              <w:rPr>
                <w:rFonts w:ascii="Arial" w:hAnsi="Arial" w:cs="Arial"/>
              </w:rPr>
            </w:pPr>
            <w:r w:rsidRPr="001F6D3E">
              <w:rPr>
                <w:rFonts w:ascii="Arial" w:hAnsi="Arial" w:cs="Arial"/>
              </w:rPr>
              <w:t>0.91</w:t>
            </w:r>
          </w:p>
        </w:tc>
      </w:tr>
      <w:tr w:rsidR="003A5893" w:rsidRPr="001F6D3E" w14:paraId="57ABAC77" w14:textId="77777777" w:rsidTr="008F19AE">
        <w:tc>
          <w:tcPr>
            <w:tcW w:w="0" w:type="auto"/>
            <w:hideMark/>
          </w:tcPr>
          <w:p w14:paraId="3ACDC4E1" w14:textId="77777777" w:rsidR="003A5893" w:rsidRPr="001F6D3E" w:rsidRDefault="003A5893" w:rsidP="003A5893">
            <w:pPr>
              <w:spacing w:after="160" w:line="259" w:lineRule="auto"/>
              <w:rPr>
                <w:rFonts w:ascii="Arial" w:hAnsi="Arial" w:cs="Arial"/>
              </w:rPr>
            </w:pPr>
            <w:r w:rsidRPr="001F6D3E">
              <w:rPr>
                <w:rFonts w:ascii="Arial" w:hAnsi="Arial" w:cs="Arial"/>
              </w:rPr>
              <w:t>Debt to Capital</w:t>
            </w:r>
          </w:p>
        </w:tc>
        <w:tc>
          <w:tcPr>
            <w:tcW w:w="0" w:type="auto"/>
            <w:hideMark/>
          </w:tcPr>
          <w:p w14:paraId="0306C4D5" w14:textId="77777777" w:rsidR="003A5893" w:rsidRPr="001F6D3E" w:rsidRDefault="003A5893" w:rsidP="003A5893">
            <w:pPr>
              <w:spacing w:after="160" w:line="259" w:lineRule="auto"/>
              <w:rPr>
                <w:rFonts w:ascii="Arial" w:hAnsi="Arial" w:cs="Arial"/>
              </w:rPr>
            </w:pPr>
            <w:r w:rsidRPr="001F6D3E">
              <w:rPr>
                <w:rFonts w:ascii="Arial" w:hAnsi="Arial" w:cs="Arial"/>
              </w:rPr>
              <w:t>Liabilities / (Liabilities + Equity)</w:t>
            </w:r>
          </w:p>
        </w:tc>
        <w:tc>
          <w:tcPr>
            <w:tcW w:w="2059" w:type="dxa"/>
            <w:hideMark/>
          </w:tcPr>
          <w:p w14:paraId="35B9D1BB" w14:textId="77777777" w:rsidR="003A5893" w:rsidRPr="001F6D3E" w:rsidRDefault="003A5893" w:rsidP="003A5893">
            <w:pPr>
              <w:spacing w:after="160" w:line="259" w:lineRule="auto"/>
              <w:rPr>
                <w:rFonts w:ascii="Arial" w:hAnsi="Arial" w:cs="Arial"/>
              </w:rPr>
            </w:pPr>
            <w:r w:rsidRPr="001F6D3E">
              <w:rPr>
                <w:rFonts w:ascii="Arial" w:hAnsi="Arial" w:cs="Arial"/>
              </w:rPr>
              <w:t>0.53</w:t>
            </w:r>
          </w:p>
        </w:tc>
        <w:tc>
          <w:tcPr>
            <w:tcW w:w="2430" w:type="dxa"/>
            <w:hideMark/>
          </w:tcPr>
          <w:p w14:paraId="34AFCF2C" w14:textId="77777777" w:rsidR="003A5893" w:rsidRPr="001F6D3E" w:rsidRDefault="003A5893" w:rsidP="003A5893">
            <w:pPr>
              <w:spacing w:after="160" w:line="259" w:lineRule="auto"/>
              <w:rPr>
                <w:rFonts w:ascii="Arial" w:hAnsi="Arial" w:cs="Arial"/>
              </w:rPr>
            </w:pPr>
            <w:r w:rsidRPr="001F6D3E">
              <w:rPr>
                <w:rFonts w:ascii="Arial" w:hAnsi="Arial" w:cs="Arial"/>
              </w:rPr>
              <w:t>0.48</w:t>
            </w:r>
          </w:p>
        </w:tc>
      </w:tr>
      <w:tr w:rsidR="003A5893" w:rsidRPr="001F6D3E" w14:paraId="75C0728F" w14:textId="77777777" w:rsidTr="008F19AE">
        <w:tc>
          <w:tcPr>
            <w:tcW w:w="0" w:type="auto"/>
            <w:hideMark/>
          </w:tcPr>
          <w:p w14:paraId="70043721" w14:textId="77777777" w:rsidR="003A5893" w:rsidRPr="001F6D3E" w:rsidRDefault="003A5893" w:rsidP="003A5893">
            <w:pPr>
              <w:spacing w:after="160" w:line="259" w:lineRule="auto"/>
              <w:rPr>
                <w:rFonts w:ascii="Arial" w:hAnsi="Arial" w:cs="Arial"/>
              </w:rPr>
            </w:pPr>
            <w:r w:rsidRPr="001F6D3E">
              <w:rPr>
                <w:rFonts w:ascii="Arial" w:hAnsi="Arial" w:cs="Arial"/>
              </w:rPr>
              <w:t>Equity Multiplier</w:t>
            </w:r>
          </w:p>
        </w:tc>
        <w:tc>
          <w:tcPr>
            <w:tcW w:w="0" w:type="auto"/>
            <w:hideMark/>
          </w:tcPr>
          <w:p w14:paraId="6CC3EE63" w14:textId="77777777" w:rsidR="003A5893" w:rsidRPr="001F6D3E" w:rsidRDefault="003A5893" w:rsidP="003A5893">
            <w:pPr>
              <w:spacing w:after="160" w:line="259" w:lineRule="auto"/>
              <w:rPr>
                <w:rFonts w:ascii="Arial" w:hAnsi="Arial" w:cs="Arial"/>
              </w:rPr>
            </w:pPr>
            <w:r w:rsidRPr="001F6D3E">
              <w:rPr>
                <w:rFonts w:ascii="Arial" w:hAnsi="Arial" w:cs="Arial"/>
              </w:rPr>
              <w:t>Total Assets / Equity</w:t>
            </w:r>
          </w:p>
        </w:tc>
        <w:tc>
          <w:tcPr>
            <w:tcW w:w="2059" w:type="dxa"/>
            <w:hideMark/>
          </w:tcPr>
          <w:p w14:paraId="339D407B" w14:textId="77777777" w:rsidR="003A5893" w:rsidRPr="001F6D3E" w:rsidRDefault="003A5893" w:rsidP="003A5893">
            <w:pPr>
              <w:spacing w:after="160" w:line="259" w:lineRule="auto"/>
              <w:rPr>
                <w:rFonts w:ascii="Arial" w:hAnsi="Arial" w:cs="Arial"/>
              </w:rPr>
            </w:pPr>
            <w:r w:rsidRPr="001F6D3E">
              <w:rPr>
                <w:rFonts w:ascii="Arial" w:hAnsi="Arial" w:cs="Arial"/>
              </w:rPr>
              <w:t>2.11</w:t>
            </w:r>
          </w:p>
        </w:tc>
        <w:tc>
          <w:tcPr>
            <w:tcW w:w="2430" w:type="dxa"/>
            <w:hideMark/>
          </w:tcPr>
          <w:p w14:paraId="32BF738B" w14:textId="77777777" w:rsidR="003A5893" w:rsidRPr="001F6D3E" w:rsidRDefault="003A5893" w:rsidP="003A5893">
            <w:pPr>
              <w:spacing w:after="160" w:line="259" w:lineRule="auto"/>
              <w:rPr>
                <w:rFonts w:ascii="Arial" w:hAnsi="Arial" w:cs="Arial"/>
              </w:rPr>
            </w:pPr>
            <w:r w:rsidRPr="001F6D3E">
              <w:rPr>
                <w:rFonts w:ascii="Arial" w:hAnsi="Arial" w:cs="Arial"/>
              </w:rPr>
              <w:t>1.91</w:t>
            </w:r>
          </w:p>
        </w:tc>
      </w:tr>
    </w:tbl>
    <w:p w14:paraId="72F7DAB2" w14:textId="77777777" w:rsidR="003A5893" w:rsidRPr="001F6D3E" w:rsidRDefault="003A5893" w:rsidP="003A5893">
      <w:pPr>
        <w:rPr>
          <w:rFonts w:ascii="Arial" w:hAnsi="Arial" w:cs="Arial"/>
        </w:rPr>
      </w:pPr>
      <w:r w:rsidRPr="001F6D3E">
        <w:rPr>
          <w:rFonts w:ascii="Arial" w:hAnsi="Arial" w:cs="Arial"/>
        </w:rPr>
        <w:t>The pro</w:t>
      </w:r>
      <w:r w:rsidRPr="001F6D3E">
        <w:rPr>
          <w:rFonts w:ascii="Arial" w:hAnsi="Arial" w:cs="Arial"/>
        </w:rPr>
        <w:noBreakHyphen/>
        <w:t>forma results demonstrate a material reduction in leverage and improved balance</w:t>
      </w:r>
      <w:r w:rsidRPr="001F6D3E">
        <w:rPr>
          <w:rFonts w:ascii="Arial" w:hAnsi="Arial" w:cs="Arial"/>
        </w:rPr>
        <w:noBreakHyphen/>
        <w:t>sheet resilience.</w:t>
      </w:r>
      <w:r w:rsidR="007928F2">
        <w:rPr>
          <w:rFonts w:ascii="Arial" w:hAnsi="Arial" w:cs="Arial"/>
        </w:rPr>
        <w:t xml:space="preserve"> (Self-Analyzed)</w:t>
      </w:r>
    </w:p>
    <w:p w14:paraId="298DDD85" w14:textId="77777777" w:rsidR="003A5893" w:rsidRPr="001612E6" w:rsidRDefault="003A5893" w:rsidP="001D5163">
      <w:pPr>
        <w:pStyle w:val="Heading2"/>
      </w:pPr>
      <w:bookmarkStart w:id="76" w:name="_Toc216756001"/>
      <w:bookmarkStart w:id="77" w:name="_Toc217238053"/>
      <w:r w:rsidRPr="001612E6">
        <w:t>Table C3: Interest Coverage Sensitivity</w:t>
      </w:r>
      <w:bookmarkEnd w:id="76"/>
      <w:bookmarkEnd w:id="77"/>
    </w:p>
    <w:tbl>
      <w:tblPr>
        <w:tblStyle w:val="TableGrid"/>
        <w:tblW w:w="0" w:type="auto"/>
        <w:tblLook w:val="04A0" w:firstRow="1" w:lastRow="0" w:firstColumn="1" w:lastColumn="0" w:noHBand="0" w:noVBand="1"/>
      </w:tblPr>
      <w:tblGrid>
        <w:gridCol w:w="3346"/>
        <w:gridCol w:w="3034"/>
        <w:gridCol w:w="2970"/>
      </w:tblGrid>
      <w:tr w:rsidR="003A5893" w:rsidRPr="001F6D3E" w14:paraId="488FBF80" w14:textId="77777777" w:rsidTr="008F19AE">
        <w:tc>
          <w:tcPr>
            <w:tcW w:w="0" w:type="auto"/>
            <w:hideMark/>
          </w:tcPr>
          <w:p w14:paraId="4277FEB9" w14:textId="77777777" w:rsidR="003A5893" w:rsidRPr="001F6D3E" w:rsidRDefault="003A5893" w:rsidP="003A5893">
            <w:pPr>
              <w:spacing w:after="160" w:line="259" w:lineRule="auto"/>
              <w:rPr>
                <w:rFonts w:ascii="Arial" w:hAnsi="Arial" w:cs="Arial"/>
              </w:rPr>
            </w:pPr>
            <w:r w:rsidRPr="001F6D3E">
              <w:rPr>
                <w:rFonts w:ascii="Arial" w:hAnsi="Arial" w:cs="Arial"/>
              </w:rPr>
              <w:t>Item</w:t>
            </w:r>
          </w:p>
        </w:tc>
        <w:tc>
          <w:tcPr>
            <w:tcW w:w="3034" w:type="dxa"/>
            <w:hideMark/>
          </w:tcPr>
          <w:p w14:paraId="1073DD05" w14:textId="77777777" w:rsidR="003A5893" w:rsidRPr="001F6D3E" w:rsidRDefault="003A5893" w:rsidP="003A5893">
            <w:pPr>
              <w:spacing w:after="160" w:line="259" w:lineRule="auto"/>
              <w:rPr>
                <w:rFonts w:ascii="Arial" w:hAnsi="Arial" w:cs="Arial"/>
              </w:rPr>
            </w:pPr>
            <w:r w:rsidRPr="001F6D3E">
              <w:rPr>
                <w:rFonts w:ascii="Arial" w:hAnsi="Arial" w:cs="Arial"/>
              </w:rPr>
              <w:t>Actual 2024</w:t>
            </w:r>
          </w:p>
        </w:tc>
        <w:tc>
          <w:tcPr>
            <w:tcW w:w="2970" w:type="dxa"/>
            <w:hideMark/>
          </w:tcPr>
          <w:p w14:paraId="47F2CC2D" w14:textId="77777777" w:rsidR="003A5893" w:rsidRPr="001F6D3E" w:rsidRDefault="003A5893" w:rsidP="003A5893">
            <w:pPr>
              <w:spacing w:after="160" w:line="259" w:lineRule="auto"/>
              <w:rPr>
                <w:rFonts w:ascii="Arial" w:hAnsi="Arial" w:cs="Arial"/>
              </w:rPr>
            </w:pPr>
            <w:r w:rsidRPr="001F6D3E">
              <w:rPr>
                <w:rFonts w:ascii="Arial" w:hAnsi="Arial" w:cs="Arial"/>
              </w:rPr>
              <w:t>Pro</w:t>
            </w:r>
            <w:r w:rsidRPr="001F6D3E">
              <w:rPr>
                <w:rFonts w:ascii="Arial" w:hAnsi="Arial" w:cs="Arial"/>
              </w:rPr>
              <w:noBreakHyphen/>
              <w:t>Forma 2024</w:t>
            </w:r>
          </w:p>
        </w:tc>
      </w:tr>
      <w:tr w:rsidR="003A5893" w:rsidRPr="001F6D3E" w14:paraId="3604C29B" w14:textId="77777777" w:rsidTr="008F19AE">
        <w:tc>
          <w:tcPr>
            <w:tcW w:w="0" w:type="auto"/>
            <w:hideMark/>
          </w:tcPr>
          <w:p w14:paraId="4DB27395" w14:textId="77777777" w:rsidR="003A5893" w:rsidRPr="001F6D3E" w:rsidRDefault="003A5893" w:rsidP="003A5893">
            <w:pPr>
              <w:spacing w:after="160" w:line="259" w:lineRule="auto"/>
              <w:rPr>
                <w:rFonts w:ascii="Arial" w:hAnsi="Arial" w:cs="Arial"/>
              </w:rPr>
            </w:pPr>
            <w:r w:rsidRPr="001F6D3E">
              <w:rPr>
                <w:rFonts w:ascii="Arial" w:hAnsi="Arial" w:cs="Arial"/>
              </w:rPr>
              <w:t>EBIT (£ million)</w:t>
            </w:r>
          </w:p>
        </w:tc>
        <w:tc>
          <w:tcPr>
            <w:tcW w:w="3034" w:type="dxa"/>
            <w:hideMark/>
          </w:tcPr>
          <w:p w14:paraId="5208EC0D" w14:textId="77777777" w:rsidR="003A5893" w:rsidRPr="001F6D3E" w:rsidRDefault="003A5893" w:rsidP="003A5893">
            <w:pPr>
              <w:spacing w:after="160" w:line="259" w:lineRule="auto"/>
              <w:rPr>
                <w:rFonts w:ascii="Arial" w:hAnsi="Arial" w:cs="Arial"/>
              </w:rPr>
            </w:pPr>
            <w:r w:rsidRPr="001F6D3E">
              <w:rPr>
                <w:rFonts w:ascii="Arial" w:hAnsi="Arial" w:cs="Arial"/>
              </w:rPr>
              <w:t>−15,297</w:t>
            </w:r>
          </w:p>
        </w:tc>
        <w:tc>
          <w:tcPr>
            <w:tcW w:w="2970" w:type="dxa"/>
            <w:hideMark/>
          </w:tcPr>
          <w:p w14:paraId="3B548F28" w14:textId="77777777" w:rsidR="003A5893" w:rsidRPr="001F6D3E" w:rsidRDefault="003A5893" w:rsidP="003A5893">
            <w:pPr>
              <w:spacing w:after="160" w:line="259" w:lineRule="auto"/>
              <w:rPr>
                <w:rFonts w:ascii="Arial" w:hAnsi="Arial" w:cs="Arial"/>
              </w:rPr>
            </w:pPr>
            <w:r w:rsidRPr="001F6D3E">
              <w:rPr>
                <w:rFonts w:ascii="Arial" w:hAnsi="Arial" w:cs="Arial"/>
              </w:rPr>
              <w:t>−15,297</w:t>
            </w:r>
          </w:p>
        </w:tc>
      </w:tr>
      <w:tr w:rsidR="003A5893" w:rsidRPr="001F6D3E" w14:paraId="23EF2229" w14:textId="77777777" w:rsidTr="008F19AE">
        <w:tc>
          <w:tcPr>
            <w:tcW w:w="0" w:type="auto"/>
            <w:hideMark/>
          </w:tcPr>
          <w:p w14:paraId="6FAA7C50" w14:textId="77777777" w:rsidR="003A5893" w:rsidRPr="001F6D3E" w:rsidRDefault="003A5893" w:rsidP="003A5893">
            <w:pPr>
              <w:spacing w:after="160" w:line="259" w:lineRule="auto"/>
              <w:rPr>
                <w:rFonts w:ascii="Arial" w:hAnsi="Arial" w:cs="Arial"/>
              </w:rPr>
            </w:pPr>
            <w:r w:rsidRPr="001F6D3E">
              <w:rPr>
                <w:rFonts w:ascii="Arial" w:hAnsi="Arial" w:cs="Arial"/>
              </w:rPr>
              <w:t>Interest Expense (£ million)</w:t>
            </w:r>
          </w:p>
        </w:tc>
        <w:tc>
          <w:tcPr>
            <w:tcW w:w="3034" w:type="dxa"/>
            <w:hideMark/>
          </w:tcPr>
          <w:p w14:paraId="7A6FF841" w14:textId="77777777" w:rsidR="003A5893" w:rsidRPr="001F6D3E" w:rsidRDefault="003A5893" w:rsidP="003A5893">
            <w:pPr>
              <w:spacing w:after="160" w:line="259" w:lineRule="auto"/>
              <w:rPr>
                <w:rFonts w:ascii="Arial" w:hAnsi="Arial" w:cs="Arial"/>
              </w:rPr>
            </w:pPr>
            <w:r w:rsidRPr="001F6D3E">
              <w:rPr>
                <w:rFonts w:ascii="Arial" w:hAnsi="Arial" w:cs="Arial"/>
              </w:rPr>
              <w:t>3,361</w:t>
            </w:r>
          </w:p>
        </w:tc>
        <w:tc>
          <w:tcPr>
            <w:tcW w:w="2970" w:type="dxa"/>
            <w:hideMark/>
          </w:tcPr>
          <w:p w14:paraId="3493C4BC" w14:textId="77777777" w:rsidR="003A5893" w:rsidRPr="001F6D3E" w:rsidRDefault="003A5893" w:rsidP="003A5893">
            <w:pPr>
              <w:spacing w:after="160" w:line="259" w:lineRule="auto"/>
              <w:rPr>
                <w:rFonts w:ascii="Arial" w:hAnsi="Arial" w:cs="Arial"/>
              </w:rPr>
            </w:pPr>
            <w:r w:rsidRPr="001F6D3E">
              <w:rPr>
                <w:rFonts w:ascii="Arial" w:hAnsi="Arial" w:cs="Arial"/>
              </w:rPr>
              <w:t>2,857</w:t>
            </w:r>
          </w:p>
        </w:tc>
      </w:tr>
      <w:tr w:rsidR="003A5893" w:rsidRPr="001F6D3E" w14:paraId="0BD9A432" w14:textId="77777777" w:rsidTr="008F19AE">
        <w:tc>
          <w:tcPr>
            <w:tcW w:w="0" w:type="auto"/>
            <w:hideMark/>
          </w:tcPr>
          <w:p w14:paraId="27FE4BC6" w14:textId="77777777" w:rsidR="003A5893" w:rsidRPr="001F6D3E" w:rsidRDefault="003A5893" w:rsidP="003A5893">
            <w:pPr>
              <w:spacing w:after="160" w:line="259" w:lineRule="auto"/>
              <w:rPr>
                <w:rFonts w:ascii="Arial" w:hAnsi="Arial" w:cs="Arial"/>
              </w:rPr>
            </w:pPr>
            <w:r w:rsidRPr="001F6D3E">
              <w:rPr>
                <w:rFonts w:ascii="Arial" w:hAnsi="Arial" w:cs="Arial"/>
              </w:rPr>
              <w:t>Interest Coverage (EBIT / Interest)</w:t>
            </w:r>
          </w:p>
        </w:tc>
        <w:tc>
          <w:tcPr>
            <w:tcW w:w="3034" w:type="dxa"/>
            <w:hideMark/>
          </w:tcPr>
          <w:p w14:paraId="61ADAC57" w14:textId="77777777" w:rsidR="003A5893" w:rsidRPr="001F6D3E" w:rsidRDefault="003A5893" w:rsidP="003A5893">
            <w:pPr>
              <w:spacing w:after="160" w:line="259" w:lineRule="auto"/>
              <w:rPr>
                <w:rFonts w:ascii="Arial" w:hAnsi="Arial" w:cs="Arial"/>
              </w:rPr>
            </w:pPr>
            <w:r w:rsidRPr="001F6D3E">
              <w:rPr>
                <w:rFonts w:ascii="Arial" w:hAnsi="Arial" w:cs="Arial"/>
              </w:rPr>
              <w:t>−4.55</w:t>
            </w:r>
          </w:p>
        </w:tc>
        <w:tc>
          <w:tcPr>
            <w:tcW w:w="2970" w:type="dxa"/>
            <w:hideMark/>
          </w:tcPr>
          <w:p w14:paraId="5EB97566" w14:textId="77777777" w:rsidR="003A5893" w:rsidRPr="001F6D3E" w:rsidRDefault="003A5893" w:rsidP="003A5893">
            <w:pPr>
              <w:spacing w:after="160" w:line="259" w:lineRule="auto"/>
              <w:rPr>
                <w:rFonts w:ascii="Arial" w:hAnsi="Arial" w:cs="Arial"/>
              </w:rPr>
            </w:pPr>
            <w:r w:rsidRPr="001F6D3E">
              <w:rPr>
                <w:rFonts w:ascii="Arial" w:hAnsi="Arial" w:cs="Arial"/>
              </w:rPr>
              <w:t>−3.36</w:t>
            </w:r>
          </w:p>
        </w:tc>
      </w:tr>
    </w:tbl>
    <w:p w14:paraId="377CD959" w14:textId="77777777" w:rsidR="003A5893" w:rsidRPr="001F6D3E" w:rsidRDefault="003A5893" w:rsidP="003A5893">
      <w:pPr>
        <w:rPr>
          <w:rFonts w:ascii="Arial" w:hAnsi="Arial" w:cs="Arial"/>
        </w:rPr>
      </w:pPr>
      <w:r w:rsidRPr="001F6D3E">
        <w:rPr>
          <w:rFonts w:ascii="Arial" w:hAnsi="Arial" w:cs="Arial"/>
        </w:rPr>
        <w:t>Note: Interest expense is reduced proportionally to the £10,000 million debt repayment.</w:t>
      </w:r>
      <w:r w:rsidR="007928F2">
        <w:rPr>
          <w:rFonts w:ascii="Arial" w:hAnsi="Arial" w:cs="Arial"/>
        </w:rPr>
        <w:t xml:space="preserve"> (Self-Analyzed)</w:t>
      </w:r>
    </w:p>
    <w:p w14:paraId="4BAAF43D" w14:textId="77777777" w:rsidR="003A5893" w:rsidRPr="001612E6" w:rsidRDefault="003A5893" w:rsidP="001D5163">
      <w:pPr>
        <w:pStyle w:val="Heading2"/>
      </w:pPr>
      <w:bookmarkStart w:id="78" w:name="_Toc216756002"/>
      <w:bookmarkStart w:id="79" w:name="_Toc217238054"/>
      <w:r w:rsidRPr="001612E6">
        <w:t>Table C4: Equity Dilution and EPS Impact</w:t>
      </w:r>
      <w:bookmarkEnd w:id="78"/>
      <w:bookmarkEnd w:id="79"/>
    </w:p>
    <w:tbl>
      <w:tblPr>
        <w:tblStyle w:val="TableGrid"/>
        <w:tblW w:w="0" w:type="auto"/>
        <w:tblLook w:val="04A0" w:firstRow="1" w:lastRow="0" w:firstColumn="1" w:lastColumn="0" w:noHBand="0" w:noVBand="1"/>
      </w:tblPr>
      <w:tblGrid>
        <w:gridCol w:w="2839"/>
        <w:gridCol w:w="3361"/>
        <w:gridCol w:w="3150"/>
      </w:tblGrid>
      <w:tr w:rsidR="003A5893" w:rsidRPr="001F6D3E" w14:paraId="378CFA19" w14:textId="77777777" w:rsidTr="008F19AE">
        <w:tc>
          <w:tcPr>
            <w:tcW w:w="0" w:type="auto"/>
            <w:hideMark/>
          </w:tcPr>
          <w:p w14:paraId="786897E1" w14:textId="77777777" w:rsidR="003A5893" w:rsidRPr="001F6D3E" w:rsidRDefault="003A5893" w:rsidP="003A5893">
            <w:pPr>
              <w:spacing w:after="160" w:line="259" w:lineRule="auto"/>
              <w:rPr>
                <w:rFonts w:ascii="Arial" w:hAnsi="Arial" w:cs="Arial"/>
              </w:rPr>
            </w:pPr>
            <w:r w:rsidRPr="001F6D3E">
              <w:rPr>
                <w:rFonts w:ascii="Arial" w:hAnsi="Arial" w:cs="Arial"/>
              </w:rPr>
              <w:t>Item</w:t>
            </w:r>
          </w:p>
        </w:tc>
        <w:tc>
          <w:tcPr>
            <w:tcW w:w="3361" w:type="dxa"/>
            <w:hideMark/>
          </w:tcPr>
          <w:p w14:paraId="5F979D21" w14:textId="77777777" w:rsidR="003A5893" w:rsidRPr="001F6D3E" w:rsidRDefault="003A5893" w:rsidP="003A5893">
            <w:pPr>
              <w:spacing w:after="160" w:line="259" w:lineRule="auto"/>
              <w:rPr>
                <w:rFonts w:ascii="Arial" w:hAnsi="Arial" w:cs="Arial"/>
              </w:rPr>
            </w:pPr>
            <w:r w:rsidRPr="001F6D3E">
              <w:rPr>
                <w:rFonts w:ascii="Arial" w:hAnsi="Arial" w:cs="Arial"/>
              </w:rPr>
              <w:t>Actual 2024</w:t>
            </w:r>
          </w:p>
        </w:tc>
        <w:tc>
          <w:tcPr>
            <w:tcW w:w="3150" w:type="dxa"/>
            <w:hideMark/>
          </w:tcPr>
          <w:p w14:paraId="5673E7B5" w14:textId="77777777" w:rsidR="003A5893" w:rsidRPr="001F6D3E" w:rsidRDefault="003A5893" w:rsidP="003A5893">
            <w:pPr>
              <w:spacing w:after="160" w:line="259" w:lineRule="auto"/>
              <w:rPr>
                <w:rFonts w:ascii="Arial" w:hAnsi="Arial" w:cs="Arial"/>
              </w:rPr>
            </w:pPr>
            <w:r w:rsidRPr="001F6D3E">
              <w:rPr>
                <w:rFonts w:ascii="Arial" w:hAnsi="Arial" w:cs="Arial"/>
              </w:rPr>
              <w:t>Pro</w:t>
            </w:r>
            <w:r w:rsidRPr="001F6D3E">
              <w:rPr>
                <w:rFonts w:ascii="Arial" w:hAnsi="Arial" w:cs="Arial"/>
              </w:rPr>
              <w:noBreakHyphen/>
              <w:t>Forma 2024</w:t>
            </w:r>
          </w:p>
        </w:tc>
      </w:tr>
      <w:tr w:rsidR="003A5893" w:rsidRPr="001F6D3E" w14:paraId="37A589B2" w14:textId="77777777" w:rsidTr="008F19AE">
        <w:tc>
          <w:tcPr>
            <w:tcW w:w="0" w:type="auto"/>
            <w:hideMark/>
          </w:tcPr>
          <w:p w14:paraId="366367C6" w14:textId="77777777" w:rsidR="003A5893" w:rsidRPr="001F6D3E" w:rsidRDefault="003A5893" w:rsidP="003A5893">
            <w:pPr>
              <w:spacing w:after="160" w:line="259" w:lineRule="auto"/>
              <w:rPr>
                <w:rFonts w:ascii="Arial" w:hAnsi="Arial" w:cs="Arial"/>
              </w:rPr>
            </w:pPr>
            <w:r w:rsidRPr="001F6D3E">
              <w:rPr>
                <w:rFonts w:ascii="Arial" w:hAnsi="Arial" w:cs="Arial"/>
              </w:rPr>
              <w:t>Shares Outstanding (million)</w:t>
            </w:r>
          </w:p>
        </w:tc>
        <w:tc>
          <w:tcPr>
            <w:tcW w:w="3361" w:type="dxa"/>
            <w:hideMark/>
          </w:tcPr>
          <w:p w14:paraId="1E90F6D7" w14:textId="77777777" w:rsidR="003A5893" w:rsidRPr="001F6D3E" w:rsidRDefault="003A5893" w:rsidP="003A5893">
            <w:pPr>
              <w:spacing w:after="160" w:line="259" w:lineRule="auto"/>
              <w:rPr>
                <w:rFonts w:ascii="Arial" w:hAnsi="Arial" w:cs="Arial"/>
              </w:rPr>
            </w:pPr>
            <w:r w:rsidRPr="001F6D3E">
              <w:rPr>
                <w:rFonts w:ascii="Arial" w:hAnsi="Arial" w:cs="Arial"/>
              </w:rPr>
              <w:t>12,959</w:t>
            </w:r>
          </w:p>
        </w:tc>
        <w:tc>
          <w:tcPr>
            <w:tcW w:w="3150" w:type="dxa"/>
            <w:hideMark/>
          </w:tcPr>
          <w:p w14:paraId="3A5A5CC3" w14:textId="77777777" w:rsidR="003A5893" w:rsidRPr="001F6D3E" w:rsidRDefault="003A5893" w:rsidP="003A5893">
            <w:pPr>
              <w:spacing w:after="160" w:line="259" w:lineRule="auto"/>
              <w:rPr>
                <w:rFonts w:ascii="Arial" w:hAnsi="Arial" w:cs="Arial"/>
              </w:rPr>
            </w:pPr>
            <w:r w:rsidRPr="001F6D3E">
              <w:rPr>
                <w:rFonts w:ascii="Arial" w:hAnsi="Arial" w:cs="Arial"/>
              </w:rPr>
              <w:t>14,903</w:t>
            </w:r>
          </w:p>
        </w:tc>
      </w:tr>
      <w:tr w:rsidR="003A5893" w:rsidRPr="001F6D3E" w14:paraId="6F846811" w14:textId="77777777" w:rsidTr="008F19AE">
        <w:tc>
          <w:tcPr>
            <w:tcW w:w="0" w:type="auto"/>
            <w:hideMark/>
          </w:tcPr>
          <w:p w14:paraId="64A037DF" w14:textId="77777777" w:rsidR="003A5893" w:rsidRPr="001F6D3E" w:rsidRDefault="003A5893" w:rsidP="003A5893">
            <w:pPr>
              <w:spacing w:after="160" w:line="259" w:lineRule="auto"/>
              <w:rPr>
                <w:rFonts w:ascii="Arial" w:hAnsi="Arial" w:cs="Arial"/>
              </w:rPr>
            </w:pPr>
            <w:r w:rsidRPr="001F6D3E">
              <w:rPr>
                <w:rFonts w:ascii="Arial" w:hAnsi="Arial" w:cs="Arial"/>
              </w:rPr>
              <w:t>Net Income (£ million)</w:t>
            </w:r>
          </w:p>
        </w:tc>
        <w:tc>
          <w:tcPr>
            <w:tcW w:w="3361" w:type="dxa"/>
            <w:hideMark/>
          </w:tcPr>
          <w:p w14:paraId="718C476A" w14:textId="77777777" w:rsidR="003A5893" w:rsidRPr="001F6D3E" w:rsidRDefault="003A5893" w:rsidP="003A5893">
            <w:pPr>
              <w:spacing w:after="160" w:line="259" w:lineRule="auto"/>
              <w:rPr>
                <w:rFonts w:ascii="Arial" w:hAnsi="Arial" w:cs="Arial"/>
              </w:rPr>
            </w:pPr>
            <w:r w:rsidRPr="001F6D3E">
              <w:rPr>
                <w:rFonts w:ascii="Arial" w:hAnsi="Arial" w:cs="Arial"/>
              </w:rPr>
              <w:t>−24,029</w:t>
            </w:r>
          </w:p>
        </w:tc>
        <w:tc>
          <w:tcPr>
            <w:tcW w:w="3150" w:type="dxa"/>
            <w:hideMark/>
          </w:tcPr>
          <w:p w14:paraId="2D9CB2CF" w14:textId="77777777" w:rsidR="003A5893" w:rsidRPr="001F6D3E" w:rsidRDefault="003A5893" w:rsidP="003A5893">
            <w:pPr>
              <w:spacing w:after="160" w:line="259" w:lineRule="auto"/>
              <w:rPr>
                <w:rFonts w:ascii="Arial" w:hAnsi="Arial" w:cs="Arial"/>
              </w:rPr>
            </w:pPr>
            <w:r w:rsidRPr="001F6D3E">
              <w:rPr>
                <w:rFonts w:ascii="Arial" w:hAnsi="Arial" w:cs="Arial"/>
              </w:rPr>
              <w:t>−24,029</w:t>
            </w:r>
          </w:p>
        </w:tc>
      </w:tr>
      <w:tr w:rsidR="003A5893" w:rsidRPr="001F6D3E" w14:paraId="0D05DF4A" w14:textId="77777777" w:rsidTr="008F19AE">
        <w:tc>
          <w:tcPr>
            <w:tcW w:w="0" w:type="auto"/>
            <w:hideMark/>
          </w:tcPr>
          <w:p w14:paraId="45994F35" w14:textId="77777777" w:rsidR="003A5893" w:rsidRPr="001F6D3E" w:rsidRDefault="003A5893" w:rsidP="003A5893">
            <w:pPr>
              <w:spacing w:after="160" w:line="259" w:lineRule="auto"/>
              <w:rPr>
                <w:rFonts w:ascii="Arial" w:hAnsi="Arial" w:cs="Arial"/>
              </w:rPr>
            </w:pPr>
            <w:r w:rsidRPr="001F6D3E">
              <w:rPr>
                <w:rFonts w:ascii="Arial" w:hAnsi="Arial" w:cs="Arial"/>
              </w:rPr>
              <w:t>Earnings per Share (£)</w:t>
            </w:r>
          </w:p>
        </w:tc>
        <w:tc>
          <w:tcPr>
            <w:tcW w:w="3361" w:type="dxa"/>
            <w:hideMark/>
          </w:tcPr>
          <w:p w14:paraId="258087FC" w14:textId="77777777" w:rsidR="003A5893" w:rsidRPr="001F6D3E" w:rsidRDefault="003A5893" w:rsidP="003A5893">
            <w:pPr>
              <w:spacing w:after="160" w:line="259" w:lineRule="auto"/>
              <w:rPr>
                <w:rFonts w:ascii="Arial" w:hAnsi="Arial" w:cs="Arial"/>
              </w:rPr>
            </w:pPr>
            <w:r w:rsidRPr="001F6D3E">
              <w:rPr>
                <w:rFonts w:ascii="Arial" w:hAnsi="Arial" w:cs="Arial"/>
              </w:rPr>
              <w:t>−1.85</w:t>
            </w:r>
          </w:p>
        </w:tc>
        <w:tc>
          <w:tcPr>
            <w:tcW w:w="3150" w:type="dxa"/>
            <w:hideMark/>
          </w:tcPr>
          <w:p w14:paraId="4EED9F52" w14:textId="77777777" w:rsidR="003A5893" w:rsidRPr="001F6D3E" w:rsidRDefault="003A5893" w:rsidP="003A5893">
            <w:pPr>
              <w:spacing w:after="160" w:line="259" w:lineRule="auto"/>
              <w:rPr>
                <w:rFonts w:ascii="Arial" w:hAnsi="Arial" w:cs="Arial"/>
              </w:rPr>
            </w:pPr>
            <w:r w:rsidRPr="001F6D3E">
              <w:rPr>
                <w:rFonts w:ascii="Arial" w:hAnsi="Arial" w:cs="Arial"/>
              </w:rPr>
              <w:t>−1.61</w:t>
            </w:r>
          </w:p>
        </w:tc>
      </w:tr>
    </w:tbl>
    <w:p w14:paraId="3553CCD6" w14:textId="77777777" w:rsidR="003A5893" w:rsidRPr="001F6D3E" w:rsidRDefault="003A5893" w:rsidP="003A5893">
      <w:pPr>
        <w:rPr>
          <w:rFonts w:ascii="Arial" w:hAnsi="Arial" w:cs="Arial"/>
        </w:rPr>
      </w:pPr>
      <w:r w:rsidRPr="001F6D3E">
        <w:rPr>
          <w:rFonts w:ascii="Arial" w:hAnsi="Arial" w:cs="Arial"/>
        </w:rPr>
        <w:lastRenderedPageBreak/>
        <w:t>The rights issue increases share count but reduces per</w:t>
      </w:r>
      <w:r w:rsidRPr="001F6D3E">
        <w:rPr>
          <w:rFonts w:ascii="Arial" w:hAnsi="Arial" w:cs="Arial"/>
        </w:rPr>
        <w:noBreakHyphen/>
        <w:t xml:space="preserve">share losses, indicating dilution with </w:t>
      </w:r>
      <w:proofErr w:type="spellStart"/>
      <w:r w:rsidRPr="001F6D3E">
        <w:rPr>
          <w:rFonts w:ascii="Arial" w:hAnsi="Arial" w:cs="Arial"/>
        </w:rPr>
        <w:t>stabilisation</w:t>
      </w:r>
      <w:proofErr w:type="spellEnd"/>
      <w:r w:rsidRPr="001F6D3E">
        <w:rPr>
          <w:rFonts w:ascii="Arial" w:hAnsi="Arial" w:cs="Arial"/>
        </w:rPr>
        <w:t xml:space="preserve"> benefits.</w:t>
      </w:r>
      <w:r w:rsidR="007928F2">
        <w:rPr>
          <w:rFonts w:ascii="Arial" w:hAnsi="Arial" w:cs="Arial"/>
        </w:rPr>
        <w:t xml:space="preserve"> (Self-Analyzed)</w:t>
      </w:r>
    </w:p>
    <w:p w14:paraId="6AE5F4FF" w14:textId="77777777" w:rsidR="003A5893" w:rsidRPr="001612E6" w:rsidRDefault="003A5893" w:rsidP="001D5163">
      <w:pPr>
        <w:pStyle w:val="Heading2"/>
      </w:pPr>
      <w:bookmarkStart w:id="80" w:name="_Toc216756003"/>
      <w:bookmarkStart w:id="81" w:name="_Toc217238055"/>
      <w:r w:rsidRPr="001612E6">
        <w:t>Table C5: Liquidity and Solvency Improvement Indicators</w:t>
      </w:r>
      <w:bookmarkEnd w:id="80"/>
      <w:bookmarkEnd w:id="81"/>
    </w:p>
    <w:tbl>
      <w:tblPr>
        <w:tblStyle w:val="TableGrid"/>
        <w:tblW w:w="0" w:type="auto"/>
        <w:tblLook w:val="04A0" w:firstRow="1" w:lastRow="0" w:firstColumn="1" w:lastColumn="0" w:noHBand="0" w:noVBand="1"/>
      </w:tblPr>
      <w:tblGrid>
        <w:gridCol w:w="3314"/>
        <w:gridCol w:w="3066"/>
        <w:gridCol w:w="2970"/>
      </w:tblGrid>
      <w:tr w:rsidR="003A5893" w:rsidRPr="001F6D3E" w14:paraId="1909A29E" w14:textId="77777777" w:rsidTr="008F19AE">
        <w:tc>
          <w:tcPr>
            <w:tcW w:w="0" w:type="auto"/>
            <w:hideMark/>
          </w:tcPr>
          <w:p w14:paraId="12F4D0E0" w14:textId="77777777" w:rsidR="003A5893" w:rsidRPr="001F6D3E" w:rsidRDefault="003A5893" w:rsidP="003A5893">
            <w:pPr>
              <w:spacing w:after="160" w:line="259" w:lineRule="auto"/>
              <w:rPr>
                <w:rFonts w:ascii="Arial" w:hAnsi="Arial" w:cs="Arial"/>
              </w:rPr>
            </w:pPr>
            <w:r w:rsidRPr="001F6D3E">
              <w:rPr>
                <w:rFonts w:ascii="Arial" w:hAnsi="Arial" w:cs="Arial"/>
              </w:rPr>
              <w:t>Metric</w:t>
            </w:r>
          </w:p>
        </w:tc>
        <w:tc>
          <w:tcPr>
            <w:tcW w:w="3066" w:type="dxa"/>
            <w:hideMark/>
          </w:tcPr>
          <w:p w14:paraId="54FDED20" w14:textId="77777777" w:rsidR="003A5893" w:rsidRPr="001F6D3E" w:rsidRDefault="003A5893" w:rsidP="003A5893">
            <w:pPr>
              <w:spacing w:after="160" w:line="259" w:lineRule="auto"/>
              <w:rPr>
                <w:rFonts w:ascii="Arial" w:hAnsi="Arial" w:cs="Arial"/>
              </w:rPr>
            </w:pPr>
            <w:r w:rsidRPr="001F6D3E">
              <w:rPr>
                <w:rFonts w:ascii="Arial" w:hAnsi="Arial" w:cs="Arial"/>
              </w:rPr>
              <w:t>Actual 2024</w:t>
            </w:r>
          </w:p>
        </w:tc>
        <w:tc>
          <w:tcPr>
            <w:tcW w:w="2970" w:type="dxa"/>
            <w:hideMark/>
          </w:tcPr>
          <w:p w14:paraId="2C7ED6F8" w14:textId="77777777" w:rsidR="003A5893" w:rsidRPr="001F6D3E" w:rsidRDefault="003A5893" w:rsidP="003A5893">
            <w:pPr>
              <w:spacing w:after="160" w:line="259" w:lineRule="auto"/>
              <w:rPr>
                <w:rFonts w:ascii="Arial" w:hAnsi="Arial" w:cs="Arial"/>
              </w:rPr>
            </w:pPr>
            <w:r w:rsidRPr="001F6D3E">
              <w:rPr>
                <w:rFonts w:ascii="Arial" w:hAnsi="Arial" w:cs="Arial"/>
              </w:rPr>
              <w:t>Pro</w:t>
            </w:r>
            <w:r w:rsidRPr="001F6D3E">
              <w:rPr>
                <w:rFonts w:ascii="Arial" w:hAnsi="Arial" w:cs="Arial"/>
              </w:rPr>
              <w:noBreakHyphen/>
              <w:t>Forma 2024</w:t>
            </w:r>
          </w:p>
        </w:tc>
      </w:tr>
      <w:tr w:rsidR="003A5893" w:rsidRPr="001F6D3E" w14:paraId="49132394" w14:textId="77777777" w:rsidTr="008F19AE">
        <w:tc>
          <w:tcPr>
            <w:tcW w:w="0" w:type="auto"/>
            <w:hideMark/>
          </w:tcPr>
          <w:p w14:paraId="21B0358E" w14:textId="77777777" w:rsidR="003A5893" w:rsidRPr="001F6D3E" w:rsidRDefault="003A5893" w:rsidP="003A5893">
            <w:pPr>
              <w:spacing w:after="160" w:line="259" w:lineRule="auto"/>
              <w:rPr>
                <w:rFonts w:ascii="Arial" w:hAnsi="Arial" w:cs="Arial"/>
              </w:rPr>
            </w:pPr>
            <w:r w:rsidRPr="001F6D3E">
              <w:rPr>
                <w:rFonts w:ascii="Arial" w:hAnsi="Arial" w:cs="Arial"/>
              </w:rPr>
              <w:t>Operating Cash Flow to Debt</w:t>
            </w:r>
          </w:p>
        </w:tc>
        <w:tc>
          <w:tcPr>
            <w:tcW w:w="3066" w:type="dxa"/>
            <w:hideMark/>
          </w:tcPr>
          <w:p w14:paraId="00035E3C" w14:textId="77777777" w:rsidR="003A5893" w:rsidRPr="001F6D3E" w:rsidRDefault="003A5893" w:rsidP="003A5893">
            <w:pPr>
              <w:spacing w:after="160" w:line="259" w:lineRule="auto"/>
              <w:rPr>
                <w:rFonts w:ascii="Arial" w:hAnsi="Arial" w:cs="Arial"/>
              </w:rPr>
            </w:pPr>
            <w:r w:rsidRPr="001F6D3E">
              <w:rPr>
                <w:rFonts w:ascii="Arial" w:hAnsi="Arial" w:cs="Arial"/>
              </w:rPr>
              <w:t>0.09</w:t>
            </w:r>
          </w:p>
        </w:tc>
        <w:tc>
          <w:tcPr>
            <w:tcW w:w="2970" w:type="dxa"/>
            <w:hideMark/>
          </w:tcPr>
          <w:p w14:paraId="1C42C884" w14:textId="77777777" w:rsidR="003A5893" w:rsidRPr="001F6D3E" w:rsidRDefault="003A5893" w:rsidP="003A5893">
            <w:pPr>
              <w:spacing w:after="160" w:line="259" w:lineRule="auto"/>
              <w:rPr>
                <w:rFonts w:ascii="Arial" w:hAnsi="Arial" w:cs="Arial"/>
              </w:rPr>
            </w:pPr>
            <w:r w:rsidRPr="001F6D3E">
              <w:rPr>
                <w:rFonts w:ascii="Arial" w:hAnsi="Arial" w:cs="Arial"/>
              </w:rPr>
              <w:t>0.09</w:t>
            </w:r>
          </w:p>
        </w:tc>
      </w:tr>
      <w:tr w:rsidR="003A5893" w:rsidRPr="001F6D3E" w14:paraId="55DFEE56" w14:textId="77777777" w:rsidTr="008F19AE">
        <w:tc>
          <w:tcPr>
            <w:tcW w:w="0" w:type="auto"/>
            <w:hideMark/>
          </w:tcPr>
          <w:p w14:paraId="7E48D232" w14:textId="77777777" w:rsidR="003A5893" w:rsidRPr="001F6D3E" w:rsidRDefault="003A5893" w:rsidP="003A5893">
            <w:pPr>
              <w:spacing w:after="160" w:line="259" w:lineRule="auto"/>
              <w:rPr>
                <w:rFonts w:ascii="Arial" w:hAnsi="Arial" w:cs="Arial"/>
              </w:rPr>
            </w:pPr>
            <w:r w:rsidRPr="001F6D3E">
              <w:rPr>
                <w:rFonts w:ascii="Arial" w:hAnsi="Arial" w:cs="Arial"/>
              </w:rPr>
              <w:t>Debt Reduction (£ million)</w:t>
            </w:r>
          </w:p>
        </w:tc>
        <w:tc>
          <w:tcPr>
            <w:tcW w:w="3066" w:type="dxa"/>
            <w:hideMark/>
          </w:tcPr>
          <w:p w14:paraId="4AB4C033" w14:textId="77777777" w:rsidR="003A5893" w:rsidRPr="001F6D3E" w:rsidRDefault="003A5893" w:rsidP="003A5893">
            <w:pPr>
              <w:spacing w:after="160" w:line="259" w:lineRule="auto"/>
              <w:rPr>
                <w:rFonts w:ascii="Arial" w:hAnsi="Arial" w:cs="Arial"/>
              </w:rPr>
            </w:pPr>
            <w:r w:rsidRPr="001F6D3E">
              <w:rPr>
                <w:rFonts w:ascii="Arial" w:hAnsi="Arial" w:cs="Arial"/>
              </w:rPr>
              <w:t>–</w:t>
            </w:r>
          </w:p>
        </w:tc>
        <w:tc>
          <w:tcPr>
            <w:tcW w:w="2970" w:type="dxa"/>
            <w:hideMark/>
          </w:tcPr>
          <w:p w14:paraId="133E3E12" w14:textId="77777777" w:rsidR="003A5893" w:rsidRPr="001F6D3E" w:rsidRDefault="003A5893" w:rsidP="003A5893">
            <w:pPr>
              <w:spacing w:after="160" w:line="259" w:lineRule="auto"/>
              <w:rPr>
                <w:rFonts w:ascii="Arial" w:hAnsi="Arial" w:cs="Arial"/>
              </w:rPr>
            </w:pPr>
            <w:r w:rsidRPr="001F6D3E">
              <w:rPr>
                <w:rFonts w:ascii="Arial" w:hAnsi="Arial" w:cs="Arial"/>
              </w:rPr>
              <w:t>10,000</w:t>
            </w:r>
          </w:p>
        </w:tc>
      </w:tr>
      <w:tr w:rsidR="003A5893" w:rsidRPr="001F6D3E" w14:paraId="0413AE68" w14:textId="77777777" w:rsidTr="008F19AE">
        <w:tc>
          <w:tcPr>
            <w:tcW w:w="0" w:type="auto"/>
            <w:hideMark/>
          </w:tcPr>
          <w:p w14:paraId="0AC7431F" w14:textId="77777777" w:rsidR="003A5893" w:rsidRPr="001F6D3E" w:rsidRDefault="003A5893" w:rsidP="003A5893">
            <w:pPr>
              <w:spacing w:after="160" w:line="259" w:lineRule="auto"/>
              <w:rPr>
                <w:rFonts w:ascii="Arial" w:hAnsi="Arial" w:cs="Arial"/>
              </w:rPr>
            </w:pPr>
            <w:r w:rsidRPr="001F6D3E">
              <w:rPr>
                <w:rFonts w:ascii="Arial" w:hAnsi="Arial" w:cs="Arial"/>
              </w:rPr>
              <w:t>Equity Buffer Increase (£ million)</w:t>
            </w:r>
          </w:p>
        </w:tc>
        <w:tc>
          <w:tcPr>
            <w:tcW w:w="3066" w:type="dxa"/>
            <w:hideMark/>
          </w:tcPr>
          <w:p w14:paraId="1966A2A1" w14:textId="77777777" w:rsidR="003A5893" w:rsidRPr="001F6D3E" w:rsidRDefault="003A5893" w:rsidP="003A5893">
            <w:pPr>
              <w:spacing w:after="160" w:line="259" w:lineRule="auto"/>
              <w:rPr>
                <w:rFonts w:ascii="Arial" w:hAnsi="Arial" w:cs="Arial"/>
              </w:rPr>
            </w:pPr>
            <w:r w:rsidRPr="001F6D3E">
              <w:rPr>
                <w:rFonts w:ascii="Arial" w:hAnsi="Arial" w:cs="Arial"/>
              </w:rPr>
              <w:t>–</w:t>
            </w:r>
          </w:p>
        </w:tc>
        <w:tc>
          <w:tcPr>
            <w:tcW w:w="2970" w:type="dxa"/>
            <w:hideMark/>
          </w:tcPr>
          <w:p w14:paraId="1179ADF8" w14:textId="77777777" w:rsidR="003A5893" w:rsidRPr="001F6D3E" w:rsidRDefault="003A5893" w:rsidP="003A5893">
            <w:pPr>
              <w:spacing w:after="160" w:line="259" w:lineRule="auto"/>
              <w:rPr>
                <w:rFonts w:ascii="Arial" w:hAnsi="Arial" w:cs="Arial"/>
              </w:rPr>
            </w:pPr>
            <w:r w:rsidRPr="001F6D3E">
              <w:rPr>
                <w:rFonts w:ascii="Arial" w:hAnsi="Arial" w:cs="Arial"/>
              </w:rPr>
              <w:t>22,966</w:t>
            </w:r>
          </w:p>
        </w:tc>
      </w:tr>
    </w:tbl>
    <w:p w14:paraId="02167ED0" w14:textId="77777777" w:rsidR="007928F2" w:rsidRDefault="007928F2" w:rsidP="003A5893">
      <w:pPr>
        <w:rPr>
          <w:rFonts w:ascii="Arial" w:hAnsi="Arial" w:cs="Arial"/>
          <w:b/>
          <w:bCs/>
          <w:sz w:val="24"/>
        </w:rPr>
      </w:pPr>
      <w:bookmarkStart w:id="82" w:name="_Toc216756004"/>
      <w:r>
        <w:rPr>
          <w:rFonts w:ascii="Arial" w:hAnsi="Arial" w:cs="Arial"/>
        </w:rPr>
        <w:t>(Self-Analyzed)</w:t>
      </w:r>
    </w:p>
    <w:p w14:paraId="340B996D" w14:textId="77777777" w:rsidR="003A5893" w:rsidRPr="001612E6" w:rsidRDefault="003A5893" w:rsidP="003A5893">
      <w:pPr>
        <w:rPr>
          <w:rFonts w:ascii="Arial" w:hAnsi="Arial" w:cs="Arial"/>
          <w:b/>
          <w:bCs/>
          <w:sz w:val="24"/>
        </w:rPr>
      </w:pPr>
      <w:r w:rsidRPr="001612E6">
        <w:rPr>
          <w:rFonts w:ascii="Arial" w:hAnsi="Arial" w:cs="Arial"/>
          <w:b/>
          <w:bCs/>
          <w:sz w:val="24"/>
        </w:rPr>
        <w:t>Interpretation</w:t>
      </w:r>
      <w:bookmarkEnd w:id="82"/>
    </w:p>
    <w:p w14:paraId="3C09B65A" w14:textId="48C22AA8" w:rsidR="003A5893" w:rsidRPr="001612E6" w:rsidRDefault="003A5893" w:rsidP="003A5893">
      <w:pPr>
        <w:rPr>
          <w:rFonts w:ascii="Arial" w:hAnsi="Arial" w:cs="Arial"/>
          <w:sz w:val="24"/>
        </w:rPr>
      </w:pPr>
      <w:r w:rsidRPr="001612E6">
        <w:rPr>
          <w:rFonts w:ascii="Arial" w:hAnsi="Arial" w:cs="Arial"/>
          <w:sz w:val="24"/>
        </w:rPr>
        <w:t xml:space="preserve">Appendix C confirms that the combined equity injection and divestiture strategy significantly improves General Electronics’ capital structure by lowering leverage and strengthening equity buffers. While </w:t>
      </w:r>
      <w:r w:rsidR="00D710DC">
        <w:rPr>
          <w:rFonts w:ascii="Arial" w:hAnsi="Arial" w:cs="Arial"/>
          <w:sz w:val="24"/>
        </w:rPr>
        <w:t>short-term</w:t>
      </w:r>
      <w:bookmarkStart w:id="83" w:name="_GoBack"/>
      <w:bookmarkEnd w:id="83"/>
      <w:r w:rsidRPr="001612E6">
        <w:rPr>
          <w:rFonts w:ascii="Arial" w:hAnsi="Arial" w:cs="Arial"/>
          <w:sz w:val="24"/>
        </w:rPr>
        <w:t xml:space="preserve"> profitability remains negative in the conservative base case, solvency risk is reduced and financial flexibility is enhanced, creating the conditions necessary for operational turnaround and strategic renewal.</w:t>
      </w:r>
    </w:p>
    <w:p w14:paraId="5BA57DAD" w14:textId="77777777" w:rsidR="00CD4CDD" w:rsidRPr="001612E6" w:rsidRDefault="00CD4CDD" w:rsidP="00AD4654">
      <w:pPr>
        <w:rPr>
          <w:rFonts w:ascii="Arial" w:hAnsi="Arial" w:cs="Arial"/>
          <w:sz w:val="24"/>
        </w:rPr>
      </w:pPr>
    </w:p>
    <w:p w14:paraId="76D32DA9" w14:textId="77777777" w:rsidR="00CD4CDD" w:rsidRDefault="00CD4CDD" w:rsidP="001D5163">
      <w:pPr>
        <w:pStyle w:val="Heading1"/>
      </w:pPr>
      <w:bookmarkStart w:id="84" w:name="_Toc217238056"/>
      <w:r w:rsidRPr="001612E6">
        <w:t>Appendix D: Investment Appraisal and Capital Budgeting</w:t>
      </w:r>
      <w:bookmarkEnd w:id="84"/>
    </w:p>
    <w:p w14:paraId="1E8BA81A" w14:textId="77777777" w:rsidR="001D5163" w:rsidRPr="001D5163" w:rsidRDefault="001D5163" w:rsidP="001D5163"/>
    <w:p w14:paraId="6EBCC316" w14:textId="77777777" w:rsidR="00CD4CDD" w:rsidRPr="001612E6" w:rsidRDefault="00CD4CDD" w:rsidP="00CD4CDD">
      <w:pPr>
        <w:rPr>
          <w:rFonts w:ascii="Arial" w:hAnsi="Arial" w:cs="Arial"/>
          <w:sz w:val="24"/>
        </w:rPr>
      </w:pPr>
      <w:r w:rsidRPr="001612E6">
        <w:rPr>
          <w:rFonts w:ascii="Arial" w:hAnsi="Arial" w:cs="Arial"/>
          <w:sz w:val="24"/>
        </w:rPr>
        <w:t>This appendix presents the detailed investment appraisal calculations for Projects A, B, and C, undertaken using Payback Period (PBP), Net Present Value (NPV), Internal Rate of Return (IRR), and Profitability Index (PI). All calculations strictly follow the supplied formula sheet and standard corporate finance methodologies.</w:t>
      </w:r>
    </w:p>
    <w:p w14:paraId="5A95146F" w14:textId="77777777" w:rsidR="00CD4CDD" w:rsidRPr="001612E6" w:rsidRDefault="00CD4CDD" w:rsidP="001D5163">
      <w:pPr>
        <w:pStyle w:val="Heading2"/>
      </w:pPr>
      <w:bookmarkStart w:id="85" w:name="_Toc216756006"/>
      <w:bookmarkStart w:id="86" w:name="_Toc217238057"/>
      <w:r w:rsidRPr="001612E6">
        <w:t>Table D1: Payback Period (PBP) Calculations</w:t>
      </w:r>
      <w:bookmarkEnd w:id="85"/>
      <w:bookmarkEnd w:id="86"/>
    </w:p>
    <w:p w14:paraId="243DC077" w14:textId="77777777" w:rsidR="00517F75" w:rsidRPr="001F6D3E" w:rsidRDefault="001A28F8" w:rsidP="00AD4654">
      <w:pPr>
        <w:rPr>
          <w:rFonts w:ascii="Arial" w:hAnsi="Arial" w:cs="Arial"/>
        </w:rPr>
      </w:pPr>
      <w:r w:rsidRPr="001F6D3E">
        <w:rPr>
          <w:rFonts w:ascii="Arial" w:hAnsi="Arial" w:cs="Arial"/>
          <w:noProof/>
        </w:rPr>
        <w:drawing>
          <wp:anchor distT="0" distB="0" distL="114300" distR="114300" simplePos="0" relativeHeight="251662336" behindDoc="0" locked="0" layoutInCell="1" allowOverlap="1" wp14:anchorId="3E099A30" wp14:editId="116CEE4B">
            <wp:simplePos x="0" y="0"/>
            <wp:positionH relativeFrom="column">
              <wp:posOffset>701040</wp:posOffset>
            </wp:positionH>
            <wp:positionV relativeFrom="paragraph">
              <wp:posOffset>200661</wp:posOffset>
            </wp:positionV>
            <wp:extent cx="4503420" cy="463814"/>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5-12-19 215210.png"/>
                    <pic:cNvPicPr/>
                  </pic:nvPicPr>
                  <pic:blipFill>
                    <a:blip r:embed="rId15">
                      <a:extLst>
                        <a:ext uri="{28A0092B-C50C-407E-A947-70E740481C1C}">
                          <a14:useLocalDpi xmlns:a14="http://schemas.microsoft.com/office/drawing/2010/main" val="0"/>
                        </a:ext>
                      </a:extLst>
                    </a:blip>
                    <a:stretch>
                      <a:fillRect/>
                    </a:stretch>
                  </pic:blipFill>
                  <pic:spPr>
                    <a:xfrm>
                      <a:off x="0" y="0"/>
                      <a:ext cx="4633048" cy="477165"/>
                    </a:xfrm>
                    <a:prstGeom prst="rect">
                      <a:avLst/>
                    </a:prstGeom>
                  </pic:spPr>
                </pic:pic>
              </a:graphicData>
            </a:graphic>
            <wp14:sizeRelH relativeFrom="margin">
              <wp14:pctWidth>0</wp14:pctWidth>
            </wp14:sizeRelH>
            <wp14:sizeRelV relativeFrom="margin">
              <wp14:pctHeight>0</wp14:pctHeight>
            </wp14:sizeRelV>
          </wp:anchor>
        </w:drawing>
      </w:r>
      <w:r w:rsidRPr="001F6D3E">
        <w:rPr>
          <w:rFonts w:ascii="Arial" w:eastAsiaTheme="minorEastAsia" w:hAnsi="Arial" w:cs="Arial"/>
        </w:rPr>
        <w:t xml:space="preserve">                                               </w:t>
      </w:r>
      <w:r w:rsidRPr="001F6D3E">
        <w:rPr>
          <w:rFonts w:ascii="Arial" w:eastAsiaTheme="minorEastAsia" w:hAnsi="Arial" w:cs="Arial"/>
        </w:rPr>
        <w:br/>
      </w:r>
    </w:p>
    <w:p w14:paraId="700D5C69" w14:textId="77777777" w:rsidR="00444333" w:rsidRPr="001F6D3E" w:rsidRDefault="00444333" w:rsidP="00AD4654">
      <w:pPr>
        <w:rPr>
          <w:rFonts w:ascii="Arial" w:hAnsi="Arial" w:cs="Arial"/>
        </w:rPr>
      </w:pPr>
    </w:p>
    <w:p w14:paraId="4B9F176A" w14:textId="77777777" w:rsidR="00444333" w:rsidRPr="001F6D3E" w:rsidRDefault="00444333" w:rsidP="00AD4654">
      <w:pPr>
        <w:rPr>
          <w:rFonts w:ascii="Arial" w:hAnsi="Arial" w:cs="Arial"/>
        </w:rPr>
      </w:pPr>
    </w:p>
    <w:p w14:paraId="31520D4F" w14:textId="77777777" w:rsidR="00444333" w:rsidRPr="001F6D3E" w:rsidRDefault="00F62E12" w:rsidP="00AD4654">
      <w:pPr>
        <w:rPr>
          <w:rFonts w:ascii="Arial" w:hAnsi="Arial" w:cs="Arial"/>
        </w:rPr>
      </w:pPr>
      <w:r w:rsidRPr="001F6D3E">
        <w:rPr>
          <w:rFonts w:ascii="Arial" w:hAnsi="Arial" w:cs="Arial"/>
          <w:noProof/>
        </w:rPr>
        <w:drawing>
          <wp:anchor distT="0" distB="0" distL="114300" distR="114300" simplePos="0" relativeHeight="251663360" behindDoc="0" locked="0" layoutInCell="1" allowOverlap="1" wp14:anchorId="1AFE7855" wp14:editId="2F5B1A7D">
            <wp:simplePos x="0" y="0"/>
            <wp:positionH relativeFrom="margin">
              <wp:align>right</wp:align>
            </wp:positionH>
            <wp:positionV relativeFrom="paragraph">
              <wp:posOffset>6350</wp:posOffset>
            </wp:positionV>
            <wp:extent cx="5943600" cy="845786"/>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84578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D55456" w14:textId="77777777" w:rsidR="00444333" w:rsidRPr="001F6D3E" w:rsidRDefault="00444333" w:rsidP="00AD4654">
      <w:pPr>
        <w:rPr>
          <w:rFonts w:ascii="Arial" w:hAnsi="Arial" w:cs="Arial"/>
        </w:rPr>
      </w:pPr>
    </w:p>
    <w:p w14:paraId="1A112968" w14:textId="77777777" w:rsidR="00444333" w:rsidRPr="001F6D3E" w:rsidRDefault="00444333" w:rsidP="00AD4654">
      <w:pPr>
        <w:rPr>
          <w:rFonts w:ascii="Arial" w:hAnsi="Arial" w:cs="Arial"/>
        </w:rPr>
      </w:pPr>
    </w:p>
    <w:p w14:paraId="1F6E3D2C" w14:textId="77777777" w:rsidR="00F62E12" w:rsidRDefault="00F62E12" w:rsidP="001337F0">
      <w:pPr>
        <w:jc w:val="center"/>
        <w:rPr>
          <w:rFonts w:ascii="Arial" w:hAnsi="Arial" w:cs="Arial"/>
          <w:i/>
          <w:color w:val="2E74B5" w:themeColor="accent1" w:themeShade="BF"/>
          <w:sz w:val="20"/>
        </w:rPr>
      </w:pPr>
    </w:p>
    <w:p w14:paraId="632D71E9" w14:textId="77777777" w:rsidR="00444333" w:rsidRPr="001F6D3E" w:rsidRDefault="001337F0" w:rsidP="001337F0">
      <w:pPr>
        <w:jc w:val="center"/>
        <w:rPr>
          <w:rFonts w:ascii="Arial" w:hAnsi="Arial" w:cs="Arial"/>
          <w:i/>
          <w:color w:val="2E74B5" w:themeColor="accent1" w:themeShade="BF"/>
          <w:sz w:val="20"/>
        </w:rPr>
      </w:pPr>
      <w:r w:rsidRPr="001F6D3E">
        <w:rPr>
          <w:rFonts w:ascii="Arial" w:hAnsi="Arial" w:cs="Arial"/>
          <w:i/>
          <w:color w:val="2E74B5" w:themeColor="accent1" w:themeShade="BF"/>
          <w:sz w:val="20"/>
        </w:rPr>
        <w:t>Source: Self Calculated</w:t>
      </w:r>
    </w:p>
    <w:p w14:paraId="6177E8EF" w14:textId="77777777" w:rsidR="00444333" w:rsidRPr="001F6D3E" w:rsidRDefault="00444333" w:rsidP="00AD4654">
      <w:pPr>
        <w:rPr>
          <w:rFonts w:ascii="Arial" w:hAnsi="Arial" w:cs="Arial"/>
        </w:rPr>
      </w:pPr>
    </w:p>
    <w:p w14:paraId="50300B3D" w14:textId="77777777" w:rsidR="001A28F8" w:rsidRPr="001F6D3E" w:rsidRDefault="001A28F8" w:rsidP="00517F75">
      <w:pPr>
        <w:rPr>
          <w:rFonts w:ascii="Arial" w:hAnsi="Arial" w:cs="Arial"/>
        </w:rPr>
      </w:pPr>
    </w:p>
    <w:p w14:paraId="5E2C0B02" w14:textId="77777777" w:rsidR="007B2636" w:rsidRDefault="007B2636" w:rsidP="001D5163">
      <w:pPr>
        <w:pStyle w:val="Heading2"/>
      </w:pPr>
      <w:bookmarkStart w:id="87" w:name="_Toc217238058"/>
      <w:r w:rsidRPr="001612E6">
        <w:t>Table D2: Accounting Rate of Return (ARR) Calculations</w:t>
      </w:r>
      <w:bookmarkEnd w:id="87"/>
    </w:p>
    <w:p w14:paraId="5AAF427D" w14:textId="77777777" w:rsidR="001D5163" w:rsidRPr="001D5163" w:rsidRDefault="001D5163" w:rsidP="001D5163"/>
    <w:p w14:paraId="10968B6E" w14:textId="77777777" w:rsidR="007B2636" w:rsidRPr="001F6D3E" w:rsidRDefault="007B2636" w:rsidP="007B2636">
      <w:pPr>
        <w:rPr>
          <w:rFonts w:ascii="Cambria Math" w:hAnsi="Cambria Math" w:cs="Arial"/>
          <w:sz w:val="24"/>
          <w:oMath/>
        </w:rPr>
      </w:pPr>
      <m:oMathPara>
        <m:oMath>
          <m:r>
            <w:rPr>
              <w:rFonts w:ascii="Cambria Math" w:hAnsi="Cambria Math" w:cs="Arial"/>
              <w:sz w:val="24"/>
            </w:rPr>
            <m:t xml:space="preserve">ARR= </m:t>
          </m:r>
          <m:f>
            <m:fPr>
              <m:ctrlPr>
                <w:rPr>
                  <w:rFonts w:ascii="Cambria Math" w:hAnsi="Cambria Math" w:cs="Arial"/>
                  <w:i/>
                  <w:sz w:val="24"/>
                </w:rPr>
              </m:ctrlPr>
            </m:fPr>
            <m:num>
              <m:r>
                <w:rPr>
                  <w:rFonts w:ascii="Cambria Math" w:hAnsi="Cambria Math" w:cs="Arial"/>
                  <w:sz w:val="24"/>
                </w:rPr>
                <m:t>Average Annual Accounting Profit</m:t>
              </m:r>
            </m:num>
            <m:den>
              <m:r>
                <w:rPr>
                  <w:rFonts w:ascii="Cambria Math" w:hAnsi="Cambria Math" w:cs="Arial"/>
                  <w:sz w:val="24"/>
                </w:rPr>
                <m:t>Average Investment</m:t>
              </m:r>
            </m:den>
          </m:f>
          <m:r>
            <w:rPr>
              <w:rFonts w:ascii="Cambria Math" w:hAnsi="Cambria Math" w:cs="Arial"/>
              <w:sz w:val="24"/>
            </w:rPr>
            <m:t>×100%</m:t>
          </m:r>
        </m:oMath>
      </m:oMathPara>
    </w:p>
    <w:p w14:paraId="7A6FC284" w14:textId="77777777" w:rsidR="007B2636" w:rsidRPr="001F6D3E" w:rsidRDefault="007B2636" w:rsidP="00F62E12">
      <w:pPr>
        <w:spacing w:line="360" w:lineRule="auto"/>
        <w:rPr>
          <w:rFonts w:ascii="Cambria Math" w:hAnsi="Cambria Math" w:cs="Arial"/>
          <w:sz w:val="20"/>
          <w:oMath/>
        </w:rPr>
      </w:pPr>
      <w:r w:rsidRPr="001F6D3E">
        <w:rPr>
          <w:rFonts w:ascii="Arial" w:eastAsiaTheme="minorEastAsia" w:hAnsi="Arial" w:cs="Arial"/>
          <w:i/>
          <w:sz w:val="20"/>
        </w:rPr>
        <w:t>Assuming scrap value = 0 (straight-line to zero)</w:t>
      </w:r>
    </w:p>
    <w:p w14:paraId="2C862DB4" w14:textId="77777777" w:rsidR="007B2636" w:rsidRPr="001F6D3E" w:rsidRDefault="007B2636" w:rsidP="00F62E12">
      <w:pPr>
        <w:spacing w:line="360" w:lineRule="auto"/>
        <w:rPr>
          <w:rFonts w:ascii="Cambria Math" w:hAnsi="Cambria Math" w:cs="Arial"/>
          <w:sz w:val="24"/>
          <w:oMath/>
        </w:rPr>
      </w:pPr>
    </w:p>
    <w:p w14:paraId="32940DA9" w14:textId="77777777" w:rsidR="007B2636" w:rsidRPr="001F6D3E" w:rsidRDefault="001A2CC3" w:rsidP="00F62E12">
      <w:pPr>
        <w:spacing w:line="360" w:lineRule="auto"/>
        <w:rPr>
          <w:rFonts w:ascii="Arial" w:hAnsi="Arial" w:cs="Arial"/>
          <w:b/>
          <w:sz w:val="24"/>
        </w:rPr>
      </w:pPr>
      <m:oMathPara>
        <m:oMath>
          <m:r>
            <w:rPr>
              <w:rStyle w:val="mord"/>
              <w:rFonts w:ascii="Cambria Math" w:hAnsi="Cambria Math" w:cs="Arial"/>
            </w:rPr>
            <m:t>Average Investment</m:t>
          </m:r>
          <m:r>
            <w:rPr>
              <w:rStyle w:val="mrel"/>
              <w:rFonts w:ascii="Cambria Math" w:hAnsi="Cambria Math" w:cs="Arial"/>
            </w:rPr>
            <m:t>=</m:t>
          </m:r>
          <m:r>
            <w:rPr>
              <w:rStyle w:val="mord"/>
              <w:rFonts w:ascii="Cambria Math" w:hAnsi="Cambria Math" w:cs="Arial"/>
              <w:color w:val="0F1115"/>
              <w:shd w:val="clear" w:color="auto" w:fill="FFFFFF"/>
            </w:rPr>
            <m:t xml:space="preserve"> </m:t>
          </m:r>
          <m:f>
            <m:fPr>
              <m:ctrlPr>
                <w:rPr>
                  <w:rStyle w:val="mord"/>
                  <w:rFonts w:ascii="Cambria Math" w:hAnsi="Cambria Math" w:cs="Arial"/>
                  <w:i/>
                  <w:color w:val="0F1115"/>
                  <w:shd w:val="clear" w:color="auto" w:fill="FFFFFF"/>
                </w:rPr>
              </m:ctrlPr>
            </m:fPr>
            <m:num>
              <m:r>
                <w:rPr>
                  <w:rStyle w:val="mord"/>
                  <w:rFonts w:ascii="Cambria Math" w:hAnsi="Cambria Math" w:cs="Arial"/>
                  <w:color w:val="0F1115"/>
                  <w:shd w:val="clear" w:color="auto" w:fill="FFFFFF"/>
                </w:rPr>
                <m:t>Initial Investment+Scrap value</m:t>
              </m:r>
            </m:num>
            <m:den>
              <m:r>
                <w:rPr>
                  <w:rStyle w:val="mord"/>
                  <w:rFonts w:ascii="Cambria Math" w:hAnsi="Cambria Math" w:cs="Arial"/>
                  <w:color w:val="0F1115"/>
                  <w:shd w:val="clear" w:color="auto" w:fill="FFFFFF"/>
                </w:rPr>
                <m:t>2</m:t>
              </m:r>
            </m:den>
          </m:f>
          <m:r>
            <m:rPr>
              <m:sty m:val="p"/>
            </m:rPr>
            <w:rPr>
              <w:rFonts w:ascii="Arial" w:hAnsi="Arial" w:cs="Arial"/>
              <w:sz w:val="24"/>
            </w:rPr>
            <w:br/>
          </m:r>
        </m:oMath>
      </m:oMathPara>
    </w:p>
    <w:tbl>
      <w:tblPr>
        <w:tblStyle w:val="TableGrid1"/>
        <w:tblW w:w="0" w:type="auto"/>
        <w:tblLook w:val="04A0" w:firstRow="1" w:lastRow="0" w:firstColumn="1" w:lastColumn="0" w:noHBand="0" w:noVBand="1"/>
      </w:tblPr>
      <w:tblGrid>
        <w:gridCol w:w="2160"/>
        <w:gridCol w:w="2160"/>
        <w:gridCol w:w="2160"/>
        <w:gridCol w:w="2160"/>
      </w:tblGrid>
      <w:tr w:rsidR="001A2CC3" w:rsidRPr="00D66867" w14:paraId="176A03B1" w14:textId="77777777" w:rsidTr="00AB2174">
        <w:tc>
          <w:tcPr>
            <w:tcW w:w="2160" w:type="dxa"/>
          </w:tcPr>
          <w:p w14:paraId="74DCD9DE" w14:textId="77777777" w:rsidR="001A2CC3" w:rsidRPr="00D66867" w:rsidRDefault="001A2CC3" w:rsidP="00F62E12">
            <w:pPr>
              <w:spacing w:line="360" w:lineRule="auto"/>
              <w:rPr>
                <w:rFonts w:ascii="Arial" w:eastAsia="Calibri" w:hAnsi="Arial" w:cs="Arial"/>
                <w:b/>
              </w:rPr>
            </w:pPr>
            <w:r w:rsidRPr="00D66867">
              <w:rPr>
                <w:rFonts w:ascii="Arial" w:eastAsia="Calibri" w:hAnsi="Arial" w:cs="Arial"/>
                <w:b/>
              </w:rPr>
              <w:t>Project</w:t>
            </w:r>
          </w:p>
        </w:tc>
        <w:tc>
          <w:tcPr>
            <w:tcW w:w="2160" w:type="dxa"/>
          </w:tcPr>
          <w:p w14:paraId="579F12CE" w14:textId="77777777" w:rsidR="001A2CC3" w:rsidRPr="00D66867" w:rsidRDefault="001A2CC3" w:rsidP="00F62E12">
            <w:pPr>
              <w:spacing w:line="360" w:lineRule="auto"/>
              <w:rPr>
                <w:rFonts w:ascii="Arial" w:eastAsia="Calibri" w:hAnsi="Arial" w:cs="Arial"/>
                <w:b/>
              </w:rPr>
            </w:pPr>
            <w:r w:rsidRPr="001F6D3E">
              <w:rPr>
                <w:rFonts w:ascii="Arial" w:eastAsia="Calibri" w:hAnsi="Arial" w:cs="Arial"/>
                <w:b/>
              </w:rPr>
              <w:t>Average Annual Accounting Profit</w:t>
            </w:r>
          </w:p>
        </w:tc>
        <w:tc>
          <w:tcPr>
            <w:tcW w:w="2160" w:type="dxa"/>
          </w:tcPr>
          <w:p w14:paraId="0CA15E1A" w14:textId="77777777" w:rsidR="001A2CC3" w:rsidRPr="00D66867" w:rsidRDefault="001A2CC3" w:rsidP="00F62E12">
            <w:pPr>
              <w:spacing w:line="360" w:lineRule="auto"/>
              <w:rPr>
                <w:rFonts w:ascii="Arial" w:eastAsia="Calibri" w:hAnsi="Arial" w:cs="Arial"/>
                <w:b/>
              </w:rPr>
            </w:pPr>
            <w:r w:rsidRPr="001F6D3E">
              <w:rPr>
                <w:rFonts w:ascii="Arial" w:eastAsia="Calibri" w:hAnsi="Arial" w:cs="Arial"/>
                <w:b/>
              </w:rPr>
              <w:t>Average Investment</w:t>
            </w:r>
          </w:p>
        </w:tc>
        <w:tc>
          <w:tcPr>
            <w:tcW w:w="2160" w:type="dxa"/>
          </w:tcPr>
          <w:p w14:paraId="25A3C930" w14:textId="77777777" w:rsidR="001A2CC3" w:rsidRPr="00D66867" w:rsidRDefault="001A2CC3" w:rsidP="00F62E12">
            <w:pPr>
              <w:spacing w:line="360" w:lineRule="auto"/>
              <w:rPr>
                <w:rFonts w:ascii="Arial" w:eastAsia="Calibri" w:hAnsi="Arial" w:cs="Arial"/>
                <w:b/>
              </w:rPr>
            </w:pPr>
            <w:r w:rsidRPr="001F6D3E">
              <w:rPr>
                <w:rFonts w:ascii="Arial" w:eastAsia="Calibri" w:hAnsi="Arial" w:cs="Arial"/>
                <w:b/>
              </w:rPr>
              <w:t>ARR</w:t>
            </w:r>
          </w:p>
        </w:tc>
      </w:tr>
      <w:tr w:rsidR="001A2CC3" w:rsidRPr="00D66867" w14:paraId="02A74275" w14:textId="77777777" w:rsidTr="00AB2174">
        <w:tc>
          <w:tcPr>
            <w:tcW w:w="2160" w:type="dxa"/>
          </w:tcPr>
          <w:p w14:paraId="591C5B31" w14:textId="77777777" w:rsidR="001A2CC3" w:rsidRPr="00D66867" w:rsidRDefault="001A2CC3" w:rsidP="00F62E12">
            <w:pPr>
              <w:spacing w:line="360" w:lineRule="auto"/>
              <w:rPr>
                <w:rFonts w:ascii="Arial" w:eastAsia="Calibri" w:hAnsi="Arial" w:cs="Arial"/>
              </w:rPr>
            </w:pPr>
            <w:r w:rsidRPr="00D66867">
              <w:rPr>
                <w:rFonts w:ascii="Arial" w:eastAsia="Calibri" w:hAnsi="Arial" w:cs="Arial"/>
              </w:rPr>
              <w:t>A</w:t>
            </w:r>
          </w:p>
        </w:tc>
        <w:tc>
          <w:tcPr>
            <w:tcW w:w="2160" w:type="dxa"/>
          </w:tcPr>
          <w:p w14:paraId="2FE341FD" w14:textId="77777777" w:rsidR="001A2CC3" w:rsidRPr="00D66867" w:rsidRDefault="001A2CC3" w:rsidP="00F62E12">
            <w:pPr>
              <w:spacing w:line="360" w:lineRule="auto"/>
              <w:rPr>
                <w:rFonts w:ascii="Arial" w:eastAsia="Calibri" w:hAnsi="Arial" w:cs="Arial"/>
              </w:rPr>
            </w:pPr>
            <w:r w:rsidRPr="001F6D3E">
              <w:rPr>
                <w:rFonts w:ascii="Arial" w:eastAsia="Calibri" w:hAnsi="Arial" w:cs="Arial"/>
              </w:rPr>
              <w:t>2.8</w:t>
            </w:r>
          </w:p>
        </w:tc>
        <w:tc>
          <w:tcPr>
            <w:tcW w:w="2160" w:type="dxa"/>
          </w:tcPr>
          <w:p w14:paraId="3C6762EC" w14:textId="77777777" w:rsidR="001A2CC3" w:rsidRPr="00D66867" w:rsidRDefault="001A2CC3" w:rsidP="00F62E12">
            <w:pPr>
              <w:spacing w:line="360" w:lineRule="auto"/>
              <w:rPr>
                <w:rFonts w:ascii="Arial" w:eastAsia="Calibri" w:hAnsi="Arial" w:cs="Arial"/>
              </w:rPr>
            </w:pPr>
            <w:r w:rsidRPr="001F6D3E">
              <w:rPr>
                <w:rFonts w:ascii="Arial" w:eastAsia="Calibri" w:hAnsi="Arial" w:cs="Arial"/>
              </w:rPr>
              <w:t>20</w:t>
            </w:r>
          </w:p>
        </w:tc>
        <w:tc>
          <w:tcPr>
            <w:tcW w:w="2160" w:type="dxa"/>
          </w:tcPr>
          <w:p w14:paraId="654AD3AB" w14:textId="77777777" w:rsidR="001A2CC3" w:rsidRPr="00D66867" w:rsidRDefault="001A2CC3" w:rsidP="00F62E12">
            <w:pPr>
              <w:spacing w:line="360" w:lineRule="auto"/>
              <w:rPr>
                <w:rFonts w:ascii="Arial" w:eastAsia="Calibri" w:hAnsi="Arial" w:cs="Arial"/>
              </w:rPr>
            </w:pPr>
            <w:r w:rsidRPr="001F6D3E">
              <w:rPr>
                <w:rFonts w:ascii="Arial" w:eastAsia="Calibri" w:hAnsi="Arial" w:cs="Arial"/>
              </w:rPr>
              <w:t>14%</w:t>
            </w:r>
          </w:p>
        </w:tc>
      </w:tr>
      <w:tr w:rsidR="001A2CC3" w:rsidRPr="00D66867" w14:paraId="147DF05D" w14:textId="77777777" w:rsidTr="00AB2174">
        <w:tc>
          <w:tcPr>
            <w:tcW w:w="2160" w:type="dxa"/>
          </w:tcPr>
          <w:p w14:paraId="65AD353A" w14:textId="77777777" w:rsidR="001A2CC3" w:rsidRPr="00D66867" w:rsidRDefault="001A2CC3" w:rsidP="00F62E12">
            <w:pPr>
              <w:spacing w:line="360" w:lineRule="auto"/>
              <w:rPr>
                <w:rFonts w:ascii="Arial" w:eastAsia="Calibri" w:hAnsi="Arial" w:cs="Arial"/>
              </w:rPr>
            </w:pPr>
            <w:r w:rsidRPr="00D66867">
              <w:rPr>
                <w:rFonts w:ascii="Arial" w:eastAsia="Calibri" w:hAnsi="Arial" w:cs="Arial"/>
              </w:rPr>
              <w:t>B</w:t>
            </w:r>
          </w:p>
        </w:tc>
        <w:tc>
          <w:tcPr>
            <w:tcW w:w="2160" w:type="dxa"/>
          </w:tcPr>
          <w:p w14:paraId="40DFF127" w14:textId="77777777" w:rsidR="001A2CC3" w:rsidRPr="00D66867" w:rsidRDefault="001A2CC3" w:rsidP="00F62E12">
            <w:pPr>
              <w:spacing w:line="360" w:lineRule="auto"/>
              <w:rPr>
                <w:rFonts w:ascii="Arial" w:eastAsia="Calibri" w:hAnsi="Arial" w:cs="Arial"/>
              </w:rPr>
            </w:pPr>
            <w:r w:rsidRPr="001F6D3E">
              <w:rPr>
                <w:rFonts w:ascii="Arial" w:eastAsia="Calibri" w:hAnsi="Arial" w:cs="Arial"/>
              </w:rPr>
              <w:t>0.0</w:t>
            </w:r>
          </w:p>
        </w:tc>
        <w:tc>
          <w:tcPr>
            <w:tcW w:w="2160" w:type="dxa"/>
          </w:tcPr>
          <w:p w14:paraId="6A33320B" w14:textId="77777777" w:rsidR="001A2CC3" w:rsidRPr="00D66867" w:rsidRDefault="001A2CC3" w:rsidP="00F62E12">
            <w:pPr>
              <w:spacing w:line="360" w:lineRule="auto"/>
              <w:rPr>
                <w:rFonts w:ascii="Arial" w:eastAsia="Calibri" w:hAnsi="Arial" w:cs="Arial"/>
              </w:rPr>
            </w:pPr>
            <w:r w:rsidRPr="001F6D3E">
              <w:rPr>
                <w:rFonts w:ascii="Arial" w:eastAsia="Calibri" w:hAnsi="Arial" w:cs="Arial"/>
              </w:rPr>
              <w:t>15</w:t>
            </w:r>
          </w:p>
        </w:tc>
        <w:tc>
          <w:tcPr>
            <w:tcW w:w="2160" w:type="dxa"/>
          </w:tcPr>
          <w:p w14:paraId="4913B7C6" w14:textId="77777777" w:rsidR="001A2CC3" w:rsidRPr="00D66867" w:rsidRDefault="001A2CC3" w:rsidP="00F62E12">
            <w:pPr>
              <w:spacing w:line="360" w:lineRule="auto"/>
              <w:rPr>
                <w:rFonts w:ascii="Arial" w:eastAsia="Calibri" w:hAnsi="Arial" w:cs="Arial"/>
              </w:rPr>
            </w:pPr>
            <w:r w:rsidRPr="001F6D3E">
              <w:rPr>
                <w:rFonts w:ascii="Arial" w:eastAsia="Calibri" w:hAnsi="Arial" w:cs="Arial"/>
              </w:rPr>
              <w:t>0%</w:t>
            </w:r>
          </w:p>
        </w:tc>
      </w:tr>
      <w:tr w:rsidR="001A2CC3" w:rsidRPr="00D66867" w14:paraId="79FE1ADF" w14:textId="77777777" w:rsidTr="00AB2174">
        <w:tc>
          <w:tcPr>
            <w:tcW w:w="2160" w:type="dxa"/>
          </w:tcPr>
          <w:p w14:paraId="3E7AD390" w14:textId="77777777" w:rsidR="001A2CC3" w:rsidRPr="00D66867" w:rsidRDefault="001A2CC3" w:rsidP="00F62E12">
            <w:pPr>
              <w:spacing w:line="360" w:lineRule="auto"/>
              <w:rPr>
                <w:rFonts w:ascii="Arial" w:eastAsia="Calibri" w:hAnsi="Arial" w:cs="Arial"/>
              </w:rPr>
            </w:pPr>
            <w:r w:rsidRPr="00D66867">
              <w:rPr>
                <w:rFonts w:ascii="Arial" w:eastAsia="Calibri" w:hAnsi="Arial" w:cs="Arial"/>
              </w:rPr>
              <w:t>C</w:t>
            </w:r>
          </w:p>
        </w:tc>
        <w:tc>
          <w:tcPr>
            <w:tcW w:w="2160" w:type="dxa"/>
          </w:tcPr>
          <w:p w14:paraId="09130280" w14:textId="77777777" w:rsidR="001A2CC3" w:rsidRPr="00D66867" w:rsidRDefault="001A2CC3" w:rsidP="00F62E12">
            <w:pPr>
              <w:spacing w:line="360" w:lineRule="auto"/>
              <w:rPr>
                <w:rFonts w:ascii="Arial" w:eastAsia="Calibri" w:hAnsi="Arial" w:cs="Arial"/>
              </w:rPr>
            </w:pPr>
            <w:r w:rsidRPr="001F6D3E">
              <w:rPr>
                <w:rFonts w:ascii="Arial" w:eastAsia="Calibri" w:hAnsi="Arial" w:cs="Arial"/>
              </w:rPr>
              <w:t>3.0</w:t>
            </w:r>
          </w:p>
        </w:tc>
        <w:tc>
          <w:tcPr>
            <w:tcW w:w="2160" w:type="dxa"/>
          </w:tcPr>
          <w:p w14:paraId="39538B0B" w14:textId="77777777" w:rsidR="001A2CC3" w:rsidRPr="00D66867" w:rsidRDefault="001A2CC3" w:rsidP="00F62E12">
            <w:pPr>
              <w:spacing w:line="360" w:lineRule="auto"/>
              <w:rPr>
                <w:rFonts w:ascii="Arial" w:eastAsia="Calibri" w:hAnsi="Arial" w:cs="Arial"/>
              </w:rPr>
            </w:pPr>
            <w:r w:rsidRPr="001F6D3E">
              <w:rPr>
                <w:rFonts w:ascii="Arial" w:eastAsia="Calibri" w:hAnsi="Arial" w:cs="Arial"/>
              </w:rPr>
              <w:t>25</w:t>
            </w:r>
          </w:p>
        </w:tc>
        <w:tc>
          <w:tcPr>
            <w:tcW w:w="2160" w:type="dxa"/>
          </w:tcPr>
          <w:p w14:paraId="5509F4B8" w14:textId="77777777" w:rsidR="001A2CC3" w:rsidRPr="00D66867" w:rsidRDefault="001A2CC3" w:rsidP="00F62E12">
            <w:pPr>
              <w:spacing w:line="360" w:lineRule="auto"/>
              <w:rPr>
                <w:rFonts w:ascii="Arial" w:eastAsia="Calibri" w:hAnsi="Arial" w:cs="Arial"/>
              </w:rPr>
            </w:pPr>
            <w:r w:rsidRPr="001F6D3E">
              <w:rPr>
                <w:rFonts w:ascii="Arial" w:eastAsia="Calibri" w:hAnsi="Arial" w:cs="Arial"/>
              </w:rPr>
              <w:t>12%</w:t>
            </w:r>
          </w:p>
        </w:tc>
      </w:tr>
    </w:tbl>
    <w:p w14:paraId="2459C9A9" w14:textId="77777777" w:rsidR="001A2CC3" w:rsidRPr="007928F2" w:rsidRDefault="007928F2" w:rsidP="007928F2">
      <w:pPr>
        <w:spacing w:line="360" w:lineRule="auto"/>
        <w:jc w:val="center"/>
        <w:rPr>
          <w:rFonts w:ascii="Arial" w:hAnsi="Arial" w:cs="Arial"/>
          <w:i/>
          <w:color w:val="2E74B5" w:themeColor="accent1" w:themeShade="BF"/>
          <w:sz w:val="18"/>
          <w:szCs w:val="18"/>
        </w:rPr>
      </w:pPr>
      <w:r w:rsidRPr="007928F2">
        <w:rPr>
          <w:rFonts w:ascii="Arial" w:hAnsi="Arial" w:cs="Arial"/>
          <w:i/>
          <w:color w:val="2E74B5" w:themeColor="accent1" w:themeShade="BF"/>
          <w:sz w:val="18"/>
          <w:szCs w:val="18"/>
        </w:rPr>
        <w:t>Source: (Self-Analyzed)</w:t>
      </w:r>
    </w:p>
    <w:p w14:paraId="239A1A8F" w14:textId="77777777" w:rsidR="001A28F8" w:rsidRPr="001F6D3E" w:rsidRDefault="007B2636" w:rsidP="001D5163">
      <w:pPr>
        <w:pStyle w:val="Heading2"/>
      </w:pPr>
      <w:bookmarkStart w:id="88" w:name="_Toc217238059"/>
      <w:r w:rsidRPr="001F6D3E">
        <w:t>Table D3</w:t>
      </w:r>
      <w:r w:rsidR="00A005E9" w:rsidRPr="001F6D3E">
        <w:t>: Net Present Value (NPV) Calculations</w:t>
      </w:r>
      <w:bookmarkEnd w:id="88"/>
    </w:p>
    <w:p w14:paraId="69F9A255" w14:textId="77777777" w:rsidR="00A005E9" w:rsidRPr="001F6D3E" w:rsidRDefault="00A005E9" w:rsidP="00F62E12">
      <w:pPr>
        <w:spacing w:line="360" w:lineRule="auto"/>
        <w:rPr>
          <w:rFonts w:ascii="Arial" w:eastAsiaTheme="minorEastAsia" w:hAnsi="Arial" w:cs="Arial"/>
          <w:b/>
          <w:bCs/>
        </w:rPr>
      </w:pPr>
    </w:p>
    <w:p w14:paraId="28D59489" w14:textId="77777777" w:rsidR="00A005E9" w:rsidRPr="001F6D3E" w:rsidRDefault="00A005E9" w:rsidP="00F62E12">
      <w:pPr>
        <w:spacing w:line="360" w:lineRule="auto"/>
        <w:rPr>
          <w:rFonts w:ascii="Arial" w:hAnsi="Arial" w:cs="Arial"/>
        </w:rPr>
      </w:pPr>
      <m:oMathPara>
        <m:oMath>
          <m:r>
            <w:rPr>
              <w:rFonts w:ascii="Cambria Math" w:hAnsi="Cambria Math" w:cs="Arial"/>
            </w:rPr>
            <m:t>NPV=PV of cash inflows-initial cash outflows.</m:t>
          </m:r>
        </m:oMath>
      </m:oMathPara>
    </w:p>
    <w:p w14:paraId="24B016B3" w14:textId="77777777" w:rsidR="00A005E9" w:rsidRPr="001F6D3E" w:rsidRDefault="00A005E9" w:rsidP="00F62E12">
      <w:pPr>
        <w:spacing w:line="360" w:lineRule="auto"/>
        <w:jc w:val="center"/>
        <w:rPr>
          <w:rFonts w:ascii="Arial" w:eastAsiaTheme="minorEastAsia" w:hAnsi="Arial" w:cs="Arial"/>
        </w:rPr>
      </w:pPr>
      <w:r w:rsidRPr="001F6D3E">
        <w:rPr>
          <w:rFonts w:ascii="Arial" w:eastAsiaTheme="minorEastAsia" w:hAnsi="Arial" w:cs="Arial"/>
          <w:i/>
          <w:sz w:val="20"/>
        </w:rPr>
        <w:t>NPV</w:t>
      </w:r>
      <w:r w:rsidRPr="001F6D3E">
        <w:rPr>
          <w:rFonts w:ascii="Arial" w:eastAsiaTheme="minorEastAsia" w:hAnsi="Arial" w:cs="Arial"/>
        </w:rPr>
        <w:t xml:space="preserve">= </w:t>
      </w:r>
      <m:oMath>
        <m:f>
          <m:fPr>
            <m:ctrlPr>
              <w:rPr>
                <w:rFonts w:ascii="Cambria Math" w:hAnsi="Cambria Math" w:cs="Arial"/>
                <w:i/>
              </w:rPr>
            </m:ctrlPr>
          </m:fPr>
          <m:num>
            <m:r>
              <w:rPr>
                <w:rFonts w:ascii="Cambria Math" w:hAnsi="Cambria Math" w:cs="Arial"/>
              </w:rPr>
              <m:t>CFt</m:t>
            </m:r>
          </m:num>
          <m:den>
            <m:sSup>
              <m:sSupPr>
                <m:ctrlPr>
                  <w:rPr>
                    <w:rFonts w:ascii="Cambria Math" w:hAnsi="Cambria Math" w:cs="Arial"/>
                    <w:i/>
                  </w:rPr>
                </m:ctrlPr>
              </m:sSupPr>
              <m:e>
                <m:r>
                  <w:rPr>
                    <w:rFonts w:ascii="Cambria Math" w:hAnsi="Cambria Math" w:cs="Arial"/>
                  </w:rPr>
                  <m:t>(1+r)</m:t>
                </m:r>
              </m:e>
              <m:sup>
                <m:r>
                  <w:rPr>
                    <w:rFonts w:ascii="Cambria Math" w:hAnsi="Cambria Math" w:cs="Arial"/>
                  </w:rPr>
                  <m:t>t</m:t>
                </m:r>
              </m:sup>
            </m:sSup>
          </m:den>
        </m:f>
        <m:r>
          <w:rPr>
            <w:rFonts w:ascii="Cambria Math" w:hAnsi="Cambria Math" w:cs="Arial"/>
          </w:rPr>
          <m:t>-Io</m:t>
        </m:r>
      </m:oMath>
    </w:p>
    <w:p w14:paraId="12639D15" w14:textId="77777777" w:rsidR="00A005E9" w:rsidRPr="001F6D3E" w:rsidRDefault="00A005E9" w:rsidP="00F62E12">
      <w:pPr>
        <w:spacing w:line="360" w:lineRule="auto"/>
        <w:rPr>
          <w:rFonts w:ascii="Arial" w:hAnsi="Arial" w:cs="Arial"/>
        </w:rPr>
      </w:pPr>
      <w:r w:rsidRPr="001F6D3E">
        <w:rPr>
          <w:rFonts w:ascii="Arial" w:hAnsi="Arial" w:cs="Arial"/>
        </w:rPr>
        <w:t>Where:</w:t>
      </w:r>
    </w:p>
    <w:p w14:paraId="128DF01F" w14:textId="77777777" w:rsidR="00A005E9" w:rsidRPr="001F6D3E" w:rsidRDefault="00A005E9" w:rsidP="00F62E12">
      <w:pPr>
        <w:numPr>
          <w:ilvl w:val="0"/>
          <w:numId w:val="18"/>
        </w:numPr>
        <w:spacing w:line="360" w:lineRule="auto"/>
        <w:rPr>
          <w:rFonts w:ascii="Arial" w:hAnsi="Arial" w:cs="Arial"/>
        </w:rPr>
      </w:pPr>
      <w:proofErr w:type="spellStart"/>
      <w:r w:rsidRPr="001F6D3E">
        <w:rPr>
          <w:rFonts w:ascii="Arial" w:hAnsi="Arial" w:cs="Arial"/>
          <w:i/>
          <w:iCs/>
        </w:rPr>
        <w:t>CFt</w:t>
      </w:r>
      <w:proofErr w:type="spellEnd"/>
      <w:r w:rsidRPr="001F6D3E">
        <w:rPr>
          <w:rFonts w:ascii="Arial" w:hAnsi="Arial" w:cs="Arial"/>
        </w:rPr>
        <w:t>​ = Cash flow in year </w:t>
      </w:r>
      <w:r w:rsidRPr="001F6D3E">
        <w:rPr>
          <w:rFonts w:ascii="Arial" w:hAnsi="Arial" w:cs="Arial"/>
          <w:i/>
          <w:iCs/>
        </w:rPr>
        <w:t>t</w:t>
      </w:r>
    </w:p>
    <w:p w14:paraId="6A417F4B" w14:textId="77777777" w:rsidR="00A005E9" w:rsidRPr="001F6D3E" w:rsidRDefault="00A005E9" w:rsidP="00F62E12">
      <w:pPr>
        <w:numPr>
          <w:ilvl w:val="0"/>
          <w:numId w:val="18"/>
        </w:numPr>
        <w:spacing w:line="360" w:lineRule="auto"/>
        <w:rPr>
          <w:rFonts w:ascii="Arial" w:hAnsi="Arial" w:cs="Arial"/>
        </w:rPr>
      </w:pPr>
      <w:r w:rsidRPr="001F6D3E">
        <w:rPr>
          <w:rFonts w:ascii="Arial" w:hAnsi="Arial" w:cs="Arial"/>
          <w:i/>
          <w:iCs/>
        </w:rPr>
        <w:t>r</w:t>
      </w:r>
      <w:r w:rsidRPr="001F6D3E">
        <w:rPr>
          <w:rFonts w:ascii="Arial" w:hAnsi="Arial" w:cs="Arial"/>
        </w:rPr>
        <w:t> = Discount rate (10%)</w:t>
      </w:r>
    </w:p>
    <w:p w14:paraId="6DBD5CA0" w14:textId="77777777" w:rsidR="00A005E9" w:rsidRPr="001F6D3E" w:rsidRDefault="00A005E9" w:rsidP="00F62E12">
      <w:pPr>
        <w:numPr>
          <w:ilvl w:val="0"/>
          <w:numId w:val="18"/>
        </w:numPr>
        <w:spacing w:line="360" w:lineRule="auto"/>
        <w:rPr>
          <w:rFonts w:ascii="Arial" w:hAnsi="Arial" w:cs="Arial"/>
        </w:rPr>
      </w:pPr>
      <w:r w:rsidRPr="001F6D3E">
        <w:rPr>
          <w:rFonts w:ascii="Arial" w:hAnsi="Arial" w:cs="Arial"/>
          <w:i/>
          <w:iCs/>
        </w:rPr>
        <w:t>I</w:t>
      </w:r>
      <w:r w:rsidRPr="001F6D3E">
        <w:rPr>
          <w:rFonts w:ascii="Arial" w:hAnsi="Arial" w:cs="Arial"/>
        </w:rPr>
        <w:t>0​ = Initial investment</w:t>
      </w:r>
    </w:p>
    <w:p w14:paraId="1497540C" w14:textId="77777777" w:rsidR="00A005E9" w:rsidRPr="001F6D3E" w:rsidRDefault="00A005E9" w:rsidP="00F62E12">
      <w:pPr>
        <w:numPr>
          <w:ilvl w:val="0"/>
          <w:numId w:val="18"/>
        </w:numPr>
        <w:spacing w:line="360" w:lineRule="auto"/>
        <w:rPr>
          <w:rFonts w:ascii="Arial" w:hAnsi="Arial" w:cs="Arial"/>
        </w:rPr>
      </w:pPr>
      <w:r w:rsidRPr="001F6D3E">
        <w:rPr>
          <w:rFonts w:ascii="Arial" w:hAnsi="Arial" w:cs="Arial"/>
          <w:i/>
          <w:iCs/>
        </w:rPr>
        <w:t>n</w:t>
      </w:r>
      <w:r w:rsidRPr="001F6D3E">
        <w:rPr>
          <w:rFonts w:ascii="Arial" w:hAnsi="Arial" w:cs="Arial"/>
        </w:rPr>
        <w:t> = Project life</w:t>
      </w:r>
    </w:p>
    <w:p w14:paraId="0C8015D2" w14:textId="77777777" w:rsidR="00A005E9" w:rsidRPr="001F6D3E" w:rsidRDefault="00A005E9" w:rsidP="00F62E12">
      <w:pPr>
        <w:spacing w:line="360" w:lineRule="auto"/>
        <w:rPr>
          <w:rFonts w:ascii="Arial" w:hAnsi="Arial" w:cs="Arial"/>
        </w:rPr>
      </w:pPr>
    </w:p>
    <w:tbl>
      <w:tblPr>
        <w:tblStyle w:val="TableGrid"/>
        <w:tblpPr w:leftFromText="180" w:rightFromText="180" w:vertAnchor="text" w:horzAnchor="margin" w:tblpXSpec="center" w:tblpY="176"/>
        <w:tblW w:w="0" w:type="auto"/>
        <w:tblLook w:val="04A0" w:firstRow="1" w:lastRow="0" w:firstColumn="1" w:lastColumn="0" w:noHBand="0" w:noVBand="1"/>
      </w:tblPr>
      <w:tblGrid>
        <w:gridCol w:w="1040"/>
        <w:gridCol w:w="1040"/>
        <w:gridCol w:w="1040"/>
        <w:gridCol w:w="1040"/>
        <w:gridCol w:w="1040"/>
        <w:gridCol w:w="1040"/>
        <w:gridCol w:w="1040"/>
        <w:gridCol w:w="1040"/>
      </w:tblGrid>
      <w:tr w:rsidR="000E15FF" w:rsidRPr="001F6D3E" w14:paraId="5819F2D9" w14:textId="77777777" w:rsidTr="00F62E12">
        <w:trPr>
          <w:trHeight w:val="1062"/>
        </w:trPr>
        <w:tc>
          <w:tcPr>
            <w:tcW w:w="1040" w:type="dxa"/>
          </w:tcPr>
          <w:p w14:paraId="28D1DB61"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lastRenderedPageBreak/>
              <w:t>Project</w:t>
            </w:r>
          </w:p>
        </w:tc>
        <w:tc>
          <w:tcPr>
            <w:tcW w:w="1040" w:type="dxa"/>
          </w:tcPr>
          <w:p w14:paraId="15D9D3A9"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Year 1</w:t>
            </w:r>
          </w:p>
        </w:tc>
        <w:tc>
          <w:tcPr>
            <w:tcW w:w="1040" w:type="dxa"/>
          </w:tcPr>
          <w:p w14:paraId="6099AF71"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Year 2</w:t>
            </w:r>
          </w:p>
        </w:tc>
        <w:tc>
          <w:tcPr>
            <w:tcW w:w="1040" w:type="dxa"/>
          </w:tcPr>
          <w:p w14:paraId="02EC72F9"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Year 3</w:t>
            </w:r>
          </w:p>
        </w:tc>
        <w:tc>
          <w:tcPr>
            <w:tcW w:w="1040" w:type="dxa"/>
          </w:tcPr>
          <w:p w14:paraId="440363AB"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Year 4</w:t>
            </w:r>
          </w:p>
        </w:tc>
        <w:tc>
          <w:tcPr>
            <w:tcW w:w="1040" w:type="dxa"/>
          </w:tcPr>
          <w:p w14:paraId="51136D37"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Year 5</w:t>
            </w:r>
          </w:p>
        </w:tc>
        <w:tc>
          <w:tcPr>
            <w:tcW w:w="1040" w:type="dxa"/>
          </w:tcPr>
          <w:p w14:paraId="7151BC81"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PV of Inflows (£m)</w:t>
            </w:r>
          </w:p>
        </w:tc>
        <w:tc>
          <w:tcPr>
            <w:tcW w:w="1040" w:type="dxa"/>
          </w:tcPr>
          <w:p w14:paraId="67B9A5C9"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NPV (£m)</w:t>
            </w:r>
          </w:p>
        </w:tc>
      </w:tr>
      <w:tr w:rsidR="000E15FF" w:rsidRPr="001F6D3E" w14:paraId="4D30BE4D" w14:textId="77777777" w:rsidTr="00F62E12">
        <w:trPr>
          <w:trHeight w:val="441"/>
        </w:trPr>
        <w:tc>
          <w:tcPr>
            <w:tcW w:w="1040" w:type="dxa"/>
          </w:tcPr>
          <w:p w14:paraId="76865F12"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A</w:t>
            </w:r>
          </w:p>
        </w:tc>
        <w:tc>
          <w:tcPr>
            <w:tcW w:w="1040" w:type="dxa"/>
          </w:tcPr>
          <w:p w14:paraId="1BFA397E"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10</w:t>
            </w:r>
          </w:p>
        </w:tc>
        <w:tc>
          <w:tcPr>
            <w:tcW w:w="1040" w:type="dxa"/>
          </w:tcPr>
          <w:p w14:paraId="697C454D"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12</w:t>
            </w:r>
          </w:p>
        </w:tc>
        <w:tc>
          <w:tcPr>
            <w:tcW w:w="1040" w:type="dxa"/>
          </w:tcPr>
          <w:p w14:paraId="5F7B9375"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14</w:t>
            </w:r>
          </w:p>
        </w:tc>
        <w:tc>
          <w:tcPr>
            <w:tcW w:w="1040" w:type="dxa"/>
          </w:tcPr>
          <w:p w14:paraId="22D4CC58"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10</w:t>
            </w:r>
          </w:p>
        </w:tc>
        <w:tc>
          <w:tcPr>
            <w:tcW w:w="1040" w:type="dxa"/>
          </w:tcPr>
          <w:p w14:paraId="58B00177"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8</w:t>
            </w:r>
          </w:p>
        </w:tc>
        <w:tc>
          <w:tcPr>
            <w:tcW w:w="1040" w:type="dxa"/>
          </w:tcPr>
          <w:p w14:paraId="73352697"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41.92</w:t>
            </w:r>
          </w:p>
        </w:tc>
        <w:tc>
          <w:tcPr>
            <w:tcW w:w="1040" w:type="dxa"/>
          </w:tcPr>
          <w:p w14:paraId="5916726E"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1.92</w:t>
            </w:r>
          </w:p>
        </w:tc>
      </w:tr>
      <w:tr w:rsidR="000E15FF" w:rsidRPr="001F6D3E" w14:paraId="4030BA44" w14:textId="77777777" w:rsidTr="00F62E12">
        <w:trPr>
          <w:trHeight w:val="441"/>
        </w:trPr>
        <w:tc>
          <w:tcPr>
            <w:tcW w:w="1040" w:type="dxa"/>
          </w:tcPr>
          <w:p w14:paraId="62016FBB"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B</w:t>
            </w:r>
          </w:p>
        </w:tc>
        <w:tc>
          <w:tcPr>
            <w:tcW w:w="1040" w:type="dxa"/>
          </w:tcPr>
          <w:p w14:paraId="6C283804"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6</w:t>
            </w:r>
          </w:p>
        </w:tc>
        <w:tc>
          <w:tcPr>
            <w:tcW w:w="1040" w:type="dxa"/>
          </w:tcPr>
          <w:p w14:paraId="5DF9DE8C"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6</w:t>
            </w:r>
          </w:p>
        </w:tc>
        <w:tc>
          <w:tcPr>
            <w:tcW w:w="1040" w:type="dxa"/>
          </w:tcPr>
          <w:p w14:paraId="55DB8CAE"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6</w:t>
            </w:r>
          </w:p>
        </w:tc>
        <w:tc>
          <w:tcPr>
            <w:tcW w:w="1040" w:type="dxa"/>
          </w:tcPr>
          <w:p w14:paraId="62B0D7A9"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6</w:t>
            </w:r>
          </w:p>
        </w:tc>
        <w:tc>
          <w:tcPr>
            <w:tcW w:w="1040" w:type="dxa"/>
          </w:tcPr>
          <w:p w14:paraId="354E502D"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6</w:t>
            </w:r>
          </w:p>
        </w:tc>
        <w:tc>
          <w:tcPr>
            <w:tcW w:w="1040" w:type="dxa"/>
          </w:tcPr>
          <w:p w14:paraId="1866A9C3"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29.79</w:t>
            </w:r>
          </w:p>
        </w:tc>
        <w:tc>
          <w:tcPr>
            <w:tcW w:w="1040" w:type="dxa"/>
          </w:tcPr>
          <w:p w14:paraId="358B6865"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-0.21</w:t>
            </w:r>
          </w:p>
        </w:tc>
      </w:tr>
      <w:tr w:rsidR="000E15FF" w:rsidRPr="001F6D3E" w14:paraId="4AFF4E1F" w14:textId="77777777" w:rsidTr="00F62E12">
        <w:trPr>
          <w:trHeight w:val="431"/>
        </w:trPr>
        <w:tc>
          <w:tcPr>
            <w:tcW w:w="1040" w:type="dxa"/>
          </w:tcPr>
          <w:p w14:paraId="286698CC"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C</w:t>
            </w:r>
          </w:p>
        </w:tc>
        <w:tc>
          <w:tcPr>
            <w:tcW w:w="1040" w:type="dxa"/>
          </w:tcPr>
          <w:p w14:paraId="030098A3"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5</w:t>
            </w:r>
          </w:p>
        </w:tc>
        <w:tc>
          <w:tcPr>
            <w:tcW w:w="1040" w:type="dxa"/>
          </w:tcPr>
          <w:p w14:paraId="48EC667A"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10</w:t>
            </w:r>
          </w:p>
        </w:tc>
        <w:tc>
          <w:tcPr>
            <w:tcW w:w="1040" w:type="dxa"/>
          </w:tcPr>
          <w:p w14:paraId="3024382E"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20</w:t>
            </w:r>
          </w:p>
        </w:tc>
        <w:tc>
          <w:tcPr>
            <w:tcW w:w="1040" w:type="dxa"/>
          </w:tcPr>
          <w:p w14:paraId="788C0FBA"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25</w:t>
            </w:r>
          </w:p>
        </w:tc>
        <w:tc>
          <w:tcPr>
            <w:tcW w:w="1040" w:type="dxa"/>
          </w:tcPr>
          <w:p w14:paraId="30445CAA"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15</w:t>
            </w:r>
          </w:p>
        </w:tc>
        <w:tc>
          <w:tcPr>
            <w:tcW w:w="1040" w:type="dxa"/>
          </w:tcPr>
          <w:p w14:paraId="49A3B69B"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71.28</w:t>
            </w:r>
          </w:p>
        </w:tc>
        <w:tc>
          <w:tcPr>
            <w:tcW w:w="1040" w:type="dxa"/>
          </w:tcPr>
          <w:p w14:paraId="28A131C6" w14:textId="77777777" w:rsidR="000E15FF" w:rsidRPr="001F6D3E" w:rsidRDefault="000E15FF" w:rsidP="00F62E12">
            <w:pPr>
              <w:spacing w:after="160" w:line="360" w:lineRule="auto"/>
              <w:rPr>
                <w:rFonts w:ascii="Arial" w:eastAsia="Calibri" w:hAnsi="Arial" w:cs="Arial"/>
              </w:rPr>
            </w:pPr>
            <w:r w:rsidRPr="001F6D3E">
              <w:rPr>
                <w:rFonts w:ascii="Arial" w:eastAsia="Calibri" w:hAnsi="Arial" w:cs="Arial"/>
              </w:rPr>
              <w:t>21.28</w:t>
            </w:r>
          </w:p>
        </w:tc>
      </w:tr>
    </w:tbl>
    <w:p w14:paraId="3F64E942" w14:textId="77777777" w:rsidR="000E15FF" w:rsidRPr="001F6D3E" w:rsidRDefault="000E15FF" w:rsidP="00F62E12">
      <w:pPr>
        <w:spacing w:line="360" w:lineRule="auto"/>
        <w:jc w:val="center"/>
        <w:rPr>
          <w:rFonts w:ascii="Arial" w:eastAsia="Calibri" w:hAnsi="Arial" w:cs="Arial"/>
          <w:i/>
          <w:color w:val="2E74B5" w:themeColor="accent1" w:themeShade="BF"/>
          <w:sz w:val="18"/>
        </w:rPr>
      </w:pPr>
      <w:r w:rsidRPr="001F6D3E">
        <w:rPr>
          <w:rFonts w:ascii="Arial" w:eastAsia="Calibri" w:hAnsi="Arial" w:cs="Arial"/>
          <w:i/>
          <w:color w:val="2E74B5" w:themeColor="accent1" w:themeShade="BF"/>
          <w:sz w:val="18"/>
        </w:rPr>
        <w:t>Source: Self Analyzed</w:t>
      </w:r>
    </w:p>
    <w:p w14:paraId="1D555555" w14:textId="77777777" w:rsidR="000E15FF" w:rsidRPr="001F6D3E" w:rsidRDefault="000E15FF" w:rsidP="00F62E12">
      <w:pPr>
        <w:spacing w:line="360" w:lineRule="auto"/>
        <w:jc w:val="center"/>
        <w:rPr>
          <w:rFonts w:ascii="Arial" w:hAnsi="Arial" w:cs="Arial"/>
          <w:i/>
          <w:color w:val="2E74B5" w:themeColor="accent1" w:themeShade="BF"/>
          <w:sz w:val="18"/>
        </w:rPr>
      </w:pPr>
    </w:p>
    <w:p w14:paraId="6DB754E0" w14:textId="77777777" w:rsidR="000E15FF" w:rsidRPr="001F6D3E" w:rsidRDefault="000E15FF" w:rsidP="001D5163">
      <w:pPr>
        <w:pStyle w:val="Heading2"/>
      </w:pPr>
      <w:bookmarkStart w:id="89" w:name="_Toc216756008"/>
      <w:bookmarkStart w:id="90" w:name="_Toc217238060"/>
      <w:r w:rsidRPr="001D5163">
        <w:t>Table D3: Internal Rate of Return (IRR) Estimates</w:t>
      </w:r>
      <w:bookmarkEnd w:id="89"/>
      <w:bookmarkEnd w:id="90"/>
    </w:p>
    <w:p w14:paraId="2D3FFBA7" w14:textId="77777777" w:rsidR="000E15FF" w:rsidRPr="001F6D3E" w:rsidRDefault="00C81C64" w:rsidP="00F62E12">
      <w:pPr>
        <w:spacing w:line="360" w:lineRule="auto"/>
        <w:rPr>
          <w:rFonts w:ascii="Arial" w:hAnsi="Arial" w:cs="Arial"/>
          <w:b/>
          <w:bCs/>
        </w:rPr>
      </w:pPr>
      <w:r w:rsidRPr="001F6D3E">
        <w:rPr>
          <w:rFonts w:ascii="Arial" w:hAnsi="Arial" w:cs="Arial"/>
          <w:b/>
          <w:bCs/>
          <w:noProof/>
        </w:rPr>
        <w:drawing>
          <wp:anchor distT="0" distB="0" distL="114300" distR="114300" simplePos="0" relativeHeight="251664384" behindDoc="0" locked="0" layoutInCell="1" allowOverlap="1" wp14:anchorId="5513FD6F" wp14:editId="7AEE64DC">
            <wp:simplePos x="0" y="0"/>
            <wp:positionH relativeFrom="column">
              <wp:posOffset>845820</wp:posOffset>
            </wp:positionH>
            <wp:positionV relativeFrom="paragraph">
              <wp:posOffset>58420</wp:posOffset>
            </wp:positionV>
            <wp:extent cx="2941320" cy="567705"/>
            <wp:effectExtent l="0" t="0" r="0"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5-12-20 123251.png"/>
                    <pic:cNvPicPr/>
                  </pic:nvPicPr>
                  <pic:blipFill>
                    <a:blip r:embed="rId17">
                      <a:extLst>
                        <a:ext uri="{28A0092B-C50C-407E-A947-70E740481C1C}">
                          <a14:useLocalDpi xmlns:a14="http://schemas.microsoft.com/office/drawing/2010/main" val="0"/>
                        </a:ext>
                      </a:extLst>
                    </a:blip>
                    <a:stretch>
                      <a:fillRect/>
                    </a:stretch>
                  </pic:blipFill>
                  <pic:spPr>
                    <a:xfrm>
                      <a:off x="0" y="0"/>
                      <a:ext cx="2941320" cy="567705"/>
                    </a:xfrm>
                    <a:prstGeom prst="rect">
                      <a:avLst/>
                    </a:prstGeom>
                  </pic:spPr>
                </pic:pic>
              </a:graphicData>
            </a:graphic>
            <wp14:sizeRelH relativeFrom="margin">
              <wp14:pctWidth>0</wp14:pctWidth>
            </wp14:sizeRelH>
            <wp14:sizeRelV relativeFrom="margin">
              <wp14:pctHeight>0</wp14:pctHeight>
            </wp14:sizeRelV>
          </wp:anchor>
        </w:drawing>
      </w:r>
    </w:p>
    <w:p w14:paraId="0AA60D43" w14:textId="77777777" w:rsidR="00A005E9" w:rsidRPr="001F6D3E" w:rsidRDefault="00A005E9" w:rsidP="00F62E12">
      <w:pPr>
        <w:spacing w:line="360" w:lineRule="auto"/>
        <w:rPr>
          <w:rFonts w:ascii="Arial" w:hAnsi="Arial" w:cs="Arial"/>
        </w:rPr>
      </w:pPr>
    </w:p>
    <w:p w14:paraId="1F5783C8" w14:textId="77777777" w:rsidR="00F41C7E" w:rsidRPr="001F6D3E" w:rsidRDefault="00F41C7E" w:rsidP="00F62E12">
      <w:pPr>
        <w:spacing w:line="360" w:lineRule="auto"/>
        <w:rPr>
          <w:rFonts w:ascii="Arial" w:hAnsi="Arial" w:cs="Arial"/>
        </w:rPr>
      </w:pPr>
    </w:p>
    <w:p w14:paraId="7B674B39" w14:textId="77777777" w:rsidR="00F41C7E" w:rsidRPr="001F6D3E" w:rsidRDefault="00F41C7E" w:rsidP="00F62E12">
      <w:pPr>
        <w:spacing w:line="360" w:lineRule="auto"/>
        <w:rPr>
          <w:rFonts w:ascii="Arial" w:hAnsi="Arial" w:cs="Arial"/>
          <w:sz w:val="18"/>
        </w:rPr>
      </w:pPr>
      <w:r w:rsidRPr="001F6D3E">
        <w:rPr>
          <w:rFonts w:ascii="Arial" w:hAnsi="Arial" w:cs="Arial"/>
          <w:sz w:val="18"/>
        </w:rPr>
        <w:t>Where:</w:t>
      </w:r>
    </w:p>
    <w:p w14:paraId="44BDB30E" w14:textId="77777777" w:rsidR="00F41C7E" w:rsidRPr="001F6D3E" w:rsidRDefault="00F41C7E" w:rsidP="00F62E12">
      <w:pPr>
        <w:numPr>
          <w:ilvl w:val="0"/>
          <w:numId w:val="19"/>
        </w:numPr>
        <w:spacing w:line="360" w:lineRule="auto"/>
        <w:rPr>
          <w:rFonts w:ascii="Arial" w:hAnsi="Arial" w:cs="Arial"/>
          <w:sz w:val="18"/>
        </w:rPr>
      </w:pPr>
      <w:r w:rsidRPr="001F6D3E">
        <w:rPr>
          <w:rFonts w:ascii="Arial" w:hAnsi="Arial" w:cs="Arial"/>
          <w:i/>
          <w:iCs/>
          <w:sz w:val="18"/>
        </w:rPr>
        <w:t>r</w:t>
      </w:r>
      <w:r w:rsidRPr="001F6D3E">
        <w:rPr>
          <w:rFonts w:ascii="Arial" w:hAnsi="Arial" w:cs="Arial"/>
          <w:sz w:val="18"/>
        </w:rPr>
        <w:t>1​ = lower discount rate (gives positive NPV)</w:t>
      </w:r>
    </w:p>
    <w:p w14:paraId="3C8B08E9" w14:textId="77777777" w:rsidR="00F41C7E" w:rsidRPr="001F6D3E" w:rsidRDefault="00F41C7E" w:rsidP="00F62E12">
      <w:pPr>
        <w:numPr>
          <w:ilvl w:val="0"/>
          <w:numId w:val="19"/>
        </w:numPr>
        <w:spacing w:line="360" w:lineRule="auto"/>
        <w:rPr>
          <w:rFonts w:ascii="Arial" w:hAnsi="Arial" w:cs="Arial"/>
          <w:sz w:val="18"/>
        </w:rPr>
      </w:pPr>
      <w:r w:rsidRPr="001F6D3E">
        <w:rPr>
          <w:rFonts w:ascii="Arial" w:hAnsi="Arial" w:cs="Arial"/>
          <w:i/>
          <w:iCs/>
          <w:sz w:val="18"/>
        </w:rPr>
        <w:t>r</w:t>
      </w:r>
      <w:r w:rsidRPr="001F6D3E">
        <w:rPr>
          <w:rFonts w:ascii="Arial" w:hAnsi="Arial" w:cs="Arial"/>
          <w:sz w:val="18"/>
        </w:rPr>
        <w:t>2​ = higher discount rate (gives negative NPV)</w:t>
      </w:r>
    </w:p>
    <w:p w14:paraId="3CE1B0E8" w14:textId="77777777" w:rsidR="00F41C7E" w:rsidRPr="00561979" w:rsidRDefault="00F41C7E" w:rsidP="00F62E12">
      <w:pPr>
        <w:numPr>
          <w:ilvl w:val="0"/>
          <w:numId w:val="19"/>
        </w:numPr>
        <w:spacing w:line="360" w:lineRule="auto"/>
        <w:rPr>
          <w:rFonts w:ascii="Arial" w:hAnsi="Arial" w:cs="Arial"/>
          <w:sz w:val="18"/>
          <w:lang w:val="da-DK"/>
        </w:rPr>
      </w:pPr>
      <w:r w:rsidRPr="00561979">
        <w:rPr>
          <w:rFonts w:ascii="Arial" w:hAnsi="Arial" w:cs="Arial"/>
          <w:i/>
          <w:iCs/>
          <w:sz w:val="18"/>
          <w:lang w:val="da-DK"/>
        </w:rPr>
        <w:t>NPVr</w:t>
      </w:r>
      <w:r w:rsidRPr="00561979">
        <w:rPr>
          <w:rFonts w:ascii="Arial" w:hAnsi="Arial" w:cs="Arial"/>
          <w:sz w:val="18"/>
          <w:lang w:val="da-DK"/>
        </w:rPr>
        <w:t>1​​ = NPV at rate </w:t>
      </w:r>
      <w:r w:rsidRPr="00561979">
        <w:rPr>
          <w:rFonts w:ascii="Arial" w:hAnsi="Arial" w:cs="Arial"/>
          <w:i/>
          <w:iCs/>
          <w:sz w:val="18"/>
          <w:lang w:val="da-DK"/>
        </w:rPr>
        <w:t>r</w:t>
      </w:r>
      <w:r w:rsidRPr="00561979">
        <w:rPr>
          <w:rFonts w:ascii="Arial" w:hAnsi="Arial" w:cs="Arial"/>
          <w:sz w:val="18"/>
          <w:lang w:val="da-DK"/>
        </w:rPr>
        <w:t>1​</w:t>
      </w:r>
    </w:p>
    <w:p w14:paraId="394C7B17" w14:textId="77777777" w:rsidR="00F41C7E" w:rsidRPr="00561979" w:rsidRDefault="00F41C7E" w:rsidP="00F62E12">
      <w:pPr>
        <w:numPr>
          <w:ilvl w:val="0"/>
          <w:numId w:val="19"/>
        </w:numPr>
        <w:spacing w:line="360" w:lineRule="auto"/>
        <w:rPr>
          <w:rFonts w:ascii="Arial" w:hAnsi="Arial" w:cs="Arial"/>
          <w:sz w:val="18"/>
          <w:lang w:val="da-DK"/>
        </w:rPr>
      </w:pPr>
      <w:r w:rsidRPr="00561979">
        <w:rPr>
          <w:rFonts w:ascii="Arial" w:hAnsi="Arial" w:cs="Arial"/>
          <w:i/>
          <w:iCs/>
          <w:sz w:val="18"/>
          <w:lang w:val="da-DK"/>
        </w:rPr>
        <w:t>NPVr</w:t>
      </w:r>
      <w:r w:rsidRPr="00561979">
        <w:rPr>
          <w:rFonts w:ascii="Arial" w:hAnsi="Arial" w:cs="Arial"/>
          <w:sz w:val="18"/>
          <w:lang w:val="da-DK"/>
        </w:rPr>
        <w:t>2​​ = NPV at rate </w:t>
      </w:r>
      <w:r w:rsidRPr="00561979">
        <w:rPr>
          <w:rFonts w:ascii="Arial" w:hAnsi="Arial" w:cs="Arial"/>
          <w:i/>
          <w:iCs/>
          <w:sz w:val="18"/>
          <w:lang w:val="da-DK"/>
        </w:rPr>
        <w:t>r</w:t>
      </w:r>
      <w:r w:rsidRPr="00561979">
        <w:rPr>
          <w:rFonts w:ascii="Arial" w:hAnsi="Arial" w:cs="Arial"/>
          <w:sz w:val="18"/>
          <w:lang w:val="da-DK"/>
        </w:rPr>
        <w:t>2​</w:t>
      </w:r>
      <w:r w:rsidRPr="00561979">
        <w:rPr>
          <w:rFonts w:ascii="Arial" w:hAnsi="Arial" w:cs="Arial"/>
          <w:sz w:val="18"/>
          <w:lang w:val="da-DK"/>
        </w:rPr>
        <w:br/>
      </w:r>
    </w:p>
    <w:tbl>
      <w:tblPr>
        <w:tblStyle w:val="TableGrid"/>
        <w:tblpPr w:leftFromText="180" w:rightFromText="180" w:vertAnchor="text" w:horzAnchor="page" w:tblpX="2497" w:tblpY="-227"/>
        <w:tblW w:w="0" w:type="auto"/>
        <w:tblLook w:val="04A0" w:firstRow="1" w:lastRow="0" w:firstColumn="1" w:lastColumn="0" w:noHBand="0" w:noVBand="1"/>
      </w:tblPr>
      <w:tblGrid>
        <w:gridCol w:w="1260"/>
        <w:gridCol w:w="3481"/>
        <w:gridCol w:w="1633"/>
      </w:tblGrid>
      <w:tr w:rsidR="001F6D3E" w:rsidRPr="001F6D3E" w14:paraId="5CCD1F48" w14:textId="77777777" w:rsidTr="00F62E12">
        <w:trPr>
          <w:trHeight w:val="277"/>
        </w:trPr>
        <w:tc>
          <w:tcPr>
            <w:tcW w:w="1260" w:type="dxa"/>
          </w:tcPr>
          <w:p w14:paraId="461AEDC8" w14:textId="77777777" w:rsidR="00F41C7E" w:rsidRPr="001F6D3E" w:rsidRDefault="00D301D9" w:rsidP="00F62E12">
            <w:pPr>
              <w:spacing w:line="360" w:lineRule="auto"/>
              <w:rPr>
                <w:rFonts w:ascii="Arial" w:hAnsi="Arial" w:cs="Arial"/>
              </w:rPr>
            </w:pPr>
            <w:r w:rsidRPr="001F6D3E">
              <w:rPr>
                <w:rFonts w:ascii="Arial" w:hAnsi="Arial" w:cs="Arial"/>
              </w:rPr>
              <w:t>Project</w:t>
            </w:r>
          </w:p>
        </w:tc>
        <w:tc>
          <w:tcPr>
            <w:tcW w:w="3481" w:type="dxa"/>
          </w:tcPr>
          <w:p w14:paraId="1220F5FD" w14:textId="77777777" w:rsidR="00F41C7E" w:rsidRPr="001F6D3E" w:rsidRDefault="00D301D9" w:rsidP="00F62E12">
            <w:pPr>
              <w:spacing w:line="360" w:lineRule="auto"/>
              <w:jc w:val="center"/>
              <w:rPr>
                <w:rFonts w:ascii="Arial" w:hAnsi="Arial" w:cs="Arial"/>
              </w:rPr>
            </w:pPr>
            <w:r w:rsidRPr="001F6D3E">
              <w:rPr>
                <w:rFonts w:ascii="Arial" w:hAnsi="Arial" w:cs="Arial"/>
              </w:rPr>
              <w:t>IRR calculation</w:t>
            </w:r>
          </w:p>
        </w:tc>
        <w:tc>
          <w:tcPr>
            <w:tcW w:w="1633" w:type="dxa"/>
          </w:tcPr>
          <w:p w14:paraId="1589A6B5" w14:textId="77777777" w:rsidR="00F41C7E" w:rsidRPr="001F6D3E" w:rsidRDefault="00D301D9" w:rsidP="00F62E12">
            <w:pPr>
              <w:spacing w:line="360" w:lineRule="auto"/>
              <w:rPr>
                <w:rFonts w:ascii="Arial" w:hAnsi="Arial" w:cs="Arial"/>
              </w:rPr>
            </w:pPr>
            <w:r w:rsidRPr="001F6D3E">
              <w:rPr>
                <w:rFonts w:ascii="Arial" w:hAnsi="Arial" w:cs="Arial"/>
              </w:rPr>
              <w:t xml:space="preserve">IRR </w:t>
            </w:r>
          </w:p>
        </w:tc>
      </w:tr>
      <w:tr w:rsidR="001F6D3E" w:rsidRPr="001F6D3E" w14:paraId="0CB54D46" w14:textId="77777777" w:rsidTr="00F62E12">
        <w:trPr>
          <w:trHeight w:val="556"/>
        </w:trPr>
        <w:tc>
          <w:tcPr>
            <w:tcW w:w="1260" w:type="dxa"/>
          </w:tcPr>
          <w:p w14:paraId="4435E978" w14:textId="77777777" w:rsidR="00F41C7E" w:rsidRPr="001F6D3E" w:rsidRDefault="00D301D9" w:rsidP="00F62E12">
            <w:pPr>
              <w:spacing w:line="360" w:lineRule="auto"/>
              <w:rPr>
                <w:rFonts w:ascii="Arial" w:hAnsi="Arial" w:cs="Arial"/>
              </w:rPr>
            </w:pPr>
            <w:r w:rsidRPr="001F6D3E">
              <w:rPr>
                <w:rFonts w:ascii="Arial" w:hAnsi="Arial" w:cs="Arial"/>
              </w:rPr>
              <w:t>A</w:t>
            </w:r>
          </w:p>
        </w:tc>
        <w:tc>
          <w:tcPr>
            <w:tcW w:w="3481" w:type="dxa"/>
          </w:tcPr>
          <w:p w14:paraId="634A720A" w14:textId="77777777" w:rsidR="00D301D9" w:rsidRPr="001F6D3E" w:rsidRDefault="00D301D9" w:rsidP="00F62E12">
            <w:pPr>
              <w:spacing w:line="360" w:lineRule="auto"/>
              <w:rPr>
                <w:rFonts w:ascii="Arial" w:hAnsi="Arial" w:cs="Arial"/>
              </w:rPr>
            </w:pPr>
            <m:oMathPara>
              <m:oMath>
                <m:r>
                  <w:rPr>
                    <w:rFonts w:ascii="Cambria Math" w:hAnsi="Cambria Math" w:cs="Arial"/>
                  </w:rPr>
                  <m:t>11%+</m:t>
                </m:r>
                <m:d>
                  <m:dPr>
                    <m:ctrlPr>
                      <w:rPr>
                        <w:rFonts w:ascii="Cambria Math" w:hAnsi="Cambria Math" w:cs="Arial"/>
                        <w:i/>
                      </w:rPr>
                    </m:ctrlPr>
                  </m:dPr>
                  <m:e>
                    <m:f>
                      <m:fPr>
                        <m:ctrlPr>
                          <w:rPr>
                            <w:rFonts w:ascii="Cambria Math" w:hAnsi="Cambria Math" w:cs="Arial"/>
                            <w:i/>
                          </w:rPr>
                        </m:ctrlPr>
                      </m:fPr>
                      <m:num>
                        <m:r>
                          <w:rPr>
                            <w:rFonts w:ascii="Cambria Math" w:hAnsi="Cambria Math" w:cs="Arial"/>
                          </w:rPr>
                          <m:t>0.313</m:t>
                        </m:r>
                      </m:num>
                      <m:den>
                        <m:r>
                          <w:rPr>
                            <w:rFonts w:ascii="Cambria Math" w:hAnsi="Cambria Math" w:cs="Arial"/>
                          </w:rPr>
                          <m:t>0.959</m:t>
                        </m:r>
                      </m:den>
                    </m:f>
                  </m:e>
                </m:d>
                <m:r>
                  <w:rPr>
                    <w:rFonts w:ascii="Cambria Math" w:hAnsi="Cambria Math" w:cs="Arial"/>
                  </w:rPr>
                  <m:t>×1%</m:t>
                </m:r>
              </m:oMath>
            </m:oMathPara>
          </w:p>
        </w:tc>
        <w:tc>
          <w:tcPr>
            <w:tcW w:w="1633" w:type="dxa"/>
          </w:tcPr>
          <w:p w14:paraId="3A05D47B" w14:textId="77777777" w:rsidR="00F41C7E" w:rsidRPr="001F6D3E" w:rsidRDefault="00D301D9" w:rsidP="00F62E12">
            <w:pPr>
              <w:spacing w:line="360" w:lineRule="auto"/>
              <w:rPr>
                <w:rFonts w:ascii="Arial" w:hAnsi="Arial" w:cs="Arial"/>
              </w:rPr>
            </w:pPr>
            <w:r w:rsidRPr="001F6D3E">
              <w:rPr>
                <w:rFonts w:ascii="Arial" w:hAnsi="Arial" w:cs="Arial"/>
              </w:rPr>
              <w:t>11.33%</w:t>
            </w:r>
          </w:p>
        </w:tc>
      </w:tr>
      <w:tr w:rsidR="001F6D3E" w:rsidRPr="001F6D3E" w14:paraId="2278D220" w14:textId="77777777" w:rsidTr="00F62E12">
        <w:trPr>
          <w:trHeight w:val="834"/>
        </w:trPr>
        <w:tc>
          <w:tcPr>
            <w:tcW w:w="1260" w:type="dxa"/>
          </w:tcPr>
          <w:p w14:paraId="2262410F" w14:textId="77777777" w:rsidR="00F41C7E" w:rsidRPr="001F6D3E" w:rsidRDefault="00D301D9" w:rsidP="00F62E12">
            <w:pPr>
              <w:spacing w:line="360" w:lineRule="auto"/>
              <w:rPr>
                <w:rFonts w:ascii="Arial" w:hAnsi="Arial" w:cs="Arial"/>
              </w:rPr>
            </w:pPr>
            <w:r w:rsidRPr="001F6D3E">
              <w:rPr>
                <w:rFonts w:ascii="Arial" w:hAnsi="Arial" w:cs="Arial"/>
              </w:rPr>
              <w:t>B</w:t>
            </w:r>
          </w:p>
        </w:tc>
        <w:tc>
          <w:tcPr>
            <w:tcW w:w="3481" w:type="dxa"/>
          </w:tcPr>
          <w:p w14:paraId="2E66B2FE" w14:textId="77777777" w:rsidR="00F41C7E" w:rsidRPr="001F6D3E" w:rsidRDefault="00D301D9" w:rsidP="00F62E12">
            <w:pPr>
              <w:spacing w:line="360" w:lineRule="auto"/>
              <w:rPr>
                <w:rFonts w:ascii="Arial" w:hAnsi="Arial" w:cs="Arial"/>
              </w:rPr>
            </w:pPr>
            <w:r w:rsidRPr="001F6D3E">
              <w:rPr>
                <w:rFonts w:ascii="Arial" w:hAnsi="Arial" w:cs="Arial"/>
              </w:rPr>
              <w:t xml:space="preserve"> </w:t>
            </w:r>
          </w:p>
          <w:p w14:paraId="34ED8C3F" w14:textId="77777777" w:rsidR="00D301D9" w:rsidRPr="001F6D3E" w:rsidRDefault="00C81C64" w:rsidP="00F62E12">
            <w:pPr>
              <w:spacing w:line="360" w:lineRule="auto"/>
              <w:rPr>
                <w:rFonts w:ascii="Arial" w:hAnsi="Arial" w:cs="Arial"/>
              </w:rPr>
            </w:pPr>
            <m:oMathPara>
              <m:oMath>
                <m:r>
                  <w:rPr>
                    <w:rFonts w:ascii="Cambria Math" w:hAnsi="Cambria Math" w:cs="Arial"/>
                  </w:rPr>
                  <m:t>30=6*1-</m:t>
                </m:r>
                <m:f>
                  <m:fPr>
                    <m:ctrlPr>
                      <w:rPr>
                        <w:rFonts w:ascii="Cambria Math" w:hAnsi="Cambria Math" w:cs="Arial"/>
                        <w:i/>
                      </w:rPr>
                    </m:ctrlPr>
                  </m:fPr>
                  <m:num>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1+r</m:t>
                            </m:r>
                          </m:e>
                        </m:d>
                      </m:e>
                      <m:sup>
                        <m:r>
                          <w:rPr>
                            <w:rFonts w:ascii="Cambria Math" w:hAnsi="Cambria Math" w:cs="Arial"/>
                          </w:rPr>
                          <m:t>-5</m:t>
                        </m:r>
                      </m:sup>
                    </m:sSup>
                  </m:num>
                  <m:den>
                    <m:r>
                      <w:rPr>
                        <w:rFonts w:ascii="Cambria Math" w:hAnsi="Cambria Math" w:cs="Arial"/>
                      </w:rPr>
                      <m:t>r</m:t>
                    </m:r>
                  </m:den>
                </m:f>
              </m:oMath>
            </m:oMathPara>
          </w:p>
        </w:tc>
        <w:tc>
          <w:tcPr>
            <w:tcW w:w="1633" w:type="dxa"/>
          </w:tcPr>
          <w:p w14:paraId="182A1BCA" w14:textId="77777777" w:rsidR="00F41C7E" w:rsidRPr="001F6D3E" w:rsidRDefault="00C81C64" w:rsidP="00F62E12">
            <w:pPr>
              <w:spacing w:line="360" w:lineRule="auto"/>
              <w:rPr>
                <w:rFonts w:ascii="Arial" w:hAnsi="Arial" w:cs="Arial"/>
              </w:rPr>
            </w:pPr>
            <w:r w:rsidRPr="001F6D3E">
              <w:rPr>
                <w:rFonts w:ascii="Arial" w:hAnsi="Arial" w:cs="Arial"/>
              </w:rPr>
              <w:t xml:space="preserve">0.00% </w:t>
            </w:r>
          </w:p>
        </w:tc>
      </w:tr>
      <w:tr w:rsidR="001F6D3E" w:rsidRPr="001F6D3E" w14:paraId="72EC3EEF" w14:textId="77777777" w:rsidTr="00F62E12">
        <w:trPr>
          <w:trHeight w:val="542"/>
        </w:trPr>
        <w:tc>
          <w:tcPr>
            <w:tcW w:w="1260" w:type="dxa"/>
          </w:tcPr>
          <w:p w14:paraId="1021E2E1" w14:textId="77777777" w:rsidR="00C81C64" w:rsidRPr="001F6D3E" w:rsidRDefault="00C81C64" w:rsidP="00F62E12">
            <w:pPr>
              <w:spacing w:line="360" w:lineRule="auto"/>
              <w:rPr>
                <w:rFonts w:ascii="Arial" w:hAnsi="Arial" w:cs="Arial"/>
              </w:rPr>
            </w:pPr>
            <w:r w:rsidRPr="001F6D3E">
              <w:rPr>
                <w:rFonts w:ascii="Arial" w:hAnsi="Arial" w:cs="Arial"/>
              </w:rPr>
              <w:t>C</w:t>
            </w:r>
          </w:p>
        </w:tc>
        <w:tc>
          <w:tcPr>
            <w:tcW w:w="3481" w:type="dxa"/>
          </w:tcPr>
          <w:p w14:paraId="7F098FA0" w14:textId="77777777" w:rsidR="00C81C64" w:rsidRPr="001F6D3E" w:rsidRDefault="00C81C64" w:rsidP="00F62E12">
            <w:pPr>
              <w:spacing w:line="360" w:lineRule="auto"/>
              <w:rPr>
                <w:rFonts w:ascii="Arial" w:hAnsi="Arial" w:cs="Arial"/>
              </w:rPr>
            </w:pPr>
            <m:oMathPara>
              <m:oMath>
                <m:r>
                  <m:rPr>
                    <m:sty m:val="bi"/>
                  </m:rPr>
                  <w:rPr>
                    <w:rStyle w:val="mord"/>
                    <w:rFonts w:ascii="Cambria Math" w:hAnsi="Cambria Math" w:cs="Arial"/>
                    <w:color w:val="0F1115"/>
                    <w:shd w:val="clear" w:color="auto" w:fill="FFFFFF"/>
                  </w:rPr>
                  <m:t>12%</m:t>
                </m:r>
                <m:r>
                  <w:rPr>
                    <w:rStyle w:val="mbin"/>
                    <w:rFonts w:ascii="Cambria Math" w:hAnsi="Cambria Math" w:cs="Arial"/>
                    <w:color w:val="0F1115"/>
                    <w:sz w:val="27"/>
                    <w:szCs w:val="27"/>
                    <w:shd w:val="clear" w:color="auto" w:fill="FFFFFF"/>
                  </w:rPr>
                  <m:t>+</m:t>
                </m:r>
                <m:r>
                  <w:rPr>
                    <w:rStyle w:val="delimsizing"/>
                    <w:rFonts w:ascii="Cambria Math" w:hAnsi="Cambria Math" w:cs="Arial"/>
                  </w:rPr>
                  <m:t>(</m:t>
                </m:r>
                <m:f>
                  <m:fPr>
                    <m:ctrlPr>
                      <w:rPr>
                        <w:rStyle w:val="delimsizing"/>
                        <w:rFonts w:ascii="Cambria Math" w:hAnsi="Cambria Math" w:cs="Arial"/>
                        <w:i/>
                      </w:rPr>
                    </m:ctrlPr>
                  </m:fPr>
                  <m:num>
                    <m:r>
                      <w:rPr>
                        <w:rStyle w:val="delimsizing"/>
                        <w:rFonts w:ascii="Cambria Math" w:hAnsi="Cambria Math" w:cs="Arial"/>
                      </w:rPr>
                      <m:t>1.071</m:t>
                    </m:r>
                  </m:num>
                  <m:den>
                    <m:r>
                      <w:rPr>
                        <w:rStyle w:val="delimsizing"/>
                        <w:rFonts w:ascii="Cambria Math" w:hAnsi="Cambria Math" w:cs="Arial"/>
                      </w:rPr>
                      <m:t>4.266</m:t>
                    </m:r>
                  </m:den>
                </m:f>
                <m:r>
                  <w:rPr>
                    <w:rStyle w:val="delimsizing"/>
                    <w:rFonts w:ascii="Cambria Math" w:hAnsi="Cambria Math" w:cs="Arial"/>
                  </w:rPr>
                  <m:t>)</m:t>
                </m:r>
                <m:r>
                  <w:rPr>
                    <w:rStyle w:val="mbin"/>
                    <w:rFonts w:ascii="Cambria Math" w:hAnsi="Cambria Math" w:cs="Arial"/>
                    <w:color w:val="0F1115"/>
                    <w:sz w:val="27"/>
                    <w:szCs w:val="27"/>
                    <w:shd w:val="clear" w:color="auto" w:fill="FFFFFF"/>
                  </w:rPr>
                  <m:t>×</m:t>
                </m:r>
                <m:r>
                  <m:rPr>
                    <m:sty m:val="bi"/>
                  </m:rPr>
                  <w:rPr>
                    <w:rStyle w:val="mord"/>
                    <w:rFonts w:ascii="Cambria Math" w:hAnsi="Cambria Math" w:cs="Arial"/>
                    <w:color w:val="0F1115"/>
                    <w:shd w:val="clear" w:color="auto" w:fill="FFFFFF"/>
                  </w:rPr>
                  <m:t>3%</m:t>
                </m:r>
              </m:oMath>
            </m:oMathPara>
          </w:p>
        </w:tc>
        <w:tc>
          <w:tcPr>
            <w:tcW w:w="1633" w:type="dxa"/>
          </w:tcPr>
          <w:p w14:paraId="2CD7EEAD" w14:textId="77777777" w:rsidR="00C81C64" w:rsidRPr="001F6D3E" w:rsidRDefault="00C81C64" w:rsidP="00F62E12">
            <w:pPr>
              <w:spacing w:line="360" w:lineRule="auto"/>
              <w:rPr>
                <w:rFonts w:ascii="Arial" w:hAnsi="Arial" w:cs="Arial"/>
              </w:rPr>
            </w:pPr>
            <w:r w:rsidRPr="001F6D3E">
              <w:rPr>
                <w:rFonts w:ascii="Arial" w:hAnsi="Arial" w:cs="Arial"/>
              </w:rPr>
              <w:t>12.75%</w:t>
            </w:r>
          </w:p>
        </w:tc>
      </w:tr>
    </w:tbl>
    <w:p w14:paraId="6C3739BA" w14:textId="77777777" w:rsidR="00C81C64" w:rsidRPr="001F6D3E" w:rsidRDefault="00C81C64" w:rsidP="00F62E12">
      <w:pPr>
        <w:spacing w:line="360" w:lineRule="auto"/>
        <w:rPr>
          <w:rFonts w:ascii="Arial" w:hAnsi="Arial" w:cs="Arial"/>
        </w:rPr>
      </w:pPr>
    </w:p>
    <w:p w14:paraId="1DAE8BC9" w14:textId="77777777" w:rsidR="00C81C64" w:rsidRPr="001F6D3E" w:rsidRDefault="00C81C64" w:rsidP="00F62E12">
      <w:pPr>
        <w:spacing w:line="360" w:lineRule="auto"/>
        <w:rPr>
          <w:rFonts w:ascii="Arial" w:hAnsi="Arial" w:cs="Arial"/>
        </w:rPr>
      </w:pPr>
    </w:p>
    <w:p w14:paraId="4C355132" w14:textId="77777777" w:rsidR="00C81C64" w:rsidRPr="001F6D3E" w:rsidRDefault="00C81C64" w:rsidP="00F62E12">
      <w:pPr>
        <w:spacing w:line="360" w:lineRule="auto"/>
        <w:rPr>
          <w:rFonts w:ascii="Arial" w:hAnsi="Arial" w:cs="Arial"/>
        </w:rPr>
      </w:pPr>
    </w:p>
    <w:p w14:paraId="3478C754" w14:textId="77777777" w:rsidR="00C81C64" w:rsidRPr="001F6D3E" w:rsidRDefault="00C81C64" w:rsidP="00F62E12">
      <w:pPr>
        <w:spacing w:line="360" w:lineRule="auto"/>
        <w:rPr>
          <w:rFonts w:ascii="Arial" w:hAnsi="Arial" w:cs="Arial"/>
        </w:rPr>
      </w:pPr>
    </w:p>
    <w:p w14:paraId="1883A507" w14:textId="77777777" w:rsidR="00C81C64" w:rsidRPr="001F6D3E" w:rsidRDefault="00C81C64" w:rsidP="00F62E12">
      <w:pPr>
        <w:spacing w:line="360" w:lineRule="auto"/>
        <w:rPr>
          <w:rFonts w:ascii="Arial" w:hAnsi="Arial" w:cs="Arial"/>
        </w:rPr>
      </w:pPr>
    </w:p>
    <w:p w14:paraId="0D5ECA46" w14:textId="77777777" w:rsidR="00C81C64" w:rsidRPr="001F6D3E" w:rsidRDefault="00C81C64" w:rsidP="00F62E12">
      <w:pPr>
        <w:spacing w:line="360" w:lineRule="auto"/>
        <w:jc w:val="center"/>
        <w:rPr>
          <w:rFonts w:ascii="Arial" w:hAnsi="Arial" w:cs="Arial"/>
          <w:i/>
          <w:color w:val="2E74B5" w:themeColor="accent1" w:themeShade="BF"/>
          <w:sz w:val="18"/>
        </w:rPr>
      </w:pPr>
      <w:r w:rsidRPr="001F6D3E">
        <w:rPr>
          <w:rFonts w:ascii="Arial" w:hAnsi="Arial" w:cs="Arial"/>
          <w:i/>
          <w:color w:val="2E74B5" w:themeColor="accent1" w:themeShade="BF"/>
          <w:sz w:val="18"/>
        </w:rPr>
        <w:t>Source: Self Analyzed</w:t>
      </w:r>
    </w:p>
    <w:p w14:paraId="088292E9" w14:textId="77777777" w:rsidR="00C81C64" w:rsidRDefault="00C81C64" w:rsidP="00F62E12">
      <w:pPr>
        <w:spacing w:line="360" w:lineRule="auto"/>
        <w:rPr>
          <w:rFonts w:ascii="Arial" w:hAnsi="Arial" w:cs="Arial"/>
        </w:rPr>
      </w:pPr>
    </w:p>
    <w:p w14:paraId="144A9FF5" w14:textId="77777777" w:rsidR="001D5163" w:rsidRPr="001F6D3E" w:rsidRDefault="001D5163" w:rsidP="00F62E12">
      <w:pPr>
        <w:spacing w:line="360" w:lineRule="auto"/>
        <w:rPr>
          <w:rFonts w:ascii="Arial" w:hAnsi="Arial" w:cs="Arial"/>
        </w:rPr>
      </w:pPr>
    </w:p>
    <w:p w14:paraId="0DE72D09" w14:textId="77777777" w:rsidR="00C81C64" w:rsidRPr="001F6D3E" w:rsidRDefault="00C81C64" w:rsidP="001D5163">
      <w:pPr>
        <w:pStyle w:val="Heading2"/>
      </w:pPr>
      <w:bookmarkStart w:id="91" w:name="_Toc216756009"/>
      <w:bookmarkStart w:id="92" w:name="_Toc217238061"/>
      <w:r w:rsidRPr="001F6D3E">
        <w:lastRenderedPageBreak/>
        <w:t>Table D4: Profitability Index (PI) Calculations</w:t>
      </w:r>
      <w:bookmarkEnd w:id="91"/>
      <w:bookmarkEnd w:id="92"/>
    </w:p>
    <w:p w14:paraId="78B75A21" w14:textId="77777777" w:rsidR="00D66867" w:rsidRPr="001F6D3E" w:rsidRDefault="00D66867" w:rsidP="00F62E12">
      <w:pPr>
        <w:spacing w:line="360" w:lineRule="auto"/>
        <w:rPr>
          <w:rFonts w:ascii="Arial" w:hAnsi="Arial" w:cs="Arial"/>
        </w:rPr>
      </w:pPr>
      <w:r w:rsidRPr="001F6D3E">
        <w:rPr>
          <w:rFonts w:ascii="Arial" w:eastAsia="Calibri" w:hAnsi="Arial" w:cs="Arial"/>
          <w:noProof/>
        </w:rPr>
        <w:drawing>
          <wp:anchor distT="0" distB="0" distL="114300" distR="114300" simplePos="0" relativeHeight="251665408" behindDoc="0" locked="0" layoutInCell="1" allowOverlap="1" wp14:anchorId="26A04E73" wp14:editId="6EEE556F">
            <wp:simplePos x="0" y="0"/>
            <wp:positionH relativeFrom="column">
              <wp:posOffset>419100</wp:posOffset>
            </wp:positionH>
            <wp:positionV relativeFrom="paragraph">
              <wp:posOffset>240030</wp:posOffset>
            </wp:positionV>
            <wp:extent cx="4640400" cy="586800"/>
            <wp:effectExtent l="0" t="0" r="8255"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640400" cy="586800"/>
                    </a:xfrm>
                    <a:prstGeom prst="rect">
                      <a:avLst/>
                    </a:prstGeom>
                  </pic:spPr>
                </pic:pic>
              </a:graphicData>
            </a:graphic>
            <wp14:sizeRelH relativeFrom="margin">
              <wp14:pctWidth>0</wp14:pctWidth>
            </wp14:sizeRelH>
            <wp14:sizeRelV relativeFrom="margin">
              <wp14:pctHeight>0</wp14:pctHeight>
            </wp14:sizeRelV>
          </wp:anchor>
        </w:drawing>
      </w:r>
    </w:p>
    <w:p w14:paraId="2D09961B" w14:textId="77777777" w:rsidR="00D66867" w:rsidRPr="001F6D3E" w:rsidRDefault="00D66867" w:rsidP="00F62E12">
      <w:pPr>
        <w:spacing w:line="360" w:lineRule="auto"/>
        <w:rPr>
          <w:rFonts w:ascii="Cambria Math" w:hAnsi="Cambria Math" w:cs="Arial"/>
          <w:oMath/>
        </w:rPr>
      </w:pPr>
    </w:p>
    <w:p w14:paraId="63D055DC" w14:textId="77777777" w:rsidR="00D66867" w:rsidRPr="001F6D3E" w:rsidRDefault="00D66867" w:rsidP="00F62E12">
      <w:pPr>
        <w:spacing w:line="360" w:lineRule="auto"/>
        <w:rPr>
          <w:rFonts w:ascii="Arial" w:hAnsi="Arial" w:cs="Arial"/>
        </w:rPr>
      </w:pPr>
    </w:p>
    <w:p w14:paraId="4A7AC0C6" w14:textId="77777777" w:rsidR="00D66867" w:rsidRPr="001F6D3E" w:rsidRDefault="00D66867" w:rsidP="00F62E12">
      <w:pPr>
        <w:spacing w:line="360" w:lineRule="auto"/>
        <w:rPr>
          <w:rFonts w:ascii="Arial" w:hAnsi="Arial" w:cs="Arial"/>
        </w:rPr>
      </w:pPr>
    </w:p>
    <w:tbl>
      <w:tblPr>
        <w:tblStyle w:val="TableGrid1"/>
        <w:tblW w:w="0" w:type="auto"/>
        <w:tblLook w:val="04A0" w:firstRow="1" w:lastRow="0" w:firstColumn="1" w:lastColumn="0" w:noHBand="0" w:noVBand="1"/>
      </w:tblPr>
      <w:tblGrid>
        <w:gridCol w:w="2160"/>
        <w:gridCol w:w="2160"/>
        <w:gridCol w:w="2160"/>
        <w:gridCol w:w="2160"/>
      </w:tblGrid>
      <w:tr w:rsidR="00D66867" w:rsidRPr="00D66867" w14:paraId="52778709" w14:textId="77777777" w:rsidTr="00AB2174">
        <w:tc>
          <w:tcPr>
            <w:tcW w:w="2160" w:type="dxa"/>
          </w:tcPr>
          <w:p w14:paraId="62423C53" w14:textId="77777777" w:rsidR="00D66867" w:rsidRPr="00D66867" w:rsidRDefault="00D66867" w:rsidP="00F62E12">
            <w:pPr>
              <w:spacing w:line="360" w:lineRule="auto"/>
              <w:rPr>
                <w:rFonts w:ascii="Arial" w:eastAsia="Calibri" w:hAnsi="Arial" w:cs="Arial"/>
              </w:rPr>
            </w:pPr>
            <w:r w:rsidRPr="00D66867">
              <w:rPr>
                <w:rFonts w:ascii="Arial" w:eastAsia="Calibri" w:hAnsi="Arial" w:cs="Arial"/>
              </w:rPr>
              <w:t>Project</w:t>
            </w:r>
          </w:p>
        </w:tc>
        <w:tc>
          <w:tcPr>
            <w:tcW w:w="2160" w:type="dxa"/>
          </w:tcPr>
          <w:p w14:paraId="22113889" w14:textId="77777777" w:rsidR="00D66867" w:rsidRPr="00D66867" w:rsidRDefault="00D66867" w:rsidP="00F62E12">
            <w:pPr>
              <w:spacing w:line="360" w:lineRule="auto"/>
              <w:rPr>
                <w:rFonts w:ascii="Arial" w:eastAsia="Calibri" w:hAnsi="Arial" w:cs="Arial"/>
              </w:rPr>
            </w:pPr>
            <w:r w:rsidRPr="00D66867">
              <w:rPr>
                <w:rFonts w:ascii="Arial" w:eastAsia="Calibri" w:hAnsi="Arial" w:cs="Arial"/>
              </w:rPr>
              <w:t>PV of Inflows (£m)</w:t>
            </w:r>
          </w:p>
        </w:tc>
        <w:tc>
          <w:tcPr>
            <w:tcW w:w="2160" w:type="dxa"/>
          </w:tcPr>
          <w:p w14:paraId="09B2A754" w14:textId="77777777" w:rsidR="00D66867" w:rsidRPr="00D66867" w:rsidRDefault="00D66867" w:rsidP="00F62E12">
            <w:pPr>
              <w:spacing w:line="360" w:lineRule="auto"/>
              <w:rPr>
                <w:rFonts w:ascii="Arial" w:eastAsia="Calibri" w:hAnsi="Arial" w:cs="Arial"/>
              </w:rPr>
            </w:pPr>
            <w:r w:rsidRPr="00D66867">
              <w:rPr>
                <w:rFonts w:ascii="Arial" w:eastAsia="Calibri" w:hAnsi="Arial" w:cs="Arial"/>
              </w:rPr>
              <w:t>Initial Investment (£m)</w:t>
            </w:r>
          </w:p>
        </w:tc>
        <w:tc>
          <w:tcPr>
            <w:tcW w:w="2160" w:type="dxa"/>
          </w:tcPr>
          <w:p w14:paraId="25CA06E7" w14:textId="77777777" w:rsidR="00D66867" w:rsidRPr="00D66867" w:rsidRDefault="00D66867" w:rsidP="00F62E12">
            <w:pPr>
              <w:spacing w:line="360" w:lineRule="auto"/>
              <w:rPr>
                <w:rFonts w:ascii="Arial" w:eastAsia="Calibri" w:hAnsi="Arial" w:cs="Arial"/>
              </w:rPr>
            </w:pPr>
            <w:r w:rsidRPr="00D66867">
              <w:rPr>
                <w:rFonts w:ascii="Arial" w:eastAsia="Calibri" w:hAnsi="Arial" w:cs="Arial"/>
              </w:rPr>
              <w:t>Profitability Index</w:t>
            </w:r>
          </w:p>
        </w:tc>
      </w:tr>
      <w:tr w:rsidR="00D66867" w:rsidRPr="00D66867" w14:paraId="0BEFB9F8" w14:textId="77777777" w:rsidTr="00AB2174">
        <w:tc>
          <w:tcPr>
            <w:tcW w:w="2160" w:type="dxa"/>
          </w:tcPr>
          <w:p w14:paraId="4E844A2C" w14:textId="77777777" w:rsidR="00D66867" w:rsidRPr="00D66867" w:rsidRDefault="00D66867" w:rsidP="00F62E12">
            <w:pPr>
              <w:spacing w:line="360" w:lineRule="auto"/>
              <w:rPr>
                <w:rFonts w:ascii="Arial" w:eastAsia="Calibri" w:hAnsi="Arial" w:cs="Arial"/>
              </w:rPr>
            </w:pPr>
            <w:r w:rsidRPr="00D66867">
              <w:rPr>
                <w:rFonts w:ascii="Arial" w:eastAsia="Calibri" w:hAnsi="Arial" w:cs="Arial"/>
              </w:rPr>
              <w:t>A</w:t>
            </w:r>
          </w:p>
        </w:tc>
        <w:tc>
          <w:tcPr>
            <w:tcW w:w="2160" w:type="dxa"/>
          </w:tcPr>
          <w:p w14:paraId="441E5506" w14:textId="77777777" w:rsidR="00D66867" w:rsidRPr="00D66867" w:rsidRDefault="00D66867" w:rsidP="00F62E12">
            <w:pPr>
              <w:spacing w:line="360" w:lineRule="auto"/>
              <w:rPr>
                <w:rFonts w:ascii="Arial" w:eastAsia="Calibri" w:hAnsi="Arial" w:cs="Arial"/>
              </w:rPr>
            </w:pPr>
            <w:r w:rsidRPr="001F6D3E">
              <w:rPr>
                <w:rFonts w:ascii="Arial" w:eastAsia="Calibri" w:hAnsi="Arial" w:cs="Arial"/>
              </w:rPr>
              <w:t>41.3</w:t>
            </w:r>
            <w:r w:rsidRPr="00D66867">
              <w:rPr>
                <w:rFonts w:ascii="Arial" w:eastAsia="Calibri" w:hAnsi="Arial" w:cs="Arial"/>
              </w:rPr>
              <w:t>2</w:t>
            </w:r>
          </w:p>
        </w:tc>
        <w:tc>
          <w:tcPr>
            <w:tcW w:w="2160" w:type="dxa"/>
          </w:tcPr>
          <w:p w14:paraId="5AB09541" w14:textId="77777777" w:rsidR="00D66867" w:rsidRPr="00D66867" w:rsidRDefault="00D66867" w:rsidP="00F62E12">
            <w:pPr>
              <w:spacing w:line="360" w:lineRule="auto"/>
              <w:rPr>
                <w:rFonts w:ascii="Arial" w:eastAsia="Calibri" w:hAnsi="Arial" w:cs="Arial"/>
              </w:rPr>
            </w:pPr>
            <w:r w:rsidRPr="00D66867">
              <w:rPr>
                <w:rFonts w:ascii="Arial" w:eastAsia="Calibri" w:hAnsi="Arial" w:cs="Arial"/>
              </w:rPr>
              <w:t>40</w:t>
            </w:r>
          </w:p>
        </w:tc>
        <w:tc>
          <w:tcPr>
            <w:tcW w:w="2160" w:type="dxa"/>
          </w:tcPr>
          <w:p w14:paraId="435AC2CB" w14:textId="77777777" w:rsidR="00D66867" w:rsidRPr="00D66867" w:rsidRDefault="00D66867" w:rsidP="00F62E12">
            <w:pPr>
              <w:spacing w:line="360" w:lineRule="auto"/>
              <w:rPr>
                <w:rFonts w:ascii="Arial" w:eastAsia="Calibri" w:hAnsi="Arial" w:cs="Arial"/>
              </w:rPr>
            </w:pPr>
            <w:r w:rsidRPr="001F6D3E">
              <w:rPr>
                <w:rFonts w:ascii="Arial" w:eastAsia="Calibri" w:hAnsi="Arial" w:cs="Arial"/>
              </w:rPr>
              <w:t>1.033 (Acceptable)</w:t>
            </w:r>
          </w:p>
        </w:tc>
      </w:tr>
      <w:tr w:rsidR="00D66867" w:rsidRPr="00D66867" w14:paraId="1300E0E4" w14:textId="77777777" w:rsidTr="00AB2174">
        <w:tc>
          <w:tcPr>
            <w:tcW w:w="2160" w:type="dxa"/>
          </w:tcPr>
          <w:p w14:paraId="06BE18DE" w14:textId="77777777" w:rsidR="00D66867" w:rsidRPr="00D66867" w:rsidRDefault="00D66867" w:rsidP="00F62E12">
            <w:pPr>
              <w:spacing w:line="360" w:lineRule="auto"/>
              <w:rPr>
                <w:rFonts w:ascii="Arial" w:eastAsia="Calibri" w:hAnsi="Arial" w:cs="Arial"/>
              </w:rPr>
            </w:pPr>
            <w:r w:rsidRPr="00D66867">
              <w:rPr>
                <w:rFonts w:ascii="Arial" w:eastAsia="Calibri" w:hAnsi="Arial" w:cs="Arial"/>
              </w:rPr>
              <w:t>B</w:t>
            </w:r>
          </w:p>
        </w:tc>
        <w:tc>
          <w:tcPr>
            <w:tcW w:w="2160" w:type="dxa"/>
          </w:tcPr>
          <w:p w14:paraId="45CCB1D9" w14:textId="77777777" w:rsidR="00D66867" w:rsidRPr="00D66867" w:rsidRDefault="00D66867" w:rsidP="00F62E12">
            <w:pPr>
              <w:spacing w:line="360" w:lineRule="auto"/>
              <w:rPr>
                <w:rFonts w:ascii="Arial" w:eastAsia="Calibri" w:hAnsi="Arial" w:cs="Arial"/>
              </w:rPr>
            </w:pPr>
            <w:r w:rsidRPr="001F6D3E">
              <w:rPr>
                <w:rFonts w:ascii="Arial" w:eastAsia="Calibri" w:hAnsi="Arial" w:cs="Arial"/>
              </w:rPr>
              <w:t>22.74</w:t>
            </w:r>
          </w:p>
        </w:tc>
        <w:tc>
          <w:tcPr>
            <w:tcW w:w="2160" w:type="dxa"/>
          </w:tcPr>
          <w:p w14:paraId="58CFAA52" w14:textId="77777777" w:rsidR="00D66867" w:rsidRPr="00D66867" w:rsidRDefault="00D66867" w:rsidP="00F62E12">
            <w:pPr>
              <w:spacing w:line="360" w:lineRule="auto"/>
              <w:rPr>
                <w:rFonts w:ascii="Arial" w:eastAsia="Calibri" w:hAnsi="Arial" w:cs="Arial"/>
              </w:rPr>
            </w:pPr>
            <w:r w:rsidRPr="00D66867">
              <w:rPr>
                <w:rFonts w:ascii="Arial" w:eastAsia="Calibri" w:hAnsi="Arial" w:cs="Arial"/>
              </w:rPr>
              <w:t>30</w:t>
            </w:r>
          </w:p>
        </w:tc>
        <w:tc>
          <w:tcPr>
            <w:tcW w:w="2160" w:type="dxa"/>
          </w:tcPr>
          <w:p w14:paraId="31C5F97C" w14:textId="77777777" w:rsidR="00D66867" w:rsidRPr="00D66867" w:rsidRDefault="00D66867" w:rsidP="00F62E12">
            <w:pPr>
              <w:spacing w:line="360" w:lineRule="auto"/>
              <w:rPr>
                <w:rFonts w:ascii="Arial" w:eastAsia="Calibri" w:hAnsi="Arial" w:cs="Arial"/>
              </w:rPr>
            </w:pPr>
            <w:r w:rsidRPr="001F6D3E">
              <w:rPr>
                <w:rFonts w:ascii="Arial" w:eastAsia="Calibri" w:hAnsi="Arial" w:cs="Arial"/>
              </w:rPr>
              <w:t>0.758 (Destroyed )</w:t>
            </w:r>
          </w:p>
        </w:tc>
      </w:tr>
      <w:tr w:rsidR="00D66867" w:rsidRPr="00D66867" w14:paraId="53D92DE6" w14:textId="77777777" w:rsidTr="00AB2174">
        <w:tc>
          <w:tcPr>
            <w:tcW w:w="2160" w:type="dxa"/>
          </w:tcPr>
          <w:p w14:paraId="23C05250" w14:textId="77777777" w:rsidR="00D66867" w:rsidRPr="00D66867" w:rsidRDefault="00D66867" w:rsidP="00F62E12">
            <w:pPr>
              <w:spacing w:line="360" w:lineRule="auto"/>
              <w:rPr>
                <w:rFonts w:ascii="Arial" w:eastAsia="Calibri" w:hAnsi="Arial" w:cs="Arial"/>
              </w:rPr>
            </w:pPr>
            <w:r w:rsidRPr="00D66867">
              <w:rPr>
                <w:rFonts w:ascii="Arial" w:eastAsia="Calibri" w:hAnsi="Arial" w:cs="Arial"/>
              </w:rPr>
              <w:t>C</w:t>
            </w:r>
          </w:p>
        </w:tc>
        <w:tc>
          <w:tcPr>
            <w:tcW w:w="2160" w:type="dxa"/>
          </w:tcPr>
          <w:p w14:paraId="2422857B" w14:textId="77777777" w:rsidR="00D66867" w:rsidRPr="00D66867" w:rsidRDefault="00D66867" w:rsidP="00F62E12">
            <w:pPr>
              <w:spacing w:line="360" w:lineRule="auto"/>
              <w:rPr>
                <w:rFonts w:ascii="Arial" w:eastAsia="Calibri" w:hAnsi="Arial" w:cs="Arial"/>
              </w:rPr>
            </w:pPr>
            <w:r w:rsidRPr="001F6D3E">
              <w:rPr>
                <w:rFonts w:ascii="Arial" w:eastAsia="Calibri" w:hAnsi="Arial" w:cs="Arial"/>
              </w:rPr>
              <w:t>54.23</w:t>
            </w:r>
          </w:p>
        </w:tc>
        <w:tc>
          <w:tcPr>
            <w:tcW w:w="2160" w:type="dxa"/>
          </w:tcPr>
          <w:p w14:paraId="5B677EEC" w14:textId="77777777" w:rsidR="00D66867" w:rsidRPr="00D66867" w:rsidRDefault="00D66867" w:rsidP="00F62E12">
            <w:pPr>
              <w:spacing w:line="360" w:lineRule="auto"/>
              <w:rPr>
                <w:rFonts w:ascii="Arial" w:eastAsia="Calibri" w:hAnsi="Arial" w:cs="Arial"/>
              </w:rPr>
            </w:pPr>
            <w:r w:rsidRPr="00D66867">
              <w:rPr>
                <w:rFonts w:ascii="Arial" w:eastAsia="Calibri" w:hAnsi="Arial" w:cs="Arial"/>
              </w:rPr>
              <w:t>50</w:t>
            </w:r>
          </w:p>
        </w:tc>
        <w:tc>
          <w:tcPr>
            <w:tcW w:w="2160" w:type="dxa"/>
          </w:tcPr>
          <w:p w14:paraId="2C7D0944" w14:textId="77777777" w:rsidR="00D66867" w:rsidRPr="00D66867" w:rsidRDefault="00D66867" w:rsidP="00F62E12">
            <w:pPr>
              <w:spacing w:line="360" w:lineRule="auto"/>
              <w:rPr>
                <w:rFonts w:ascii="Arial" w:eastAsia="Calibri" w:hAnsi="Arial" w:cs="Arial"/>
              </w:rPr>
            </w:pPr>
            <w:r w:rsidRPr="001F6D3E">
              <w:rPr>
                <w:rFonts w:ascii="Arial" w:eastAsia="Calibri" w:hAnsi="Arial" w:cs="Arial"/>
              </w:rPr>
              <w:t>1.085 (</w:t>
            </w:r>
            <w:r w:rsidR="007B2636" w:rsidRPr="001F6D3E">
              <w:rPr>
                <w:rFonts w:ascii="Arial" w:eastAsia="Calibri" w:hAnsi="Arial" w:cs="Arial"/>
              </w:rPr>
              <w:t xml:space="preserve">Highly </w:t>
            </w:r>
            <w:r w:rsidRPr="001F6D3E">
              <w:rPr>
                <w:rFonts w:ascii="Arial" w:eastAsia="Calibri" w:hAnsi="Arial" w:cs="Arial"/>
              </w:rPr>
              <w:t>Acceptable)</w:t>
            </w:r>
          </w:p>
        </w:tc>
      </w:tr>
    </w:tbl>
    <w:p w14:paraId="4DC2B33C" w14:textId="77777777" w:rsidR="007928F2" w:rsidRPr="007928F2" w:rsidRDefault="007928F2" w:rsidP="007928F2">
      <w:pPr>
        <w:spacing w:line="360" w:lineRule="auto"/>
        <w:jc w:val="center"/>
        <w:rPr>
          <w:rFonts w:ascii="Arial" w:hAnsi="Arial" w:cs="Arial"/>
          <w:i/>
          <w:color w:val="2E74B5" w:themeColor="accent1" w:themeShade="BF"/>
          <w:sz w:val="18"/>
          <w:szCs w:val="18"/>
        </w:rPr>
      </w:pPr>
      <w:r w:rsidRPr="007928F2">
        <w:rPr>
          <w:rFonts w:ascii="Arial" w:hAnsi="Arial" w:cs="Arial"/>
          <w:i/>
          <w:color w:val="2E74B5" w:themeColor="accent1" w:themeShade="BF"/>
          <w:sz w:val="18"/>
          <w:szCs w:val="18"/>
        </w:rPr>
        <w:t>Source: (Self-Analyzed)</w:t>
      </w:r>
    </w:p>
    <w:p w14:paraId="4162E71A" w14:textId="77777777" w:rsidR="00D66867" w:rsidRPr="001F6D3E" w:rsidRDefault="00D66867" w:rsidP="00F62E12">
      <w:pPr>
        <w:spacing w:line="360" w:lineRule="auto"/>
        <w:rPr>
          <w:rFonts w:ascii="Arial" w:hAnsi="Arial" w:cs="Arial"/>
        </w:rPr>
      </w:pPr>
    </w:p>
    <w:p w14:paraId="0A48B647" w14:textId="77777777" w:rsidR="00D66867" w:rsidRPr="001F6D3E" w:rsidRDefault="00D66867" w:rsidP="00F62E12">
      <w:pPr>
        <w:spacing w:line="360" w:lineRule="auto"/>
        <w:rPr>
          <w:rFonts w:ascii="Arial" w:hAnsi="Arial" w:cs="Arial"/>
        </w:rPr>
      </w:pPr>
      <w:r w:rsidRPr="001F6D3E">
        <w:rPr>
          <w:rFonts w:ascii="Arial" w:hAnsi="Arial" w:cs="Arial"/>
          <w:b/>
          <w:bCs/>
        </w:rPr>
        <w:t>Project B:</w:t>
      </w:r>
      <w:r w:rsidRPr="001F6D3E">
        <w:rPr>
          <w:rFonts w:ascii="Arial" w:hAnsi="Arial" w:cs="Arial"/>
        </w:rPr>
        <w:t> PI = 0.758 &lt; 1.0</w:t>
      </w:r>
    </w:p>
    <w:p w14:paraId="22856F80" w14:textId="77777777" w:rsidR="00D66867" w:rsidRPr="001F6D3E" w:rsidRDefault="00D66867" w:rsidP="00F62E12">
      <w:pPr>
        <w:pStyle w:val="ListParagraph"/>
        <w:numPr>
          <w:ilvl w:val="0"/>
          <w:numId w:val="23"/>
        </w:numPr>
        <w:spacing w:line="360" w:lineRule="auto"/>
        <w:rPr>
          <w:rFonts w:ascii="Arial" w:hAnsi="Arial" w:cs="Arial"/>
        </w:rPr>
      </w:pPr>
      <w:r w:rsidRPr="001F6D3E">
        <w:rPr>
          <w:rFonts w:ascii="Arial" w:hAnsi="Arial" w:cs="Arial"/>
          <w:b/>
          <w:bCs/>
        </w:rPr>
        <w:t>REJECT</w:t>
      </w:r>
      <w:r w:rsidRPr="001F6D3E">
        <w:rPr>
          <w:rFonts w:ascii="Arial" w:hAnsi="Arial" w:cs="Arial"/>
        </w:rPr>
        <w:t> (Destroys value)</w:t>
      </w:r>
    </w:p>
    <w:p w14:paraId="741353B2" w14:textId="77777777" w:rsidR="00D66867" w:rsidRPr="001F6D3E" w:rsidRDefault="00D66867" w:rsidP="00F62E12">
      <w:pPr>
        <w:pStyle w:val="ListParagraph"/>
        <w:numPr>
          <w:ilvl w:val="0"/>
          <w:numId w:val="23"/>
        </w:numPr>
        <w:spacing w:line="360" w:lineRule="auto"/>
        <w:rPr>
          <w:rFonts w:ascii="Arial" w:hAnsi="Arial" w:cs="Arial"/>
        </w:rPr>
      </w:pPr>
      <w:r w:rsidRPr="001F6D3E">
        <w:rPr>
          <w:rFonts w:ascii="Arial" w:hAnsi="Arial" w:cs="Arial"/>
        </w:rPr>
        <w:t>For every £1 invested, only creates £0.758 in present value</w:t>
      </w:r>
    </w:p>
    <w:p w14:paraId="247EB778" w14:textId="77777777" w:rsidR="00D66867" w:rsidRPr="001F6D3E" w:rsidRDefault="00D66867" w:rsidP="00F62E12">
      <w:pPr>
        <w:pStyle w:val="ListParagraph"/>
        <w:numPr>
          <w:ilvl w:val="0"/>
          <w:numId w:val="23"/>
        </w:numPr>
        <w:spacing w:line="360" w:lineRule="auto"/>
        <w:rPr>
          <w:rFonts w:ascii="Arial" w:hAnsi="Arial" w:cs="Arial"/>
        </w:rPr>
      </w:pPr>
      <w:r w:rsidRPr="001F6D3E">
        <w:rPr>
          <w:rFonts w:ascii="Arial" w:hAnsi="Arial" w:cs="Arial"/>
        </w:rPr>
        <w:t>NPV would be negative: £22.74m - £30m = -£7.26m</w:t>
      </w:r>
    </w:p>
    <w:p w14:paraId="2C514E56" w14:textId="77777777" w:rsidR="00D66867" w:rsidRPr="00D66867" w:rsidRDefault="00D66867" w:rsidP="00F62E12">
      <w:pPr>
        <w:spacing w:line="360" w:lineRule="auto"/>
        <w:ind w:left="720"/>
        <w:rPr>
          <w:rFonts w:ascii="Arial" w:hAnsi="Arial" w:cs="Arial"/>
        </w:rPr>
      </w:pPr>
    </w:p>
    <w:p w14:paraId="482C1216" w14:textId="1DEFA0E5" w:rsidR="00C014E2" w:rsidRPr="008B13E5" w:rsidRDefault="00A005E9" w:rsidP="00476AE4">
      <w:pPr>
        <w:spacing w:line="360" w:lineRule="auto"/>
        <w:rPr>
          <w:rFonts w:ascii="Arial" w:hAnsi="Arial" w:cs="Arial"/>
        </w:rPr>
      </w:pPr>
      <w:r>
        <w:rPr>
          <w:rFonts w:ascii="Arial" w:hAnsi="Arial" w:cs="Arial"/>
        </w:rPr>
        <w:br w:type="page"/>
      </w:r>
    </w:p>
    <w:p w14:paraId="5DBEC017" w14:textId="77777777" w:rsidR="00C014E2" w:rsidRDefault="00C014E2" w:rsidP="006D7995">
      <w:pPr>
        <w:pStyle w:val="Heading1"/>
        <w:numPr>
          <w:ilvl w:val="0"/>
          <w:numId w:val="32"/>
        </w:numPr>
      </w:pPr>
      <w:bookmarkStart w:id="93" w:name="_Toc217238062"/>
      <w:r w:rsidRPr="00CB23DD">
        <w:lastRenderedPageBreak/>
        <w:t>References</w:t>
      </w:r>
      <w:bookmarkEnd w:id="93"/>
    </w:p>
    <w:p w14:paraId="79DC13FC" w14:textId="77777777" w:rsidR="001D5163" w:rsidRPr="001D5163" w:rsidRDefault="001D5163" w:rsidP="001D5163">
      <w:pPr>
        <w:pStyle w:val="ListParagraph"/>
        <w:ind w:left="528"/>
      </w:pPr>
    </w:p>
    <w:p w14:paraId="0AF79E64" w14:textId="77777777" w:rsidR="002354C8" w:rsidRPr="001775AF" w:rsidRDefault="002354C8" w:rsidP="00C16E8A">
      <w:pPr>
        <w:jc w:val="both"/>
        <w:rPr>
          <w:rFonts w:ascii="Arial" w:hAnsi="Arial" w:cs="Arial"/>
        </w:rPr>
      </w:pPr>
      <w:r w:rsidRPr="00561979">
        <w:rPr>
          <w:rFonts w:ascii="Arial" w:hAnsi="Arial" w:cs="Arial"/>
          <w:lang w:val="it-IT"/>
        </w:rPr>
        <w:t xml:space="preserve">Aktas, N., Croci, E., &amp; Petmezas, D. (2015). </w:t>
      </w:r>
      <w:r w:rsidRPr="001775AF">
        <w:rPr>
          <w:rFonts w:ascii="Arial" w:hAnsi="Arial" w:cs="Arial"/>
        </w:rPr>
        <w:t>Is working capital management value-enhancing? Evidence from firm performance and investments. Journal of Corporate Finance, 30, 98-113.</w:t>
      </w:r>
    </w:p>
    <w:p w14:paraId="58840EE9" w14:textId="77777777" w:rsidR="00C014E2" w:rsidRPr="001775AF" w:rsidRDefault="00CB23DD" w:rsidP="00C16E8A">
      <w:pPr>
        <w:jc w:val="both"/>
        <w:rPr>
          <w:rFonts w:ascii="Arial" w:hAnsi="Arial" w:cs="Arial"/>
        </w:rPr>
      </w:pPr>
      <w:proofErr w:type="spellStart"/>
      <w:r w:rsidRPr="001775AF">
        <w:rPr>
          <w:rFonts w:ascii="Arial" w:hAnsi="Arial" w:cs="Arial"/>
        </w:rPr>
        <w:t>Atrill</w:t>
      </w:r>
      <w:proofErr w:type="spellEnd"/>
      <w:r w:rsidRPr="001775AF">
        <w:rPr>
          <w:rFonts w:ascii="Arial" w:hAnsi="Arial" w:cs="Arial"/>
        </w:rPr>
        <w:t xml:space="preserve">, P. and </w:t>
      </w:r>
      <w:proofErr w:type="spellStart"/>
      <w:r w:rsidRPr="001775AF">
        <w:rPr>
          <w:rFonts w:ascii="Arial" w:hAnsi="Arial" w:cs="Arial"/>
        </w:rPr>
        <w:t>McLaney</w:t>
      </w:r>
      <w:proofErr w:type="spellEnd"/>
      <w:r w:rsidRPr="001775AF">
        <w:rPr>
          <w:rFonts w:ascii="Arial" w:hAnsi="Arial" w:cs="Arial"/>
        </w:rPr>
        <w:t xml:space="preserve">, E.J, </w:t>
      </w:r>
      <w:r w:rsidR="00C16E8A" w:rsidRPr="001775AF">
        <w:rPr>
          <w:rFonts w:ascii="Arial" w:hAnsi="Arial" w:cs="Arial"/>
        </w:rPr>
        <w:t>(</w:t>
      </w:r>
      <w:r w:rsidRPr="001775AF">
        <w:rPr>
          <w:rFonts w:ascii="Arial" w:hAnsi="Arial" w:cs="Arial"/>
        </w:rPr>
        <w:t>2017</w:t>
      </w:r>
      <w:r w:rsidR="00C16E8A" w:rsidRPr="001775AF">
        <w:rPr>
          <w:rFonts w:ascii="Arial" w:hAnsi="Arial" w:cs="Arial"/>
        </w:rPr>
        <w:t>)</w:t>
      </w:r>
      <w:r w:rsidRPr="001775AF">
        <w:rPr>
          <w:rFonts w:ascii="Arial" w:hAnsi="Arial" w:cs="Arial"/>
        </w:rPr>
        <w:t>. Accounting and Finance for Non-specialists.</w:t>
      </w:r>
      <w:r w:rsidR="00C16E8A" w:rsidRPr="001775AF">
        <w:rPr>
          <w:rFonts w:ascii="Arial" w:hAnsi="Arial" w:cs="Arial"/>
        </w:rPr>
        <w:t xml:space="preserve"> </w:t>
      </w:r>
      <w:r w:rsidRPr="001775AF">
        <w:rPr>
          <w:rFonts w:ascii="Arial" w:hAnsi="Arial" w:cs="Arial"/>
        </w:rPr>
        <w:t>Pearson</w:t>
      </w:r>
      <w:r w:rsidR="00C16E8A" w:rsidRPr="001775AF">
        <w:rPr>
          <w:rFonts w:ascii="Arial" w:hAnsi="Arial" w:cs="Arial"/>
        </w:rPr>
        <w:t xml:space="preserve"> (10</w:t>
      </w:r>
      <w:r w:rsidR="00C16E8A" w:rsidRPr="001775AF">
        <w:rPr>
          <w:rFonts w:ascii="Arial" w:hAnsi="Arial" w:cs="Arial"/>
          <w:vertAlign w:val="superscript"/>
        </w:rPr>
        <w:t>th</w:t>
      </w:r>
      <w:r w:rsidR="00C16E8A" w:rsidRPr="001775AF">
        <w:rPr>
          <w:rFonts w:ascii="Arial" w:hAnsi="Arial" w:cs="Arial"/>
        </w:rPr>
        <w:t xml:space="preserve"> Edition) </w:t>
      </w:r>
      <w:r w:rsidRPr="001775AF">
        <w:rPr>
          <w:rFonts w:ascii="Arial" w:hAnsi="Arial" w:cs="Arial"/>
        </w:rPr>
        <w:t>.616.1292135603, 9781292135601</w:t>
      </w:r>
      <w:r w:rsidR="002B71D5" w:rsidRPr="001775AF">
        <w:rPr>
          <w:rFonts w:ascii="Arial" w:hAnsi="Arial" w:cs="Arial"/>
        </w:rPr>
        <w:t>.</w:t>
      </w:r>
    </w:p>
    <w:p w14:paraId="5D3CDD68" w14:textId="77777777" w:rsidR="002B71D5" w:rsidRPr="001775AF" w:rsidRDefault="002B71D5" w:rsidP="00C16E8A">
      <w:pPr>
        <w:jc w:val="both"/>
        <w:rPr>
          <w:rFonts w:ascii="Arial" w:hAnsi="Arial" w:cs="Arial"/>
        </w:rPr>
      </w:pPr>
      <w:proofErr w:type="spellStart"/>
      <w:r w:rsidRPr="001775AF">
        <w:rPr>
          <w:rFonts w:ascii="Arial" w:hAnsi="Arial" w:cs="Arial"/>
        </w:rPr>
        <w:t>Andor</w:t>
      </w:r>
      <w:proofErr w:type="spellEnd"/>
      <w:r w:rsidRPr="001775AF">
        <w:rPr>
          <w:rFonts w:ascii="Arial" w:hAnsi="Arial" w:cs="Arial"/>
        </w:rPr>
        <w:t xml:space="preserve">, </w:t>
      </w:r>
      <w:proofErr w:type="spellStart"/>
      <w:r w:rsidRPr="001775AF">
        <w:rPr>
          <w:rFonts w:ascii="Arial" w:hAnsi="Arial" w:cs="Arial"/>
        </w:rPr>
        <w:t>Gyorgy</w:t>
      </w:r>
      <w:proofErr w:type="spellEnd"/>
      <w:r w:rsidRPr="001775AF">
        <w:rPr>
          <w:rFonts w:ascii="Arial" w:hAnsi="Arial" w:cs="Arial"/>
        </w:rPr>
        <w:t xml:space="preserve"> &amp; </w:t>
      </w:r>
      <w:proofErr w:type="spellStart"/>
      <w:r w:rsidRPr="001775AF">
        <w:rPr>
          <w:rFonts w:ascii="Arial" w:hAnsi="Arial" w:cs="Arial"/>
        </w:rPr>
        <w:t>Mohanty</w:t>
      </w:r>
      <w:proofErr w:type="spellEnd"/>
      <w:r w:rsidRPr="001775AF">
        <w:rPr>
          <w:rFonts w:ascii="Arial" w:hAnsi="Arial" w:cs="Arial"/>
        </w:rPr>
        <w:t xml:space="preserve">, Sunil &amp; </w:t>
      </w:r>
      <w:proofErr w:type="spellStart"/>
      <w:r w:rsidRPr="001775AF">
        <w:rPr>
          <w:rFonts w:ascii="Arial" w:hAnsi="Arial" w:cs="Arial"/>
        </w:rPr>
        <w:t>Tóth</w:t>
      </w:r>
      <w:proofErr w:type="spellEnd"/>
      <w:r w:rsidRPr="001775AF">
        <w:rPr>
          <w:rFonts w:ascii="Arial" w:hAnsi="Arial" w:cs="Arial"/>
        </w:rPr>
        <w:t xml:space="preserve">, </w:t>
      </w:r>
      <w:proofErr w:type="spellStart"/>
      <w:r w:rsidRPr="001775AF">
        <w:rPr>
          <w:rFonts w:ascii="Arial" w:hAnsi="Arial" w:cs="Arial"/>
        </w:rPr>
        <w:t>Tamás</w:t>
      </w:r>
      <w:proofErr w:type="spellEnd"/>
      <w:r w:rsidRPr="001775AF">
        <w:rPr>
          <w:rFonts w:ascii="Arial" w:hAnsi="Arial" w:cs="Arial"/>
        </w:rPr>
        <w:t xml:space="preserve">. (2011). Capital budgeting practices: a survey of central and eastern European firms. World Bank. </w:t>
      </w:r>
    </w:p>
    <w:p w14:paraId="0306B3AE" w14:textId="77777777" w:rsidR="00C014E2" w:rsidRPr="001775AF" w:rsidRDefault="00C16E8A" w:rsidP="00AD4654">
      <w:pPr>
        <w:rPr>
          <w:rFonts w:ascii="Arial" w:hAnsi="Arial" w:cs="Arial"/>
        </w:rPr>
      </w:pPr>
      <w:proofErr w:type="spellStart"/>
      <w:r w:rsidRPr="001775AF">
        <w:rPr>
          <w:rFonts w:ascii="Arial" w:hAnsi="Arial" w:cs="Arial"/>
        </w:rPr>
        <w:t>Berk</w:t>
      </w:r>
      <w:proofErr w:type="spellEnd"/>
      <w:r w:rsidRPr="001775AF">
        <w:rPr>
          <w:rFonts w:ascii="Arial" w:hAnsi="Arial" w:cs="Arial"/>
        </w:rPr>
        <w:t xml:space="preserve">, J. and </w:t>
      </w:r>
      <w:proofErr w:type="spellStart"/>
      <w:r w:rsidRPr="001775AF">
        <w:rPr>
          <w:rFonts w:ascii="Arial" w:hAnsi="Arial" w:cs="Arial"/>
        </w:rPr>
        <w:t>DeMarzo</w:t>
      </w:r>
      <w:proofErr w:type="spellEnd"/>
      <w:r w:rsidRPr="001775AF">
        <w:rPr>
          <w:rFonts w:ascii="Arial" w:hAnsi="Arial" w:cs="Arial"/>
        </w:rPr>
        <w:t>, P, (2019). Corporate Finance, Global Edition. Pearson. (5</w:t>
      </w:r>
      <w:r w:rsidRPr="001775AF">
        <w:rPr>
          <w:rFonts w:ascii="Arial" w:hAnsi="Arial" w:cs="Arial"/>
          <w:vertAlign w:val="superscript"/>
        </w:rPr>
        <w:t>th</w:t>
      </w:r>
      <w:r w:rsidRPr="001775AF">
        <w:rPr>
          <w:rFonts w:ascii="Arial" w:hAnsi="Arial" w:cs="Arial"/>
        </w:rPr>
        <w:t xml:space="preserve"> Edition). </w:t>
      </w:r>
    </w:p>
    <w:p w14:paraId="3327C5F8" w14:textId="77777777" w:rsidR="00C16E8A" w:rsidRPr="001775AF" w:rsidRDefault="00C16E8A" w:rsidP="00C16E8A">
      <w:pPr>
        <w:shd w:val="clear" w:color="auto" w:fill="FFFFFF"/>
        <w:spacing w:before="240" w:after="240" w:line="240" w:lineRule="auto"/>
        <w:rPr>
          <w:rFonts w:ascii="Arial" w:eastAsia="Times New Roman" w:hAnsi="Arial" w:cs="Arial"/>
          <w:color w:val="0F1115"/>
        </w:rPr>
      </w:pPr>
      <w:proofErr w:type="spellStart"/>
      <w:r w:rsidRPr="001775AF">
        <w:rPr>
          <w:rFonts w:ascii="Arial" w:eastAsia="Times New Roman" w:hAnsi="Arial" w:cs="Arial"/>
          <w:color w:val="0F1115"/>
        </w:rPr>
        <w:t>Brealey</w:t>
      </w:r>
      <w:proofErr w:type="spellEnd"/>
      <w:r w:rsidRPr="001775AF">
        <w:rPr>
          <w:rFonts w:ascii="Arial" w:eastAsia="Times New Roman" w:hAnsi="Arial" w:cs="Arial"/>
          <w:color w:val="0F1115"/>
        </w:rPr>
        <w:t>, R. A., Myers, S. C., &amp; Allen, F. (2020). </w:t>
      </w:r>
      <w:r w:rsidRPr="001775AF">
        <w:rPr>
          <w:rFonts w:ascii="Arial" w:eastAsia="Times New Roman" w:hAnsi="Arial" w:cs="Arial"/>
          <w:iCs/>
          <w:color w:val="0F1115"/>
        </w:rPr>
        <w:t>Principles of Corporate Finance</w:t>
      </w:r>
      <w:r w:rsidRPr="001775AF">
        <w:rPr>
          <w:rFonts w:ascii="Arial" w:eastAsia="Times New Roman" w:hAnsi="Arial" w:cs="Arial"/>
          <w:color w:val="0F1115"/>
        </w:rPr>
        <w:t> (13th ed.). McGraw-Hill Education.</w:t>
      </w:r>
    </w:p>
    <w:p w14:paraId="17E297EF" w14:textId="77777777" w:rsidR="00304BC1" w:rsidRPr="001775AF" w:rsidRDefault="00304BC1" w:rsidP="00C16E8A">
      <w:pPr>
        <w:shd w:val="clear" w:color="auto" w:fill="FFFFFF"/>
        <w:spacing w:before="240" w:after="240" w:line="240" w:lineRule="auto"/>
        <w:rPr>
          <w:rFonts w:ascii="Arial" w:eastAsia="Times New Roman" w:hAnsi="Arial" w:cs="Arial"/>
          <w:color w:val="0F1115"/>
        </w:rPr>
      </w:pPr>
      <w:proofErr w:type="spellStart"/>
      <w:r w:rsidRPr="001775AF">
        <w:rPr>
          <w:rFonts w:ascii="Arial" w:eastAsia="Times New Roman" w:hAnsi="Arial" w:cs="Arial"/>
          <w:color w:val="0F1115"/>
        </w:rPr>
        <w:t>Elnahass</w:t>
      </w:r>
      <w:proofErr w:type="spellEnd"/>
      <w:r w:rsidRPr="001775AF">
        <w:rPr>
          <w:rFonts w:ascii="Arial" w:eastAsia="Times New Roman" w:hAnsi="Arial" w:cs="Arial"/>
          <w:color w:val="0F1115"/>
        </w:rPr>
        <w:t>, M., Trinh, V. Q., &amp; Li, T. (2021). Global banking stability in the shadow of the Covid-19 outbreak. </w:t>
      </w:r>
      <w:r w:rsidRPr="001775AF">
        <w:rPr>
          <w:rFonts w:ascii="Arial" w:eastAsia="Times New Roman" w:hAnsi="Arial" w:cs="Arial"/>
          <w:i/>
          <w:iCs/>
          <w:color w:val="0F1115"/>
        </w:rPr>
        <w:t>Journal of International Financial Markets, Institutions and Money</w:t>
      </w:r>
      <w:r w:rsidRPr="001775AF">
        <w:rPr>
          <w:rFonts w:ascii="Arial" w:eastAsia="Times New Roman" w:hAnsi="Arial" w:cs="Arial"/>
          <w:color w:val="0F1115"/>
        </w:rPr>
        <w:t>, 72, 101322.</w:t>
      </w:r>
    </w:p>
    <w:p w14:paraId="6AEB7853" w14:textId="77777777" w:rsidR="00C16E8A" w:rsidRPr="001775AF" w:rsidRDefault="00C16E8A" w:rsidP="00C16E8A">
      <w:pPr>
        <w:shd w:val="clear" w:color="auto" w:fill="FFFFFF"/>
        <w:spacing w:before="240" w:after="100" w:afterAutospacing="1" w:line="240" w:lineRule="auto"/>
        <w:rPr>
          <w:rFonts w:ascii="Arial" w:eastAsia="Times New Roman" w:hAnsi="Arial" w:cs="Arial"/>
          <w:color w:val="0F1115"/>
        </w:rPr>
      </w:pPr>
      <w:proofErr w:type="spellStart"/>
      <w:r w:rsidRPr="001775AF">
        <w:rPr>
          <w:rFonts w:ascii="Arial" w:eastAsia="Times New Roman" w:hAnsi="Arial" w:cs="Arial"/>
          <w:color w:val="0F1115"/>
        </w:rPr>
        <w:t>Keown</w:t>
      </w:r>
      <w:proofErr w:type="spellEnd"/>
      <w:r w:rsidRPr="001775AF">
        <w:rPr>
          <w:rFonts w:ascii="Arial" w:eastAsia="Times New Roman" w:hAnsi="Arial" w:cs="Arial"/>
          <w:color w:val="0F1115"/>
        </w:rPr>
        <w:t>, A. J., Martin, J. D., &amp; Petty, J. W. (2024). </w:t>
      </w:r>
      <w:r w:rsidRPr="001775AF">
        <w:rPr>
          <w:rFonts w:ascii="Arial" w:eastAsia="Times New Roman" w:hAnsi="Arial" w:cs="Arial"/>
          <w:iCs/>
          <w:color w:val="0F1115"/>
        </w:rPr>
        <w:t>Foundations of Finance</w:t>
      </w:r>
      <w:r w:rsidRPr="001775AF">
        <w:rPr>
          <w:rFonts w:ascii="Arial" w:eastAsia="Times New Roman" w:hAnsi="Arial" w:cs="Arial"/>
          <w:color w:val="0F1115"/>
        </w:rPr>
        <w:t> (10th Global ed.). Pearson Education.</w:t>
      </w:r>
    </w:p>
    <w:p w14:paraId="6673F373" w14:textId="77777777" w:rsidR="00C738FA" w:rsidRPr="001775AF" w:rsidRDefault="00C738FA" w:rsidP="00C16E8A">
      <w:pPr>
        <w:shd w:val="clear" w:color="auto" w:fill="FFFFFF"/>
        <w:spacing w:before="240" w:after="100" w:afterAutospacing="1" w:line="240" w:lineRule="auto"/>
        <w:rPr>
          <w:rFonts w:ascii="Arial" w:eastAsia="Times New Roman" w:hAnsi="Arial" w:cs="Arial"/>
          <w:color w:val="0F1115"/>
        </w:rPr>
      </w:pPr>
      <w:proofErr w:type="spellStart"/>
      <w:r w:rsidRPr="001775AF">
        <w:rPr>
          <w:rFonts w:ascii="Arial" w:eastAsia="Times New Roman" w:hAnsi="Arial" w:cs="Arial"/>
          <w:color w:val="0F1115"/>
        </w:rPr>
        <w:t>Lyubov</w:t>
      </w:r>
      <w:proofErr w:type="spellEnd"/>
      <w:r w:rsidRPr="001775AF">
        <w:rPr>
          <w:rFonts w:ascii="Arial" w:eastAsia="Times New Roman" w:hAnsi="Arial" w:cs="Arial"/>
          <w:color w:val="0F1115"/>
        </w:rPr>
        <w:t xml:space="preserve">, </w:t>
      </w:r>
      <w:proofErr w:type="spellStart"/>
      <w:r w:rsidRPr="001775AF">
        <w:rPr>
          <w:rFonts w:ascii="Arial" w:eastAsia="Times New Roman" w:hAnsi="Arial" w:cs="Arial"/>
          <w:color w:val="0F1115"/>
        </w:rPr>
        <w:t>Tsoy</w:t>
      </w:r>
      <w:proofErr w:type="spellEnd"/>
      <w:r w:rsidRPr="001775AF">
        <w:rPr>
          <w:rFonts w:ascii="Arial" w:eastAsia="Times New Roman" w:hAnsi="Arial" w:cs="Arial"/>
          <w:color w:val="0F1115"/>
        </w:rPr>
        <w:t xml:space="preserve">, And </w:t>
      </w:r>
      <w:proofErr w:type="spellStart"/>
      <w:r w:rsidRPr="001775AF">
        <w:rPr>
          <w:rFonts w:ascii="Arial" w:eastAsia="Times New Roman" w:hAnsi="Arial" w:cs="Arial"/>
          <w:color w:val="0F1115"/>
        </w:rPr>
        <w:t>Heshmati</w:t>
      </w:r>
      <w:proofErr w:type="spellEnd"/>
      <w:r w:rsidRPr="001775AF">
        <w:rPr>
          <w:rFonts w:ascii="Arial" w:eastAsia="Times New Roman" w:hAnsi="Arial" w:cs="Arial"/>
          <w:color w:val="0F1115"/>
        </w:rPr>
        <w:t xml:space="preserve">, Almas, (2023). Impact of Financial Crises On </w:t>
      </w:r>
      <w:proofErr w:type="gramStart"/>
      <w:r w:rsidRPr="001775AF">
        <w:rPr>
          <w:rFonts w:ascii="Arial" w:eastAsia="Times New Roman" w:hAnsi="Arial" w:cs="Arial"/>
          <w:color w:val="0F1115"/>
        </w:rPr>
        <w:t>The</w:t>
      </w:r>
      <w:proofErr w:type="gramEnd"/>
      <w:r w:rsidRPr="001775AF">
        <w:rPr>
          <w:rFonts w:ascii="Arial" w:eastAsia="Times New Roman" w:hAnsi="Arial" w:cs="Arial"/>
          <w:color w:val="0F1115"/>
        </w:rPr>
        <w:t xml:space="preserve"> Dynamics Of Capital Structure: Evidence From Korean Listed Companies. The Singapore Economic Review. 68. 867-898. </w:t>
      </w:r>
    </w:p>
    <w:p w14:paraId="094F60D1" w14:textId="77777777" w:rsidR="00C738FA" w:rsidRPr="001775AF" w:rsidRDefault="001775AF" w:rsidP="00C16E8A">
      <w:pPr>
        <w:shd w:val="clear" w:color="auto" w:fill="FFFFFF"/>
        <w:spacing w:before="240" w:after="100" w:afterAutospacing="1" w:line="240" w:lineRule="auto"/>
        <w:rPr>
          <w:rFonts w:ascii="Arial" w:eastAsia="Times New Roman" w:hAnsi="Arial" w:cs="Arial"/>
          <w:color w:val="0F1115"/>
        </w:rPr>
      </w:pPr>
      <w:proofErr w:type="spellStart"/>
      <w:r w:rsidRPr="001775AF">
        <w:rPr>
          <w:rFonts w:ascii="Arial" w:eastAsia="Times New Roman" w:hAnsi="Arial" w:cs="Arial"/>
          <w:color w:val="0F1115"/>
        </w:rPr>
        <w:t>Osinubi</w:t>
      </w:r>
      <w:proofErr w:type="spellEnd"/>
      <w:r w:rsidRPr="001775AF">
        <w:rPr>
          <w:rFonts w:ascii="Arial" w:eastAsia="Times New Roman" w:hAnsi="Arial" w:cs="Arial"/>
          <w:color w:val="0F1115"/>
        </w:rPr>
        <w:t xml:space="preserve"> IS (2020), "Effects of financial distress and financing constraints on trade credit provisions". </w:t>
      </w:r>
      <w:r w:rsidRPr="001775AF">
        <w:rPr>
          <w:rFonts w:ascii="Arial" w:eastAsia="Times New Roman" w:hAnsi="Arial" w:cs="Arial"/>
          <w:i/>
          <w:iCs/>
          <w:color w:val="0F1115"/>
        </w:rPr>
        <w:t>Asian Review of Accounting</w:t>
      </w:r>
      <w:r w:rsidRPr="001775AF">
        <w:rPr>
          <w:rFonts w:ascii="Arial" w:eastAsia="Times New Roman" w:hAnsi="Arial" w:cs="Arial"/>
          <w:color w:val="0F1115"/>
        </w:rPr>
        <w:t>, Vol. 28 No. 4 pp. 545–566</w:t>
      </w:r>
    </w:p>
    <w:p w14:paraId="4541E3D4" w14:textId="77777777" w:rsidR="001775AF" w:rsidRPr="002B71D5" w:rsidRDefault="001775AF" w:rsidP="00C16E8A">
      <w:pPr>
        <w:shd w:val="clear" w:color="auto" w:fill="FFFFFF"/>
        <w:spacing w:before="240" w:after="100" w:afterAutospacing="1" w:line="240" w:lineRule="auto"/>
        <w:rPr>
          <w:rFonts w:ascii="Segoe UI" w:eastAsia="Times New Roman" w:hAnsi="Segoe UI" w:cs="Segoe UI"/>
          <w:color w:val="0F1115"/>
        </w:rPr>
      </w:pPr>
    </w:p>
    <w:p w14:paraId="0BCE14CF" w14:textId="77777777" w:rsidR="00C16E8A" w:rsidRPr="00846658" w:rsidRDefault="00C16E8A" w:rsidP="00AD4654"/>
    <w:sectPr w:rsidR="00C16E8A" w:rsidRPr="00846658" w:rsidSect="00E54587">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FBF0DB" w14:textId="77777777" w:rsidR="002615F5" w:rsidRDefault="002615F5" w:rsidP="00F250CB">
      <w:pPr>
        <w:spacing w:after="0" w:line="240" w:lineRule="auto"/>
      </w:pPr>
      <w:r>
        <w:separator/>
      </w:r>
    </w:p>
  </w:endnote>
  <w:endnote w:type="continuationSeparator" w:id="0">
    <w:p w14:paraId="2523601A" w14:textId="77777777" w:rsidR="002615F5" w:rsidRDefault="002615F5" w:rsidP="00F25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2294577"/>
      <w:docPartObj>
        <w:docPartGallery w:val="Page Numbers (Bottom of Page)"/>
        <w:docPartUnique/>
      </w:docPartObj>
    </w:sdtPr>
    <w:sdtEndPr>
      <w:rPr>
        <w:noProof/>
      </w:rPr>
    </w:sdtEndPr>
    <w:sdtContent>
      <w:p w14:paraId="61BF4A6B" w14:textId="2F05CEB3" w:rsidR="008B2DEA" w:rsidRDefault="008B2DEA">
        <w:pPr>
          <w:pStyle w:val="Footer"/>
          <w:jc w:val="right"/>
        </w:pPr>
        <w:r>
          <w:fldChar w:fldCharType="begin"/>
        </w:r>
        <w:r>
          <w:instrText xml:space="preserve"> PAGE   \* MERGEFORMAT </w:instrText>
        </w:r>
        <w:r>
          <w:fldChar w:fldCharType="separate"/>
        </w:r>
        <w:r w:rsidR="00D710DC">
          <w:rPr>
            <w:noProof/>
          </w:rPr>
          <w:t>22</w:t>
        </w:r>
        <w:r>
          <w:rPr>
            <w:noProof/>
          </w:rPr>
          <w:fldChar w:fldCharType="end"/>
        </w:r>
      </w:p>
    </w:sdtContent>
  </w:sdt>
  <w:p w14:paraId="0296CE3B" w14:textId="77777777" w:rsidR="008B2DEA" w:rsidRDefault="008B2DE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911735" w14:textId="77777777" w:rsidR="002615F5" w:rsidRDefault="002615F5" w:rsidP="00F250CB">
      <w:pPr>
        <w:spacing w:after="0" w:line="240" w:lineRule="auto"/>
      </w:pPr>
      <w:r>
        <w:separator/>
      </w:r>
    </w:p>
  </w:footnote>
  <w:footnote w:type="continuationSeparator" w:id="0">
    <w:p w14:paraId="7F1DC263" w14:textId="77777777" w:rsidR="002615F5" w:rsidRDefault="002615F5" w:rsidP="00F250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133101"/>
    <w:multiLevelType w:val="hybridMultilevel"/>
    <w:tmpl w:val="783046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961D64"/>
    <w:multiLevelType w:val="hybridMultilevel"/>
    <w:tmpl w:val="94B6A762"/>
    <w:lvl w:ilvl="0" w:tplc="3D704CDA">
      <w:numFmt w:val="bullet"/>
      <w:lvlText w:val="-"/>
      <w:lvlJc w:val="left"/>
      <w:pPr>
        <w:ind w:left="1440" w:hanging="360"/>
      </w:pPr>
      <w:rPr>
        <w:rFonts w:ascii="Arial" w:eastAsiaTheme="minorHAnsi" w:hAnsi="Arial" w:cs="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C90155B"/>
    <w:multiLevelType w:val="multilevel"/>
    <w:tmpl w:val="FFB6A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E0459A"/>
    <w:multiLevelType w:val="multilevel"/>
    <w:tmpl w:val="B70E4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A87946"/>
    <w:multiLevelType w:val="multilevel"/>
    <w:tmpl w:val="8EDC2B2C"/>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2BF4DB2"/>
    <w:multiLevelType w:val="hybridMultilevel"/>
    <w:tmpl w:val="C3EE12D6"/>
    <w:lvl w:ilvl="0" w:tplc="335EE326">
      <w:numFmt w:val="decimal"/>
      <w:lvlText w:val="%1."/>
      <w:lvlJc w:val="left"/>
      <w:pPr>
        <w:ind w:left="972" w:hanging="612"/>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6933223"/>
    <w:multiLevelType w:val="hybridMultilevel"/>
    <w:tmpl w:val="6B2A9D0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1AEF725E"/>
    <w:multiLevelType w:val="multilevel"/>
    <w:tmpl w:val="966C3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D125E6"/>
    <w:multiLevelType w:val="hybridMultilevel"/>
    <w:tmpl w:val="46F47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B2693A"/>
    <w:multiLevelType w:val="multilevel"/>
    <w:tmpl w:val="61E2B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FA68D0"/>
    <w:multiLevelType w:val="hybridMultilevel"/>
    <w:tmpl w:val="60449E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FFE6891"/>
    <w:multiLevelType w:val="multilevel"/>
    <w:tmpl w:val="99142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237885"/>
    <w:multiLevelType w:val="hybridMultilevel"/>
    <w:tmpl w:val="D31A30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18D2B76"/>
    <w:multiLevelType w:val="multilevel"/>
    <w:tmpl w:val="205A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E64357"/>
    <w:multiLevelType w:val="multilevel"/>
    <w:tmpl w:val="5E80E0E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5" w15:restartNumberingAfterBreak="0">
    <w:nsid w:val="397B671F"/>
    <w:multiLevelType w:val="multilevel"/>
    <w:tmpl w:val="DBBC4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D30F94"/>
    <w:multiLevelType w:val="multilevel"/>
    <w:tmpl w:val="C5143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7F3FF0"/>
    <w:multiLevelType w:val="hybridMultilevel"/>
    <w:tmpl w:val="4FC25024"/>
    <w:lvl w:ilvl="0" w:tplc="3D704CD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1616793"/>
    <w:multiLevelType w:val="multilevel"/>
    <w:tmpl w:val="72687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062BC1"/>
    <w:multiLevelType w:val="multilevel"/>
    <w:tmpl w:val="80A6BF40"/>
    <w:lvl w:ilvl="0">
      <w:start w:val="1"/>
      <w:numFmt w:val="decimal"/>
      <w:lvlText w:val="%1.0"/>
      <w:lvlJc w:val="left"/>
      <w:pPr>
        <w:ind w:left="528" w:hanging="528"/>
      </w:pPr>
      <w:rPr>
        <w:rFonts w:hint="default"/>
      </w:rPr>
    </w:lvl>
    <w:lvl w:ilvl="1">
      <w:start w:val="1"/>
      <w:numFmt w:val="decimal"/>
      <w:lvlText w:val="%1.%2"/>
      <w:lvlJc w:val="left"/>
      <w:pPr>
        <w:ind w:left="1248" w:hanging="52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4C7F7308"/>
    <w:multiLevelType w:val="hybridMultilevel"/>
    <w:tmpl w:val="79786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023218A"/>
    <w:multiLevelType w:val="hybridMultilevel"/>
    <w:tmpl w:val="D2FA3EEE"/>
    <w:lvl w:ilvl="0" w:tplc="3D704CD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5270B99"/>
    <w:multiLevelType w:val="multilevel"/>
    <w:tmpl w:val="2D4C2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6F6FC5"/>
    <w:multiLevelType w:val="multilevel"/>
    <w:tmpl w:val="5DCE077C"/>
    <w:lvl w:ilvl="0">
      <w:start w:val="5"/>
      <w:numFmt w:val="decimal"/>
      <w:lvlText w:val="%1.0"/>
      <w:lvlJc w:val="left"/>
      <w:pPr>
        <w:ind w:left="720" w:hanging="720"/>
      </w:pPr>
      <w:rPr>
        <w:rFonts w:hint="default"/>
        <w:sz w:val="32"/>
      </w:rPr>
    </w:lvl>
    <w:lvl w:ilvl="1">
      <w:start w:val="1"/>
      <w:numFmt w:val="decimal"/>
      <w:lvlText w:val="%1.%2"/>
      <w:lvlJc w:val="left"/>
      <w:pPr>
        <w:ind w:left="1440" w:hanging="720"/>
      </w:pPr>
      <w:rPr>
        <w:rFonts w:hint="default"/>
        <w:sz w:val="32"/>
      </w:rPr>
    </w:lvl>
    <w:lvl w:ilvl="2">
      <w:start w:val="1"/>
      <w:numFmt w:val="decimal"/>
      <w:lvlText w:val="%1.%2.%3"/>
      <w:lvlJc w:val="left"/>
      <w:pPr>
        <w:ind w:left="2520" w:hanging="1080"/>
      </w:pPr>
      <w:rPr>
        <w:rFonts w:hint="default"/>
        <w:sz w:val="32"/>
      </w:rPr>
    </w:lvl>
    <w:lvl w:ilvl="3">
      <w:start w:val="1"/>
      <w:numFmt w:val="decimal"/>
      <w:lvlText w:val="%1.%2.%3.%4"/>
      <w:lvlJc w:val="left"/>
      <w:pPr>
        <w:ind w:left="3600" w:hanging="1440"/>
      </w:pPr>
      <w:rPr>
        <w:rFonts w:hint="default"/>
        <w:sz w:val="32"/>
      </w:rPr>
    </w:lvl>
    <w:lvl w:ilvl="4">
      <w:start w:val="1"/>
      <w:numFmt w:val="decimal"/>
      <w:lvlText w:val="%1.%2.%3.%4.%5"/>
      <w:lvlJc w:val="left"/>
      <w:pPr>
        <w:ind w:left="4320" w:hanging="1440"/>
      </w:pPr>
      <w:rPr>
        <w:rFonts w:hint="default"/>
        <w:sz w:val="32"/>
      </w:rPr>
    </w:lvl>
    <w:lvl w:ilvl="5">
      <w:start w:val="1"/>
      <w:numFmt w:val="decimal"/>
      <w:lvlText w:val="%1.%2.%3.%4.%5.%6"/>
      <w:lvlJc w:val="left"/>
      <w:pPr>
        <w:ind w:left="5400" w:hanging="1800"/>
      </w:pPr>
      <w:rPr>
        <w:rFonts w:hint="default"/>
        <w:sz w:val="32"/>
      </w:rPr>
    </w:lvl>
    <w:lvl w:ilvl="6">
      <w:start w:val="1"/>
      <w:numFmt w:val="decimal"/>
      <w:lvlText w:val="%1.%2.%3.%4.%5.%6.%7"/>
      <w:lvlJc w:val="left"/>
      <w:pPr>
        <w:ind w:left="6480" w:hanging="2160"/>
      </w:pPr>
      <w:rPr>
        <w:rFonts w:hint="default"/>
        <w:sz w:val="32"/>
      </w:rPr>
    </w:lvl>
    <w:lvl w:ilvl="7">
      <w:start w:val="1"/>
      <w:numFmt w:val="decimal"/>
      <w:lvlText w:val="%1.%2.%3.%4.%5.%6.%7.%8"/>
      <w:lvlJc w:val="left"/>
      <w:pPr>
        <w:ind w:left="7560" w:hanging="2520"/>
      </w:pPr>
      <w:rPr>
        <w:rFonts w:hint="default"/>
        <w:sz w:val="32"/>
      </w:rPr>
    </w:lvl>
    <w:lvl w:ilvl="8">
      <w:start w:val="1"/>
      <w:numFmt w:val="decimal"/>
      <w:lvlText w:val="%1.%2.%3.%4.%5.%6.%7.%8.%9"/>
      <w:lvlJc w:val="left"/>
      <w:pPr>
        <w:ind w:left="8640" w:hanging="2880"/>
      </w:pPr>
      <w:rPr>
        <w:rFonts w:hint="default"/>
        <w:sz w:val="32"/>
      </w:rPr>
    </w:lvl>
  </w:abstractNum>
  <w:abstractNum w:abstractNumId="24" w15:restartNumberingAfterBreak="0">
    <w:nsid w:val="5EE42127"/>
    <w:multiLevelType w:val="hybridMultilevel"/>
    <w:tmpl w:val="1EB09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02B2510"/>
    <w:multiLevelType w:val="multilevel"/>
    <w:tmpl w:val="FB187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327BC9"/>
    <w:multiLevelType w:val="hybridMultilevel"/>
    <w:tmpl w:val="64A0BBF6"/>
    <w:lvl w:ilvl="0" w:tplc="E6889B5A">
      <w:numFmt w:val="decimal"/>
      <w:lvlText w:val="%1."/>
      <w:lvlJc w:val="left"/>
      <w:pPr>
        <w:ind w:left="972" w:hanging="612"/>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6E80EC9"/>
    <w:multiLevelType w:val="multilevel"/>
    <w:tmpl w:val="CEBCA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0CA4B31"/>
    <w:multiLevelType w:val="hybridMultilevel"/>
    <w:tmpl w:val="BDB45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31379AC"/>
    <w:multiLevelType w:val="hybridMultilevel"/>
    <w:tmpl w:val="4514A088"/>
    <w:lvl w:ilvl="0" w:tplc="3D704CD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36B1A11"/>
    <w:multiLevelType w:val="multilevel"/>
    <w:tmpl w:val="89DADE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AAA19F2"/>
    <w:multiLevelType w:val="multilevel"/>
    <w:tmpl w:val="F86A9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9"/>
  </w:num>
  <w:num w:numId="3">
    <w:abstractNumId w:val="3"/>
  </w:num>
  <w:num w:numId="4">
    <w:abstractNumId w:val="25"/>
  </w:num>
  <w:num w:numId="5">
    <w:abstractNumId w:val="31"/>
  </w:num>
  <w:num w:numId="6">
    <w:abstractNumId w:val="7"/>
  </w:num>
  <w:num w:numId="7">
    <w:abstractNumId w:val="15"/>
  </w:num>
  <w:num w:numId="8">
    <w:abstractNumId w:val="10"/>
  </w:num>
  <w:num w:numId="9">
    <w:abstractNumId w:val="24"/>
  </w:num>
  <w:num w:numId="10">
    <w:abstractNumId w:val="21"/>
  </w:num>
  <w:num w:numId="11">
    <w:abstractNumId w:val="0"/>
  </w:num>
  <w:num w:numId="12">
    <w:abstractNumId w:val="12"/>
  </w:num>
  <w:num w:numId="13">
    <w:abstractNumId w:val="29"/>
  </w:num>
  <w:num w:numId="14">
    <w:abstractNumId w:val="17"/>
  </w:num>
  <w:num w:numId="15">
    <w:abstractNumId w:val="1"/>
  </w:num>
  <w:num w:numId="16">
    <w:abstractNumId w:val="6"/>
  </w:num>
  <w:num w:numId="17">
    <w:abstractNumId w:val="8"/>
  </w:num>
  <w:num w:numId="18">
    <w:abstractNumId w:val="22"/>
  </w:num>
  <w:num w:numId="19">
    <w:abstractNumId w:val="13"/>
  </w:num>
  <w:num w:numId="20">
    <w:abstractNumId w:val="5"/>
  </w:num>
  <w:num w:numId="21">
    <w:abstractNumId w:val="26"/>
  </w:num>
  <w:num w:numId="22">
    <w:abstractNumId w:val="30"/>
  </w:num>
  <w:num w:numId="23">
    <w:abstractNumId w:val="28"/>
  </w:num>
  <w:num w:numId="24">
    <w:abstractNumId w:val="16"/>
  </w:num>
  <w:num w:numId="25">
    <w:abstractNumId w:val="27"/>
  </w:num>
  <w:num w:numId="26">
    <w:abstractNumId w:val="2"/>
  </w:num>
  <w:num w:numId="27">
    <w:abstractNumId w:val="11"/>
  </w:num>
  <w:num w:numId="28">
    <w:abstractNumId w:val="4"/>
  </w:num>
  <w:num w:numId="29">
    <w:abstractNumId w:val="18"/>
  </w:num>
  <w:num w:numId="30">
    <w:abstractNumId w:val="19"/>
  </w:num>
  <w:num w:numId="31">
    <w:abstractNumId w:val="14"/>
  </w:num>
  <w:num w:numId="3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5347"/>
    <w:rsid w:val="0004693C"/>
    <w:rsid w:val="0005104E"/>
    <w:rsid w:val="000600A1"/>
    <w:rsid w:val="00065D0D"/>
    <w:rsid w:val="000B3D4E"/>
    <w:rsid w:val="000D5540"/>
    <w:rsid w:val="000D723A"/>
    <w:rsid w:val="000E15FF"/>
    <w:rsid w:val="000F54AD"/>
    <w:rsid w:val="00111D05"/>
    <w:rsid w:val="00132A5B"/>
    <w:rsid w:val="001337F0"/>
    <w:rsid w:val="001367F5"/>
    <w:rsid w:val="00145347"/>
    <w:rsid w:val="0014659C"/>
    <w:rsid w:val="001612E6"/>
    <w:rsid w:val="00165675"/>
    <w:rsid w:val="0017617C"/>
    <w:rsid w:val="001775AF"/>
    <w:rsid w:val="00182CC2"/>
    <w:rsid w:val="0019259F"/>
    <w:rsid w:val="001A28F8"/>
    <w:rsid w:val="001A2CC3"/>
    <w:rsid w:val="001A6F08"/>
    <w:rsid w:val="001D5163"/>
    <w:rsid w:val="001F6D3E"/>
    <w:rsid w:val="0021010D"/>
    <w:rsid w:val="00210ECA"/>
    <w:rsid w:val="002354C8"/>
    <w:rsid w:val="00250DC0"/>
    <w:rsid w:val="00261264"/>
    <w:rsid w:val="002615F5"/>
    <w:rsid w:val="0026666F"/>
    <w:rsid w:val="0027724F"/>
    <w:rsid w:val="0028548E"/>
    <w:rsid w:val="002924D2"/>
    <w:rsid w:val="002B3E36"/>
    <w:rsid w:val="002B71D5"/>
    <w:rsid w:val="002C3864"/>
    <w:rsid w:val="002F2F7A"/>
    <w:rsid w:val="00304BC1"/>
    <w:rsid w:val="0031121D"/>
    <w:rsid w:val="00340398"/>
    <w:rsid w:val="003744E4"/>
    <w:rsid w:val="003937C4"/>
    <w:rsid w:val="003A5893"/>
    <w:rsid w:val="003C1B7B"/>
    <w:rsid w:val="003D5D51"/>
    <w:rsid w:val="003E1FE1"/>
    <w:rsid w:val="003F6FBE"/>
    <w:rsid w:val="004215F2"/>
    <w:rsid w:val="00421EAD"/>
    <w:rsid w:val="00422A24"/>
    <w:rsid w:val="0044318A"/>
    <w:rsid w:val="00444333"/>
    <w:rsid w:val="00444989"/>
    <w:rsid w:val="00476AE4"/>
    <w:rsid w:val="0048365E"/>
    <w:rsid w:val="0049103B"/>
    <w:rsid w:val="004A2984"/>
    <w:rsid w:val="004B22DE"/>
    <w:rsid w:val="004C51C5"/>
    <w:rsid w:val="004E44A5"/>
    <w:rsid w:val="004E7531"/>
    <w:rsid w:val="004F45BD"/>
    <w:rsid w:val="005069AA"/>
    <w:rsid w:val="00517F75"/>
    <w:rsid w:val="005211D7"/>
    <w:rsid w:val="00521CFD"/>
    <w:rsid w:val="005322C1"/>
    <w:rsid w:val="00537D12"/>
    <w:rsid w:val="00545013"/>
    <w:rsid w:val="00561979"/>
    <w:rsid w:val="00564708"/>
    <w:rsid w:val="005747BE"/>
    <w:rsid w:val="00596646"/>
    <w:rsid w:val="005B755F"/>
    <w:rsid w:val="005E634A"/>
    <w:rsid w:val="005E77CC"/>
    <w:rsid w:val="005F7E78"/>
    <w:rsid w:val="00600C46"/>
    <w:rsid w:val="00605B9C"/>
    <w:rsid w:val="006301FB"/>
    <w:rsid w:val="00633373"/>
    <w:rsid w:val="0063635E"/>
    <w:rsid w:val="00640402"/>
    <w:rsid w:val="00670D72"/>
    <w:rsid w:val="00672AF1"/>
    <w:rsid w:val="00697FB8"/>
    <w:rsid w:val="006A7143"/>
    <w:rsid w:val="006B4F57"/>
    <w:rsid w:val="006D08DB"/>
    <w:rsid w:val="006D7995"/>
    <w:rsid w:val="007076A5"/>
    <w:rsid w:val="00717286"/>
    <w:rsid w:val="00720B10"/>
    <w:rsid w:val="007774E4"/>
    <w:rsid w:val="00777C54"/>
    <w:rsid w:val="007928F2"/>
    <w:rsid w:val="0079307A"/>
    <w:rsid w:val="00795815"/>
    <w:rsid w:val="007A3A49"/>
    <w:rsid w:val="007B2636"/>
    <w:rsid w:val="007D7B17"/>
    <w:rsid w:val="007F1D86"/>
    <w:rsid w:val="007F4B7C"/>
    <w:rsid w:val="00800C9D"/>
    <w:rsid w:val="00807FCA"/>
    <w:rsid w:val="00814EF0"/>
    <w:rsid w:val="0083730B"/>
    <w:rsid w:val="00846658"/>
    <w:rsid w:val="00865D48"/>
    <w:rsid w:val="00871B45"/>
    <w:rsid w:val="00874AD3"/>
    <w:rsid w:val="008757FD"/>
    <w:rsid w:val="00892BFF"/>
    <w:rsid w:val="00897FA4"/>
    <w:rsid w:val="008A328C"/>
    <w:rsid w:val="008A7154"/>
    <w:rsid w:val="008B13E5"/>
    <w:rsid w:val="008B2DEA"/>
    <w:rsid w:val="008C1DBC"/>
    <w:rsid w:val="008E0078"/>
    <w:rsid w:val="008F1761"/>
    <w:rsid w:val="008F19AE"/>
    <w:rsid w:val="0091715F"/>
    <w:rsid w:val="00960D53"/>
    <w:rsid w:val="00987D57"/>
    <w:rsid w:val="009C10A6"/>
    <w:rsid w:val="009E5890"/>
    <w:rsid w:val="00A005E9"/>
    <w:rsid w:val="00A07426"/>
    <w:rsid w:val="00A12D6D"/>
    <w:rsid w:val="00A20C8C"/>
    <w:rsid w:val="00A34D59"/>
    <w:rsid w:val="00A55C4C"/>
    <w:rsid w:val="00AB2174"/>
    <w:rsid w:val="00AC5076"/>
    <w:rsid w:val="00AD2CBA"/>
    <w:rsid w:val="00AD4654"/>
    <w:rsid w:val="00AD5B1B"/>
    <w:rsid w:val="00B01B42"/>
    <w:rsid w:val="00B33750"/>
    <w:rsid w:val="00B3622F"/>
    <w:rsid w:val="00B401B9"/>
    <w:rsid w:val="00B43C41"/>
    <w:rsid w:val="00B4457E"/>
    <w:rsid w:val="00B45D8A"/>
    <w:rsid w:val="00B65C08"/>
    <w:rsid w:val="00B925B7"/>
    <w:rsid w:val="00BA2D1E"/>
    <w:rsid w:val="00BB2857"/>
    <w:rsid w:val="00BB71FC"/>
    <w:rsid w:val="00C014E2"/>
    <w:rsid w:val="00C13441"/>
    <w:rsid w:val="00C16E8A"/>
    <w:rsid w:val="00C21029"/>
    <w:rsid w:val="00C24D50"/>
    <w:rsid w:val="00C300A3"/>
    <w:rsid w:val="00C4569D"/>
    <w:rsid w:val="00C738FA"/>
    <w:rsid w:val="00C7650E"/>
    <w:rsid w:val="00C81C64"/>
    <w:rsid w:val="00C84967"/>
    <w:rsid w:val="00C9628F"/>
    <w:rsid w:val="00CA3832"/>
    <w:rsid w:val="00CB23DD"/>
    <w:rsid w:val="00CD4CDD"/>
    <w:rsid w:val="00CD733F"/>
    <w:rsid w:val="00CE1D15"/>
    <w:rsid w:val="00D301D9"/>
    <w:rsid w:val="00D56935"/>
    <w:rsid w:val="00D66867"/>
    <w:rsid w:val="00D710DC"/>
    <w:rsid w:val="00D71ACE"/>
    <w:rsid w:val="00D740F8"/>
    <w:rsid w:val="00D74DC0"/>
    <w:rsid w:val="00D85581"/>
    <w:rsid w:val="00D935AF"/>
    <w:rsid w:val="00DC0900"/>
    <w:rsid w:val="00DD5D9D"/>
    <w:rsid w:val="00DE4E11"/>
    <w:rsid w:val="00E12AB3"/>
    <w:rsid w:val="00E240CF"/>
    <w:rsid w:val="00E27CEC"/>
    <w:rsid w:val="00E317EC"/>
    <w:rsid w:val="00E31BD1"/>
    <w:rsid w:val="00E54431"/>
    <w:rsid w:val="00E54587"/>
    <w:rsid w:val="00E74CE3"/>
    <w:rsid w:val="00E7769E"/>
    <w:rsid w:val="00EC2722"/>
    <w:rsid w:val="00EE001E"/>
    <w:rsid w:val="00EF33A8"/>
    <w:rsid w:val="00EF6CAA"/>
    <w:rsid w:val="00F250CB"/>
    <w:rsid w:val="00F276B7"/>
    <w:rsid w:val="00F3148D"/>
    <w:rsid w:val="00F37773"/>
    <w:rsid w:val="00F41C7E"/>
    <w:rsid w:val="00F60E9B"/>
    <w:rsid w:val="00F62E12"/>
    <w:rsid w:val="00F76421"/>
    <w:rsid w:val="00FA462E"/>
    <w:rsid w:val="00FB7151"/>
    <w:rsid w:val="00FD4324"/>
    <w:rsid w:val="00FD5873"/>
    <w:rsid w:val="00FF52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D15CD"/>
  <w15:chartTrackingRefBased/>
  <w15:docId w15:val="{C2E4FBA9-F574-4CAC-9481-D7BFE25FB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54587"/>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E54587"/>
    <w:pPr>
      <w:keepNext/>
      <w:keepLines/>
      <w:spacing w:before="40" w:after="0"/>
      <w:outlineLvl w:val="1"/>
    </w:pPr>
    <w:rPr>
      <w:rFonts w:ascii="Arial" w:eastAsiaTheme="majorEastAsia" w:hAnsi="Arial" w:cstheme="majorBidi"/>
      <w:b/>
      <w:sz w:val="28"/>
      <w:szCs w:val="26"/>
    </w:rPr>
  </w:style>
  <w:style w:type="paragraph" w:styleId="Heading3">
    <w:name w:val="heading 3"/>
    <w:basedOn w:val="Normal"/>
    <w:link w:val="Heading3Char"/>
    <w:uiPriority w:val="9"/>
    <w:qFormat/>
    <w:rsid w:val="006301F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5013"/>
    <w:pPr>
      <w:ind w:left="720"/>
      <w:contextualSpacing/>
    </w:pPr>
  </w:style>
  <w:style w:type="character" w:styleId="Strong">
    <w:name w:val="Strong"/>
    <w:basedOn w:val="DefaultParagraphFont"/>
    <w:uiPriority w:val="22"/>
    <w:qFormat/>
    <w:rsid w:val="00182CC2"/>
    <w:rPr>
      <w:b/>
      <w:bCs/>
    </w:rPr>
  </w:style>
  <w:style w:type="character" w:customStyle="1" w:styleId="Heading3Char">
    <w:name w:val="Heading 3 Char"/>
    <w:basedOn w:val="DefaultParagraphFont"/>
    <w:link w:val="Heading3"/>
    <w:uiPriority w:val="9"/>
    <w:rsid w:val="006301FB"/>
    <w:rPr>
      <w:rFonts w:ascii="Times New Roman" w:eastAsia="Times New Roman" w:hAnsi="Times New Roman" w:cs="Times New Roman"/>
      <w:b/>
      <w:bCs/>
      <w:sz w:val="27"/>
      <w:szCs w:val="27"/>
    </w:rPr>
  </w:style>
  <w:style w:type="character" w:customStyle="1" w:styleId="Heading2Char">
    <w:name w:val="Heading 2 Char"/>
    <w:basedOn w:val="DefaultParagraphFont"/>
    <w:link w:val="Heading2"/>
    <w:uiPriority w:val="9"/>
    <w:rsid w:val="00E54587"/>
    <w:rPr>
      <w:rFonts w:ascii="Arial" w:eastAsiaTheme="majorEastAsia" w:hAnsi="Arial" w:cstheme="majorBidi"/>
      <w:b/>
      <w:sz w:val="28"/>
      <w:szCs w:val="26"/>
    </w:rPr>
  </w:style>
  <w:style w:type="paragraph" w:customStyle="1" w:styleId="ds-markdown-paragraph">
    <w:name w:val="ds-markdown-paragraph"/>
    <w:basedOn w:val="Normal"/>
    <w:rsid w:val="008A7154"/>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3A58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54587"/>
    <w:rPr>
      <w:rFonts w:ascii="Arial" w:eastAsiaTheme="majorEastAsia" w:hAnsi="Arial" w:cstheme="majorBidi"/>
      <w:b/>
      <w:sz w:val="32"/>
      <w:szCs w:val="32"/>
    </w:rPr>
  </w:style>
  <w:style w:type="character" w:customStyle="1" w:styleId="mord">
    <w:name w:val="mord"/>
    <w:basedOn w:val="DefaultParagraphFont"/>
    <w:rsid w:val="001A28F8"/>
  </w:style>
  <w:style w:type="character" w:customStyle="1" w:styleId="mbin">
    <w:name w:val="mbin"/>
    <w:basedOn w:val="DefaultParagraphFont"/>
    <w:rsid w:val="001A28F8"/>
  </w:style>
  <w:style w:type="character" w:customStyle="1" w:styleId="delimsizing">
    <w:name w:val="delimsizing"/>
    <w:basedOn w:val="DefaultParagraphFont"/>
    <w:rsid w:val="00D301D9"/>
  </w:style>
  <w:style w:type="character" w:customStyle="1" w:styleId="vlist-s">
    <w:name w:val="vlist-s"/>
    <w:basedOn w:val="DefaultParagraphFont"/>
    <w:rsid w:val="00D301D9"/>
  </w:style>
  <w:style w:type="character" w:styleId="PlaceholderText">
    <w:name w:val="Placeholder Text"/>
    <w:basedOn w:val="DefaultParagraphFont"/>
    <w:uiPriority w:val="99"/>
    <w:semiHidden/>
    <w:rsid w:val="00D301D9"/>
    <w:rPr>
      <w:color w:val="808080"/>
    </w:rPr>
  </w:style>
  <w:style w:type="table" w:customStyle="1" w:styleId="TableGrid1">
    <w:name w:val="Table Grid1"/>
    <w:basedOn w:val="TableNormal"/>
    <w:next w:val="TableGrid"/>
    <w:uiPriority w:val="39"/>
    <w:rsid w:val="00D668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rel">
    <w:name w:val="mrel"/>
    <w:basedOn w:val="DefaultParagraphFont"/>
    <w:rsid w:val="007B2636"/>
  </w:style>
  <w:style w:type="paragraph" w:styleId="Header">
    <w:name w:val="header"/>
    <w:basedOn w:val="Normal"/>
    <w:link w:val="HeaderChar"/>
    <w:uiPriority w:val="99"/>
    <w:unhideWhenUsed/>
    <w:rsid w:val="00F250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50CB"/>
  </w:style>
  <w:style w:type="paragraph" w:styleId="Footer">
    <w:name w:val="footer"/>
    <w:basedOn w:val="Normal"/>
    <w:link w:val="FooterChar"/>
    <w:uiPriority w:val="99"/>
    <w:unhideWhenUsed/>
    <w:rsid w:val="00F250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50CB"/>
  </w:style>
  <w:style w:type="paragraph" w:styleId="TOCHeading">
    <w:name w:val="TOC Heading"/>
    <w:basedOn w:val="Heading1"/>
    <w:next w:val="Normal"/>
    <w:uiPriority w:val="39"/>
    <w:unhideWhenUsed/>
    <w:qFormat/>
    <w:rsid w:val="00E54587"/>
    <w:pPr>
      <w:outlineLvl w:val="9"/>
    </w:pPr>
  </w:style>
  <w:style w:type="paragraph" w:styleId="TOC3">
    <w:name w:val="toc 3"/>
    <w:basedOn w:val="Normal"/>
    <w:next w:val="Normal"/>
    <w:autoRedefine/>
    <w:uiPriority w:val="39"/>
    <w:unhideWhenUsed/>
    <w:rsid w:val="00E54587"/>
    <w:pPr>
      <w:spacing w:after="100"/>
      <w:ind w:left="440"/>
    </w:pPr>
  </w:style>
  <w:style w:type="character" w:styleId="Hyperlink">
    <w:name w:val="Hyperlink"/>
    <w:basedOn w:val="DefaultParagraphFont"/>
    <w:uiPriority w:val="99"/>
    <w:unhideWhenUsed/>
    <w:rsid w:val="00E54587"/>
    <w:rPr>
      <w:color w:val="0563C1" w:themeColor="hyperlink"/>
      <w:u w:val="single"/>
    </w:rPr>
  </w:style>
  <w:style w:type="paragraph" w:styleId="TOC1">
    <w:name w:val="toc 1"/>
    <w:basedOn w:val="Normal"/>
    <w:next w:val="Normal"/>
    <w:autoRedefine/>
    <w:uiPriority w:val="39"/>
    <w:unhideWhenUsed/>
    <w:rsid w:val="001D5163"/>
    <w:pPr>
      <w:tabs>
        <w:tab w:val="left" w:pos="660"/>
        <w:tab w:val="right" w:leader="dot" w:pos="9350"/>
      </w:tabs>
      <w:spacing w:after="100"/>
    </w:pPr>
    <w:rPr>
      <w:rFonts w:ascii="Arial" w:hAnsi="Arial" w:cs="Arial"/>
      <w:b/>
      <w:noProof/>
    </w:rPr>
  </w:style>
  <w:style w:type="paragraph" w:styleId="TOC2">
    <w:name w:val="toc 2"/>
    <w:basedOn w:val="Normal"/>
    <w:next w:val="Normal"/>
    <w:autoRedefine/>
    <w:uiPriority w:val="39"/>
    <w:unhideWhenUsed/>
    <w:rsid w:val="00FB7151"/>
    <w:pPr>
      <w:tabs>
        <w:tab w:val="right" w:leader="dot" w:pos="9350"/>
      </w:tabs>
      <w:spacing w:after="100"/>
      <w:ind w:left="220"/>
    </w:pPr>
    <w:rPr>
      <w:rFonts w:ascii="Arial" w:hAnsi="Arial" w:cs="Arial"/>
      <w:noProof/>
    </w:rPr>
  </w:style>
  <w:style w:type="paragraph" w:styleId="BalloonText">
    <w:name w:val="Balloon Text"/>
    <w:basedOn w:val="Normal"/>
    <w:link w:val="BalloonTextChar"/>
    <w:uiPriority w:val="99"/>
    <w:semiHidden/>
    <w:unhideWhenUsed/>
    <w:rsid w:val="00E545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4587"/>
    <w:rPr>
      <w:rFonts w:ascii="Segoe UI" w:hAnsi="Segoe UI" w:cs="Segoe UI"/>
      <w:sz w:val="18"/>
      <w:szCs w:val="18"/>
    </w:rPr>
  </w:style>
  <w:style w:type="paragraph" w:styleId="Caption">
    <w:name w:val="caption"/>
    <w:basedOn w:val="Normal"/>
    <w:next w:val="Normal"/>
    <w:uiPriority w:val="35"/>
    <w:unhideWhenUsed/>
    <w:qFormat/>
    <w:rsid w:val="0056197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736672">
      <w:bodyDiv w:val="1"/>
      <w:marLeft w:val="0"/>
      <w:marRight w:val="0"/>
      <w:marTop w:val="0"/>
      <w:marBottom w:val="0"/>
      <w:divBdr>
        <w:top w:val="none" w:sz="0" w:space="0" w:color="auto"/>
        <w:left w:val="none" w:sz="0" w:space="0" w:color="auto"/>
        <w:bottom w:val="none" w:sz="0" w:space="0" w:color="auto"/>
        <w:right w:val="none" w:sz="0" w:space="0" w:color="auto"/>
      </w:divBdr>
    </w:div>
    <w:div w:id="34700211">
      <w:bodyDiv w:val="1"/>
      <w:marLeft w:val="0"/>
      <w:marRight w:val="0"/>
      <w:marTop w:val="0"/>
      <w:marBottom w:val="0"/>
      <w:divBdr>
        <w:top w:val="none" w:sz="0" w:space="0" w:color="auto"/>
        <w:left w:val="none" w:sz="0" w:space="0" w:color="auto"/>
        <w:bottom w:val="none" w:sz="0" w:space="0" w:color="auto"/>
        <w:right w:val="none" w:sz="0" w:space="0" w:color="auto"/>
      </w:divBdr>
    </w:div>
    <w:div w:id="45683448">
      <w:bodyDiv w:val="1"/>
      <w:marLeft w:val="0"/>
      <w:marRight w:val="0"/>
      <w:marTop w:val="0"/>
      <w:marBottom w:val="0"/>
      <w:divBdr>
        <w:top w:val="none" w:sz="0" w:space="0" w:color="auto"/>
        <w:left w:val="none" w:sz="0" w:space="0" w:color="auto"/>
        <w:bottom w:val="none" w:sz="0" w:space="0" w:color="auto"/>
        <w:right w:val="none" w:sz="0" w:space="0" w:color="auto"/>
      </w:divBdr>
    </w:div>
    <w:div w:id="85075829">
      <w:bodyDiv w:val="1"/>
      <w:marLeft w:val="0"/>
      <w:marRight w:val="0"/>
      <w:marTop w:val="0"/>
      <w:marBottom w:val="0"/>
      <w:divBdr>
        <w:top w:val="none" w:sz="0" w:space="0" w:color="auto"/>
        <w:left w:val="none" w:sz="0" w:space="0" w:color="auto"/>
        <w:bottom w:val="none" w:sz="0" w:space="0" w:color="auto"/>
        <w:right w:val="none" w:sz="0" w:space="0" w:color="auto"/>
      </w:divBdr>
    </w:div>
    <w:div w:id="88433242">
      <w:bodyDiv w:val="1"/>
      <w:marLeft w:val="0"/>
      <w:marRight w:val="0"/>
      <w:marTop w:val="0"/>
      <w:marBottom w:val="0"/>
      <w:divBdr>
        <w:top w:val="none" w:sz="0" w:space="0" w:color="auto"/>
        <w:left w:val="none" w:sz="0" w:space="0" w:color="auto"/>
        <w:bottom w:val="none" w:sz="0" w:space="0" w:color="auto"/>
        <w:right w:val="none" w:sz="0" w:space="0" w:color="auto"/>
      </w:divBdr>
    </w:div>
    <w:div w:id="141241501">
      <w:bodyDiv w:val="1"/>
      <w:marLeft w:val="0"/>
      <w:marRight w:val="0"/>
      <w:marTop w:val="0"/>
      <w:marBottom w:val="0"/>
      <w:divBdr>
        <w:top w:val="none" w:sz="0" w:space="0" w:color="auto"/>
        <w:left w:val="none" w:sz="0" w:space="0" w:color="auto"/>
        <w:bottom w:val="none" w:sz="0" w:space="0" w:color="auto"/>
        <w:right w:val="none" w:sz="0" w:space="0" w:color="auto"/>
      </w:divBdr>
    </w:div>
    <w:div w:id="141969062">
      <w:bodyDiv w:val="1"/>
      <w:marLeft w:val="0"/>
      <w:marRight w:val="0"/>
      <w:marTop w:val="0"/>
      <w:marBottom w:val="0"/>
      <w:divBdr>
        <w:top w:val="none" w:sz="0" w:space="0" w:color="auto"/>
        <w:left w:val="none" w:sz="0" w:space="0" w:color="auto"/>
        <w:bottom w:val="none" w:sz="0" w:space="0" w:color="auto"/>
        <w:right w:val="none" w:sz="0" w:space="0" w:color="auto"/>
      </w:divBdr>
    </w:div>
    <w:div w:id="176579729">
      <w:bodyDiv w:val="1"/>
      <w:marLeft w:val="0"/>
      <w:marRight w:val="0"/>
      <w:marTop w:val="0"/>
      <w:marBottom w:val="0"/>
      <w:divBdr>
        <w:top w:val="none" w:sz="0" w:space="0" w:color="auto"/>
        <w:left w:val="none" w:sz="0" w:space="0" w:color="auto"/>
        <w:bottom w:val="none" w:sz="0" w:space="0" w:color="auto"/>
        <w:right w:val="none" w:sz="0" w:space="0" w:color="auto"/>
      </w:divBdr>
    </w:div>
    <w:div w:id="196625626">
      <w:bodyDiv w:val="1"/>
      <w:marLeft w:val="0"/>
      <w:marRight w:val="0"/>
      <w:marTop w:val="0"/>
      <w:marBottom w:val="0"/>
      <w:divBdr>
        <w:top w:val="none" w:sz="0" w:space="0" w:color="auto"/>
        <w:left w:val="none" w:sz="0" w:space="0" w:color="auto"/>
        <w:bottom w:val="none" w:sz="0" w:space="0" w:color="auto"/>
        <w:right w:val="none" w:sz="0" w:space="0" w:color="auto"/>
      </w:divBdr>
    </w:div>
    <w:div w:id="197815827">
      <w:bodyDiv w:val="1"/>
      <w:marLeft w:val="0"/>
      <w:marRight w:val="0"/>
      <w:marTop w:val="0"/>
      <w:marBottom w:val="0"/>
      <w:divBdr>
        <w:top w:val="none" w:sz="0" w:space="0" w:color="auto"/>
        <w:left w:val="none" w:sz="0" w:space="0" w:color="auto"/>
        <w:bottom w:val="none" w:sz="0" w:space="0" w:color="auto"/>
        <w:right w:val="none" w:sz="0" w:space="0" w:color="auto"/>
      </w:divBdr>
      <w:divsChild>
        <w:div w:id="1193807023">
          <w:marLeft w:val="0"/>
          <w:marRight w:val="0"/>
          <w:marTop w:val="0"/>
          <w:marBottom w:val="0"/>
          <w:divBdr>
            <w:top w:val="none" w:sz="0" w:space="0" w:color="auto"/>
            <w:left w:val="none" w:sz="0" w:space="0" w:color="auto"/>
            <w:bottom w:val="none" w:sz="0" w:space="0" w:color="auto"/>
            <w:right w:val="none" w:sz="0" w:space="0" w:color="auto"/>
          </w:divBdr>
          <w:divsChild>
            <w:div w:id="194394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784542">
      <w:bodyDiv w:val="1"/>
      <w:marLeft w:val="0"/>
      <w:marRight w:val="0"/>
      <w:marTop w:val="0"/>
      <w:marBottom w:val="0"/>
      <w:divBdr>
        <w:top w:val="none" w:sz="0" w:space="0" w:color="auto"/>
        <w:left w:val="none" w:sz="0" w:space="0" w:color="auto"/>
        <w:bottom w:val="none" w:sz="0" w:space="0" w:color="auto"/>
        <w:right w:val="none" w:sz="0" w:space="0" w:color="auto"/>
      </w:divBdr>
    </w:div>
    <w:div w:id="250356032">
      <w:bodyDiv w:val="1"/>
      <w:marLeft w:val="0"/>
      <w:marRight w:val="0"/>
      <w:marTop w:val="0"/>
      <w:marBottom w:val="0"/>
      <w:divBdr>
        <w:top w:val="none" w:sz="0" w:space="0" w:color="auto"/>
        <w:left w:val="none" w:sz="0" w:space="0" w:color="auto"/>
        <w:bottom w:val="none" w:sz="0" w:space="0" w:color="auto"/>
        <w:right w:val="none" w:sz="0" w:space="0" w:color="auto"/>
      </w:divBdr>
    </w:div>
    <w:div w:id="251428160">
      <w:bodyDiv w:val="1"/>
      <w:marLeft w:val="0"/>
      <w:marRight w:val="0"/>
      <w:marTop w:val="0"/>
      <w:marBottom w:val="0"/>
      <w:divBdr>
        <w:top w:val="none" w:sz="0" w:space="0" w:color="auto"/>
        <w:left w:val="none" w:sz="0" w:space="0" w:color="auto"/>
        <w:bottom w:val="none" w:sz="0" w:space="0" w:color="auto"/>
        <w:right w:val="none" w:sz="0" w:space="0" w:color="auto"/>
      </w:divBdr>
    </w:div>
    <w:div w:id="263922784">
      <w:bodyDiv w:val="1"/>
      <w:marLeft w:val="0"/>
      <w:marRight w:val="0"/>
      <w:marTop w:val="0"/>
      <w:marBottom w:val="0"/>
      <w:divBdr>
        <w:top w:val="none" w:sz="0" w:space="0" w:color="auto"/>
        <w:left w:val="none" w:sz="0" w:space="0" w:color="auto"/>
        <w:bottom w:val="none" w:sz="0" w:space="0" w:color="auto"/>
        <w:right w:val="none" w:sz="0" w:space="0" w:color="auto"/>
      </w:divBdr>
    </w:div>
    <w:div w:id="265816904">
      <w:bodyDiv w:val="1"/>
      <w:marLeft w:val="0"/>
      <w:marRight w:val="0"/>
      <w:marTop w:val="0"/>
      <w:marBottom w:val="0"/>
      <w:divBdr>
        <w:top w:val="none" w:sz="0" w:space="0" w:color="auto"/>
        <w:left w:val="none" w:sz="0" w:space="0" w:color="auto"/>
        <w:bottom w:val="none" w:sz="0" w:space="0" w:color="auto"/>
        <w:right w:val="none" w:sz="0" w:space="0" w:color="auto"/>
      </w:divBdr>
    </w:div>
    <w:div w:id="558975315">
      <w:bodyDiv w:val="1"/>
      <w:marLeft w:val="0"/>
      <w:marRight w:val="0"/>
      <w:marTop w:val="0"/>
      <w:marBottom w:val="0"/>
      <w:divBdr>
        <w:top w:val="none" w:sz="0" w:space="0" w:color="auto"/>
        <w:left w:val="none" w:sz="0" w:space="0" w:color="auto"/>
        <w:bottom w:val="none" w:sz="0" w:space="0" w:color="auto"/>
        <w:right w:val="none" w:sz="0" w:space="0" w:color="auto"/>
      </w:divBdr>
      <w:divsChild>
        <w:div w:id="1026371755">
          <w:marLeft w:val="0"/>
          <w:marRight w:val="0"/>
          <w:marTop w:val="0"/>
          <w:marBottom w:val="0"/>
          <w:divBdr>
            <w:top w:val="none" w:sz="0" w:space="0" w:color="auto"/>
            <w:left w:val="none" w:sz="0" w:space="0" w:color="auto"/>
            <w:bottom w:val="none" w:sz="0" w:space="0" w:color="auto"/>
            <w:right w:val="none" w:sz="0" w:space="0" w:color="auto"/>
          </w:divBdr>
          <w:divsChild>
            <w:div w:id="115941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720635">
      <w:bodyDiv w:val="1"/>
      <w:marLeft w:val="0"/>
      <w:marRight w:val="0"/>
      <w:marTop w:val="0"/>
      <w:marBottom w:val="0"/>
      <w:divBdr>
        <w:top w:val="none" w:sz="0" w:space="0" w:color="auto"/>
        <w:left w:val="none" w:sz="0" w:space="0" w:color="auto"/>
        <w:bottom w:val="none" w:sz="0" w:space="0" w:color="auto"/>
        <w:right w:val="none" w:sz="0" w:space="0" w:color="auto"/>
      </w:divBdr>
    </w:div>
    <w:div w:id="587353775">
      <w:bodyDiv w:val="1"/>
      <w:marLeft w:val="0"/>
      <w:marRight w:val="0"/>
      <w:marTop w:val="0"/>
      <w:marBottom w:val="0"/>
      <w:divBdr>
        <w:top w:val="none" w:sz="0" w:space="0" w:color="auto"/>
        <w:left w:val="none" w:sz="0" w:space="0" w:color="auto"/>
        <w:bottom w:val="none" w:sz="0" w:space="0" w:color="auto"/>
        <w:right w:val="none" w:sz="0" w:space="0" w:color="auto"/>
      </w:divBdr>
    </w:div>
    <w:div w:id="615715110">
      <w:bodyDiv w:val="1"/>
      <w:marLeft w:val="0"/>
      <w:marRight w:val="0"/>
      <w:marTop w:val="0"/>
      <w:marBottom w:val="0"/>
      <w:divBdr>
        <w:top w:val="none" w:sz="0" w:space="0" w:color="auto"/>
        <w:left w:val="none" w:sz="0" w:space="0" w:color="auto"/>
        <w:bottom w:val="none" w:sz="0" w:space="0" w:color="auto"/>
        <w:right w:val="none" w:sz="0" w:space="0" w:color="auto"/>
      </w:divBdr>
    </w:div>
    <w:div w:id="621545904">
      <w:bodyDiv w:val="1"/>
      <w:marLeft w:val="0"/>
      <w:marRight w:val="0"/>
      <w:marTop w:val="0"/>
      <w:marBottom w:val="0"/>
      <w:divBdr>
        <w:top w:val="none" w:sz="0" w:space="0" w:color="auto"/>
        <w:left w:val="none" w:sz="0" w:space="0" w:color="auto"/>
        <w:bottom w:val="none" w:sz="0" w:space="0" w:color="auto"/>
        <w:right w:val="none" w:sz="0" w:space="0" w:color="auto"/>
      </w:divBdr>
    </w:div>
    <w:div w:id="623274445">
      <w:bodyDiv w:val="1"/>
      <w:marLeft w:val="0"/>
      <w:marRight w:val="0"/>
      <w:marTop w:val="0"/>
      <w:marBottom w:val="0"/>
      <w:divBdr>
        <w:top w:val="none" w:sz="0" w:space="0" w:color="auto"/>
        <w:left w:val="none" w:sz="0" w:space="0" w:color="auto"/>
        <w:bottom w:val="none" w:sz="0" w:space="0" w:color="auto"/>
        <w:right w:val="none" w:sz="0" w:space="0" w:color="auto"/>
      </w:divBdr>
    </w:div>
    <w:div w:id="710034907">
      <w:bodyDiv w:val="1"/>
      <w:marLeft w:val="0"/>
      <w:marRight w:val="0"/>
      <w:marTop w:val="0"/>
      <w:marBottom w:val="0"/>
      <w:divBdr>
        <w:top w:val="none" w:sz="0" w:space="0" w:color="auto"/>
        <w:left w:val="none" w:sz="0" w:space="0" w:color="auto"/>
        <w:bottom w:val="none" w:sz="0" w:space="0" w:color="auto"/>
        <w:right w:val="none" w:sz="0" w:space="0" w:color="auto"/>
      </w:divBdr>
    </w:div>
    <w:div w:id="728529075">
      <w:bodyDiv w:val="1"/>
      <w:marLeft w:val="0"/>
      <w:marRight w:val="0"/>
      <w:marTop w:val="0"/>
      <w:marBottom w:val="0"/>
      <w:divBdr>
        <w:top w:val="none" w:sz="0" w:space="0" w:color="auto"/>
        <w:left w:val="none" w:sz="0" w:space="0" w:color="auto"/>
        <w:bottom w:val="none" w:sz="0" w:space="0" w:color="auto"/>
        <w:right w:val="none" w:sz="0" w:space="0" w:color="auto"/>
      </w:divBdr>
    </w:div>
    <w:div w:id="748427225">
      <w:bodyDiv w:val="1"/>
      <w:marLeft w:val="0"/>
      <w:marRight w:val="0"/>
      <w:marTop w:val="0"/>
      <w:marBottom w:val="0"/>
      <w:divBdr>
        <w:top w:val="none" w:sz="0" w:space="0" w:color="auto"/>
        <w:left w:val="none" w:sz="0" w:space="0" w:color="auto"/>
        <w:bottom w:val="none" w:sz="0" w:space="0" w:color="auto"/>
        <w:right w:val="none" w:sz="0" w:space="0" w:color="auto"/>
      </w:divBdr>
    </w:div>
    <w:div w:id="778570386">
      <w:bodyDiv w:val="1"/>
      <w:marLeft w:val="0"/>
      <w:marRight w:val="0"/>
      <w:marTop w:val="0"/>
      <w:marBottom w:val="0"/>
      <w:divBdr>
        <w:top w:val="none" w:sz="0" w:space="0" w:color="auto"/>
        <w:left w:val="none" w:sz="0" w:space="0" w:color="auto"/>
        <w:bottom w:val="none" w:sz="0" w:space="0" w:color="auto"/>
        <w:right w:val="none" w:sz="0" w:space="0" w:color="auto"/>
      </w:divBdr>
    </w:div>
    <w:div w:id="910848611">
      <w:bodyDiv w:val="1"/>
      <w:marLeft w:val="0"/>
      <w:marRight w:val="0"/>
      <w:marTop w:val="0"/>
      <w:marBottom w:val="0"/>
      <w:divBdr>
        <w:top w:val="none" w:sz="0" w:space="0" w:color="auto"/>
        <w:left w:val="none" w:sz="0" w:space="0" w:color="auto"/>
        <w:bottom w:val="none" w:sz="0" w:space="0" w:color="auto"/>
        <w:right w:val="none" w:sz="0" w:space="0" w:color="auto"/>
      </w:divBdr>
    </w:div>
    <w:div w:id="913511559">
      <w:bodyDiv w:val="1"/>
      <w:marLeft w:val="0"/>
      <w:marRight w:val="0"/>
      <w:marTop w:val="0"/>
      <w:marBottom w:val="0"/>
      <w:divBdr>
        <w:top w:val="none" w:sz="0" w:space="0" w:color="auto"/>
        <w:left w:val="none" w:sz="0" w:space="0" w:color="auto"/>
        <w:bottom w:val="none" w:sz="0" w:space="0" w:color="auto"/>
        <w:right w:val="none" w:sz="0" w:space="0" w:color="auto"/>
      </w:divBdr>
    </w:div>
    <w:div w:id="1002583963">
      <w:bodyDiv w:val="1"/>
      <w:marLeft w:val="0"/>
      <w:marRight w:val="0"/>
      <w:marTop w:val="0"/>
      <w:marBottom w:val="0"/>
      <w:divBdr>
        <w:top w:val="none" w:sz="0" w:space="0" w:color="auto"/>
        <w:left w:val="none" w:sz="0" w:space="0" w:color="auto"/>
        <w:bottom w:val="none" w:sz="0" w:space="0" w:color="auto"/>
        <w:right w:val="none" w:sz="0" w:space="0" w:color="auto"/>
      </w:divBdr>
    </w:div>
    <w:div w:id="1031804800">
      <w:bodyDiv w:val="1"/>
      <w:marLeft w:val="0"/>
      <w:marRight w:val="0"/>
      <w:marTop w:val="0"/>
      <w:marBottom w:val="0"/>
      <w:divBdr>
        <w:top w:val="none" w:sz="0" w:space="0" w:color="auto"/>
        <w:left w:val="none" w:sz="0" w:space="0" w:color="auto"/>
        <w:bottom w:val="none" w:sz="0" w:space="0" w:color="auto"/>
        <w:right w:val="none" w:sz="0" w:space="0" w:color="auto"/>
      </w:divBdr>
    </w:div>
    <w:div w:id="1150289854">
      <w:bodyDiv w:val="1"/>
      <w:marLeft w:val="0"/>
      <w:marRight w:val="0"/>
      <w:marTop w:val="0"/>
      <w:marBottom w:val="0"/>
      <w:divBdr>
        <w:top w:val="none" w:sz="0" w:space="0" w:color="auto"/>
        <w:left w:val="none" w:sz="0" w:space="0" w:color="auto"/>
        <w:bottom w:val="none" w:sz="0" w:space="0" w:color="auto"/>
        <w:right w:val="none" w:sz="0" w:space="0" w:color="auto"/>
      </w:divBdr>
    </w:div>
    <w:div w:id="1160387302">
      <w:bodyDiv w:val="1"/>
      <w:marLeft w:val="0"/>
      <w:marRight w:val="0"/>
      <w:marTop w:val="0"/>
      <w:marBottom w:val="0"/>
      <w:divBdr>
        <w:top w:val="none" w:sz="0" w:space="0" w:color="auto"/>
        <w:left w:val="none" w:sz="0" w:space="0" w:color="auto"/>
        <w:bottom w:val="none" w:sz="0" w:space="0" w:color="auto"/>
        <w:right w:val="none" w:sz="0" w:space="0" w:color="auto"/>
      </w:divBdr>
      <w:divsChild>
        <w:div w:id="1563903213">
          <w:marLeft w:val="0"/>
          <w:marRight w:val="0"/>
          <w:marTop w:val="0"/>
          <w:marBottom w:val="0"/>
          <w:divBdr>
            <w:top w:val="none" w:sz="0" w:space="0" w:color="auto"/>
            <w:left w:val="none" w:sz="0" w:space="0" w:color="auto"/>
            <w:bottom w:val="none" w:sz="0" w:space="0" w:color="auto"/>
            <w:right w:val="none" w:sz="0" w:space="0" w:color="auto"/>
          </w:divBdr>
          <w:divsChild>
            <w:div w:id="83626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843379">
      <w:bodyDiv w:val="1"/>
      <w:marLeft w:val="0"/>
      <w:marRight w:val="0"/>
      <w:marTop w:val="0"/>
      <w:marBottom w:val="0"/>
      <w:divBdr>
        <w:top w:val="none" w:sz="0" w:space="0" w:color="auto"/>
        <w:left w:val="none" w:sz="0" w:space="0" w:color="auto"/>
        <w:bottom w:val="none" w:sz="0" w:space="0" w:color="auto"/>
        <w:right w:val="none" w:sz="0" w:space="0" w:color="auto"/>
      </w:divBdr>
    </w:div>
    <w:div w:id="1357348654">
      <w:bodyDiv w:val="1"/>
      <w:marLeft w:val="0"/>
      <w:marRight w:val="0"/>
      <w:marTop w:val="0"/>
      <w:marBottom w:val="0"/>
      <w:divBdr>
        <w:top w:val="none" w:sz="0" w:space="0" w:color="auto"/>
        <w:left w:val="none" w:sz="0" w:space="0" w:color="auto"/>
        <w:bottom w:val="none" w:sz="0" w:space="0" w:color="auto"/>
        <w:right w:val="none" w:sz="0" w:space="0" w:color="auto"/>
      </w:divBdr>
    </w:div>
    <w:div w:id="1402828235">
      <w:bodyDiv w:val="1"/>
      <w:marLeft w:val="0"/>
      <w:marRight w:val="0"/>
      <w:marTop w:val="0"/>
      <w:marBottom w:val="0"/>
      <w:divBdr>
        <w:top w:val="none" w:sz="0" w:space="0" w:color="auto"/>
        <w:left w:val="none" w:sz="0" w:space="0" w:color="auto"/>
        <w:bottom w:val="none" w:sz="0" w:space="0" w:color="auto"/>
        <w:right w:val="none" w:sz="0" w:space="0" w:color="auto"/>
      </w:divBdr>
      <w:divsChild>
        <w:div w:id="178737322">
          <w:marLeft w:val="0"/>
          <w:marRight w:val="0"/>
          <w:marTop w:val="0"/>
          <w:marBottom w:val="0"/>
          <w:divBdr>
            <w:top w:val="none" w:sz="0" w:space="0" w:color="auto"/>
            <w:left w:val="none" w:sz="0" w:space="0" w:color="auto"/>
            <w:bottom w:val="none" w:sz="0" w:space="0" w:color="auto"/>
            <w:right w:val="none" w:sz="0" w:space="0" w:color="auto"/>
          </w:divBdr>
          <w:divsChild>
            <w:div w:id="65380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765983">
      <w:bodyDiv w:val="1"/>
      <w:marLeft w:val="0"/>
      <w:marRight w:val="0"/>
      <w:marTop w:val="0"/>
      <w:marBottom w:val="0"/>
      <w:divBdr>
        <w:top w:val="none" w:sz="0" w:space="0" w:color="auto"/>
        <w:left w:val="none" w:sz="0" w:space="0" w:color="auto"/>
        <w:bottom w:val="none" w:sz="0" w:space="0" w:color="auto"/>
        <w:right w:val="none" w:sz="0" w:space="0" w:color="auto"/>
      </w:divBdr>
    </w:div>
    <w:div w:id="1478185160">
      <w:bodyDiv w:val="1"/>
      <w:marLeft w:val="0"/>
      <w:marRight w:val="0"/>
      <w:marTop w:val="0"/>
      <w:marBottom w:val="0"/>
      <w:divBdr>
        <w:top w:val="none" w:sz="0" w:space="0" w:color="auto"/>
        <w:left w:val="none" w:sz="0" w:space="0" w:color="auto"/>
        <w:bottom w:val="none" w:sz="0" w:space="0" w:color="auto"/>
        <w:right w:val="none" w:sz="0" w:space="0" w:color="auto"/>
      </w:divBdr>
    </w:div>
    <w:div w:id="1510488834">
      <w:bodyDiv w:val="1"/>
      <w:marLeft w:val="0"/>
      <w:marRight w:val="0"/>
      <w:marTop w:val="0"/>
      <w:marBottom w:val="0"/>
      <w:divBdr>
        <w:top w:val="none" w:sz="0" w:space="0" w:color="auto"/>
        <w:left w:val="none" w:sz="0" w:space="0" w:color="auto"/>
        <w:bottom w:val="none" w:sz="0" w:space="0" w:color="auto"/>
        <w:right w:val="none" w:sz="0" w:space="0" w:color="auto"/>
      </w:divBdr>
    </w:div>
    <w:div w:id="1548684622">
      <w:bodyDiv w:val="1"/>
      <w:marLeft w:val="0"/>
      <w:marRight w:val="0"/>
      <w:marTop w:val="0"/>
      <w:marBottom w:val="0"/>
      <w:divBdr>
        <w:top w:val="none" w:sz="0" w:space="0" w:color="auto"/>
        <w:left w:val="none" w:sz="0" w:space="0" w:color="auto"/>
        <w:bottom w:val="none" w:sz="0" w:space="0" w:color="auto"/>
        <w:right w:val="none" w:sz="0" w:space="0" w:color="auto"/>
      </w:divBdr>
    </w:div>
    <w:div w:id="1551260601">
      <w:bodyDiv w:val="1"/>
      <w:marLeft w:val="0"/>
      <w:marRight w:val="0"/>
      <w:marTop w:val="0"/>
      <w:marBottom w:val="0"/>
      <w:divBdr>
        <w:top w:val="none" w:sz="0" w:space="0" w:color="auto"/>
        <w:left w:val="none" w:sz="0" w:space="0" w:color="auto"/>
        <w:bottom w:val="none" w:sz="0" w:space="0" w:color="auto"/>
        <w:right w:val="none" w:sz="0" w:space="0" w:color="auto"/>
      </w:divBdr>
    </w:div>
    <w:div w:id="1604222085">
      <w:bodyDiv w:val="1"/>
      <w:marLeft w:val="0"/>
      <w:marRight w:val="0"/>
      <w:marTop w:val="0"/>
      <w:marBottom w:val="0"/>
      <w:divBdr>
        <w:top w:val="none" w:sz="0" w:space="0" w:color="auto"/>
        <w:left w:val="none" w:sz="0" w:space="0" w:color="auto"/>
        <w:bottom w:val="none" w:sz="0" w:space="0" w:color="auto"/>
        <w:right w:val="none" w:sz="0" w:space="0" w:color="auto"/>
      </w:divBdr>
    </w:div>
    <w:div w:id="1608078691">
      <w:bodyDiv w:val="1"/>
      <w:marLeft w:val="0"/>
      <w:marRight w:val="0"/>
      <w:marTop w:val="0"/>
      <w:marBottom w:val="0"/>
      <w:divBdr>
        <w:top w:val="none" w:sz="0" w:space="0" w:color="auto"/>
        <w:left w:val="none" w:sz="0" w:space="0" w:color="auto"/>
        <w:bottom w:val="none" w:sz="0" w:space="0" w:color="auto"/>
        <w:right w:val="none" w:sz="0" w:space="0" w:color="auto"/>
      </w:divBdr>
    </w:div>
    <w:div w:id="1650399628">
      <w:bodyDiv w:val="1"/>
      <w:marLeft w:val="0"/>
      <w:marRight w:val="0"/>
      <w:marTop w:val="0"/>
      <w:marBottom w:val="0"/>
      <w:divBdr>
        <w:top w:val="none" w:sz="0" w:space="0" w:color="auto"/>
        <w:left w:val="none" w:sz="0" w:space="0" w:color="auto"/>
        <w:bottom w:val="none" w:sz="0" w:space="0" w:color="auto"/>
        <w:right w:val="none" w:sz="0" w:space="0" w:color="auto"/>
      </w:divBdr>
    </w:div>
    <w:div w:id="1666087679">
      <w:bodyDiv w:val="1"/>
      <w:marLeft w:val="0"/>
      <w:marRight w:val="0"/>
      <w:marTop w:val="0"/>
      <w:marBottom w:val="0"/>
      <w:divBdr>
        <w:top w:val="none" w:sz="0" w:space="0" w:color="auto"/>
        <w:left w:val="none" w:sz="0" w:space="0" w:color="auto"/>
        <w:bottom w:val="none" w:sz="0" w:space="0" w:color="auto"/>
        <w:right w:val="none" w:sz="0" w:space="0" w:color="auto"/>
      </w:divBdr>
    </w:div>
    <w:div w:id="1772508292">
      <w:bodyDiv w:val="1"/>
      <w:marLeft w:val="0"/>
      <w:marRight w:val="0"/>
      <w:marTop w:val="0"/>
      <w:marBottom w:val="0"/>
      <w:divBdr>
        <w:top w:val="none" w:sz="0" w:space="0" w:color="auto"/>
        <w:left w:val="none" w:sz="0" w:space="0" w:color="auto"/>
        <w:bottom w:val="none" w:sz="0" w:space="0" w:color="auto"/>
        <w:right w:val="none" w:sz="0" w:space="0" w:color="auto"/>
      </w:divBdr>
    </w:div>
    <w:div w:id="1805538822">
      <w:bodyDiv w:val="1"/>
      <w:marLeft w:val="0"/>
      <w:marRight w:val="0"/>
      <w:marTop w:val="0"/>
      <w:marBottom w:val="0"/>
      <w:divBdr>
        <w:top w:val="none" w:sz="0" w:space="0" w:color="auto"/>
        <w:left w:val="none" w:sz="0" w:space="0" w:color="auto"/>
        <w:bottom w:val="none" w:sz="0" w:space="0" w:color="auto"/>
        <w:right w:val="none" w:sz="0" w:space="0" w:color="auto"/>
      </w:divBdr>
    </w:div>
    <w:div w:id="1809594101">
      <w:bodyDiv w:val="1"/>
      <w:marLeft w:val="0"/>
      <w:marRight w:val="0"/>
      <w:marTop w:val="0"/>
      <w:marBottom w:val="0"/>
      <w:divBdr>
        <w:top w:val="none" w:sz="0" w:space="0" w:color="auto"/>
        <w:left w:val="none" w:sz="0" w:space="0" w:color="auto"/>
        <w:bottom w:val="none" w:sz="0" w:space="0" w:color="auto"/>
        <w:right w:val="none" w:sz="0" w:space="0" w:color="auto"/>
      </w:divBdr>
    </w:div>
    <w:div w:id="1892156377">
      <w:bodyDiv w:val="1"/>
      <w:marLeft w:val="0"/>
      <w:marRight w:val="0"/>
      <w:marTop w:val="0"/>
      <w:marBottom w:val="0"/>
      <w:divBdr>
        <w:top w:val="none" w:sz="0" w:space="0" w:color="auto"/>
        <w:left w:val="none" w:sz="0" w:space="0" w:color="auto"/>
        <w:bottom w:val="none" w:sz="0" w:space="0" w:color="auto"/>
        <w:right w:val="none" w:sz="0" w:space="0" w:color="auto"/>
      </w:divBdr>
    </w:div>
    <w:div w:id="1900050138">
      <w:bodyDiv w:val="1"/>
      <w:marLeft w:val="0"/>
      <w:marRight w:val="0"/>
      <w:marTop w:val="0"/>
      <w:marBottom w:val="0"/>
      <w:divBdr>
        <w:top w:val="none" w:sz="0" w:space="0" w:color="auto"/>
        <w:left w:val="none" w:sz="0" w:space="0" w:color="auto"/>
        <w:bottom w:val="none" w:sz="0" w:space="0" w:color="auto"/>
        <w:right w:val="none" w:sz="0" w:space="0" w:color="auto"/>
      </w:divBdr>
    </w:div>
    <w:div w:id="1982995228">
      <w:bodyDiv w:val="1"/>
      <w:marLeft w:val="0"/>
      <w:marRight w:val="0"/>
      <w:marTop w:val="0"/>
      <w:marBottom w:val="0"/>
      <w:divBdr>
        <w:top w:val="none" w:sz="0" w:space="0" w:color="auto"/>
        <w:left w:val="none" w:sz="0" w:space="0" w:color="auto"/>
        <w:bottom w:val="none" w:sz="0" w:space="0" w:color="auto"/>
        <w:right w:val="none" w:sz="0" w:space="0" w:color="auto"/>
      </w:divBdr>
    </w:div>
    <w:div w:id="2005932149">
      <w:bodyDiv w:val="1"/>
      <w:marLeft w:val="0"/>
      <w:marRight w:val="0"/>
      <w:marTop w:val="0"/>
      <w:marBottom w:val="0"/>
      <w:divBdr>
        <w:top w:val="none" w:sz="0" w:space="0" w:color="auto"/>
        <w:left w:val="none" w:sz="0" w:space="0" w:color="auto"/>
        <w:bottom w:val="none" w:sz="0" w:space="0" w:color="auto"/>
        <w:right w:val="none" w:sz="0" w:space="0" w:color="auto"/>
      </w:divBdr>
    </w:div>
    <w:div w:id="2024671284">
      <w:bodyDiv w:val="1"/>
      <w:marLeft w:val="0"/>
      <w:marRight w:val="0"/>
      <w:marTop w:val="0"/>
      <w:marBottom w:val="0"/>
      <w:divBdr>
        <w:top w:val="none" w:sz="0" w:space="0" w:color="auto"/>
        <w:left w:val="none" w:sz="0" w:space="0" w:color="auto"/>
        <w:bottom w:val="none" w:sz="0" w:space="0" w:color="auto"/>
        <w:right w:val="none" w:sz="0" w:space="0" w:color="auto"/>
      </w:divBdr>
    </w:div>
    <w:div w:id="2105763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4.emf"/></Relationships>
</file>

<file path=word/charts/_rels/chart1.xml.rels><?xml version="1.0" encoding="UTF-8" standalone="yes"?>
<Relationships xmlns="http://schemas.openxmlformats.org/package/2006/relationships"><Relationship Id="rId3" Type="http://schemas.openxmlformats.org/officeDocument/2006/relationships/oleObject" Target="file:///E:\UK\UK%20study%20-20250513T073757Z-001\UWTSD-MBA-2506578\Financial%20Management\All%20Calcula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UK\UK%20study%20-20250513T073757Z-001\UWTSD-MBA-2506578\Financial%20Management\All%20Calculation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UK\UK%20study%20-20250513T073757Z-001\UWTSD-MBA-2506578\Financial%20Management\All%20Calculation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Profitability Ratio</a:t>
            </a:r>
            <a:endParaRPr lang="en-US"/>
          </a:p>
        </c:rich>
      </c:tx>
      <c:layout>
        <c:manualLayout>
          <c:xMode val="edge"/>
          <c:yMode val="edge"/>
          <c:x val="0.3088055555555555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FR!$A$10</c:f>
              <c:strCache>
                <c:ptCount val="1"/>
                <c:pt idx="0">
                  <c:v>Gross Profit Margin</c:v>
                </c:pt>
              </c:strCache>
            </c:strRef>
          </c:tx>
          <c:spPr>
            <a:ln w="28575" cap="rnd">
              <a:solidFill>
                <a:schemeClr val="accent1"/>
              </a:solidFill>
              <a:round/>
            </a:ln>
            <a:effectLst/>
          </c:spPr>
          <c:marker>
            <c:symbol val="none"/>
          </c:marker>
          <c:cat>
            <c:numRef>
              <c:f>FR!$B$3:$F$3</c:f>
              <c:numCache>
                <c:formatCode>General</c:formatCode>
                <c:ptCount val="5"/>
                <c:pt idx="0">
                  <c:v>2020</c:v>
                </c:pt>
                <c:pt idx="1">
                  <c:v>2021</c:v>
                </c:pt>
                <c:pt idx="2">
                  <c:v>2022</c:v>
                </c:pt>
                <c:pt idx="3">
                  <c:v>2023</c:v>
                </c:pt>
                <c:pt idx="4">
                  <c:v>2024</c:v>
                </c:pt>
              </c:numCache>
            </c:numRef>
          </c:cat>
          <c:val>
            <c:numRef>
              <c:f>FR!$B$10:$F$10</c:f>
              <c:numCache>
                <c:formatCode>0%</c:formatCode>
                <c:ptCount val="5"/>
                <c:pt idx="0">
                  <c:v>0.28674432224897506</c:v>
                </c:pt>
                <c:pt idx="1">
                  <c:v>0.28759212901552855</c:v>
                </c:pt>
                <c:pt idx="2">
                  <c:v>0.28059275800505207</c:v>
                </c:pt>
                <c:pt idx="3">
                  <c:v>0.23203324002216635</c:v>
                </c:pt>
                <c:pt idx="4">
                  <c:v>0.28868083640811487</c:v>
                </c:pt>
              </c:numCache>
            </c:numRef>
          </c:val>
          <c:smooth val="0"/>
          <c:extLst>
            <c:ext xmlns:c16="http://schemas.microsoft.com/office/drawing/2014/chart" uri="{C3380CC4-5D6E-409C-BE32-E72D297353CC}">
              <c16:uniqueId val="{00000000-B6C1-4D00-8EF1-6CB8D2A8DD24}"/>
            </c:ext>
          </c:extLst>
        </c:ser>
        <c:ser>
          <c:idx val="1"/>
          <c:order val="1"/>
          <c:tx>
            <c:strRef>
              <c:f>FR!$A$11</c:f>
              <c:strCache>
                <c:ptCount val="1"/>
                <c:pt idx="0">
                  <c:v>Operating Profit Margin</c:v>
                </c:pt>
              </c:strCache>
            </c:strRef>
          </c:tx>
          <c:spPr>
            <a:ln w="28575" cap="rnd">
              <a:solidFill>
                <a:schemeClr val="accent2"/>
              </a:solidFill>
              <a:round/>
            </a:ln>
            <a:effectLst/>
          </c:spPr>
          <c:marker>
            <c:symbol val="none"/>
          </c:marker>
          <c:cat>
            <c:numRef>
              <c:f>FR!$B$3:$F$3</c:f>
              <c:numCache>
                <c:formatCode>General</c:formatCode>
                <c:ptCount val="5"/>
                <c:pt idx="0">
                  <c:v>2020</c:v>
                </c:pt>
                <c:pt idx="1">
                  <c:v>2021</c:v>
                </c:pt>
                <c:pt idx="2">
                  <c:v>2022</c:v>
                </c:pt>
                <c:pt idx="3">
                  <c:v>2023</c:v>
                </c:pt>
                <c:pt idx="4">
                  <c:v>2024</c:v>
                </c:pt>
              </c:numCache>
            </c:numRef>
          </c:cat>
          <c:val>
            <c:numRef>
              <c:f>FR!$B$11:$F$11</c:f>
              <c:numCache>
                <c:formatCode>0%</c:formatCode>
                <c:ptCount val="5"/>
                <c:pt idx="0">
                  <c:v>6.0628294397084663E-2</c:v>
                </c:pt>
                <c:pt idx="1">
                  <c:v>3.8651799694814845E-2</c:v>
                </c:pt>
                <c:pt idx="2">
                  <c:v>2.6804188292605634E-2</c:v>
                </c:pt>
                <c:pt idx="3">
                  <c:v>-0.20287686969178775</c:v>
                </c:pt>
                <c:pt idx="4">
                  <c:v>-3.8738448993235905E-2</c:v>
                </c:pt>
              </c:numCache>
            </c:numRef>
          </c:val>
          <c:smooth val="0"/>
          <c:extLst>
            <c:ext xmlns:c16="http://schemas.microsoft.com/office/drawing/2014/chart" uri="{C3380CC4-5D6E-409C-BE32-E72D297353CC}">
              <c16:uniqueId val="{00000001-B6C1-4D00-8EF1-6CB8D2A8DD24}"/>
            </c:ext>
          </c:extLst>
        </c:ser>
        <c:ser>
          <c:idx val="2"/>
          <c:order val="2"/>
          <c:tx>
            <c:strRef>
              <c:f>FR!$A$12</c:f>
              <c:strCache>
                <c:ptCount val="1"/>
                <c:pt idx="0">
                  <c:v>Net Profit Margin</c:v>
                </c:pt>
              </c:strCache>
            </c:strRef>
          </c:tx>
          <c:spPr>
            <a:ln w="28575" cap="rnd">
              <a:solidFill>
                <a:schemeClr val="accent3"/>
              </a:solidFill>
              <a:round/>
            </a:ln>
            <a:effectLst/>
          </c:spPr>
          <c:marker>
            <c:symbol val="none"/>
          </c:marker>
          <c:cat>
            <c:numRef>
              <c:f>FR!$B$3:$F$3</c:f>
              <c:numCache>
                <c:formatCode>General</c:formatCode>
                <c:ptCount val="5"/>
                <c:pt idx="0">
                  <c:v>2020</c:v>
                </c:pt>
                <c:pt idx="1">
                  <c:v>2021</c:v>
                </c:pt>
                <c:pt idx="2">
                  <c:v>2022</c:v>
                </c:pt>
                <c:pt idx="3">
                  <c:v>2023</c:v>
                </c:pt>
                <c:pt idx="4">
                  <c:v>2024</c:v>
                </c:pt>
              </c:numCache>
            </c:numRef>
          </c:cat>
          <c:val>
            <c:numRef>
              <c:f>FR!$B$12:$F$12</c:f>
              <c:numCache>
                <c:formatCode>0%</c:formatCode>
                <c:ptCount val="5"/>
                <c:pt idx="0">
                  <c:v>6.2751350296089026E-2</c:v>
                </c:pt>
                <c:pt idx="1">
                  <c:v>8.8114733661124791E-3</c:v>
                </c:pt>
                <c:pt idx="2">
                  <c:v>7.4988346405626153E-4</c:v>
                </c:pt>
                <c:pt idx="3">
                  <c:v>-0.23364577114901167</c:v>
                </c:pt>
                <c:pt idx="4">
                  <c:v>-6.0851551994408414E-2</c:v>
                </c:pt>
              </c:numCache>
            </c:numRef>
          </c:val>
          <c:smooth val="0"/>
          <c:extLst>
            <c:ext xmlns:c16="http://schemas.microsoft.com/office/drawing/2014/chart" uri="{C3380CC4-5D6E-409C-BE32-E72D297353CC}">
              <c16:uniqueId val="{00000002-B6C1-4D00-8EF1-6CB8D2A8DD24}"/>
            </c:ext>
          </c:extLst>
        </c:ser>
        <c:ser>
          <c:idx val="3"/>
          <c:order val="3"/>
          <c:tx>
            <c:strRef>
              <c:f>FR!$A$13</c:f>
              <c:strCache>
                <c:ptCount val="1"/>
                <c:pt idx="0">
                  <c:v>Return on Equity</c:v>
                </c:pt>
              </c:strCache>
            </c:strRef>
          </c:tx>
          <c:spPr>
            <a:ln w="28575" cap="rnd">
              <a:solidFill>
                <a:schemeClr val="accent4"/>
              </a:solidFill>
              <a:round/>
            </a:ln>
            <a:effectLst/>
          </c:spPr>
          <c:marker>
            <c:symbol val="none"/>
          </c:marker>
          <c:cat>
            <c:numRef>
              <c:f>FR!$B$3:$F$3</c:f>
              <c:numCache>
                <c:formatCode>General</c:formatCode>
                <c:ptCount val="5"/>
                <c:pt idx="0">
                  <c:v>2020</c:v>
                </c:pt>
                <c:pt idx="1">
                  <c:v>2021</c:v>
                </c:pt>
                <c:pt idx="2">
                  <c:v>2022</c:v>
                </c:pt>
                <c:pt idx="3">
                  <c:v>2023</c:v>
                </c:pt>
                <c:pt idx="4">
                  <c:v>2024</c:v>
                </c:pt>
              </c:numCache>
            </c:numRef>
          </c:cat>
          <c:val>
            <c:numRef>
              <c:f>FR!$B$13:$F$13</c:f>
              <c:numCache>
                <c:formatCode>0%</c:formatCode>
                <c:ptCount val="5"/>
                <c:pt idx="0">
                  <c:v>0.1231148320624575</c:v>
                </c:pt>
                <c:pt idx="1">
                  <c:v>1.9210071426241804E-2</c:v>
                </c:pt>
                <c:pt idx="2">
                  <c:v>1.5163595448685946E-3</c:v>
                </c:pt>
                <c:pt idx="3">
                  <c:v>-0.54906103286384977</c:v>
                </c:pt>
                <c:pt idx="4">
                  <c:v>-0.1569445805166389</c:v>
                </c:pt>
              </c:numCache>
            </c:numRef>
          </c:val>
          <c:smooth val="0"/>
          <c:extLst>
            <c:ext xmlns:c16="http://schemas.microsoft.com/office/drawing/2014/chart" uri="{C3380CC4-5D6E-409C-BE32-E72D297353CC}">
              <c16:uniqueId val="{00000003-B6C1-4D00-8EF1-6CB8D2A8DD24}"/>
            </c:ext>
          </c:extLst>
        </c:ser>
        <c:ser>
          <c:idx val="4"/>
          <c:order val="4"/>
          <c:tx>
            <c:strRef>
              <c:f>FR!$A$14</c:f>
              <c:strCache>
                <c:ptCount val="1"/>
                <c:pt idx="0">
                  <c:v>Return on Assets</c:v>
                </c:pt>
              </c:strCache>
            </c:strRef>
          </c:tx>
          <c:spPr>
            <a:ln w="28575" cap="rnd">
              <a:solidFill>
                <a:schemeClr val="accent5"/>
              </a:solidFill>
              <a:round/>
            </a:ln>
            <a:effectLst/>
          </c:spPr>
          <c:marker>
            <c:symbol val="none"/>
          </c:marker>
          <c:cat>
            <c:numRef>
              <c:f>FR!$B$3:$F$3</c:f>
              <c:numCache>
                <c:formatCode>General</c:formatCode>
                <c:ptCount val="5"/>
                <c:pt idx="0">
                  <c:v>2020</c:v>
                </c:pt>
                <c:pt idx="1">
                  <c:v>2021</c:v>
                </c:pt>
                <c:pt idx="2">
                  <c:v>2022</c:v>
                </c:pt>
                <c:pt idx="3">
                  <c:v>2023</c:v>
                </c:pt>
                <c:pt idx="4">
                  <c:v>2024</c:v>
                </c:pt>
              </c:numCache>
            </c:numRef>
          </c:cat>
          <c:val>
            <c:numRef>
              <c:f>FR!$B$14:$F$14</c:f>
              <c:numCache>
                <c:formatCode>0%</c:formatCode>
                <c:ptCount val="5"/>
                <c:pt idx="0">
                  <c:v>7.5588390914969925E-2</c:v>
                </c:pt>
                <c:pt idx="1">
                  <c:v>1.0387030026570106E-2</c:v>
                </c:pt>
                <c:pt idx="2">
                  <c:v>8.0727859838980649E-4</c:v>
                </c:pt>
                <c:pt idx="3">
                  <c:v>-0.27604869166441864</c:v>
                </c:pt>
                <c:pt idx="4">
                  <c:v>-7.4311745022483097E-2</c:v>
                </c:pt>
              </c:numCache>
            </c:numRef>
          </c:val>
          <c:smooth val="0"/>
          <c:extLst>
            <c:ext xmlns:c16="http://schemas.microsoft.com/office/drawing/2014/chart" uri="{C3380CC4-5D6E-409C-BE32-E72D297353CC}">
              <c16:uniqueId val="{00000004-B6C1-4D00-8EF1-6CB8D2A8DD24}"/>
            </c:ext>
          </c:extLst>
        </c:ser>
        <c:dLbls>
          <c:showLegendKey val="0"/>
          <c:showVal val="0"/>
          <c:showCatName val="0"/>
          <c:showSerName val="0"/>
          <c:showPercent val="0"/>
          <c:showBubbleSize val="0"/>
        </c:dLbls>
        <c:smooth val="0"/>
        <c:axId val="533726280"/>
        <c:axId val="533726608"/>
      </c:lineChart>
      <c:catAx>
        <c:axId val="533726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726608"/>
        <c:crosses val="autoZero"/>
        <c:auto val="1"/>
        <c:lblAlgn val="ctr"/>
        <c:lblOffset val="100"/>
        <c:noMultiLvlLbl val="0"/>
      </c:catAx>
      <c:valAx>
        <c:axId val="5337266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726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Liquidity</a:t>
            </a:r>
            <a:r>
              <a:rPr lang="en-US" baseline="0"/>
              <a:t> Ratio Analysis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2886482939632541E-2"/>
          <c:y val="0.17171296296296298"/>
          <c:w val="0.89655796150481193"/>
          <c:h val="0.61498432487605714"/>
        </c:manualLayout>
      </c:layout>
      <c:barChart>
        <c:barDir val="col"/>
        <c:grouping val="clustered"/>
        <c:varyColors val="0"/>
        <c:ser>
          <c:idx val="0"/>
          <c:order val="0"/>
          <c:tx>
            <c:strRef>
              <c:f>'Liquidity Ratio'!$A$6</c:f>
              <c:strCache>
                <c:ptCount val="1"/>
                <c:pt idx="0">
                  <c:v>Current Ratio</c:v>
                </c:pt>
              </c:strCache>
            </c:strRef>
          </c:tx>
          <c:spPr>
            <a:solidFill>
              <a:schemeClr val="accent1"/>
            </a:solidFill>
            <a:ln>
              <a:noFill/>
            </a:ln>
            <a:effectLst/>
          </c:spPr>
          <c:invertIfNegative val="0"/>
          <c:cat>
            <c:numRef>
              <c:f>'Liquidity Ratio'!$B$1:$F$1</c:f>
              <c:numCache>
                <c:formatCode>General</c:formatCode>
                <c:ptCount val="5"/>
                <c:pt idx="0">
                  <c:v>2020</c:v>
                </c:pt>
                <c:pt idx="1">
                  <c:v>2021</c:v>
                </c:pt>
                <c:pt idx="2">
                  <c:v>2022</c:v>
                </c:pt>
                <c:pt idx="3">
                  <c:v>2023</c:v>
                </c:pt>
                <c:pt idx="4">
                  <c:v>2024</c:v>
                </c:pt>
              </c:numCache>
            </c:numRef>
          </c:cat>
          <c:val>
            <c:numRef>
              <c:f>'Liquidity Ratio'!$B$6:$F$6</c:f>
              <c:numCache>
                <c:formatCode>General</c:formatCode>
                <c:ptCount val="5"/>
                <c:pt idx="0">
                  <c:v>1.8207509330956493</c:v>
                </c:pt>
                <c:pt idx="1">
                  <c:v>1.5551947303113194</c:v>
                </c:pt>
                <c:pt idx="2">
                  <c:v>1.5615804280441441</c:v>
                </c:pt>
                <c:pt idx="3">
                  <c:v>1.6062935934668752</c:v>
                </c:pt>
                <c:pt idx="4">
                  <c:v>1.5319506478574272</c:v>
                </c:pt>
              </c:numCache>
            </c:numRef>
          </c:val>
          <c:extLst>
            <c:ext xmlns:c16="http://schemas.microsoft.com/office/drawing/2014/chart" uri="{C3380CC4-5D6E-409C-BE32-E72D297353CC}">
              <c16:uniqueId val="{00000000-6486-4FD4-B99B-68572684DEBF}"/>
            </c:ext>
          </c:extLst>
        </c:ser>
        <c:ser>
          <c:idx val="1"/>
          <c:order val="1"/>
          <c:tx>
            <c:strRef>
              <c:f>'Liquidity Ratio'!$A$7</c:f>
              <c:strCache>
                <c:ptCount val="1"/>
                <c:pt idx="0">
                  <c:v>Quick Ratio</c:v>
                </c:pt>
              </c:strCache>
            </c:strRef>
          </c:tx>
          <c:spPr>
            <a:solidFill>
              <a:schemeClr val="accent2"/>
            </a:solidFill>
            <a:ln>
              <a:noFill/>
            </a:ln>
            <a:effectLst/>
          </c:spPr>
          <c:invertIfNegative val="0"/>
          <c:cat>
            <c:numRef>
              <c:f>'Liquidity Ratio'!$B$1:$F$1</c:f>
              <c:numCache>
                <c:formatCode>General</c:formatCode>
                <c:ptCount val="5"/>
                <c:pt idx="0">
                  <c:v>2020</c:v>
                </c:pt>
                <c:pt idx="1">
                  <c:v>2021</c:v>
                </c:pt>
                <c:pt idx="2">
                  <c:v>2022</c:v>
                </c:pt>
                <c:pt idx="3">
                  <c:v>2023</c:v>
                </c:pt>
                <c:pt idx="4">
                  <c:v>2024</c:v>
                </c:pt>
              </c:numCache>
            </c:numRef>
          </c:cat>
          <c:val>
            <c:numRef>
              <c:f>'Liquidity Ratio'!$B$7:$F$7</c:f>
              <c:numCache>
                <c:formatCode>General</c:formatCode>
                <c:ptCount val="5"/>
                <c:pt idx="0">
                  <c:v>1.1498690880730877</c:v>
                </c:pt>
                <c:pt idx="1">
                  <c:v>0.93491307135575474</c:v>
                </c:pt>
                <c:pt idx="2">
                  <c:v>0.9140123710578224</c:v>
                </c:pt>
                <c:pt idx="3">
                  <c:v>1.0585176359619728</c:v>
                </c:pt>
                <c:pt idx="4">
                  <c:v>1.0306271360974408</c:v>
                </c:pt>
              </c:numCache>
            </c:numRef>
          </c:val>
          <c:extLst>
            <c:ext xmlns:c16="http://schemas.microsoft.com/office/drawing/2014/chart" uri="{C3380CC4-5D6E-409C-BE32-E72D297353CC}">
              <c16:uniqueId val="{00000001-6486-4FD4-B99B-68572684DEBF}"/>
            </c:ext>
          </c:extLst>
        </c:ser>
        <c:ser>
          <c:idx val="2"/>
          <c:order val="2"/>
          <c:tx>
            <c:strRef>
              <c:f>'Liquidity Ratio'!$A$8</c:f>
              <c:strCache>
                <c:ptCount val="1"/>
                <c:pt idx="0">
                  <c:v>Cash Ratio</c:v>
                </c:pt>
              </c:strCache>
            </c:strRef>
          </c:tx>
          <c:spPr>
            <a:solidFill>
              <a:schemeClr val="accent3"/>
            </a:solidFill>
            <a:ln>
              <a:noFill/>
            </a:ln>
            <a:effectLst/>
          </c:spPr>
          <c:invertIfNegative val="0"/>
          <c:cat>
            <c:numRef>
              <c:f>'Liquidity Ratio'!$B$1:$F$1</c:f>
              <c:numCache>
                <c:formatCode>General</c:formatCode>
                <c:ptCount val="5"/>
                <c:pt idx="0">
                  <c:v>2020</c:v>
                </c:pt>
                <c:pt idx="1">
                  <c:v>2021</c:v>
                </c:pt>
                <c:pt idx="2">
                  <c:v>2022</c:v>
                </c:pt>
                <c:pt idx="3">
                  <c:v>2023</c:v>
                </c:pt>
                <c:pt idx="4">
                  <c:v>2024</c:v>
                </c:pt>
              </c:numCache>
            </c:numRef>
          </c:cat>
          <c:val>
            <c:numRef>
              <c:f>'Liquidity Ratio'!$B$8:$F$8</c:f>
              <c:numCache>
                <c:formatCode>General</c:formatCode>
                <c:ptCount val="5"/>
                <c:pt idx="0">
                  <c:v>0.31838337697064228</c:v>
                </c:pt>
                <c:pt idx="1">
                  <c:v>0.28051958835170004</c:v>
                </c:pt>
                <c:pt idx="2">
                  <c:v>0.30830634767384385</c:v>
                </c:pt>
                <c:pt idx="3">
                  <c:v>0.26529029215379651</c:v>
                </c:pt>
                <c:pt idx="4">
                  <c:v>0.16920102848551086</c:v>
                </c:pt>
              </c:numCache>
            </c:numRef>
          </c:val>
          <c:extLst>
            <c:ext xmlns:c16="http://schemas.microsoft.com/office/drawing/2014/chart" uri="{C3380CC4-5D6E-409C-BE32-E72D297353CC}">
              <c16:uniqueId val="{00000002-6486-4FD4-B99B-68572684DEBF}"/>
            </c:ext>
          </c:extLst>
        </c:ser>
        <c:dLbls>
          <c:showLegendKey val="0"/>
          <c:showVal val="0"/>
          <c:showCatName val="0"/>
          <c:showSerName val="0"/>
          <c:showPercent val="0"/>
          <c:showBubbleSize val="0"/>
        </c:dLbls>
        <c:gapWidth val="219"/>
        <c:overlap val="-27"/>
        <c:axId val="339020880"/>
        <c:axId val="339023832"/>
      </c:barChart>
      <c:catAx>
        <c:axId val="339020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023832"/>
        <c:crosses val="autoZero"/>
        <c:auto val="1"/>
        <c:lblAlgn val="ctr"/>
        <c:lblOffset val="100"/>
        <c:noMultiLvlLbl val="0"/>
      </c:catAx>
      <c:valAx>
        <c:axId val="3390238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0208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Investment</a:t>
            </a:r>
            <a:r>
              <a:rPr lang="en-US" baseline="0"/>
              <a:t> Ratio</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'Investment ratio'!$B$1</c:f>
              <c:strCache>
                <c:ptCount val="1"/>
                <c:pt idx="0">
                  <c:v>2020</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'Investment ratio'!$C$1:$F$1</c:f>
              <c:numCache>
                <c:formatCode>General</c:formatCode>
                <c:ptCount val="4"/>
                <c:pt idx="0">
                  <c:v>2021</c:v>
                </c:pt>
                <c:pt idx="1">
                  <c:v>2022</c:v>
                </c:pt>
                <c:pt idx="2">
                  <c:v>2023</c:v>
                </c:pt>
                <c:pt idx="3">
                  <c:v>2024</c:v>
                </c:pt>
              </c:numCache>
            </c:numRef>
          </c:val>
          <c:smooth val="0"/>
          <c:extLst>
            <c:ext xmlns:c16="http://schemas.microsoft.com/office/drawing/2014/chart" uri="{C3380CC4-5D6E-409C-BE32-E72D297353CC}">
              <c16:uniqueId val="{00000000-4132-44E4-9D4F-6D0C1B37CCD3}"/>
            </c:ext>
          </c:extLst>
        </c:ser>
        <c:ser>
          <c:idx val="1"/>
          <c:order val="1"/>
          <c:tx>
            <c:strRef>
              <c:f>'Investment ratio'!$A$8</c:f>
              <c:strCache>
                <c:ptCount val="1"/>
                <c:pt idx="0">
                  <c:v>Earnings per share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'Investment ratio'!$B$8:$F$8</c:f>
              <c:numCache>
                <c:formatCode>General</c:formatCode>
                <c:ptCount val="5"/>
                <c:pt idx="0" formatCode="#,##0">
                  <c:v>2.78</c:v>
                </c:pt>
                <c:pt idx="1">
                  <c:v>0.39</c:v>
                </c:pt>
                <c:pt idx="2">
                  <c:v>0.03</c:v>
                </c:pt>
                <c:pt idx="3">
                  <c:v>-7.64</c:v>
                </c:pt>
                <c:pt idx="4">
                  <c:v>-1.85</c:v>
                </c:pt>
              </c:numCache>
            </c:numRef>
          </c:val>
          <c:smooth val="0"/>
          <c:extLst>
            <c:ext xmlns:c16="http://schemas.microsoft.com/office/drawing/2014/chart" uri="{C3380CC4-5D6E-409C-BE32-E72D297353CC}">
              <c16:uniqueId val="{00000001-4132-44E4-9D4F-6D0C1B37CCD3}"/>
            </c:ext>
          </c:extLst>
        </c:ser>
        <c:ser>
          <c:idx val="2"/>
          <c:order val="2"/>
          <c:tx>
            <c:strRef>
              <c:f>'Investment ratio'!$A$9</c:f>
              <c:strCache>
                <c:ptCount val="1"/>
                <c:pt idx="0">
                  <c:v>Price to earnings ratio </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'Investment ratio'!$B$9:$F$9</c:f>
              <c:numCache>
                <c:formatCode>General</c:formatCode>
                <c:ptCount val="5"/>
                <c:pt idx="0">
                  <c:v>2.78</c:v>
                </c:pt>
                <c:pt idx="1">
                  <c:v>307.69230769230768</c:v>
                </c:pt>
                <c:pt idx="2">
                  <c:v>4000</c:v>
                </c:pt>
                <c:pt idx="3">
                  <c:v>-15.706806282722514</c:v>
                </c:pt>
                <c:pt idx="4">
                  <c:v>-64.864864864864856</c:v>
                </c:pt>
              </c:numCache>
            </c:numRef>
          </c:val>
          <c:smooth val="0"/>
          <c:extLst>
            <c:ext xmlns:c16="http://schemas.microsoft.com/office/drawing/2014/chart" uri="{C3380CC4-5D6E-409C-BE32-E72D297353CC}">
              <c16:uniqueId val="{00000002-4132-44E4-9D4F-6D0C1B37CCD3}"/>
            </c:ext>
          </c:extLst>
        </c:ser>
        <c:ser>
          <c:idx val="3"/>
          <c:order val="3"/>
          <c:tx>
            <c:strRef>
              <c:f>'Investment ratio'!$A$10</c:f>
              <c:strCache>
                <c:ptCount val="1"/>
                <c:pt idx="0">
                  <c:v>Return on equity </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val>
            <c:numRef>
              <c:f>'Investment ratio'!$B$10:$F$10</c:f>
              <c:numCache>
                <c:formatCode>0%</c:formatCode>
                <c:ptCount val="5"/>
                <c:pt idx="0">
                  <c:v>0.11894950861950648</c:v>
                </c:pt>
                <c:pt idx="1">
                  <c:v>8.426557081199787E-2</c:v>
                </c:pt>
                <c:pt idx="2">
                  <c:v>5.4201470906015514E-2</c:v>
                </c:pt>
                <c:pt idx="3">
                  <c:v>-0.47675497429018554</c:v>
                </c:pt>
                <c:pt idx="4">
                  <c:v>-9.9911825217987651E-2</c:v>
                </c:pt>
              </c:numCache>
            </c:numRef>
          </c:val>
          <c:smooth val="0"/>
          <c:extLst>
            <c:ext xmlns:c16="http://schemas.microsoft.com/office/drawing/2014/chart" uri="{C3380CC4-5D6E-409C-BE32-E72D297353CC}">
              <c16:uniqueId val="{00000003-4132-44E4-9D4F-6D0C1B37CCD3}"/>
            </c:ext>
          </c:extLst>
        </c:ser>
        <c:ser>
          <c:idx val="4"/>
          <c:order val="4"/>
          <c:tx>
            <c:strRef>
              <c:f>'Investment ratio'!$A$11</c:f>
              <c:strCache>
                <c:ptCount val="1"/>
                <c:pt idx="0">
                  <c:v>Return on Assets</c:v>
                </c:pt>
              </c:strCache>
            </c:strRef>
          </c:tx>
          <c:spPr>
            <a:ln w="28575" cap="rnd">
              <a:solidFill>
                <a:schemeClr val="accent5"/>
              </a:solidFill>
              <a:round/>
            </a:ln>
            <a:effectLst/>
          </c:spPr>
          <c:marker>
            <c:symbol val="circle"/>
            <c:size val="5"/>
            <c:spPr>
              <a:solidFill>
                <a:schemeClr val="accent5"/>
              </a:solidFill>
              <a:ln w="9525">
                <a:solidFill>
                  <a:schemeClr val="accent5"/>
                </a:solidFill>
              </a:ln>
              <a:effectLst/>
            </c:spPr>
          </c:marker>
          <c:val>
            <c:numRef>
              <c:f>'Investment ratio'!$B$11:$F$11</c:f>
              <c:numCache>
                <c:formatCode>0%</c:formatCode>
                <c:ptCount val="5"/>
                <c:pt idx="0">
                  <c:v>7.5588390914969925E-2</c:v>
                </c:pt>
                <c:pt idx="1">
                  <c:v>1.0387030026570106E-2</c:v>
                </c:pt>
                <c:pt idx="2">
                  <c:v>8.0727859838980649E-4</c:v>
                </c:pt>
                <c:pt idx="3">
                  <c:v>-0.27604869166441864</c:v>
                </c:pt>
                <c:pt idx="4">
                  <c:v>-7.4311745022483097E-2</c:v>
                </c:pt>
              </c:numCache>
            </c:numRef>
          </c:val>
          <c:smooth val="0"/>
          <c:extLst>
            <c:ext xmlns:c16="http://schemas.microsoft.com/office/drawing/2014/chart" uri="{C3380CC4-5D6E-409C-BE32-E72D297353CC}">
              <c16:uniqueId val="{00000004-4132-44E4-9D4F-6D0C1B37CCD3}"/>
            </c:ext>
          </c:extLst>
        </c:ser>
        <c:dLbls>
          <c:showLegendKey val="0"/>
          <c:showVal val="0"/>
          <c:showCatName val="0"/>
          <c:showSerName val="0"/>
          <c:showPercent val="0"/>
          <c:showBubbleSize val="0"/>
        </c:dLbls>
        <c:marker val="1"/>
        <c:smooth val="0"/>
        <c:axId val="423416496"/>
        <c:axId val="423425024"/>
      </c:lineChart>
      <c:catAx>
        <c:axId val="42341649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425024"/>
        <c:crosses val="autoZero"/>
        <c:auto val="1"/>
        <c:lblAlgn val="ctr"/>
        <c:lblOffset val="100"/>
        <c:noMultiLvlLbl val="0"/>
      </c:catAx>
      <c:valAx>
        <c:axId val="423425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416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Bre20</b:Tag>
    <b:SourceType>JournalArticle</b:SourceType>
    <b:Guid>{7C193D29-C34F-47BE-BC73-E6D4211B257D}</b:Guid>
    <b:Author>
      <b:Author>
        <b:NameList>
          <b:Person>
            <b:Last>Brealey</b:Last>
            <b:First>R.</b:First>
            <b:Middle>A., Myers, S. C., &amp; Allen, F.</b:Middle>
          </b:Person>
        </b:NameList>
      </b:Author>
    </b:Author>
    <b:Title>Principles of Corporate Finance</b:Title>
    <b:Year>(2020)</b:Year>
    <b:RefOrder>2</b:RefOrder>
  </b:Source>
  <b:Source>
    <b:Tag>Keo23</b:Tag>
    <b:SourceType>JournalArticle</b:SourceType>
    <b:Guid>{30CF7E99-1D48-48C3-9840-49084D659F2D}</b:Guid>
    <b:Author>
      <b:Author>
        <b:NameList>
          <b:Person>
            <b:Last>Keown</b:Last>
            <b:First>A.</b:First>
            <b:Middle>J., Martin, J. D., &amp; Petty, J. W.</b:Middle>
          </b:Person>
        </b:NameList>
      </b:Author>
    </b:Author>
    <b:Title>Foundations of Finance (10th Global ed.)</b:Title>
    <b:Year>2023</b:Year>
    <b:RefOrder>3</b:RefOrder>
  </b:Source>
  <b:Source>
    <b:Tag>Ber20</b:Tag>
    <b:SourceType>JournalArticle</b:SourceType>
    <b:Guid>{251E0E0C-A459-494A-83FB-175DDBF43D49}</b:Guid>
    <b:Author>
      <b:Author>
        <b:NameList>
          <b:Person>
            <b:Last>Berk</b:Last>
            <b:First>J.,</b:First>
            <b:Middle>&amp; DeMarzo, P.</b:Middle>
          </b:Person>
        </b:NameList>
      </b:Author>
    </b:Author>
    <b:Title>Corporate Finance (5th Global ed.)</b:Title>
    <b:Year>2020</b:Year>
    <b:RefOrder>1</b:RefOrder>
  </b:Source>
  <b:Source>
    <b:Tag>Atr17</b:Tag>
    <b:SourceType>JournalArticle</b:SourceType>
    <b:Guid>{89C20AF6-EBB2-4CAF-80B5-6C5F39E75585}</b:Guid>
    <b:Author>
      <b:Author>
        <b:NameList>
          <b:Person>
            <b:Last>Atrill</b:Last>
            <b:First>P.,</b:First>
            <b:Middle>&amp; McLaney, E.</b:Middle>
          </b:Person>
        </b:NameList>
      </b:Author>
    </b:Author>
    <b:Title>Accounting and Finance for Non-Specialists (10th ed.)</b:Title>
    <b:Year>2017</b:Year>
    <b:RefOrder>4</b:RefOrder>
  </b:Source>
  <b:Source>
    <b:Tag>And11</b:Tag>
    <b:SourceType>JournalArticle</b:SourceType>
    <b:Guid>{82C424E0-D18D-4CA1-B4E8-30928990548D}</b:Guid>
    <b:Author>
      <b:Author>
        <b:NameList>
          <b:Person>
            <b:Last>Andor</b:Last>
            <b:First>Gyorgy</b:First>
            <b:Middle>and Mohanty, Sunil and Tóth, Tamás</b:Middle>
          </b:Person>
        </b:NameList>
      </b:Author>
    </b:Author>
    <b:Title>Capital budgeting practices: a survey of central and eastern European firms</b:Title>
    <b:Year>2011</b:Year>
    <b:RefOrder>5</b:RefOrder>
  </b:Source>
  <b:Source>
    <b:Tag>LYU23</b:Tag>
    <b:SourceType>JournalArticle</b:SourceType>
    <b:Guid>{3D830DB3-5DF1-49B9-93A5-0F17070D3E41}</b:Guid>
    <b:Author>
      <b:Author>
        <b:NameList>
          <b:Person>
            <b:Last>LYUBOV</b:Last>
            <b:First>TSOY</b:First>
            <b:Middle>and HESHMATI, ALMAS</b:Middle>
          </b:Person>
        </b:NameList>
      </b:Author>
    </b:Author>
    <b:Title>IMPACT OF FINANCIAL CRISES ON THE DYNAMICS OF CAPITAL STRUCTURE: EVIDENCE FROM KOREAN LISTED COMPANIES</b:Title>
    <b:JournalName>The Singapore Economic Review</b:JournalName>
    <b:Year>2023</b:Year>
    <b:Pages>867-898</b:Pages>
    <b:Volume>68</b:Volume>
    <b:RefOrder>6</b:RefOrder>
  </b:Source>
  <b:Source>
    <b:Tag>Mar21</b:Tag>
    <b:SourceType>JournalArticle</b:SourceType>
    <b:Guid>{16515F33-5BA6-406B-BECB-7A119DCF17A6}</b:Guid>
    <b:Author>
      <b:Author>
        <b:NameList>
          <b:Person>
            <b:Last>Li</b:Last>
            <b:First>Marwa</b:First>
            <b:Middle>Elnahass and Vu Quang Trinh and Teng</b:Middle>
          </b:Person>
        </b:NameList>
      </b:Author>
    </b:Author>
    <b:Title>Global banking stability in the shadow of Covid-19 outbreak</b:Title>
    <b:JournalName>Journal of International Financial Markets, Institutions and Money</b:JournalName>
    <b:Year>2021</b:Year>
    <b:Volume>72</b:Volume>
    <b:RefOrder>7</b:RefOrder>
  </b:Source>
  <b:Source>
    <b:Tag>Akt15</b:Tag>
    <b:SourceType>JournalArticle</b:SourceType>
    <b:Guid>{7C60795D-8BE1-4A0D-A235-A2539E1D284F}</b:Guid>
    <b:Author>
      <b:Author>
        <b:NameList>
          <b:Person>
            <b:Last>Aktas</b:Last>
            <b:First>N.,</b:First>
            <b:Middle>Croci, E., &amp; Petmezas, D</b:Middle>
          </b:Person>
        </b:NameList>
      </b:Author>
    </b:Author>
    <b:Title>Is working capital management value-enhancing? Evidence from firm performance and investments. </b:Title>
    <b:Year>2015</b:Year>
    <b:Pages>98-113</b:Pages>
    <b:Volume>30</b:Volume>
    <b:RefOrder>8</b:RefOrder>
  </b:Source>
  <b:Source>
    <b:Tag>Osi20</b:Tag>
    <b:SourceType>JournalArticle</b:SourceType>
    <b:Guid>{E60A51B5-0187-4C0F-B014-C273A1CD62B4}</b:Guid>
    <b:Author>
      <b:Author>
        <b:NameList>
          <b:Person>
            <b:Last>Osinubi</b:Last>
            <b:First>Igbekele</b:First>
            <b:Middle>Sunday</b:Middle>
          </b:Person>
        </b:NameList>
      </b:Author>
    </b:Author>
    <b:Title>Effects of financial distress and financing constraints on trade credit provisions</b:Title>
    <b:JournalName>Asian Review of Accounting</b:JournalName>
    <b:Year>2020</b:Year>
    <b:Pages>545-566</b:Pages>
    <b:Volume>28</b:Volume>
    <b:RefOrder>9</b:RefOrder>
  </b:Source>
</b:Sources>
</file>

<file path=customXml/itemProps1.xml><?xml version="1.0" encoding="utf-8"?>
<ds:datastoreItem xmlns:ds="http://schemas.openxmlformats.org/officeDocument/2006/customXml" ds:itemID="{0A2904E4-8E9B-4539-B116-BF1EE5DCD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34</Pages>
  <Words>8570</Words>
  <Characters>48855</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Fabiha Rahman (2506578)</dc:creator>
  <cp:keywords/>
  <dc:description/>
  <cp:lastModifiedBy>Fabiha Rahman (2506578)</cp:lastModifiedBy>
  <cp:revision>9</cp:revision>
  <cp:lastPrinted>2025-12-21T17:06:00Z</cp:lastPrinted>
  <dcterms:created xsi:type="dcterms:W3CDTF">2025-12-21T18:36:00Z</dcterms:created>
  <dcterms:modified xsi:type="dcterms:W3CDTF">2025-12-21T19:54:00Z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6e9bccd2-3c81-4133-bd9c-16c54e992080</vt:lpwstr>
  </property>
</Properties>
</file>