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D8D9A" w14:textId="00A911B8" w:rsidR="00E02E0F" w:rsidRDefault="00E02E0F"/>
    <w:p w14:paraId="711963F5" w14:textId="761C9CF9" w:rsidR="00F82AC1" w:rsidRDefault="00F82AC1"/>
    <w:p w14:paraId="42BEE249" w14:textId="2FFBDEAA" w:rsidR="00F82AC1" w:rsidRDefault="00F82AC1"/>
    <w:p w14:paraId="6C99F8EC" w14:textId="69EF556A" w:rsidR="00F82AC1" w:rsidRDefault="00F82AC1"/>
    <w:p w14:paraId="1DACC210" w14:textId="079DB1A3" w:rsidR="00F82AC1" w:rsidRDefault="00F82AC1"/>
    <w:p w14:paraId="47B47B2D" w14:textId="71E659B1" w:rsidR="00F82AC1" w:rsidRDefault="00F82AC1"/>
    <w:p w14:paraId="2D0BCE2B" w14:textId="38F10CA1" w:rsidR="00F82AC1" w:rsidRDefault="00F82AC1"/>
    <w:p w14:paraId="127E617F" w14:textId="461802B7" w:rsidR="00F82AC1" w:rsidRPr="00F82AC1" w:rsidRDefault="00F82AC1">
      <w:pPr>
        <w:rPr>
          <w:b/>
          <w:bCs/>
          <w:sz w:val="64"/>
          <w:szCs w:val="64"/>
        </w:rPr>
      </w:pPr>
      <w:r w:rsidRPr="00F82AC1">
        <w:rPr>
          <w:b/>
          <w:bCs/>
          <w:sz w:val="64"/>
          <w:szCs w:val="64"/>
        </w:rPr>
        <w:t>How Psychological Theory Impacts Upon the Role of a Social Worker</w:t>
      </w:r>
    </w:p>
    <w:p w14:paraId="222D01D2" w14:textId="33AB98E0" w:rsidR="00F82AC1" w:rsidRDefault="00F82AC1">
      <w:pPr>
        <w:rPr>
          <w:b/>
          <w:bCs/>
          <w:sz w:val="56"/>
          <w:szCs w:val="56"/>
        </w:rPr>
      </w:pPr>
    </w:p>
    <w:p w14:paraId="59149D12" w14:textId="06DA9143" w:rsidR="00F82AC1" w:rsidRDefault="00F82AC1">
      <w:pPr>
        <w:rPr>
          <w:b/>
          <w:bCs/>
          <w:sz w:val="56"/>
          <w:szCs w:val="56"/>
        </w:rPr>
      </w:pPr>
    </w:p>
    <w:p w14:paraId="0A036307" w14:textId="3EFAB30C" w:rsidR="00F82AC1" w:rsidRDefault="00F82AC1">
      <w:pPr>
        <w:rPr>
          <w:b/>
          <w:bCs/>
          <w:sz w:val="56"/>
          <w:szCs w:val="56"/>
        </w:rPr>
      </w:pPr>
    </w:p>
    <w:p w14:paraId="32B3B358" w14:textId="32F40498" w:rsidR="00F82AC1" w:rsidRDefault="00F82AC1">
      <w:pPr>
        <w:rPr>
          <w:b/>
          <w:bCs/>
          <w:sz w:val="56"/>
          <w:szCs w:val="56"/>
        </w:rPr>
      </w:pPr>
    </w:p>
    <w:p w14:paraId="56611BF3" w14:textId="70E72EF9" w:rsidR="00F82AC1" w:rsidRDefault="00F82AC1">
      <w:pPr>
        <w:rPr>
          <w:b/>
          <w:bCs/>
          <w:sz w:val="56"/>
          <w:szCs w:val="56"/>
        </w:rPr>
      </w:pPr>
    </w:p>
    <w:p w14:paraId="7001F9FE" w14:textId="16E08913" w:rsidR="00F82AC1" w:rsidRDefault="00F82AC1">
      <w:pPr>
        <w:rPr>
          <w:b/>
          <w:bCs/>
          <w:sz w:val="56"/>
          <w:szCs w:val="56"/>
        </w:rPr>
      </w:pPr>
    </w:p>
    <w:p w14:paraId="39F681D4" w14:textId="77777777" w:rsidR="00F82AC1" w:rsidRDefault="00F82AC1">
      <w:pPr>
        <w:rPr>
          <w:b/>
          <w:bCs/>
          <w:sz w:val="56"/>
          <w:szCs w:val="56"/>
        </w:rPr>
      </w:pPr>
    </w:p>
    <w:p w14:paraId="77193697" w14:textId="1D502F8D" w:rsidR="00F82AC1" w:rsidRDefault="00F82AC1">
      <w:pPr>
        <w:rPr>
          <w:b/>
          <w:bCs/>
          <w:sz w:val="56"/>
          <w:szCs w:val="56"/>
        </w:rPr>
      </w:pPr>
    </w:p>
    <w:p w14:paraId="283CEEE5" w14:textId="53D5EAAB" w:rsidR="00F82AC1" w:rsidRPr="00F82AC1" w:rsidRDefault="00F82AC1">
      <w:r w:rsidRPr="00F82AC1">
        <w:t xml:space="preserve">Charlotte Ashford </w:t>
      </w:r>
    </w:p>
    <w:p w14:paraId="509877B0" w14:textId="5070D9D2" w:rsidR="00F82AC1" w:rsidRPr="00F82AC1" w:rsidRDefault="00F82AC1">
      <w:r w:rsidRPr="00F82AC1">
        <w:t>2100378</w:t>
      </w:r>
    </w:p>
    <w:p w14:paraId="646931FA" w14:textId="5FF48418" w:rsidR="0091497E" w:rsidRPr="00D92C98" w:rsidRDefault="00372B52" w:rsidP="00831B4E">
      <w:pPr>
        <w:spacing w:line="360" w:lineRule="auto"/>
        <w:rPr>
          <w:rFonts w:cstheme="minorHAnsi"/>
          <w:sz w:val="24"/>
          <w:szCs w:val="24"/>
        </w:rPr>
      </w:pPr>
      <w:r>
        <w:lastRenderedPageBreak/>
        <w:t xml:space="preserve">  </w:t>
      </w:r>
      <w:r w:rsidRPr="00D92C98">
        <w:rPr>
          <w:rFonts w:cstheme="minorHAnsi"/>
          <w:sz w:val="24"/>
          <w:szCs w:val="24"/>
        </w:rPr>
        <w:t xml:space="preserve">Psychology is clarified by Perez-Alvarez (2018) as the science and study of the mind and behaviour, psychology explains and understands why people act in such ways.  Titchener (1921) informs us that psychology was founded by Wilhelm Wundt in Germany in 1879.  Psychology affects society and humans in a range of ways.  It can help professionals decipher the ongoings of an </w:t>
      </w:r>
      <w:r w:rsidR="00950DF0" w:rsidRPr="00D92C98">
        <w:rPr>
          <w:rFonts w:cstheme="minorHAnsi"/>
          <w:sz w:val="24"/>
          <w:szCs w:val="24"/>
        </w:rPr>
        <w:t>individual’s</w:t>
      </w:r>
      <w:r w:rsidRPr="00D92C98">
        <w:rPr>
          <w:rFonts w:cstheme="minorHAnsi"/>
          <w:sz w:val="24"/>
          <w:szCs w:val="24"/>
        </w:rPr>
        <w:t xml:space="preserve"> mind, helping professionals understand and treat any health issues, along with improving the understanding and teaching of psychology.</w:t>
      </w:r>
      <w:r w:rsidR="00101B27" w:rsidRPr="00D92C98">
        <w:rPr>
          <w:rFonts w:cstheme="minorHAnsi"/>
          <w:sz w:val="24"/>
          <w:szCs w:val="24"/>
        </w:rPr>
        <w:t xml:space="preserve"> </w:t>
      </w:r>
      <w:r w:rsidRPr="00D92C98">
        <w:rPr>
          <w:rFonts w:cstheme="minorHAnsi"/>
          <w:sz w:val="24"/>
          <w:szCs w:val="24"/>
        </w:rPr>
        <w:t xml:space="preserve"> </w:t>
      </w:r>
      <w:r w:rsidR="00336428" w:rsidRPr="00D92C98">
        <w:rPr>
          <w:rFonts w:cstheme="minorHAnsi"/>
          <w:sz w:val="24"/>
          <w:szCs w:val="24"/>
        </w:rPr>
        <w:t xml:space="preserve">Gruman and Budworth (2022) explain that psychology can also be used in </w:t>
      </w:r>
      <w:r w:rsidR="00950DF0" w:rsidRPr="00D92C98">
        <w:rPr>
          <w:rFonts w:cstheme="minorHAnsi"/>
          <w:sz w:val="24"/>
          <w:szCs w:val="24"/>
        </w:rPr>
        <w:t>a</w:t>
      </w:r>
      <w:r w:rsidR="00336428" w:rsidRPr="00D92C98">
        <w:rPr>
          <w:rFonts w:cstheme="minorHAnsi"/>
          <w:sz w:val="24"/>
          <w:szCs w:val="24"/>
        </w:rPr>
        <w:t xml:space="preserve"> work environment, building existing knowledge and help to develop bet</w:t>
      </w:r>
      <w:r w:rsidR="00611201" w:rsidRPr="00D92C98">
        <w:rPr>
          <w:rFonts w:cstheme="minorHAnsi"/>
          <w:sz w:val="24"/>
          <w:szCs w:val="24"/>
        </w:rPr>
        <w:t>t</w:t>
      </w:r>
      <w:r w:rsidR="00336428" w:rsidRPr="00D92C98">
        <w:rPr>
          <w:rFonts w:cstheme="minorHAnsi"/>
          <w:sz w:val="24"/>
          <w:szCs w:val="24"/>
        </w:rPr>
        <w:t xml:space="preserve">er human resource developments for </w:t>
      </w:r>
      <w:r w:rsidR="00950DF0" w:rsidRPr="00D92C98">
        <w:rPr>
          <w:rFonts w:cstheme="minorHAnsi"/>
          <w:sz w:val="24"/>
          <w:szCs w:val="24"/>
        </w:rPr>
        <w:t>employers,</w:t>
      </w:r>
      <w:r w:rsidR="00336428" w:rsidRPr="00D92C98">
        <w:rPr>
          <w:rFonts w:cstheme="minorHAnsi"/>
          <w:sz w:val="24"/>
          <w:szCs w:val="24"/>
        </w:rPr>
        <w:t xml:space="preserve"> allowing for better training, guidance and healthier behaviours and attitudes.</w:t>
      </w:r>
      <w:r w:rsidR="00101B27" w:rsidRPr="00D92C98">
        <w:rPr>
          <w:rFonts w:cstheme="minorHAnsi"/>
          <w:sz w:val="24"/>
          <w:szCs w:val="24"/>
        </w:rPr>
        <w:t xml:space="preserve"> </w:t>
      </w:r>
      <w:r w:rsidR="00336428" w:rsidRPr="00D92C98">
        <w:rPr>
          <w:rFonts w:cstheme="minorHAnsi"/>
          <w:sz w:val="24"/>
          <w:szCs w:val="24"/>
        </w:rPr>
        <w:t xml:space="preserve"> </w:t>
      </w:r>
      <w:r w:rsidR="00611201" w:rsidRPr="00D92C98">
        <w:rPr>
          <w:rFonts w:cstheme="minorHAnsi"/>
          <w:sz w:val="24"/>
          <w:szCs w:val="24"/>
        </w:rPr>
        <w:t xml:space="preserve">Marks (1996) describes the growth of psychology in the health and care sector </w:t>
      </w:r>
      <w:r w:rsidR="00D3602F" w:rsidRPr="00D92C98">
        <w:rPr>
          <w:rFonts w:cstheme="minorHAnsi"/>
          <w:sz w:val="24"/>
          <w:szCs w:val="24"/>
        </w:rPr>
        <w:t>over the last 25 years as exceptional.</w:t>
      </w:r>
      <w:r w:rsidR="00101B27" w:rsidRPr="00D92C98">
        <w:rPr>
          <w:rFonts w:cstheme="minorHAnsi"/>
          <w:sz w:val="24"/>
          <w:szCs w:val="24"/>
        </w:rPr>
        <w:t xml:space="preserve"> </w:t>
      </w:r>
      <w:r w:rsidR="00D3602F" w:rsidRPr="00D92C98">
        <w:rPr>
          <w:rFonts w:cstheme="minorHAnsi"/>
          <w:sz w:val="24"/>
          <w:szCs w:val="24"/>
        </w:rPr>
        <w:t xml:space="preserve"> Hepworth (2004) illustrates expanding the knowledge of psychology among health professionals, local authorities and public health has been essential due to the prevalence that it has on </w:t>
      </w:r>
      <w:r w:rsidR="00A60164" w:rsidRPr="00D92C98">
        <w:rPr>
          <w:rFonts w:cstheme="minorHAnsi"/>
          <w:sz w:val="24"/>
          <w:szCs w:val="24"/>
        </w:rPr>
        <w:t>day-to-day</w:t>
      </w:r>
      <w:r w:rsidR="00D3602F" w:rsidRPr="00D92C98">
        <w:rPr>
          <w:rFonts w:cstheme="minorHAnsi"/>
          <w:sz w:val="24"/>
          <w:szCs w:val="24"/>
        </w:rPr>
        <w:t xml:space="preserve"> life and for </w:t>
      </w:r>
      <w:r w:rsidR="0002769A" w:rsidRPr="00D92C98">
        <w:rPr>
          <w:rFonts w:cstheme="minorHAnsi"/>
          <w:sz w:val="24"/>
          <w:szCs w:val="24"/>
        </w:rPr>
        <w:t xml:space="preserve">health science to grow for optimum care to be given and received, psychology </w:t>
      </w:r>
      <w:r w:rsidR="00950DF0" w:rsidRPr="00D92C98">
        <w:rPr>
          <w:rFonts w:cstheme="minorHAnsi"/>
          <w:sz w:val="24"/>
          <w:szCs w:val="24"/>
        </w:rPr>
        <w:t>must</w:t>
      </w:r>
      <w:r w:rsidR="0002769A" w:rsidRPr="00D92C98">
        <w:rPr>
          <w:rFonts w:cstheme="minorHAnsi"/>
          <w:sz w:val="24"/>
          <w:szCs w:val="24"/>
        </w:rPr>
        <w:t xml:space="preserve"> be included and understood to give the best patient care possible. </w:t>
      </w:r>
      <w:r w:rsidR="009D5862" w:rsidRPr="00D92C98">
        <w:rPr>
          <w:rFonts w:cstheme="minorHAnsi"/>
          <w:sz w:val="24"/>
          <w:szCs w:val="24"/>
        </w:rPr>
        <w:t xml:space="preserve"> </w:t>
      </w:r>
      <w:r w:rsidR="0002769A" w:rsidRPr="00D92C98">
        <w:rPr>
          <w:rFonts w:cstheme="minorHAnsi"/>
          <w:sz w:val="24"/>
          <w:szCs w:val="24"/>
        </w:rPr>
        <w:t xml:space="preserve">The assignment will firstly interpret the role of a social worker, the individuals they facilitate and discuss the multidisciplinary team they are part of. </w:t>
      </w:r>
      <w:r w:rsidR="009D5862" w:rsidRPr="00D92C98">
        <w:rPr>
          <w:rFonts w:cstheme="minorHAnsi"/>
          <w:sz w:val="24"/>
          <w:szCs w:val="24"/>
        </w:rPr>
        <w:t xml:space="preserve"> </w:t>
      </w:r>
      <w:r w:rsidR="0002769A" w:rsidRPr="00D92C98">
        <w:rPr>
          <w:rFonts w:cstheme="minorHAnsi"/>
          <w:sz w:val="24"/>
          <w:szCs w:val="24"/>
        </w:rPr>
        <w:t xml:space="preserve">The assignment will then lead on to examine </w:t>
      </w:r>
      <w:r w:rsidR="0091497E" w:rsidRPr="00D92C98">
        <w:rPr>
          <w:rFonts w:cstheme="minorHAnsi"/>
          <w:sz w:val="24"/>
          <w:szCs w:val="24"/>
        </w:rPr>
        <w:t>the</w:t>
      </w:r>
      <w:r w:rsidR="00880D6E" w:rsidRPr="00D92C98">
        <w:rPr>
          <w:rFonts w:cstheme="minorHAnsi"/>
          <w:sz w:val="24"/>
          <w:szCs w:val="24"/>
        </w:rPr>
        <w:t xml:space="preserve"> cognitive psychological approach</w:t>
      </w:r>
      <w:r w:rsidR="00880D6E" w:rsidRPr="00D92C98">
        <w:rPr>
          <w:rFonts w:cstheme="minorHAnsi"/>
          <w:sz w:val="24"/>
          <w:szCs w:val="24"/>
        </w:rPr>
        <w:t xml:space="preserve"> and the</w:t>
      </w:r>
      <w:r w:rsidR="0091497E" w:rsidRPr="00D92C98">
        <w:rPr>
          <w:rFonts w:cstheme="minorHAnsi"/>
          <w:sz w:val="24"/>
          <w:szCs w:val="24"/>
        </w:rPr>
        <w:t xml:space="preserve"> humanistic</w:t>
      </w:r>
      <w:r w:rsidR="0002769A" w:rsidRPr="00D92C98">
        <w:rPr>
          <w:rFonts w:cstheme="minorHAnsi"/>
          <w:sz w:val="24"/>
          <w:szCs w:val="24"/>
        </w:rPr>
        <w:t xml:space="preserve"> psychological approach</w:t>
      </w:r>
      <w:r w:rsidR="0091497E" w:rsidRPr="00D92C98">
        <w:rPr>
          <w:rFonts w:cstheme="minorHAnsi"/>
          <w:sz w:val="24"/>
          <w:szCs w:val="24"/>
        </w:rPr>
        <w:t xml:space="preserve"> and how they impact the daily work of a social worker.</w:t>
      </w:r>
    </w:p>
    <w:p w14:paraId="7F0674C7" w14:textId="3AABF99A" w:rsidR="00167444" w:rsidRPr="00D92C98" w:rsidRDefault="000D3A59" w:rsidP="00831B4E">
      <w:pPr>
        <w:spacing w:line="360" w:lineRule="auto"/>
        <w:rPr>
          <w:rFonts w:cstheme="minorHAnsi"/>
          <w:sz w:val="24"/>
          <w:szCs w:val="24"/>
        </w:rPr>
      </w:pPr>
      <w:r w:rsidRPr="00D92C98">
        <w:rPr>
          <w:rFonts w:cstheme="minorHAnsi"/>
          <w:sz w:val="24"/>
          <w:szCs w:val="24"/>
        </w:rPr>
        <w:t xml:space="preserve"> </w:t>
      </w:r>
      <w:r w:rsidR="0091497E" w:rsidRPr="00D92C98">
        <w:rPr>
          <w:rFonts w:cstheme="minorHAnsi"/>
          <w:sz w:val="24"/>
          <w:szCs w:val="24"/>
        </w:rPr>
        <w:t xml:space="preserve"> A social worker can be defined as an individual in the professional role who promotes development, social change and supports many different individuals; from service</w:t>
      </w:r>
      <w:r w:rsidR="0098322B" w:rsidRPr="00D92C98">
        <w:rPr>
          <w:rFonts w:cstheme="minorHAnsi"/>
          <w:sz w:val="24"/>
          <w:szCs w:val="24"/>
        </w:rPr>
        <w:t xml:space="preserve"> users</w:t>
      </w:r>
      <w:r w:rsidR="0091497E" w:rsidRPr="00D92C98">
        <w:rPr>
          <w:rFonts w:cstheme="minorHAnsi"/>
          <w:sz w:val="24"/>
          <w:szCs w:val="24"/>
        </w:rPr>
        <w:t xml:space="preserve"> with advanced needs, children to individuals with mental health or substance issues, as suggested by Cree (2013).</w:t>
      </w:r>
      <w:r w:rsidR="009D5862" w:rsidRPr="00D92C98">
        <w:rPr>
          <w:rFonts w:cstheme="minorHAnsi"/>
          <w:sz w:val="24"/>
          <w:szCs w:val="24"/>
        </w:rPr>
        <w:t xml:space="preserve"> </w:t>
      </w:r>
      <w:r w:rsidR="00F1607D" w:rsidRPr="00D92C98">
        <w:rPr>
          <w:rFonts w:cstheme="minorHAnsi"/>
          <w:sz w:val="24"/>
          <w:szCs w:val="24"/>
        </w:rPr>
        <w:t xml:space="preserve"> The responsibilities of a social </w:t>
      </w:r>
      <w:r w:rsidR="00950DF0" w:rsidRPr="00D92C98">
        <w:rPr>
          <w:rFonts w:cstheme="minorHAnsi"/>
          <w:sz w:val="24"/>
          <w:szCs w:val="24"/>
        </w:rPr>
        <w:t>worker’s</w:t>
      </w:r>
      <w:r w:rsidR="00F1607D" w:rsidRPr="00D92C98">
        <w:rPr>
          <w:rFonts w:cstheme="minorHAnsi"/>
          <w:sz w:val="24"/>
          <w:szCs w:val="24"/>
        </w:rPr>
        <w:t xml:space="preserve"> job role can differ from client to patient dependant of the clients needs. </w:t>
      </w:r>
      <w:r w:rsidR="0091497E" w:rsidRPr="00D92C98">
        <w:rPr>
          <w:rFonts w:cstheme="minorHAnsi"/>
          <w:sz w:val="24"/>
          <w:szCs w:val="24"/>
        </w:rPr>
        <w:t xml:space="preserve"> A social worker will have many roles and different aspects </w:t>
      </w:r>
      <w:r w:rsidR="006326F0" w:rsidRPr="00D92C98">
        <w:rPr>
          <w:rFonts w:cstheme="minorHAnsi"/>
          <w:sz w:val="24"/>
          <w:szCs w:val="24"/>
        </w:rPr>
        <w:t xml:space="preserve">to their profession. </w:t>
      </w:r>
      <w:r w:rsidR="009D5862" w:rsidRPr="00D92C98">
        <w:rPr>
          <w:rFonts w:cstheme="minorHAnsi"/>
          <w:sz w:val="24"/>
          <w:szCs w:val="24"/>
        </w:rPr>
        <w:t xml:space="preserve"> </w:t>
      </w:r>
      <w:r w:rsidR="006326F0" w:rsidRPr="00D92C98">
        <w:rPr>
          <w:rFonts w:cstheme="minorHAnsi"/>
          <w:sz w:val="24"/>
          <w:szCs w:val="24"/>
        </w:rPr>
        <w:t>Asquith, Clark and Waterhouse (2005) suggest that social workers work with dignity, respect and enable the client and individual to develop their strengths.</w:t>
      </w:r>
      <w:r w:rsidR="009D5862" w:rsidRPr="00D92C98">
        <w:rPr>
          <w:rFonts w:cstheme="minorHAnsi"/>
          <w:sz w:val="24"/>
          <w:szCs w:val="24"/>
        </w:rPr>
        <w:t xml:space="preserve"> </w:t>
      </w:r>
      <w:r w:rsidR="006326F0" w:rsidRPr="00D92C98">
        <w:rPr>
          <w:rFonts w:cstheme="minorHAnsi"/>
          <w:sz w:val="24"/>
          <w:szCs w:val="24"/>
        </w:rPr>
        <w:t xml:space="preserve"> </w:t>
      </w:r>
      <w:proofErr w:type="gramStart"/>
      <w:r w:rsidR="00A60164" w:rsidRPr="00D92C98">
        <w:rPr>
          <w:rFonts w:cstheme="minorHAnsi"/>
          <w:sz w:val="24"/>
          <w:szCs w:val="24"/>
        </w:rPr>
        <w:t>In order for</w:t>
      </w:r>
      <w:proofErr w:type="gramEnd"/>
      <w:r w:rsidR="00A60164" w:rsidRPr="00D92C98">
        <w:rPr>
          <w:rFonts w:cstheme="minorHAnsi"/>
          <w:sz w:val="24"/>
          <w:szCs w:val="24"/>
        </w:rPr>
        <w:t xml:space="preserve"> a social worker to process and share information with their service user; it is inherent a social worker understands schemas. </w:t>
      </w:r>
      <w:r w:rsidR="009D5862" w:rsidRPr="00D92C98">
        <w:rPr>
          <w:rFonts w:cstheme="minorHAnsi"/>
          <w:sz w:val="24"/>
          <w:szCs w:val="24"/>
        </w:rPr>
        <w:t xml:space="preserve"> </w:t>
      </w:r>
      <w:proofErr w:type="spellStart"/>
      <w:r w:rsidR="00A60164" w:rsidRPr="00D92C98">
        <w:rPr>
          <w:rFonts w:cstheme="minorHAnsi"/>
          <w:sz w:val="24"/>
          <w:szCs w:val="24"/>
        </w:rPr>
        <w:t>Saddichha</w:t>
      </w:r>
      <w:proofErr w:type="spellEnd"/>
      <w:r w:rsidR="00A60164" w:rsidRPr="00D92C98">
        <w:rPr>
          <w:rFonts w:cstheme="minorHAnsi"/>
          <w:sz w:val="24"/>
          <w:szCs w:val="24"/>
        </w:rPr>
        <w:t xml:space="preserve">, Kumar and Pradhan (2012) express that mental health professionals may use schemas to better the quality of care and treatment that they can provide. </w:t>
      </w:r>
      <w:r w:rsidR="009D5862" w:rsidRPr="00D92C98">
        <w:rPr>
          <w:rFonts w:cstheme="minorHAnsi"/>
          <w:sz w:val="24"/>
          <w:szCs w:val="24"/>
        </w:rPr>
        <w:t xml:space="preserve"> </w:t>
      </w:r>
      <w:r w:rsidR="002E0045" w:rsidRPr="00D92C98">
        <w:rPr>
          <w:rFonts w:cstheme="minorHAnsi"/>
          <w:sz w:val="24"/>
          <w:szCs w:val="24"/>
        </w:rPr>
        <w:t xml:space="preserve">Saxena and Chandrapal (2022) examine the role of a social worker as a health professional that works within guidelines and policies to help those who may need assistance with </w:t>
      </w:r>
      <w:r w:rsidR="009D5862" w:rsidRPr="00D92C98">
        <w:rPr>
          <w:rFonts w:cstheme="minorHAnsi"/>
          <w:sz w:val="24"/>
          <w:szCs w:val="24"/>
        </w:rPr>
        <w:t>day-to-day</w:t>
      </w:r>
      <w:r w:rsidR="002E0045" w:rsidRPr="00D92C98">
        <w:rPr>
          <w:rFonts w:cstheme="minorHAnsi"/>
          <w:sz w:val="24"/>
          <w:szCs w:val="24"/>
        </w:rPr>
        <w:t xml:space="preserve"> needs, stretching to those who may be </w:t>
      </w:r>
      <w:r w:rsidR="002E0045" w:rsidRPr="00D92C98">
        <w:rPr>
          <w:rFonts w:cstheme="minorHAnsi"/>
          <w:sz w:val="24"/>
          <w:szCs w:val="24"/>
        </w:rPr>
        <w:lastRenderedPageBreak/>
        <w:t xml:space="preserve">victims of neglect or abuse. </w:t>
      </w:r>
      <w:r w:rsidR="009D5862" w:rsidRPr="00D92C98">
        <w:rPr>
          <w:rFonts w:cstheme="minorHAnsi"/>
          <w:sz w:val="24"/>
          <w:szCs w:val="24"/>
        </w:rPr>
        <w:t xml:space="preserve"> </w:t>
      </w:r>
      <w:r w:rsidR="001772AA" w:rsidRPr="00D92C98">
        <w:rPr>
          <w:rFonts w:cstheme="minorHAnsi"/>
          <w:sz w:val="24"/>
          <w:szCs w:val="24"/>
        </w:rPr>
        <w:t xml:space="preserve">Coffey, </w:t>
      </w:r>
      <w:proofErr w:type="spellStart"/>
      <w:r w:rsidR="001772AA" w:rsidRPr="00D92C98">
        <w:rPr>
          <w:rFonts w:cstheme="minorHAnsi"/>
          <w:sz w:val="24"/>
          <w:szCs w:val="24"/>
        </w:rPr>
        <w:t>Dugdill</w:t>
      </w:r>
      <w:proofErr w:type="spellEnd"/>
      <w:r w:rsidR="001772AA" w:rsidRPr="00D92C98">
        <w:rPr>
          <w:rFonts w:cstheme="minorHAnsi"/>
          <w:sz w:val="24"/>
          <w:szCs w:val="24"/>
        </w:rPr>
        <w:t xml:space="preserve"> and Tattersall (2004) deliberate that a social workers mental well-being can take a descent into ill-health and stress due to the constraints of the working environment, due to many regulations and legislations that they </w:t>
      </w:r>
      <w:r w:rsidR="00950DF0" w:rsidRPr="00D92C98">
        <w:rPr>
          <w:rFonts w:cstheme="minorHAnsi"/>
          <w:sz w:val="24"/>
          <w:szCs w:val="24"/>
        </w:rPr>
        <w:t>must</w:t>
      </w:r>
      <w:r w:rsidR="001772AA" w:rsidRPr="00D92C98">
        <w:rPr>
          <w:rFonts w:cstheme="minorHAnsi"/>
          <w:sz w:val="24"/>
          <w:szCs w:val="24"/>
        </w:rPr>
        <w:t xml:space="preserve"> adhere to. </w:t>
      </w:r>
      <w:r w:rsidR="009D5862" w:rsidRPr="00D92C98">
        <w:rPr>
          <w:rFonts w:cstheme="minorHAnsi"/>
          <w:sz w:val="24"/>
          <w:szCs w:val="24"/>
        </w:rPr>
        <w:t xml:space="preserve"> </w:t>
      </w:r>
      <w:r w:rsidR="001772AA" w:rsidRPr="00D92C98">
        <w:rPr>
          <w:rFonts w:cstheme="minorHAnsi"/>
          <w:sz w:val="24"/>
          <w:szCs w:val="24"/>
        </w:rPr>
        <w:t xml:space="preserve">This can stem from the lack of job satisfaction due to the social worker being unable to agree with and to suffer with conflict among the multidisciplinary work force. </w:t>
      </w:r>
      <w:r w:rsidR="009D5862" w:rsidRPr="00D92C98">
        <w:rPr>
          <w:rFonts w:cstheme="minorHAnsi"/>
          <w:sz w:val="24"/>
          <w:szCs w:val="24"/>
        </w:rPr>
        <w:t xml:space="preserve"> </w:t>
      </w:r>
      <w:r w:rsidR="001772AA" w:rsidRPr="00D92C98">
        <w:rPr>
          <w:rFonts w:cstheme="minorHAnsi"/>
          <w:sz w:val="24"/>
          <w:szCs w:val="24"/>
        </w:rPr>
        <w:t xml:space="preserve">Lloyd, King and Chenoweth (2002) explain many social workers also suffer from burn-out </w:t>
      </w:r>
      <w:r w:rsidR="00690D28" w:rsidRPr="00D92C98">
        <w:rPr>
          <w:rFonts w:cstheme="minorHAnsi"/>
          <w:sz w:val="24"/>
          <w:szCs w:val="24"/>
        </w:rPr>
        <w:t xml:space="preserve">as a result of being overloaded with cases by cause of the lack of funding, staffing and sickness among colleagues.  </w:t>
      </w:r>
      <w:r w:rsidR="00F1607D" w:rsidRPr="00D92C98">
        <w:rPr>
          <w:rFonts w:cstheme="minorHAnsi"/>
          <w:sz w:val="24"/>
          <w:szCs w:val="24"/>
        </w:rPr>
        <w:t>Social workers are known for collaborating and working in hand with numerous professionals as Atwal and Caldwell (2005) divulge, such as schools, occupational therapists, nurses and doctors and the probation services.</w:t>
      </w:r>
      <w:r w:rsidR="009D5862" w:rsidRPr="00D92C98">
        <w:rPr>
          <w:rFonts w:cstheme="minorHAnsi"/>
          <w:sz w:val="24"/>
          <w:szCs w:val="24"/>
        </w:rPr>
        <w:t xml:space="preserve"> </w:t>
      </w:r>
      <w:r w:rsidR="00F1607D" w:rsidRPr="00D92C98">
        <w:rPr>
          <w:rFonts w:cstheme="minorHAnsi"/>
          <w:sz w:val="24"/>
          <w:szCs w:val="24"/>
        </w:rPr>
        <w:t xml:space="preserve"> The environment that a social worker may </w:t>
      </w:r>
      <w:r w:rsidR="00147BE7" w:rsidRPr="00D92C98">
        <w:rPr>
          <w:rFonts w:cstheme="minorHAnsi"/>
          <w:sz w:val="24"/>
          <w:szCs w:val="24"/>
        </w:rPr>
        <w:t>work in is often changing due to the responsibilities that they have as well as the clients needs.</w:t>
      </w:r>
    </w:p>
    <w:p w14:paraId="717476BE" w14:textId="09A42C04" w:rsidR="00F07269" w:rsidRPr="00D92C98" w:rsidRDefault="00147BE7" w:rsidP="00831B4E">
      <w:pPr>
        <w:spacing w:line="360" w:lineRule="auto"/>
        <w:rPr>
          <w:rFonts w:cstheme="minorHAnsi"/>
          <w:sz w:val="24"/>
          <w:szCs w:val="24"/>
        </w:rPr>
      </w:pPr>
      <w:r w:rsidRPr="00D92C98">
        <w:rPr>
          <w:rFonts w:cstheme="minorHAnsi"/>
          <w:sz w:val="24"/>
          <w:szCs w:val="24"/>
        </w:rPr>
        <w:t xml:space="preserve">  The first psychological approach that this assignment will be discussing is the cognitive approach.</w:t>
      </w:r>
      <w:r w:rsidR="009D5862" w:rsidRPr="00D92C98">
        <w:rPr>
          <w:rFonts w:cstheme="minorHAnsi"/>
          <w:sz w:val="24"/>
          <w:szCs w:val="24"/>
        </w:rPr>
        <w:t xml:space="preserve"> </w:t>
      </w:r>
      <w:r w:rsidRPr="00D92C98">
        <w:rPr>
          <w:rFonts w:cstheme="minorHAnsi"/>
          <w:sz w:val="24"/>
          <w:szCs w:val="24"/>
        </w:rPr>
        <w:t xml:space="preserve"> </w:t>
      </w:r>
      <w:r w:rsidR="006749E8" w:rsidRPr="00D92C98">
        <w:rPr>
          <w:rFonts w:cstheme="minorHAnsi"/>
          <w:sz w:val="24"/>
          <w:szCs w:val="24"/>
        </w:rPr>
        <w:t xml:space="preserve">In accordance </w:t>
      </w:r>
      <w:r w:rsidR="00950DF0" w:rsidRPr="00D92C98">
        <w:rPr>
          <w:rFonts w:cstheme="minorHAnsi"/>
          <w:sz w:val="24"/>
          <w:szCs w:val="24"/>
        </w:rPr>
        <w:t>with</w:t>
      </w:r>
      <w:r w:rsidR="006749E8" w:rsidRPr="00D92C98">
        <w:rPr>
          <w:rFonts w:cstheme="minorHAnsi"/>
          <w:sz w:val="24"/>
          <w:szCs w:val="24"/>
        </w:rPr>
        <w:t xml:space="preserve"> Cowan (2015) and </w:t>
      </w:r>
      <w:proofErr w:type="spellStart"/>
      <w:r w:rsidR="006749E8" w:rsidRPr="00D92C98">
        <w:rPr>
          <w:rFonts w:cstheme="minorHAnsi"/>
          <w:sz w:val="24"/>
          <w:szCs w:val="24"/>
        </w:rPr>
        <w:t>Airenti</w:t>
      </w:r>
      <w:proofErr w:type="spellEnd"/>
      <w:r w:rsidR="006749E8" w:rsidRPr="00D92C98">
        <w:rPr>
          <w:rFonts w:cstheme="minorHAnsi"/>
          <w:sz w:val="24"/>
          <w:szCs w:val="24"/>
        </w:rPr>
        <w:t xml:space="preserve"> (2019) the cognitive approach was discovered by George Miller in 1956. </w:t>
      </w:r>
      <w:r w:rsidR="009D5862" w:rsidRPr="00D92C98">
        <w:rPr>
          <w:rFonts w:cstheme="minorHAnsi"/>
          <w:sz w:val="24"/>
          <w:szCs w:val="24"/>
        </w:rPr>
        <w:t xml:space="preserve"> </w:t>
      </w:r>
      <w:r w:rsidR="0062310C" w:rsidRPr="00D92C98">
        <w:rPr>
          <w:rFonts w:cstheme="minorHAnsi"/>
          <w:sz w:val="24"/>
          <w:szCs w:val="24"/>
        </w:rPr>
        <w:t>Whereas Belardinelli (2012) explains that Ulric Neisser devoted years since 1949 into studying and exploring psychology.</w:t>
      </w:r>
      <w:r w:rsidR="009D5862" w:rsidRPr="00D92C98">
        <w:rPr>
          <w:rFonts w:cstheme="minorHAnsi"/>
          <w:sz w:val="24"/>
          <w:szCs w:val="24"/>
        </w:rPr>
        <w:t xml:space="preserve"> </w:t>
      </w:r>
      <w:r w:rsidR="0062310C" w:rsidRPr="00D92C98">
        <w:rPr>
          <w:rFonts w:cstheme="minorHAnsi"/>
          <w:sz w:val="24"/>
          <w:szCs w:val="24"/>
        </w:rPr>
        <w:t xml:space="preserve"> Belardinelli (2012) argues that Neisser discovered cognitive psychology and that he released a book called Cognitive Psychology in 1957.</w:t>
      </w:r>
      <w:r w:rsidR="009D5862" w:rsidRPr="00D92C98">
        <w:rPr>
          <w:rFonts w:cstheme="minorHAnsi"/>
          <w:sz w:val="24"/>
          <w:szCs w:val="24"/>
        </w:rPr>
        <w:t xml:space="preserve"> </w:t>
      </w:r>
      <w:r w:rsidR="00386C19" w:rsidRPr="00D92C98">
        <w:rPr>
          <w:rFonts w:cstheme="minorHAnsi"/>
          <w:sz w:val="24"/>
          <w:szCs w:val="24"/>
        </w:rPr>
        <w:t xml:space="preserve"> Chatterjee (1984) refines that </w:t>
      </w:r>
      <w:proofErr w:type="gramStart"/>
      <w:r w:rsidR="00386C19" w:rsidRPr="00D92C98">
        <w:rPr>
          <w:rFonts w:cstheme="minorHAnsi"/>
          <w:sz w:val="24"/>
          <w:szCs w:val="24"/>
        </w:rPr>
        <w:t>in order for</w:t>
      </w:r>
      <w:proofErr w:type="gramEnd"/>
      <w:r w:rsidR="00386C19" w:rsidRPr="00D92C98">
        <w:rPr>
          <w:rFonts w:cstheme="minorHAnsi"/>
          <w:sz w:val="24"/>
          <w:szCs w:val="24"/>
        </w:rPr>
        <w:t xml:space="preserve"> a social worker to have an understanding of a </w:t>
      </w:r>
      <w:r w:rsidR="00950DF0" w:rsidRPr="00D92C98">
        <w:rPr>
          <w:rFonts w:cstheme="minorHAnsi"/>
          <w:sz w:val="24"/>
          <w:szCs w:val="24"/>
        </w:rPr>
        <w:t>person’s</w:t>
      </w:r>
      <w:r w:rsidR="00386C19" w:rsidRPr="00D92C98">
        <w:rPr>
          <w:rFonts w:cstheme="minorHAnsi"/>
          <w:sz w:val="24"/>
          <w:szCs w:val="24"/>
        </w:rPr>
        <w:t xml:space="preserve"> behaviour and the changes of such behaviour; they must firstly be able to utilize the cognitive approach to identify the thoughts that prompt the precarious behaviours. </w:t>
      </w:r>
      <w:r w:rsidR="009D5862" w:rsidRPr="00D92C98">
        <w:rPr>
          <w:rFonts w:cstheme="minorHAnsi"/>
          <w:sz w:val="24"/>
          <w:szCs w:val="24"/>
        </w:rPr>
        <w:t xml:space="preserve"> </w:t>
      </w:r>
      <w:r w:rsidR="00386C19" w:rsidRPr="00D92C98">
        <w:rPr>
          <w:rFonts w:cstheme="minorHAnsi"/>
          <w:sz w:val="24"/>
          <w:szCs w:val="24"/>
        </w:rPr>
        <w:t>This then helps both the client and the social worker to evaluate and recognise the issues and work on the issues at hand.</w:t>
      </w:r>
      <w:r w:rsidR="00EF7B6D" w:rsidRPr="00D92C98">
        <w:rPr>
          <w:rFonts w:cstheme="minorHAnsi"/>
          <w:sz w:val="24"/>
          <w:szCs w:val="24"/>
        </w:rPr>
        <w:t xml:space="preserve"> </w:t>
      </w:r>
      <w:r w:rsidR="009D5862" w:rsidRPr="00D92C98">
        <w:rPr>
          <w:rFonts w:cstheme="minorHAnsi"/>
          <w:sz w:val="24"/>
          <w:szCs w:val="24"/>
        </w:rPr>
        <w:t xml:space="preserve"> </w:t>
      </w:r>
      <w:r w:rsidR="00794A14" w:rsidRPr="00D92C98">
        <w:rPr>
          <w:rFonts w:cstheme="minorHAnsi"/>
          <w:sz w:val="24"/>
          <w:szCs w:val="24"/>
        </w:rPr>
        <w:t xml:space="preserve">The main assumptions of the cognitive approach as discussed by Eysenck (2001) are that the mind can be seen as working similarly to a computer, in the sense that we take in information and recall it as it may be needed; </w:t>
      </w:r>
      <w:r w:rsidR="00950DF0" w:rsidRPr="00D92C98">
        <w:rPr>
          <w:rFonts w:cstheme="minorHAnsi"/>
          <w:sz w:val="24"/>
          <w:szCs w:val="24"/>
        </w:rPr>
        <w:t>those individuals</w:t>
      </w:r>
      <w:r w:rsidR="00794A14" w:rsidRPr="00D92C98">
        <w:rPr>
          <w:rFonts w:cstheme="minorHAnsi"/>
          <w:sz w:val="24"/>
          <w:szCs w:val="24"/>
        </w:rPr>
        <w:t xml:space="preserve"> use a cognitive </w:t>
      </w:r>
      <w:r w:rsidR="00D934D4" w:rsidRPr="00D92C98">
        <w:rPr>
          <w:rFonts w:cstheme="minorHAnsi"/>
          <w:sz w:val="24"/>
          <w:szCs w:val="24"/>
        </w:rPr>
        <w:t>process to collect data, behaviours, thoughts, memories and even senses like smell and taste. It is believed that the mind can be studied.</w:t>
      </w:r>
      <w:r w:rsidR="009D5862" w:rsidRPr="00D92C98">
        <w:rPr>
          <w:rFonts w:cstheme="minorHAnsi"/>
          <w:sz w:val="24"/>
          <w:szCs w:val="24"/>
        </w:rPr>
        <w:t xml:space="preserve"> </w:t>
      </w:r>
      <w:r w:rsidR="00D934D4" w:rsidRPr="00D92C98">
        <w:rPr>
          <w:rFonts w:cstheme="minorHAnsi"/>
          <w:sz w:val="24"/>
          <w:szCs w:val="24"/>
        </w:rPr>
        <w:t xml:space="preserve"> </w:t>
      </w:r>
      <w:r w:rsidR="00F07269" w:rsidRPr="00D92C98">
        <w:rPr>
          <w:rFonts w:cstheme="minorHAnsi"/>
          <w:sz w:val="24"/>
          <w:szCs w:val="24"/>
        </w:rPr>
        <w:t>The cognitive approach improves a social workers practise by allowing the social worker to make a service users problem</w:t>
      </w:r>
      <w:r w:rsidR="00880D6E" w:rsidRPr="00D92C98">
        <w:rPr>
          <w:rFonts w:cstheme="minorHAnsi"/>
          <w:sz w:val="24"/>
          <w:szCs w:val="24"/>
        </w:rPr>
        <w:t>s</w:t>
      </w:r>
      <w:r w:rsidR="00F07269" w:rsidRPr="00D92C98">
        <w:rPr>
          <w:rFonts w:cstheme="minorHAnsi"/>
          <w:sz w:val="24"/>
          <w:szCs w:val="24"/>
        </w:rPr>
        <w:t xml:space="preserve"> unique to them by helping the individual to explore the notion and find the correct solution, as discussed by Wilson (1984)</w:t>
      </w:r>
      <w:r w:rsidR="00321B7A" w:rsidRPr="00D92C98">
        <w:rPr>
          <w:rFonts w:cstheme="minorHAnsi"/>
          <w:sz w:val="24"/>
          <w:szCs w:val="24"/>
        </w:rPr>
        <w:t xml:space="preserve"> this can also help the social worker communicate better with the service user especially if the service user struggles to process information, as it would be relayed in such a way the service user would understand as the </w:t>
      </w:r>
      <w:r w:rsidR="00321B7A" w:rsidRPr="00D92C98">
        <w:rPr>
          <w:rFonts w:cstheme="minorHAnsi"/>
          <w:sz w:val="24"/>
          <w:szCs w:val="24"/>
        </w:rPr>
        <w:lastRenderedPageBreak/>
        <w:t xml:space="preserve">cognitive process has been understood. </w:t>
      </w:r>
      <w:r w:rsidR="009D5862" w:rsidRPr="00D92C98">
        <w:rPr>
          <w:rFonts w:cstheme="minorHAnsi"/>
          <w:sz w:val="24"/>
          <w:szCs w:val="24"/>
        </w:rPr>
        <w:t xml:space="preserve"> </w:t>
      </w:r>
      <w:r w:rsidR="00F07269" w:rsidRPr="00D92C98">
        <w:rPr>
          <w:rFonts w:cstheme="minorHAnsi"/>
          <w:sz w:val="24"/>
          <w:szCs w:val="24"/>
        </w:rPr>
        <w:t xml:space="preserve">This then aids the social worker to perform the job role better in a more professional manner. </w:t>
      </w:r>
      <w:r w:rsidR="009D5862" w:rsidRPr="00D92C98">
        <w:rPr>
          <w:rFonts w:cstheme="minorHAnsi"/>
          <w:sz w:val="24"/>
          <w:szCs w:val="24"/>
        </w:rPr>
        <w:t xml:space="preserve"> </w:t>
      </w:r>
      <w:r w:rsidR="00321B7A" w:rsidRPr="00D92C98">
        <w:rPr>
          <w:rFonts w:cstheme="minorHAnsi"/>
          <w:sz w:val="24"/>
          <w:szCs w:val="24"/>
        </w:rPr>
        <w:t xml:space="preserve">Sicora et al (2021) explain that a social worker will use a variety of methods in different cases; schemas can be used to help a social worker organise and develop a care plan which would target the </w:t>
      </w:r>
      <w:r w:rsidR="009E3786" w:rsidRPr="00D92C98">
        <w:rPr>
          <w:rFonts w:cstheme="minorHAnsi"/>
          <w:sz w:val="24"/>
          <w:szCs w:val="24"/>
        </w:rPr>
        <w:t xml:space="preserve">individual’s </w:t>
      </w:r>
      <w:r w:rsidR="00321B7A" w:rsidRPr="00D92C98">
        <w:rPr>
          <w:rFonts w:cstheme="minorHAnsi"/>
          <w:sz w:val="24"/>
          <w:szCs w:val="24"/>
        </w:rPr>
        <w:t xml:space="preserve">personal needs. </w:t>
      </w:r>
    </w:p>
    <w:p w14:paraId="012B82ED" w14:textId="295207B7" w:rsidR="003E766B" w:rsidRPr="00D92C98" w:rsidRDefault="005D6231" w:rsidP="00831B4E">
      <w:pPr>
        <w:spacing w:line="360" w:lineRule="auto"/>
        <w:rPr>
          <w:rFonts w:cstheme="minorHAnsi"/>
          <w:sz w:val="24"/>
          <w:szCs w:val="24"/>
        </w:rPr>
      </w:pPr>
      <w:r w:rsidRPr="00D92C98">
        <w:rPr>
          <w:rFonts w:cstheme="minorHAnsi"/>
          <w:sz w:val="24"/>
          <w:szCs w:val="24"/>
        </w:rPr>
        <w:t xml:space="preserve">  Secondly, this assignment will discuss the humanistic approach. </w:t>
      </w:r>
      <w:r w:rsidR="004838C8" w:rsidRPr="00D92C98">
        <w:rPr>
          <w:rFonts w:cstheme="minorHAnsi"/>
          <w:sz w:val="24"/>
          <w:szCs w:val="24"/>
        </w:rPr>
        <w:t xml:space="preserve">Joseph (2021) </w:t>
      </w:r>
      <w:r w:rsidR="00261625" w:rsidRPr="00D92C98">
        <w:rPr>
          <w:rFonts w:cstheme="minorHAnsi"/>
          <w:sz w:val="24"/>
          <w:szCs w:val="24"/>
        </w:rPr>
        <w:t xml:space="preserve">defines the humanistic approach as a perspective where an individual is looked </w:t>
      </w:r>
      <w:proofErr w:type="gramStart"/>
      <w:r w:rsidR="00261625" w:rsidRPr="00D92C98">
        <w:rPr>
          <w:rFonts w:cstheme="minorHAnsi"/>
          <w:sz w:val="24"/>
          <w:szCs w:val="24"/>
        </w:rPr>
        <w:t>at as a whole, completely</w:t>
      </w:r>
      <w:proofErr w:type="gramEnd"/>
      <w:r w:rsidR="00261625" w:rsidRPr="00D92C98">
        <w:rPr>
          <w:rFonts w:cstheme="minorHAnsi"/>
          <w:sz w:val="24"/>
          <w:szCs w:val="24"/>
        </w:rPr>
        <w:t xml:space="preserve"> different and unique to anybody else.</w:t>
      </w:r>
      <w:r w:rsidR="009D5862" w:rsidRPr="00D92C98">
        <w:rPr>
          <w:rFonts w:cstheme="minorHAnsi"/>
          <w:sz w:val="24"/>
          <w:szCs w:val="24"/>
        </w:rPr>
        <w:t xml:space="preserve"> </w:t>
      </w:r>
      <w:r w:rsidR="00261625" w:rsidRPr="00D92C98">
        <w:rPr>
          <w:rFonts w:cstheme="minorHAnsi"/>
          <w:sz w:val="24"/>
          <w:szCs w:val="24"/>
        </w:rPr>
        <w:t xml:space="preserve"> The main assumptions of the humanistic approach as directed by Waterman (2013) </w:t>
      </w:r>
      <w:r w:rsidR="004222A3" w:rsidRPr="00D92C98">
        <w:rPr>
          <w:rFonts w:cstheme="minorHAnsi"/>
          <w:sz w:val="24"/>
          <w:szCs w:val="24"/>
        </w:rPr>
        <w:t xml:space="preserve">are that individuals have the capability to solve their own problems, being free with thoughts and just need guidance and motivation to overcome the hardship and pain the individual may have experienced. </w:t>
      </w:r>
      <w:r w:rsidR="009D5862" w:rsidRPr="00D92C98">
        <w:rPr>
          <w:rFonts w:cstheme="minorHAnsi"/>
          <w:sz w:val="24"/>
          <w:szCs w:val="24"/>
        </w:rPr>
        <w:t xml:space="preserve"> </w:t>
      </w:r>
      <w:r w:rsidR="004222A3" w:rsidRPr="00D92C98">
        <w:rPr>
          <w:rFonts w:cstheme="minorHAnsi"/>
          <w:sz w:val="24"/>
          <w:szCs w:val="24"/>
        </w:rPr>
        <w:t xml:space="preserve">Carl Rogers was the theorist that </w:t>
      </w:r>
      <w:r w:rsidR="00D04A0D" w:rsidRPr="00D92C98">
        <w:rPr>
          <w:rFonts w:cstheme="minorHAnsi"/>
          <w:sz w:val="24"/>
          <w:szCs w:val="24"/>
        </w:rPr>
        <w:t>discovered and founded</w:t>
      </w:r>
      <w:r w:rsidR="004222A3" w:rsidRPr="00D92C98">
        <w:rPr>
          <w:rFonts w:cstheme="minorHAnsi"/>
          <w:sz w:val="24"/>
          <w:szCs w:val="24"/>
        </w:rPr>
        <w:t xml:space="preserve"> the humanistic approach; </w:t>
      </w:r>
      <w:r w:rsidR="00D04A0D" w:rsidRPr="00D92C98">
        <w:rPr>
          <w:rFonts w:cstheme="minorHAnsi"/>
          <w:sz w:val="24"/>
          <w:szCs w:val="24"/>
        </w:rPr>
        <w:t>Rogers and Russell (2002) discuss that for an individual to grow, they need to be treated with unconditional positive regard and empathy.</w:t>
      </w:r>
      <w:r w:rsidR="009D5862" w:rsidRPr="00D92C98">
        <w:rPr>
          <w:rFonts w:cstheme="minorHAnsi"/>
          <w:sz w:val="24"/>
          <w:szCs w:val="24"/>
        </w:rPr>
        <w:t xml:space="preserve"> </w:t>
      </w:r>
      <w:r w:rsidR="00D04A0D" w:rsidRPr="00D92C98">
        <w:rPr>
          <w:rFonts w:cstheme="minorHAnsi"/>
          <w:sz w:val="24"/>
          <w:szCs w:val="24"/>
        </w:rPr>
        <w:t xml:space="preserve"> This then stemmed to become Rogers’ person centered theory</w:t>
      </w:r>
      <w:r w:rsidR="00654A43" w:rsidRPr="00D92C98">
        <w:rPr>
          <w:rFonts w:cstheme="minorHAnsi"/>
          <w:sz w:val="24"/>
          <w:szCs w:val="24"/>
        </w:rPr>
        <w:t xml:space="preserve">. </w:t>
      </w:r>
      <w:r w:rsidR="009D5862" w:rsidRPr="00D92C98">
        <w:rPr>
          <w:rFonts w:cstheme="minorHAnsi"/>
          <w:sz w:val="24"/>
          <w:szCs w:val="24"/>
        </w:rPr>
        <w:t xml:space="preserve"> </w:t>
      </w:r>
      <w:r w:rsidR="00FB3101" w:rsidRPr="00D92C98">
        <w:rPr>
          <w:rFonts w:cstheme="minorHAnsi"/>
          <w:sz w:val="24"/>
          <w:szCs w:val="24"/>
        </w:rPr>
        <w:t>Murphy, Duggan and Joseph (2013) propose s</w:t>
      </w:r>
      <w:r w:rsidR="00654A43" w:rsidRPr="00D92C98">
        <w:rPr>
          <w:rFonts w:cstheme="minorHAnsi"/>
          <w:sz w:val="24"/>
          <w:szCs w:val="24"/>
        </w:rPr>
        <w:t xml:space="preserve">ocial workers use unconditional positive regard in the </w:t>
      </w:r>
      <w:r w:rsidR="001B68A6" w:rsidRPr="00D92C98">
        <w:rPr>
          <w:rFonts w:cstheme="minorHAnsi"/>
          <w:sz w:val="24"/>
          <w:szCs w:val="24"/>
        </w:rPr>
        <w:t>day-to-day</w:t>
      </w:r>
      <w:r w:rsidR="00654A43" w:rsidRPr="00D92C98">
        <w:rPr>
          <w:rFonts w:cstheme="minorHAnsi"/>
          <w:sz w:val="24"/>
          <w:szCs w:val="24"/>
        </w:rPr>
        <w:t xml:space="preserve"> meetings with service users to </w:t>
      </w:r>
      <w:r w:rsidR="00A048A0" w:rsidRPr="00D92C98">
        <w:rPr>
          <w:rFonts w:cstheme="minorHAnsi"/>
          <w:sz w:val="24"/>
          <w:szCs w:val="24"/>
        </w:rPr>
        <w:t>offer compassion and empathy.</w:t>
      </w:r>
      <w:r w:rsidR="009D5862" w:rsidRPr="00D92C98">
        <w:rPr>
          <w:rFonts w:cstheme="minorHAnsi"/>
          <w:sz w:val="24"/>
          <w:szCs w:val="24"/>
        </w:rPr>
        <w:t xml:space="preserve"> </w:t>
      </w:r>
      <w:r w:rsidR="00A048A0" w:rsidRPr="00D92C98">
        <w:rPr>
          <w:rFonts w:cstheme="minorHAnsi"/>
          <w:sz w:val="24"/>
          <w:szCs w:val="24"/>
        </w:rPr>
        <w:t xml:space="preserve"> It allows the social worker to care for the service user with a </w:t>
      </w:r>
      <w:r w:rsidR="001B68A6" w:rsidRPr="00D92C98">
        <w:rPr>
          <w:rFonts w:cstheme="minorHAnsi"/>
          <w:sz w:val="24"/>
          <w:szCs w:val="24"/>
        </w:rPr>
        <w:t>non-biased</w:t>
      </w:r>
      <w:r w:rsidR="00A048A0" w:rsidRPr="00D92C98">
        <w:rPr>
          <w:rFonts w:cstheme="minorHAnsi"/>
          <w:sz w:val="24"/>
          <w:szCs w:val="24"/>
        </w:rPr>
        <w:t xml:space="preserve"> opinion, no matter what the service user has previously done or been </w:t>
      </w:r>
      <w:r w:rsidR="009E3786" w:rsidRPr="00D92C98">
        <w:rPr>
          <w:rFonts w:cstheme="minorHAnsi"/>
          <w:sz w:val="24"/>
          <w:szCs w:val="24"/>
        </w:rPr>
        <w:t>through,</w:t>
      </w:r>
      <w:r w:rsidR="00A048A0" w:rsidRPr="00D92C98">
        <w:rPr>
          <w:rFonts w:cstheme="minorHAnsi"/>
          <w:sz w:val="24"/>
          <w:szCs w:val="24"/>
        </w:rPr>
        <w:t xml:space="preserve"> which ultimately allows both the social worker and the service user to have a better relationship</w:t>
      </w:r>
      <w:r w:rsidR="001B68A6" w:rsidRPr="00D92C98">
        <w:rPr>
          <w:rFonts w:cstheme="minorHAnsi"/>
          <w:sz w:val="24"/>
          <w:szCs w:val="24"/>
        </w:rPr>
        <w:t>,</w:t>
      </w:r>
      <w:r w:rsidR="00A048A0" w:rsidRPr="00D92C98">
        <w:rPr>
          <w:rFonts w:cstheme="minorHAnsi"/>
          <w:sz w:val="24"/>
          <w:szCs w:val="24"/>
        </w:rPr>
        <w:t xml:space="preserve"> Treating the service user</w:t>
      </w:r>
      <w:r w:rsidR="001B68A6" w:rsidRPr="00D92C98">
        <w:rPr>
          <w:rFonts w:cstheme="minorHAnsi"/>
          <w:sz w:val="24"/>
          <w:szCs w:val="24"/>
        </w:rPr>
        <w:t xml:space="preserve"> as an individual with their own experiences. </w:t>
      </w:r>
      <w:r w:rsidR="009D5862" w:rsidRPr="00D92C98">
        <w:rPr>
          <w:rFonts w:cstheme="minorHAnsi"/>
          <w:sz w:val="24"/>
          <w:szCs w:val="24"/>
        </w:rPr>
        <w:t xml:space="preserve"> </w:t>
      </w:r>
      <w:r w:rsidR="001B68A6" w:rsidRPr="00D92C98">
        <w:rPr>
          <w:rFonts w:cstheme="minorHAnsi"/>
          <w:sz w:val="24"/>
          <w:szCs w:val="24"/>
        </w:rPr>
        <w:t xml:space="preserve">This eventually will help the service user to self-actualise and start making positive changes.  </w:t>
      </w:r>
      <w:r w:rsidR="003E766B" w:rsidRPr="00D92C98">
        <w:rPr>
          <w:rFonts w:cstheme="minorHAnsi"/>
          <w:sz w:val="24"/>
          <w:szCs w:val="24"/>
        </w:rPr>
        <w:t xml:space="preserve">Social workers use the humanistic approach in the field of work </w:t>
      </w:r>
      <w:r w:rsidR="00F05BAB" w:rsidRPr="00D92C98">
        <w:rPr>
          <w:rFonts w:cstheme="minorHAnsi"/>
          <w:sz w:val="24"/>
          <w:szCs w:val="24"/>
        </w:rPr>
        <w:t xml:space="preserve">as advocated </w:t>
      </w:r>
      <w:r w:rsidR="003E766B" w:rsidRPr="00D92C98">
        <w:rPr>
          <w:rFonts w:cstheme="minorHAnsi"/>
          <w:sz w:val="24"/>
          <w:szCs w:val="24"/>
        </w:rPr>
        <w:t xml:space="preserve">by </w:t>
      </w:r>
      <w:r w:rsidR="00F05BAB" w:rsidRPr="00D92C98">
        <w:rPr>
          <w:rFonts w:cstheme="minorHAnsi"/>
          <w:sz w:val="24"/>
          <w:szCs w:val="24"/>
        </w:rPr>
        <w:t xml:space="preserve">Howe (2017) </w:t>
      </w:r>
      <w:r w:rsidR="00892DAD" w:rsidRPr="00D92C98">
        <w:rPr>
          <w:rFonts w:cstheme="minorHAnsi"/>
          <w:sz w:val="24"/>
          <w:szCs w:val="24"/>
        </w:rPr>
        <w:t xml:space="preserve">and Lewis and Umbreit (2015) </w:t>
      </w:r>
      <w:r w:rsidR="009E3786" w:rsidRPr="00D92C98">
        <w:rPr>
          <w:rFonts w:cstheme="minorHAnsi"/>
          <w:sz w:val="24"/>
          <w:szCs w:val="24"/>
        </w:rPr>
        <w:t>by explaining a service users’ needs, aiming to empower the individual and to be able to talk through, empathise and problem solve; encouraging those individuals to come to an understanding of self-worth and progression.</w:t>
      </w:r>
      <w:r w:rsidR="009D5862" w:rsidRPr="00D92C98">
        <w:rPr>
          <w:rFonts w:cstheme="minorHAnsi"/>
          <w:sz w:val="24"/>
          <w:szCs w:val="24"/>
        </w:rPr>
        <w:t xml:space="preserve"> </w:t>
      </w:r>
      <w:r w:rsidR="009E3786" w:rsidRPr="00D92C98">
        <w:rPr>
          <w:rFonts w:cstheme="minorHAnsi"/>
          <w:sz w:val="24"/>
          <w:szCs w:val="24"/>
        </w:rPr>
        <w:t xml:space="preserve"> The humanistic approach improves the quality of care that social work provides as conducted by Chigangaidze (2021) and Goroff (1981) as it ensures that service users are treated with empathy and unconditional positive regard having promoted equality and dignity for each individual and the individual care plan and case. </w:t>
      </w:r>
      <w:r w:rsidR="009D5862" w:rsidRPr="00D92C98">
        <w:rPr>
          <w:rFonts w:cstheme="minorHAnsi"/>
          <w:sz w:val="24"/>
          <w:szCs w:val="24"/>
        </w:rPr>
        <w:t xml:space="preserve"> </w:t>
      </w:r>
      <w:r w:rsidR="00101B27" w:rsidRPr="00D92C98">
        <w:rPr>
          <w:rFonts w:cstheme="minorHAnsi"/>
          <w:sz w:val="24"/>
          <w:szCs w:val="24"/>
        </w:rPr>
        <w:t xml:space="preserve">Using the humanistic approach improves a social workers practise and makes the </w:t>
      </w:r>
      <w:r w:rsidR="009D5862" w:rsidRPr="00D92C98">
        <w:rPr>
          <w:rFonts w:cstheme="minorHAnsi"/>
          <w:sz w:val="24"/>
          <w:szCs w:val="24"/>
        </w:rPr>
        <w:t>day-to-day</w:t>
      </w:r>
      <w:r w:rsidR="00101B27" w:rsidRPr="00D92C98">
        <w:rPr>
          <w:rFonts w:cstheme="minorHAnsi"/>
          <w:sz w:val="24"/>
          <w:szCs w:val="24"/>
        </w:rPr>
        <w:t xml:space="preserve"> </w:t>
      </w:r>
      <w:r w:rsidR="00846304" w:rsidRPr="00D92C98">
        <w:rPr>
          <w:rFonts w:cstheme="minorHAnsi"/>
          <w:sz w:val="24"/>
          <w:szCs w:val="24"/>
        </w:rPr>
        <w:t>workload</w:t>
      </w:r>
      <w:r w:rsidR="00101B27" w:rsidRPr="00D92C98">
        <w:rPr>
          <w:rFonts w:cstheme="minorHAnsi"/>
          <w:sz w:val="24"/>
          <w:szCs w:val="24"/>
        </w:rPr>
        <w:t xml:space="preserve"> more manageable. </w:t>
      </w:r>
    </w:p>
    <w:p w14:paraId="5E09AA0B" w14:textId="283466DA" w:rsidR="000C3A14" w:rsidRPr="00D92C98" w:rsidRDefault="000C3A14" w:rsidP="00831B4E">
      <w:pPr>
        <w:spacing w:line="360" w:lineRule="auto"/>
        <w:rPr>
          <w:rFonts w:cstheme="minorHAnsi"/>
          <w:sz w:val="24"/>
          <w:szCs w:val="24"/>
        </w:rPr>
      </w:pPr>
      <w:r w:rsidRPr="00D92C98">
        <w:rPr>
          <w:rFonts w:cstheme="minorHAnsi"/>
          <w:sz w:val="24"/>
          <w:szCs w:val="24"/>
        </w:rPr>
        <w:t xml:space="preserve"> In conclusion of this assignment, the research has shown that </w:t>
      </w:r>
      <w:proofErr w:type="gramStart"/>
      <w:r w:rsidRPr="00D92C98">
        <w:rPr>
          <w:rFonts w:cstheme="minorHAnsi"/>
          <w:sz w:val="24"/>
          <w:szCs w:val="24"/>
        </w:rPr>
        <w:t>in order for</w:t>
      </w:r>
      <w:proofErr w:type="gramEnd"/>
      <w:r w:rsidRPr="00D92C98">
        <w:rPr>
          <w:rFonts w:cstheme="minorHAnsi"/>
          <w:sz w:val="24"/>
          <w:szCs w:val="24"/>
        </w:rPr>
        <w:t xml:space="preserve"> a social worker to have true empathy and to fully be able to relate to a service user, the social worker </w:t>
      </w:r>
      <w:r w:rsidR="00950DF0" w:rsidRPr="00D92C98">
        <w:rPr>
          <w:rFonts w:cstheme="minorHAnsi"/>
          <w:sz w:val="24"/>
          <w:szCs w:val="24"/>
        </w:rPr>
        <w:t>must</w:t>
      </w:r>
      <w:r w:rsidRPr="00D92C98">
        <w:rPr>
          <w:rFonts w:cstheme="minorHAnsi"/>
          <w:sz w:val="24"/>
          <w:szCs w:val="24"/>
        </w:rPr>
        <w:t xml:space="preserve"> </w:t>
      </w:r>
      <w:r w:rsidRPr="00D92C98">
        <w:rPr>
          <w:rFonts w:cstheme="minorHAnsi"/>
          <w:sz w:val="24"/>
          <w:szCs w:val="24"/>
        </w:rPr>
        <w:lastRenderedPageBreak/>
        <w:t xml:space="preserve">work with unconditional positive </w:t>
      </w:r>
      <w:r w:rsidR="00846304" w:rsidRPr="00D92C98">
        <w:rPr>
          <w:rFonts w:cstheme="minorHAnsi"/>
          <w:sz w:val="24"/>
          <w:szCs w:val="24"/>
        </w:rPr>
        <w:t>regard,</w:t>
      </w:r>
      <w:r w:rsidRPr="00D92C98">
        <w:rPr>
          <w:rFonts w:cstheme="minorHAnsi"/>
          <w:sz w:val="24"/>
          <w:szCs w:val="24"/>
        </w:rPr>
        <w:t xml:space="preserve"> ignoring all that the service user may have been through or done and never judging or acting biased due to a service user</w:t>
      </w:r>
      <w:r w:rsidR="00846304" w:rsidRPr="00D92C98">
        <w:rPr>
          <w:rFonts w:cstheme="minorHAnsi"/>
          <w:sz w:val="24"/>
          <w:szCs w:val="24"/>
        </w:rPr>
        <w:t>’</w:t>
      </w:r>
      <w:r w:rsidRPr="00D92C98">
        <w:rPr>
          <w:rFonts w:cstheme="minorHAnsi"/>
          <w:sz w:val="24"/>
          <w:szCs w:val="24"/>
        </w:rPr>
        <w:t xml:space="preserve">s previous experiences. </w:t>
      </w:r>
      <w:r w:rsidR="00950DF0" w:rsidRPr="00D92C98">
        <w:rPr>
          <w:rFonts w:cstheme="minorHAnsi"/>
          <w:sz w:val="24"/>
          <w:szCs w:val="24"/>
        </w:rPr>
        <w:t xml:space="preserve"> </w:t>
      </w:r>
      <w:r w:rsidRPr="00D92C98">
        <w:rPr>
          <w:rFonts w:cstheme="minorHAnsi"/>
          <w:sz w:val="24"/>
          <w:szCs w:val="24"/>
        </w:rPr>
        <w:t>The science behind being a social worker is understanding how the cognitive brain works, how it stores, relays and portrays information</w:t>
      </w:r>
      <w:r w:rsidR="00846304" w:rsidRPr="00D92C98">
        <w:rPr>
          <w:rFonts w:cstheme="minorHAnsi"/>
          <w:sz w:val="24"/>
          <w:szCs w:val="24"/>
        </w:rPr>
        <w:t>;</w:t>
      </w:r>
      <w:r w:rsidRPr="00D92C98">
        <w:rPr>
          <w:rFonts w:cstheme="minorHAnsi"/>
          <w:sz w:val="24"/>
          <w:szCs w:val="24"/>
        </w:rPr>
        <w:t xml:space="preserve"> This would then give the social worker an insight into why the service user may behave or respond and communicate the way that they do. </w:t>
      </w:r>
      <w:r w:rsidR="00950DF0" w:rsidRPr="00D92C98">
        <w:rPr>
          <w:rFonts w:cstheme="minorHAnsi"/>
          <w:sz w:val="24"/>
          <w:szCs w:val="24"/>
        </w:rPr>
        <w:t xml:space="preserve"> </w:t>
      </w:r>
      <w:r w:rsidRPr="00D92C98">
        <w:rPr>
          <w:rFonts w:cstheme="minorHAnsi"/>
          <w:sz w:val="24"/>
          <w:szCs w:val="24"/>
        </w:rPr>
        <w:t>Psychology plays a big part in every individual</w:t>
      </w:r>
      <w:r w:rsidR="00846304" w:rsidRPr="00D92C98">
        <w:rPr>
          <w:rFonts w:cstheme="minorHAnsi"/>
          <w:sz w:val="24"/>
          <w:szCs w:val="24"/>
        </w:rPr>
        <w:t>’</w:t>
      </w:r>
      <w:r w:rsidRPr="00D92C98">
        <w:rPr>
          <w:rFonts w:cstheme="minorHAnsi"/>
          <w:sz w:val="24"/>
          <w:szCs w:val="24"/>
        </w:rPr>
        <w:t xml:space="preserve">s day-to-day </w:t>
      </w:r>
      <w:r w:rsidR="00846304" w:rsidRPr="00D92C98">
        <w:rPr>
          <w:rFonts w:cstheme="minorHAnsi"/>
          <w:sz w:val="24"/>
          <w:szCs w:val="24"/>
        </w:rPr>
        <w:t>experience</w:t>
      </w:r>
      <w:r w:rsidRPr="00D92C98">
        <w:rPr>
          <w:rFonts w:cstheme="minorHAnsi"/>
          <w:sz w:val="24"/>
          <w:szCs w:val="24"/>
        </w:rPr>
        <w:t xml:space="preserve"> and thought processes so for social workers to have knowledge of this</w:t>
      </w:r>
      <w:r w:rsidR="00846304" w:rsidRPr="00D92C98">
        <w:rPr>
          <w:rFonts w:cstheme="minorHAnsi"/>
          <w:sz w:val="24"/>
          <w:szCs w:val="24"/>
        </w:rPr>
        <w:t>, it</w:t>
      </w:r>
      <w:r w:rsidRPr="00D92C98">
        <w:rPr>
          <w:rFonts w:cstheme="minorHAnsi"/>
          <w:sz w:val="24"/>
          <w:szCs w:val="24"/>
        </w:rPr>
        <w:t xml:space="preserve"> allows them to relate and respond in the correct manners that are needed for that c</w:t>
      </w:r>
      <w:r w:rsidR="00846304" w:rsidRPr="00D92C98">
        <w:rPr>
          <w:rFonts w:cstheme="minorHAnsi"/>
          <w:sz w:val="24"/>
          <w:szCs w:val="24"/>
        </w:rPr>
        <w:t>lient or service user</w:t>
      </w:r>
      <w:r w:rsidRPr="00D92C98">
        <w:rPr>
          <w:rFonts w:cstheme="minorHAnsi"/>
          <w:sz w:val="24"/>
          <w:szCs w:val="24"/>
        </w:rPr>
        <w:t>.</w:t>
      </w:r>
    </w:p>
    <w:p w14:paraId="7D5A9428" w14:textId="16F2B001" w:rsidR="00950DF0" w:rsidRPr="00D92C98" w:rsidRDefault="00950DF0" w:rsidP="00831B4E">
      <w:pPr>
        <w:spacing w:line="360" w:lineRule="auto"/>
        <w:rPr>
          <w:rFonts w:cstheme="minorHAnsi"/>
          <w:sz w:val="24"/>
          <w:szCs w:val="24"/>
        </w:rPr>
      </w:pPr>
    </w:p>
    <w:p w14:paraId="7756D85F" w14:textId="59B7B5B0" w:rsidR="00950DF0" w:rsidRPr="00D92C98" w:rsidRDefault="00950DF0" w:rsidP="00831B4E">
      <w:pPr>
        <w:spacing w:line="360" w:lineRule="auto"/>
        <w:rPr>
          <w:rFonts w:cstheme="minorHAnsi"/>
          <w:sz w:val="24"/>
          <w:szCs w:val="24"/>
        </w:rPr>
      </w:pPr>
    </w:p>
    <w:p w14:paraId="77C20078" w14:textId="6898EC22" w:rsidR="00950DF0" w:rsidRPr="00D92C98" w:rsidRDefault="00950DF0" w:rsidP="00831B4E">
      <w:pPr>
        <w:spacing w:line="360" w:lineRule="auto"/>
        <w:rPr>
          <w:rFonts w:cstheme="minorHAnsi"/>
          <w:sz w:val="24"/>
          <w:szCs w:val="24"/>
        </w:rPr>
      </w:pPr>
    </w:p>
    <w:p w14:paraId="4DA7CDF6" w14:textId="399528A4" w:rsidR="00950DF0" w:rsidRPr="00D92C98" w:rsidRDefault="00950DF0" w:rsidP="00831B4E">
      <w:pPr>
        <w:spacing w:line="360" w:lineRule="auto"/>
        <w:rPr>
          <w:rFonts w:cstheme="minorHAnsi"/>
          <w:sz w:val="24"/>
          <w:szCs w:val="24"/>
        </w:rPr>
      </w:pPr>
    </w:p>
    <w:p w14:paraId="2A44DFFD" w14:textId="2F51C088" w:rsidR="00950DF0" w:rsidRPr="00D92C98" w:rsidRDefault="00950DF0" w:rsidP="00831B4E">
      <w:pPr>
        <w:spacing w:line="360" w:lineRule="auto"/>
        <w:rPr>
          <w:rFonts w:cstheme="minorHAnsi"/>
          <w:sz w:val="24"/>
          <w:szCs w:val="24"/>
        </w:rPr>
      </w:pPr>
    </w:p>
    <w:p w14:paraId="6E53F027" w14:textId="253104B3" w:rsidR="00950DF0" w:rsidRPr="00D92C98" w:rsidRDefault="00950DF0" w:rsidP="00831B4E">
      <w:pPr>
        <w:spacing w:line="360" w:lineRule="auto"/>
        <w:rPr>
          <w:rFonts w:cstheme="minorHAnsi"/>
          <w:sz w:val="24"/>
          <w:szCs w:val="24"/>
        </w:rPr>
      </w:pPr>
    </w:p>
    <w:p w14:paraId="648E1CAB" w14:textId="3AEEBD90" w:rsidR="00950DF0" w:rsidRPr="00D92C98" w:rsidRDefault="00950DF0" w:rsidP="00831B4E">
      <w:pPr>
        <w:spacing w:line="360" w:lineRule="auto"/>
        <w:rPr>
          <w:rFonts w:cstheme="minorHAnsi"/>
          <w:sz w:val="24"/>
          <w:szCs w:val="24"/>
        </w:rPr>
      </w:pPr>
    </w:p>
    <w:p w14:paraId="73EB174C" w14:textId="1CE9C495" w:rsidR="00950DF0" w:rsidRPr="00D92C98" w:rsidRDefault="00950DF0" w:rsidP="00831B4E">
      <w:pPr>
        <w:spacing w:line="360" w:lineRule="auto"/>
        <w:rPr>
          <w:rFonts w:cstheme="minorHAnsi"/>
          <w:sz w:val="24"/>
          <w:szCs w:val="24"/>
        </w:rPr>
      </w:pPr>
    </w:p>
    <w:p w14:paraId="4F275947" w14:textId="3398C7C5" w:rsidR="00950DF0" w:rsidRPr="00D92C98" w:rsidRDefault="00950DF0" w:rsidP="00831B4E">
      <w:pPr>
        <w:spacing w:line="360" w:lineRule="auto"/>
        <w:rPr>
          <w:rFonts w:cstheme="minorHAnsi"/>
          <w:sz w:val="24"/>
          <w:szCs w:val="24"/>
        </w:rPr>
      </w:pPr>
    </w:p>
    <w:p w14:paraId="07349548" w14:textId="074F8DED" w:rsidR="00950DF0" w:rsidRPr="00D92C98" w:rsidRDefault="00950DF0" w:rsidP="00831B4E">
      <w:pPr>
        <w:spacing w:line="360" w:lineRule="auto"/>
        <w:rPr>
          <w:rFonts w:cstheme="minorHAnsi"/>
          <w:sz w:val="24"/>
          <w:szCs w:val="24"/>
        </w:rPr>
      </w:pPr>
    </w:p>
    <w:p w14:paraId="12047B5E" w14:textId="50FD7673" w:rsidR="00950DF0" w:rsidRPr="00D92C98" w:rsidRDefault="00950DF0" w:rsidP="00831B4E">
      <w:pPr>
        <w:spacing w:line="360" w:lineRule="auto"/>
        <w:rPr>
          <w:rFonts w:cstheme="minorHAnsi"/>
          <w:sz w:val="24"/>
          <w:szCs w:val="24"/>
        </w:rPr>
      </w:pPr>
    </w:p>
    <w:p w14:paraId="26B6078D" w14:textId="304C63AC" w:rsidR="00950DF0" w:rsidRPr="00D92C98" w:rsidRDefault="00950DF0" w:rsidP="00831B4E">
      <w:pPr>
        <w:spacing w:line="360" w:lineRule="auto"/>
        <w:rPr>
          <w:rFonts w:cstheme="minorHAnsi"/>
          <w:sz w:val="24"/>
          <w:szCs w:val="24"/>
        </w:rPr>
      </w:pPr>
    </w:p>
    <w:p w14:paraId="7D9880D7" w14:textId="5E93C39F" w:rsidR="00950DF0" w:rsidRPr="00D92C98" w:rsidRDefault="00950DF0">
      <w:pPr>
        <w:rPr>
          <w:rFonts w:cstheme="minorHAnsi"/>
          <w:sz w:val="24"/>
          <w:szCs w:val="24"/>
        </w:rPr>
      </w:pPr>
    </w:p>
    <w:p w14:paraId="1CB6F8F3" w14:textId="0C3C35CF" w:rsidR="00950DF0" w:rsidRDefault="00950DF0">
      <w:pPr>
        <w:rPr>
          <w:rFonts w:cstheme="minorHAnsi"/>
          <w:sz w:val="24"/>
          <w:szCs w:val="24"/>
        </w:rPr>
      </w:pPr>
    </w:p>
    <w:p w14:paraId="7CE8FCF8" w14:textId="77777777" w:rsidR="00D92C98" w:rsidRPr="00D92C98" w:rsidRDefault="00D92C98">
      <w:pPr>
        <w:rPr>
          <w:rFonts w:cstheme="minorHAnsi"/>
          <w:sz w:val="24"/>
          <w:szCs w:val="24"/>
        </w:rPr>
      </w:pPr>
    </w:p>
    <w:p w14:paraId="71E45E31" w14:textId="60FE7ADB" w:rsidR="00950DF0" w:rsidRPr="00D92C98" w:rsidRDefault="00950DF0">
      <w:pPr>
        <w:rPr>
          <w:rFonts w:cstheme="minorHAnsi"/>
          <w:sz w:val="24"/>
          <w:szCs w:val="24"/>
        </w:rPr>
      </w:pPr>
    </w:p>
    <w:p w14:paraId="2BB813BF" w14:textId="276ADC78" w:rsidR="00950DF0" w:rsidRDefault="00950DF0">
      <w:pPr>
        <w:rPr>
          <w:rFonts w:cstheme="minorHAnsi"/>
          <w:sz w:val="24"/>
          <w:szCs w:val="24"/>
        </w:rPr>
      </w:pPr>
    </w:p>
    <w:p w14:paraId="4998B465" w14:textId="77777777" w:rsidR="00831B4E" w:rsidRPr="00D92C98" w:rsidRDefault="00831B4E">
      <w:pPr>
        <w:rPr>
          <w:rFonts w:cstheme="minorHAnsi"/>
          <w:sz w:val="24"/>
          <w:szCs w:val="24"/>
        </w:rPr>
      </w:pPr>
    </w:p>
    <w:p w14:paraId="02971D34" w14:textId="3ED8C2F6" w:rsidR="00950DF0" w:rsidRPr="00D92C98" w:rsidRDefault="00950DF0">
      <w:pPr>
        <w:rPr>
          <w:rFonts w:cstheme="minorHAnsi"/>
          <w:sz w:val="24"/>
          <w:szCs w:val="24"/>
        </w:rPr>
      </w:pPr>
      <w:r w:rsidRPr="00D92C98">
        <w:rPr>
          <w:rFonts w:cstheme="minorHAnsi"/>
          <w:sz w:val="24"/>
          <w:szCs w:val="24"/>
        </w:rPr>
        <w:lastRenderedPageBreak/>
        <w:t>References</w:t>
      </w:r>
    </w:p>
    <w:p w14:paraId="6A26D63A" w14:textId="77777777" w:rsidR="00F60E89" w:rsidRPr="00D92C98" w:rsidRDefault="00F60E89" w:rsidP="00F60E89">
      <w:pPr>
        <w:rPr>
          <w:rFonts w:cstheme="minorHAnsi"/>
          <w:sz w:val="24"/>
          <w:szCs w:val="24"/>
          <w:shd w:val="clear" w:color="auto" w:fill="FFFFFF"/>
        </w:rPr>
      </w:pPr>
      <w:r w:rsidRPr="00D92C98">
        <w:rPr>
          <w:rFonts w:cstheme="minorHAnsi"/>
          <w:sz w:val="24"/>
          <w:szCs w:val="24"/>
          <w:shd w:val="clear" w:color="auto" w:fill="FFFFFF"/>
        </w:rPr>
        <w:t xml:space="preserve">Pérez-Álvarez, M. (2018) ‘Psychology as a Science of Subject and Comportment, beyond the Mind and </w:t>
      </w:r>
      <w:proofErr w:type="spellStart"/>
      <w:r w:rsidRPr="00D92C98">
        <w:rPr>
          <w:rFonts w:cstheme="minorHAnsi"/>
          <w:sz w:val="24"/>
          <w:szCs w:val="24"/>
          <w:shd w:val="clear" w:color="auto" w:fill="FFFFFF"/>
        </w:rPr>
        <w:t>Behavior</w:t>
      </w:r>
      <w:proofErr w:type="spellEnd"/>
      <w:r w:rsidRPr="00D92C98">
        <w:rPr>
          <w:rFonts w:cstheme="minorHAnsi"/>
          <w:sz w:val="24"/>
          <w:szCs w:val="24"/>
          <w:shd w:val="clear" w:color="auto" w:fill="FFFFFF"/>
        </w:rPr>
        <w:t>.’ </w:t>
      </w:r>
      <w:r w:rsidRPr="00D92C98">
        <w:rPr>
          <w:rFonts w:cstheme="minorHAnsi"/>
          <w:i/>
          <w:iCs/>
          <w:sz w:val="24"/>
          <w:szCs w:val="24"/>
          <w:shd w:val="clear" w:color="auto" w:fill="FFFFFF"/>
        </w:rPr>
        <w:t xml:space="preserve">Integrative psychological &amp; </w:t>
      </w:r>
      <w:proofErr w:type="spellStart"/>
      <w:r w:rsidRPr="00D92C98">
        <w:rPr>
          <w:rFonts w:cstheme="minorHAnsi"/>
          <w:i/>
          <w:iCs/>
          <w:sz w:val="24"/>
          <w:szCs w:val="24"/>
          <w:shd w:val="clear" w:color="auto" w:fill="FFFFFF"/>
        </w:rPr>
        <w:t>behavioral</w:t>
      </w:r>
      <w:proofErr w:type="spellEnd"/>
      <w:r w:rsidRPr="00D92C98">
        <w:rPr>
          <w:rFonts w:cstheme="minorHAnsi"/>
          <w:i/>
          <w:iCs/>
          <w:sz w:val="24"/>
          <w:szCs w:val="24"/>
          <w:shd w:val="clear" w:color="auto" w:fill="FFFFFF"/>
        </w:rPr>
        <w:t xml:space="preserve"> science</w:t>
      </w:r>
      <w:r w:rsidRPr="00D92C98">
        <w:rPr>
          <w:rFonts w:cstheme="minorHAnsi"/>
          <w:sz w:val="24"/>
          <w:szCs w:val="24"/>
          <w:shd w:val="clear" w:color="auto" w:fill="FFFFFF"/>
        </w:rPr>
        <w:t xml:space="preserve">, 52(1), pp. 25–51. </w:t>
      </w:r>
    </w:p>
    <w:p w14:paraId="6EF5544C" w14:textId="77777777" w:rsidR="00F60E89" w:rsidRPr="00D92C98" w:rsidRDefault="00F60E89" w:rsidP="00F60E89">
      <w:pPr>
        <w:shd w:val="clear" w:color="auto" w:fill="FFFFFF"/>
        <w:spacing w:after="0" w:line="240" w:lineRule="auto"/>
        <w:rPr>
          <w:rFonts w:eastAsia="Times New Roman" w:cstheme="minorHAnsi"/>
          <w:spacing w:val="-5"/>
          <w:kern w:val="0"/>
          <w:sz w:val="24"/>
          <w:szCs w:val="24"/>
          <w:lang w:eastAsia="en-GB"/>
          <w14:ligatures w14:val="none"/>
        </w:rPr>
      </w:pPr>
      <w:r w:rsidRPr="00D92C98">
        <w:rPr>
          <w:rFonts w:cstheme="minorHAnsi"/>
          <w:spacing w:val="-5"/>
          <w:sz w:val="24"/>
          <w:szCs w:val="24"/>
          <w:shd w:val="clear" w:color="auto" w:fill="FFFFFF"/>
        </w:rPr>
        <w:t>Titchener, E. (1921) ‘Wilhelm Wundt’</w:t>
      </w:r>
      <w:r w:rsidRPr="00D92C98">
        <w:rPr>
          <w:rFonts w:eastAsia="Times New Roman" w:cstheme="minorHAnsi"/>
          <w:spacing w:val="-5"/>
          <w:kern w:val="0"/>
          <w:sz w:val="24"/>
          <w:szCs w:val="24"/>
          <w:lang w:eastAsia="en-GB"/>
          <w14:ligatures w14:val="none"/>
        </w:rPr>
        <w:t xml:space="preserve"> </w:t>
      </w:r>
      <w:r w:rsidRPr="00D92C98">
        <w:rPr>
          <w:rFonts w:eastAsia="Times New Roman" w:cstheme="minorHAnsi"/>
          <w:i/>
          <w:iCs/>
          <w:spacing w:val="-5"/>
          <w:kern w:val="0"/>
          <w:sz w:val="24"/>
          <w:szCs w:val="24"/>
          <w:lang w:eastAsia="en-GB"/>
          <w14:ligatures w14:val="none"/>
        </w:rPr>
        <w:t>The American Journal of Psychology</w:t>
      </w:r>
      <w:r w:rsidRPr="00D92C98">
        <w:rPr>
          <w:rFonts w:eastAsia="Times New Roman" w:cstheme="minorHAnsi"/>
          <w:spacing w:val="-5"/>
          <w:kern w:val="0"/>
          <w:sz w:val="24"/>
          <w:szCs w:val="24"/>
          <w:lang w:eastAsia="en-GB"/>
          <w14:ligatures w14:val="none"/>
        </w:rPr>
        <w:t>. 32(2), pp. 161-178</w:t>
      </w:r>
    </w:p>
    <w:p w14:paraId="54AFD0A8" w14:textId="77777777" w:rsidR="00F60E89" w:rsidRPr="00D92C98" w:rsidRDefault="00F60E89" w:rsidP="00F60E89">
      <w:pPr>
        <w:shd w:val="clear" w:color="auto" w:fill="FFFFFF"/>
        <w:spacing w:after="0" w:line="240" w:lineRule="auto"/>
        <w:rPr>
          <w:rFonts w:eastAsia="Times New Roman" w:cstheme="minorHAnsi"/>
          <w:kern w:val="0"/>
          <w:sz w:val="24"/>
          <w:szCs w:val="24"/>
          <w:bdr w:val="none" w:sz="0" w:space="0" w:color="auto" w:frame="1"/>
          <w:lang w:eastAsia="en-GB"/>
          <w14:ligatures w14:val="none"/>
        </w:rPr>
      </w:pPr>
    </w:p>
    <w:p w14:paraId="77E4B058" w14:textId="77777777" w:rsidR="00F60E89" w:rsidRPr="00D92C98" w:rsidRDefault="00F60E89" w:rsidP="00F60E89">
      <w:pPr>
        <w:shd w:val="clear" w:color="auto" w:fill="FFFFFF"/>
        <w:spacing w:after="0" w:line="240" w:lineRule="auto"/>
        <w:rPr>
          <w:rFonts w:eastAsia="Times New Roman" w:cstheme="minorHAnsi"/>
          <w:i/>
          <w:iCs/>
          <w:kern w:val="0"/>
          <w:sz w:val="24"/>
          <w:szCs w:val="24"/>
          <w:bdr w:val="none" w:sz="0" w:space="0" w:color="auto" w:frame="1"/>
          <w:lang w:eastAsia="en-GB"/>
          <w14:ligatures w14:val="none"/>
        </w:rPr>
      </w:pPr>
      <w:r w:rsidRPr="00D92C98">
        <w:rPr>
          <w:rFonts w:eastAsia="Times New Roman" w:cstheme="minorHAnsi"/>
          <w:kern w:val="0"/>
          <w:sz w:val="24"/>
          <w:szCs w:val="24"/>
          <w:bdr w:val="none" w:sz="0" w:space="0" w:color="auto" w:frame="1"/>
          <w:lang w:eastAsia="en-GB"/>
          <w14:ligatures w14:val="none"/>
        </w:rPr>
        <w:t xml:space="preserve">Gruman, J. and Budworth, M. (2022) ‘Positive psychology and human resource management: Building an HR architecture to support human flourishing’ </w:t>
      </w:r>
      <w:r w:rsidRPr="00D92C98">
        <w:rPr>
          <w:rFonts w:eastAsia="Times New Roman" w:cstheme="minorHAnsi"/>
          <w:i/>
          <w:iCs/>
          <w:kern w:val="0"/>
          <w:sz w:val="24"/>
          <w:szCs w:val="24"/>
          <w:bdr w:val="none" w:sz="0" w:space="0" w:color="auto" w:frame="1"/>
          <w:lang w:eastAsia="en-GB"/>
          <w14:ligatures w14:val="none"/>
        </w:rPr>
        <w:t>Human Resource Management Review.</w:t>
      </w:r>
    </w:p>
    <w:p w14:paraId="1B4E0EB7" w14:textId="77777777" w:rsidR="00F60E89" w:rsidRPr="00D92C98" w:rsidRDefault="00F60E89" w:rsidP="00F60E89">
      <w:pPr>
        <w:shd w:val="clear" w:color="auto" w:fill="FFFFFF"/>
        <w:spacing w:after="0" w:line="240" w:lineRule="auto"/>
        <w:rPr>
          <w:rFonts w:eastAsia="Times New Roman" w:cstheme="minorHAnsi"/>
          <w:i/>
          <w:iCs/>
          <w:kern w:val="0"/>
          <w:sz w:val="24"/>
          <w:szCs w:val="24"/>
          <w:bdr w:val="none" w:sz="0" w:space="0" w:color="auto" w:frame="1"/>
          <w:lang w:eastAsia="en-GB"/>
          <w14:ligatures w14:val="none"/>
        </w:rPr>
      </w:pPr>
    </w:p>
    <w:p w14:paraId="1C9747F1" w14:textId="77777777" w:rsidR="00F60E89" w:rsidRPr="00D92C98" w:rsidRDefault="00F60E89" w:rsidP="00F60E89">
      <w:pPr>
        <w:shd w:val="clear" w:color="auto" w:fill="FFFFFF"/>
        <w:spacing w:after="0" w:line="240" w:lineRule="auto"/>
        <w:rPr>
          <w:rFonts w:cstheme="minorHAnsi"/>
          <w:sz w:val="24"/>
          <w:szCs w:val="24"/>
          <w:shd w:val="clear" w:color="auto" w:fill="FFFFFF"/>
        </w:rPr>
      </w:pPr>
      <w:r w:rsidRPr="00D92C98">
        <w:rPr>
          <w:rFonts w:cstheme="minorHAnsi"/>
          <w:sz w:val="24"/>
          <w:szCs w:val="24"/>
          <w:shd w:val="clear" w:color="auto" w:fill="FFFFFF"/>
        </w:rPr>
        <w:t>Marks, D. (1996) ‘Health Psychology in Context.’ </w:t>
      </w:r>
      <w:r w:rsidRPr="00D92C98">
        <w:rPr>
          <w:rFonts w:cstheme="minorHAnsi"/>
          <w:i/>
          <w:iCs/>
          <w:sz w:val="24"/>
          <w:szCs w:val="24"/>
          <w:shd w:val="clear" w:color="auto" w:fill="FFFFFF"/>
        </w:rPr>
        <w:t>Journal of Health Psychology</w:t>
      </w:r>
      <w:r w:rsidRPr="00D92C98">
        <w:rPr>
          <w:rFonts w:cstheme="minorHAnsi"/>
          <w:sz w:val="24"/>
          <w:szCs w:val="24"/>
          <w:shd w:val="clear" w:color="auto" w:fill="FFFFFF"/>
        </w:rPr>
        <w:t>, 1(1), pp. 7–21.</w:t>
      </w:r>
    </w:p>
    <w:p w14:paraId="72AFAAA3" w14:textId="77777777" w:rsidR="00F60E89" w:rsidRPr="00D92C98" w:rsidRDefault="00F60E89" w:rsidP="00F60E89">
      <w:pPr>
        <w:shd w:val="clear" w:color="auto" w:fill="FFFFFF"/>
        <w:spacing w:after="0" w:line="240" w:lineRule="auto"/>
        <w:rPr>
          <w:rFonts w:cstheme="minorHAnsi"/>
          <w:sz w:val="24"/>
          <w:szCs w:val="24"/>
          <w:shd w:val="clear" w:color="auto" w:fill="FFFFFF"/>
        </w:rPr>
      </w:pPr>
    </w:p>
    <w:p w14:paraId="583210FF" w14:textId="77777777" w:rsidR="00F60E89" w:rsidRPr="00D92C98" w:rsidRDefault="00F60E89" w:rsidP="00F60E89">
      <w:pPr>
        <w:shd w:val="clear" w:color="auto" w:fill="FFFFFF"/>
        <w:spacing w:after="0" w:line="240" w:lineRule="auto"/>
        <w:rPr>
          <w:rFonts w:cstheme="minorHAnsi"/>
          <w:sz w:val="24"/>
          <w:szCs w:val="24"/>
          <w:shd w:val="clear" w:color="auto" w:fill="FFFFFF"/>
        </w:rPr>
      </w:pPr>
      <w:r w:rsidRPr="00D92C98">
        <w:rPr>
          <w:rFonts w:cstheme="minorHAnsi"/>
          <w:sz w:val="24"/>
          <w:szCs w:val="24"/>
          <w:shd w:val="clear" w:color="auto" w:fill="FFFFFF"/>
        </w:rPr>
        <w:t>Hepworth, J. (2004) ‘Public Health Psychology: A Conceptual and Practical Framework.’ </w:t>
      </w:r>
      <w:r w:rsidRPr="00D92C98">
        <w:rPr>
          <w:rFonts w:cstheme="minorHAnsi"/>
          <w:i/>
          <w:iCs/>
          <w:sz w:val="24"/>
          <w:szCs w:val="24"/>
          <w:shd w:val="clear" w:color="auto" w:fill="FFFFFF"/>
        </w:rPr>
        <w:t>Journal of Health Psychology</w:t>
      </w:r>
      <w:r w:rsidRPr="00D92C98">
        <w:rPr>
          <w:rFonts w:cstheme="minorHAnsi"/>
          <w:sz w:val="24"/>
          <w:szCs w:val="24"/>
          <w:shd w:val="clear" w:color="auto" w:fill="FFFFFF"/>
        </w:rPr>
        <w:t>, 9(1), pp. 41–54.</w:t>
      </w:r>
    </w:p>
    <w:p w14:paraId="13C2E221" w14:textId="77777777" w:rsidR="00F60E89" w:rsidRPr="00D92C98" w:rsidRDefault="00F60E89" w:rsidP="00F60E89">
      <w:pPr>
        <w:shd w:val="clear" w:color="auto" w:fill="FFFFFF"/>
        <w:spacing w:after="0" w:line="240" w:lineRule="auto"/>
        <w:rPr>
          <w:rFonts w:cstheme="minorHAnsi"/>
          <w:sz w:val="24"/>
          <w:szCs w:val="24"/>
          <w:shd w:val="clear" w:color="auto" w:fill="FFFFFF"/>
        </w:rPr>
      </w:pPr>
    </w:p>
    <w:p w14:paraId="3669B726" w14:textId="77777777" w:rsidR="00F60E89" w:rsidRPr="00D92C98" w:rsidRDefault="00F60E89" w:rsidP="00F60E89">
      <w:pPr>
        <w:shd w:val="clear" w:color="auto" w:fill="FFFFFF"/>
        <w:spacing w:after="0" w:line="240" w:lineRule="auto"/>
        <w:rPr>
          <w:rFonts w:cstheme="minorHAnsi"/>
          <w:i/>
          <w:iCs/>
          <w:sz w:val="24"/>
          <w:szCs w:val="24"/>
          <w:shd w:val="clear" w:color="auto" w:fill="FFFFFF"/>
        </w:rPr>
      </w:pPr>
      <w:r w:rsidRPr="00D92C98">
        <w:rPr>
          <w:rFonts w:cstheme="minorHAnsi"/>
          <w:sz w:val="24"/>
          <w:szCs w:val="24"/>
          <w:shd w:val="clear" w:color="auto" w:fill="FFFFFF"/>
        </w:rPr>
        <w:t>Asquith, S., Clark, C. and Waterhouse, L. (2005). </w:t>
      </w:r>
      <w:r w:rsidRPr="00D92C98">
        <w:rPr>
          <w:rFonts w:cstheme="minorHAnsi"/>
          <w:i/>
          <w:iCs/>
          <w:sz w:val="24"/>
          <w:szCs w:val="24"/>
          <w:shd w:val="clear" w:color="auto" w:fill="FFFFFF"/>
        </w:rPr>
        <w:t xml:space="preserve">The role of the social worker in the 21st </w:t>
      </w:r>
    </w:p>
    <w:p w14:paraId="10A3F843" w14:textId="77777777" w:rsidR="00F60E89" w:rsidRPr="00D92C98" w:rsidRDefault="00F60E89" w:rsidP="00F60E89">
      <w:pPr>
        <w:shd w:val="clear" w:color="auto" w:fill="FFFFFF"/>
        <w:spacing w:after="0" w:line="240" w:lineRule="auto"/>
        <w:rPr>
          <w:rFonts w:cstheme="minorHAnsi"/>
          <w:sz w:val="24"/>
          <w:szCs w:val="24"/>
          <w:shd w:val="clear" w:color="auto" w:fill="FFFFFF"/>
        </w:rPr>
      </w:pPr>
      <w:r w:rsidRPr="00D92C98">
        <w:rPr>
          <w:rFonts w:cstheme="minorHAnsi"/>
          <w:i/>
          <w:iCs/>
          <w:sz w:val="24"/>
          <w:szCs w:val="24"/>
          <w:shd w:val="clear" w:color="auto" w:fill="FFFFFF"/>
        </w:rPr>
        <w:t>century: A literature review</w:t>
      </w:r>
      <w:r w:rsidRPr="00D92C98">
        <w:rPr>
          <w:rFonts w:cstheme="minorHAnsi"/>
          <w:sz w:val="24"/>
          <w:szCs w:val="24"/>
          <w:shd w:val="clear" w:color="auto" w:fill="FFFFFF"/>
        </w:rPr>
        <w:t>. Edinburgh: Scottish Executive Education Department.</w:t>
      </w:r>
    </w:p>
    <w:p w14:paraId="7D77D271" w14:textId="77777777" w:rsidR="00F60E89" w:rsidRPr="00D92C98" w:rsidRDefault="00F60E89" w:rsidP="00F60E89">
      <w:pPr>
        <w:shd w:val="clear" w:color="auto" w:fill="FFFFFF"/>
        <w:spacing w:after="0" w:line="240" w:lineRule="auto"/>
        <w:rPr>
          <w:rFonts w:cstheme="minorHAnsi"/>
          <w:sz w:val="24"/>
          <w:szCs w:val="24"/>
          <w:shd w:val="clear" w:color="auto" w:fill="FFFFFF"/>
        </w:rPr>
      </w:pPr>
    </w:p>
    <w:p w14:paraId="78D12A6A" w14:textId="77777777" w:rsidR="00F60E89" w:rsidRPr="00D92C98" w:rsidRDefault="00F60E89" w:rsidP="00F60E89">
      <w:pPr>
        <w:shd w:val="clear" w:color="auto" w:fill="FFFFFF"/>
        <w:spacing w:after="0" w:line="240" w:lineRule="auto"/>
        <w:rPr>
          <w:rFonts w:eastAsia="Times New Roman" w:cstheme="minorHAnsi"/>
          <w:kern w:val="0"/>
          <w:sz w:val="24"/>
          <w:szCs w:val="24"/>
          <w:bdr w:val="none" w:sz="0" w:space="0" w:color="auto" w:frame="1"/>
          <w:lang w:eastAsia="en-GB"/>
          <w14:ligatures w14:val="none"/>
        </w:rPr>
      </w:pPr>
      <w:r w:rsidRPr="00D92C98">
        <w:rPr>
          <w:rFonts w:eastAsia="Times New Roman" w:cstheme="minorHAnsi"/>
          <w:kern w:val="0"/>
          <w:sz w:val="24"/>
          <w:szCs w:val="24"/>
          <w:bdr w:val="none" w:sz="0" w:space="0" w:color="auto" w:frame="1"/>
          <w:lang w:eastAsia="en-GB"/>
          <w14:ligatures w14:val="none"/>
        </w:rPr>
        <w:t xml:space="preserve">Cree, V. (2013) </w:t>
      </w:r>
      <w:r w:rsidRPr="00D92C98">
        <w:rPr>
          <w:rFonts w:eastAsia="Times New Roman" w:cstheme="minorHAnsi"/>
          <w:i/>
          <w:iCs/>
          <w:kern w:val="0"/>
          <w:sz w:val="24"/>
          <w:szCs w:val="24"/>
          <w:bdr w:val="none" w:sz="0" w:space="0" w:color="auto" w:frame="1"/>
          <w:lang w:eastAsia="en-GB"/>
          <w14:ligatures w14:val="none"/>
        </w:rPr>
        <w:t>Becoming a Social Worker: Global Narratives</w:t>
      </w:r>
      <w:r w:rsidRPr="00D92C98">
        <w:rPr>
          <w:rFonts w:eastAsia="Times New Roman" w:cstheme="minorHAnsi"/>
          <w:kern w:val="0"/>
          <w:sz w:val="24"/>
          <w:szCs w:val="24"/>
          <w:bdr w:val="none" w:sz="0" w:space="0" w:color="auto" w:frame="1"/>
          <w:lang w:eastAsia="en-GB"/>
          <w14:ligatures w14:val="none"/>
        </w:rPr>
        <w:t>. Abingdon: Taylor &amp; Francis.</w:t>
      </w:r>
    </w:p>
    <w:p w14:paraId="0B551DF8" w14:textId="77777777" w:rsidR="00F60E89" w:rsidRPr="00D92C98" w:rsidRDefault="00F60E89" w:rsidP="00F60E89">
      <w:pPr>
        <w:shd w:val="clear" w:color="auto" w:fill="FFFFFF"/>
        <w:spacing w:after="0" w:line="240" w:lineRule="auto"/>
        <w:rPr>
          <w:rFonts w:eastAsia="Times New Roman" w:cstheme="minorHAnsi"/>
          <w:kern w:val="0"/>
          <w:sz w:val="24"/>
          <w:szCs w:val="24"/>
          <w:bdr w:val="none" w:sz="0" w:space="0" w:color="auto" w:frame="1"/>
          <w:lang w:eastAsia="en-GB"/>
          <w14:ligatures w14:val="none"/>
        </w:rPr>
      </w:pPr>
    </w:p>
    <w:p w14:paraId="5B6B7780" w14:textId="77777777" w:rsidR="00F60E89" w:rsidRPr="00D92C98" w:rsidRDefault="00F60E89" w:rsidP="00F60E89">
      <w:pPr>
        <w:shd w:val="clear" w:color="auto" w:fill="FFFFFF"/>
        <w:spacing w:after="0" w:line="240" w:lineRule="auto"/>
        <w:rPr>
          <w:rFonts w:cstheme="minorHAnsi"/>
          <w:i/>
          <w:iCs/>
          <w:sz w:val="24"/>
          <w:szCs w:val="24"/>
          <w:shd w:val="clear" w:color="auto" w:fill="FFFFFF"/>
        </w:rPr>
      </w:pPr>
      <w:proofErr w:type="spellStart"/>
      <w:r w:rsidRPr="00D92C98">
        <w:rPr>
          <w:rFonts w:cstheme="minorHAnsi"/>
          <w:sz w:val="24"/>
          <w:szCs w:val="24"/>
          <w:shd w:val="clear" w:color="auto" w:fill="FFFFFF"/>
        </w:rPr>
        <w:t>Saddichha</w:t>
      </w:r>
      <w:proofErr w:type="spellEnd"/>
      <w:r w:rsidRPr="00D92C98">
        <w:rPr>
          <w:rFonts w:cstheme="minorHAnsi"/>
          <w:sz w:val="24"/>
          <w:szCs w:val="24"/>
          <w:shd w:val="clear" w:color="auto" w:fill="FFFFFF"/>
        </w:rPr>
        <w:t>, S., Kumar, A. and Pradhan, N. (2012). ‘Cognitive schemas among mental health professionals: Adaptive or maladaptive?’ </w:t>
      </w:r>
      <w:r w:rsidRPr="00D92C98">
        <w:rPr>
          <w:rFonts w:cstheme="minorHAnsi"/>
          <w:i/>
          <w:iCs/>
          <w:sz w:val="24"/>
          <w:szCs w:val="24"/>
          <w:shd w:val="clear" w:color="auto" w:fill="FFFFFF"/>
        </w:rPr>
        <w:t>Journal of research in medical sciences: the official journal of Isfahan University of Medical Sciences</w:t>
      </w:r>
      <w:r w:rsidRPr="00D92C98">
        <w:rPr>
          <w:rFonts w:cstheme="minorHAnsi"/>
          <w:sz w:val="24"/>
          <w:szCs w:val="24"/>
          <w:shd w:val="clear" w:color="auto" w:fill="FFFFFF"/>
        </w:rPr>
        <w:t>, 17(6), pp. 523–526.</w:t>
      </w:r>
    </w:p>
    <w:p w14:paraId="44D4637C" w14:textId="77777777" w:rsidR="00F60E89" w:rsidRPr="00D92C98" w:rsidRDefault="00F60E89" w:rsidP="00F60E89">
      <w:pPr>
        <w:shd w:val="clear" w:color="auto" w:fill="FFFFFF"/>
        <w:spacing w:after="0" w:line="240" w:lineRule="auto"/>
        <w:rPr>
          <w:rFonts w:cstheme="minorHAnsi"/>
          <w:sz w:val="24"/>
          <w:szCs w:val="24"/>
          <w:shd w:val="clear" w:color="auto" w:fill="FFFFFF"/>
        </w:rPr>
      </w:pPr>
    </w:p>
    <w:p w14:paraId="22F95ACC" w14:textId="77777777" w:rsidR="00F60E89" w:rsidRPr="00D92C98" w:rsidRDefault="00F60E89" w:rsidP="00F60E89">
      <w:pPr>
        <w:shd w:val="clear" w:color="auto" w:fill="FFFFFF"/>
        <w:spacing w:after="0" w:line="240" w:lineRule="auto"/>
        <w:rPr>
          <w:rFonts w:cstheme="minorHAnsi"/>
          <w:sz w:val="24"/>
          <w:szCs w:val="24"/>
          <w:shd w:val="clear" w:color="auto" w:fill="FFFFFF"/>
        </w:rPr>
      </w:pPr>
      <w:r w:rsidRPr="00D92C98">
        <w:rPr>
          <w:rFonts w:cstheme="minorHAnsi"/>
          <w:sz w:val="24"/>
          <w:szCs w:val="24"/>
          <w:shd w:val="clear" w:color="auto" w:fill="FFFFFF"/>
        </w:rPr>
        <w:t>Saxena, A. and Chandrapal, S. (2022) ‘Social Work and Policy Practice: Understanding the Role of Social Workers’ </w:t>
      </w:r>
      <w:r w:rsidRPr="00D92C98">
        <w:rPr>
          <w:rStyle w:val="Emphasis"/>
          <w:rFonts w:cstheme="minorHAnsi"/>
          <w:sz w:val="24"/>
          <w:szCs w:val="24"/>
          <w:bdr w:val="none" w:sz="0" w:space="0" w:color="auto" w:frame="1"/>
          <w:shd w:val="clear" w:color="auto" w:fill="FFFFFF"/>
        </w:rPr>
        <w:t>The British Journal of Social Work</w:t>
      </w:r>
      <w:r w:rsidRPr="00D92C98">
        <w:rPr>
          <w:rFonts w:cstheme="minorHAnsi"/>
          <w:sz w:val="24"/>
          <w:szCs w:val="24"/>
          <w:shd w:val="clear" w:color="auto" w:fill="FFFFFF"/>
        </w:rPr>
        <w:t>, 52(3), pp 1632–1642.</w:t>
      </w:r>
    </w:p>
    <w:p w14:paraId="531D1A47" w14:textId="77777777" w:rsidR="00F60E89" w:rsidRPr="00D92C98" w:rsidRDefault="00F60E89" w:rsidP="00F60E89">
      <w:pPr>
        <w:shd w:val="clear" w:color="auto" w:fill="FFFFFF"/>
        <w:spacing w:after="0" w:line="240" w:lineRule="auto"/>
        <w:rPr>
          <w:rFonts w:cstheme="minorHAnsi"/>
          <w:sz w:val="24"/>
          <w:szCs w:val="24"/>
          <w:shd w:val="clear" w:color="auto" w:fill="FFFFFF"/>
        </w:rPr>
      </w:pPr>
    </w:p>
    <w:p w14:paraId="1E85EB4A" w14:textId="77777777" w:rsidR="00F60E89" w:rsidRPr="00D92C98" w:rsidRDefault="00F60E89" w:rsidP="00F60E89">
      <w:pPr>
        <w:shd w:val="clear" w:color="auto" w:fill="FFFFFF"/>
        <w:spacing w:after="0" w:line="240" w:lineRule="auto"/>
        <w:rPr>
          <w:rFonts w:eastAsia="Times New Roman" w:cstheme="minorHAnsi"/>
          <w:spacing w:val="-5"/>
          <w:kern w:val="0"/>
          <w:sz w:val="24"/>
          <w:szCs w:val="24"/>
          <w:lang w:eastAsia="en-GB"/>
          <w14:ligatures w14:val="none"/>
        </w:rPr>
      </w:pPr>
      <w:r w:rsidRPr="00D92C98">
        <w:rPr>
          <w:rFonts w:eastAsia="Times New Roman" w:cstheme="minorHAnsi"/>
          <w:spacing w:val="-5"/>
          <w:kern w:val="0"/>
          <w:sz w:val="24"/>
          <w:szCs w:val="24"/>
          <w:lang w:eastAsia="en-GB"/>
          <w14:ligatures w14:val="none"/>
        </w:rPr>
        <w:t xml:space="preserve">Coffey, M., </w:t>
      </w:r>
      <w:proofErr w:type="spellStart"/>
      <w:proofErr w:type="gramStart"/>
      <w:r w:rsidRPr="00D92C98">
        <w:rPr>
          <w:rFonts w:eastAsia="Times New Roman" w:cstheme="minorHAnsi"/>
          <w:spacing w:val="-5"/>
          <w:kern w:val="0"/>
          <w:sz w:val="24"/>
          <w:szCs w:val="24"/>
          <w:lang w:eastAsia="en-GB"/>
          <w14:ligatures w14:val="none"/>
        </w:rPr>
        <w:t>Dugdill,L</w:t>
      </w:r>
      <w:proofErr w:type="spellEnd"/>
      <w:r w:rsidRPr="00D92C98">
        <w:rPr>
          <w:rFonts w:eastAsia="Times New Roman" w:cstheme="minorHAnsi"/>
          <w:spacing w:val="-5"/>
          <w:kern w:val="0"/>
          <w:sz w:val="24"/>
          <w:szCs w:val="24"/>
          <w:lang w:eastAsia="en-GB"/>
          <w14:ligatures w14:val="none"/>
        </w:rPr>
        <w:t>.</w:t>
      </w:r>
      <w:proofErr w:type="gramEnd"/>
      <w:r w:rsidRPr="00D92C98">
        <w:rPr>
          <w:rFonts w:eastAsia="Times New Roman" w:cstheme="minorHAnsi"/>
          <w:spacing w:val="-5"/>
          <w:kern w:val="0"/>
          <w:sz w:val="24"/>
          <w:szCs w:val="24"/>
          <w:lang w:eastAsia="en-GB"/>
          <w14:ligatures w14:val="none"/>
        </w:rPr>
        <w:t xml:space="preserve"> and Tattersall, A. (2004) </w:t>
      </w:r>
      <w:r w:rsidRPr="00D92C98">
        <w:rPr>
          <w:rFonts w:eastAsia="Times New Roman" w:cstheme="minorHAnsi"/>
          <w:i/>
          <w:iCs/>
          <w:spacing w:val="-5"/>
          <w:kern w:val="0"/>
          <w:sz w:val="24"/>
          <w:szCs w:val="24"/>
          <w:lang w:eastAsia="en-GB"/>
          <w14:ligatures w14:val="none"/>
        </w:rPr>
        <w:t>The British Journal of Social Work</w:t>
      </w:r>
      <w:r w:rsidRPr="00D92C98">
        <w:rPr>
          <w:rFonts w:eastAsia="Times New Roman" w:cstheme="minorHAnsi"/>
          <w:spacing w:val="-5"/>
          <w:kern w:val="0"/>
          <w:sz w:val="24"/>
          <w:szCs w:val="24"/>
          <w:lang w:eastAsia="en-GB"/>
          <w14:ligatures w14:val="none"/>
        </w:rPr>
        <w:t>. 34(5) pp. 735-746 London: Oxford University Press.</w:t>
      </w:r>
    </w:p>
    <w:p w14:paraId="12A03307" w14:textId="77777777" w:rsidR="00F60E89" w:rsidRPr="00D92C98" w:rsidRDefault="00F60E89" w:rsidP="00F60E89">
      <w:pPr>
        <w:shd w:val="clear" w:color="auto" w:fill="FFFFFF"/>
        <w:spacing w:after="0" w:line="240" w:lineRule="auto"/>
        <w:rPr>
          <w:rFonts w:eastAsia="Times New Roman" w:cstheme="minorHAnsi"/>
          <w:kern w:val="0"/>
          <w:sz w:val="24"/>
          <w:szCs w:val="24"/>
          <w:bdr w:val="none" w:sz="0" w:space="0" w:color="auto" w:frame="1"/>
          <w:lang w:eastAsia="en-GB"/>
          <w14:ligatures w14:val="none"/>
        </w:rPr>
      </w:pPr>
    </w:p>
    <w:p w14:paraId="26D24F6A" w14:textId="77777777" w:rsidR="00F60E89" w:rsidRPr="00D92C98" w:rsidRDefault="00F60E89" w:rsidP="00F60E89">
      <w:pPr>
        <w:shd w:val="clear" w:color="auto" w:fill="FFFFFF"/>
        <w:spacing w:after="0" w:line="240" w:lineRule="auto"/>
        <w:rPr>
          <w:rFonts w:eastAsia="Times New Roman" w:cstheme="minorHAnsi"/>
          <w:kern w:val="0"/>
          <w:sz w:val="24"/>
          <w:szCs w:val="24"/>
          <w:bdr w:val="none" w:sz="0" w:space="0" w:color="auto" w:frame="1"/>
          <w:lang w:eastAsia="en-GB"/>
          <w14:ligatures w14:val="none"/>
        </w:rPr>
      </w:pPr>
      <w:r w:rsidRPr="00D92C98">
        <w:rPr>
          <w:rStyle w:val="authors"/>
          <w:rFonts w:cstheme="minorHAnsi"/>
          <w:sz w:val="24"/>
          <w:szCs w:val="24"/>
          <w:shd w:val="clear" w:color="auto" w:fill="FFFFFF"/>
        </w:rPr>
        <w:t>Lloyd, C., King, R. and Chenoweth, L.</w:t>
      </w:r>
      <w:r w:rsidRPr="00D92C98">
        <w:rPr>
          <w:rFonts w:cstheme="minorHAnsi"/>
          <w:sz w:val="24"/>
          <w:szCs w:val="24"/>
          <w:shd w:val="clear" w:color="auto" w:fill="FFFFFF"/>
        </w:rPr>
        <w:t> </w:t>
      </w:r>
      <w:r w:rsidRPr="00D92C98">
        <w:rPr>
          <w:rStyle w:val="date"/>
          <w:rFonts w:cstheme="minorHAnsi"/>
          <w:sz w:val="24"/>
          <w:szCs w:val="24"/>
          <w:shd w:val="clear" w:color="auto" w:fill="FFFFFF"/>
        </w:rPr>
        <w:t>(2002)</w:t>
      </w:r>
      <w:r w:rsidRPr="00D92C98">
        <w:rPr>
          <w:rFonts w:cstheme="minorHAnsi"/>
          <w:sz w:val="24"/>
          <w:szCs w:val="24"/>
          <w:shd w:val="clear" w:color="auto" w:fill="FFFFFF"/>
        </w:rPr>
        <w:t> ‘</w:t>
      </w:r>
      <w:r w:rsidRPr="00D92C98">
        <w:rPr>
          <w:rStyle w:val="arttitle"/>
          <w:rFonts w:cstheme="minorHAnsi"/>
          <w:sz w:val="24"/>
          <w:szCs w:val="24"/>
          <w:shd w:val="clear" w:color="auto" w:fill="FFFFFF"/>
        </w:rPr>
        <w:t>Social work, stress and burnout: A review,’</w:t>
      </w:r>
      <w:r w:rsidRPr="00D92C98">
        <w:rPr>
          <w:rFonts w:cstheme="minorHAnsi"/>
          <w:sz w:val="24"/>
          <w:szCs w:val="24"/>
          <w:shd w:val="clear" w:color="auto" w:fill="FFFFFF"/>
        </w:rPr>
        <w:t> </w:t>
      </w:r>
      <w:r w:rsidRPr="00D92C98">
        <w:rPr>
          <w:rStyle w:val="serialtitle"/>
          <w:rFonts w:cstheme="minorHAnsi"/>
          <w:i/>
          <w:iCs/>
          <w:sz w:val="24"/>
          <w:szCs w:val="24"/>
          <w:shd w:val="clear" w:color="auto" w:fill="FFFFFF"/>
        </w:rPr>
        <w:t>Journal of Mental Health</w:t>
      </w:r>
      <w:r w:rsidRPr="00D92C98">
        <w:rPr>
          <w:rStyle w:val="serialtitle"/>
          <w:rFonts w:cstheme="minorHAnsi"/>
          <w:sz w:val="24"/>
          <w:szCs w:val="24"/>
          <w:shd w:val="clear" w:color="auto" w:fill="FFFFFF"/>
        </w:rPr>
        <w:t>,</w:t>
      </w:r>
      <w:r w:rsidRPr="00D92C98">
        <w:rPr>
          <w:rFonts w:cstheme="minorHAnsi"/>
          <w:sz w:val="24"/>
          <w:szCs w:val="24"/>
          <w:shd w:val="clear" w:color="auto" w:fill="FFFFFF"/>
        </w:rPr>
        <w:t> </w:t>
      </w:r>
      <w:r w:rsidRPr="00D92C98">
        <w:rPr>
          <w:rStyle w:val="volumeissue"/>
          <w:rFonts w:cstheme="minorHAnsi"/>
          <w:sz w:val="24"/>
          <w:szCs w:val="24"/>
          <w:shd w:val="clear" w:color="auto" w:fill="FFFFFF"/>
        </w:rPr>
        <w:t>11(3),</w:t>
      </w:r>
      <w:r w:rsidRPr="00D92C98">
        <w:rPr>
          <w:rFonts w:cstheme="minorHAnsi"/>
          <w:sz w:val="24"/>
          <w:szCs w:val="24"/>
          <w:shd w:val="clear" w:color="auto" w:fill="FFFFFF"/>
        </w:rPr>
        <w:t xml:space="preserve"> pp. </w:t>
      </w:r>
      <w:r w:rsidRPr="00D92C98">
        <w:rPr>
          <w:rStyle w:val="pagerange"/>
          <w:rFonts w:cstheme="minorHAnsi"/>
          <w:sz w:val="24"/>
          <w:szCs w:val="24"/>
          <w:shd w:val="clear" w:color="auto" w:fill="FFFFFF"/>
        </w:rPr>
        <w:t>255-265.</w:t>
      </w:r>
    </w:p>
    <w:p w14:paraId="6D3D4E00" w14:textId="77777777" w:rsidR="00F60E89" w:rsidRPr="00D92C98" w:rsidRDefault="00F60E89" w:rsidP="00F60E89">
      <w:pPr>
        <w:shd w:val="clear" w:color="auto" w:fill="FFFFFF"/>
        <w:spacing w:after="0" w:line="240" w:lineRule="auto"/>
        <w:rPr>
          <w:rFonts w:eastAsia="Times New Roman" w:cstheme="minorHAnsi"/>
          <w:kern w:val="0"/>
          <w:sz w:val="24"/>
          <w:szCs w:val="24"/>
          <w:bdr w:val="none" w:sz="0" w:space="0" w:color="auto" w:frame="1"/>
          <w:lang w:eastAsia="en-GB"/>
          <w14:ligatures w14:val="none"/>
        </w:rPr>
      </w:pPr>
    </w:p>
    <w:p w14:paraId="63E6548D" w14:textId="77777777" w:rsidR="00F60E89" w:rsidRPr="00D92C98" w:rsidRDefault="00F60E89" w:rsidP="00F60E89">
      <w:pPr>
        <w:shd w:val="clear" w:color="auto" w:fill="FFFFFF"/>
        <w:spacing w:after="0" w:line="240" w:lineRule="auto"/>
        <w:rPr>
          <w:rFonts w:cstheme="minorHAnsi"/>
          <w:sz w:val="24"/>
          <w:szCs w:val="24"/>
          <w:shd w:val="clear" w:color="auto" w:fill="FFFFFF"/>
        </w:rPr>
      </w:pPr>
      <w:r w:rsidRPr="00D92C98">
        <w:rPr>
          <w:rFonts w:cstheme="minorHAnsi"/>
          <w:sz w:val="24"/>
          <w:szCs w:val="24"/>
          <w:shd w:val="clear" w:color="auto" w:fill="FFFFFF"/>
        </w:rPr>
        <w:t xml:space="preserve">Atwal, A. and Caldwell, K. (2005), ‘Do all health and social care professionals interact equally: a study of interactions in multidisciplinary teams in the United Kingdom.’ </w:t>
      </w:r>
      <w:r w:rsidRPr="00D92C98">
        <w:rPr>
          <w:rFonts w:cstheme="minorHAnsi"/>
          <w:i/>
          <w:iCs/>
          <w:sz w:val="24"/>
          <w:szCs w:val="24"/>
          <w:shd w:val="clear" w:color="auto" w:fill="FFFFFF"/>
        </w:rPr>
        <w:t>Scandinavian Journal of Caring Sciences</w:t>
      </w:r>
      <w:r w:rsidRPr="00D92C98">
        <w:rPr>
          <w:rFonts w:cstheme="minorHAnsi"/>
          <w:sz w:val="24"/>
          <w:szCs w:val="24"/>
          <w:shd w:val="clear" w:color="auto" w:fill="FFFFFF"/>
        </w:rPr>
        <w:t>, 19, pp. 268-273.</w:t>
      </w:r>
    </w:p>
    <w:p w14:paraId="16469D7C" w14:textId="77777777" w:rsidR="00F60E89" w:rsidRPr="00D92C98" w:rsidRDefault="00F60E89" w:rsidP="00F60E89">
      <w:pPr>
        <w:shd w:val="clear" w:color="auto" w:fill="FFFFFF"/>
        <w:spacing w:after="0" w:line="240" w:lineRule="auto"/>
        <w:rPr>
          <w:rFonts w:eastAsia="Times New Roman" w:cstheme="minorHAnsi"/>
          <w:kern w:val="0"/>
          <w:sz w:val="24"/>
          <w:szCs w:val="24"/>
          <w:bdr w:val="none" w:sz="0" w:space="0" w:color="auto" w:frame="1"/>
          <w:lang w:eastAsia="en-GB"/>
          <w14:ligatures w14:val="none"/>
        </w:rPr>
      </w:pPr>
    </w:p>
    <w:p w14:paraId="2E1465FB" w14:textId="77777777" w:rsidR="00F60E89" w:rsidRPr="00D92C98" w:rsidRDefault="00F60E89" w:rsidP="00F60E89">
      <w:pPr>
        <w:shd w:val="clear" w:color="auto" w:fill="FFFFFF"/>
        <w:spacing w:after="0" w:line="240" w:lineRule="auto"/>
        <w:rPr>
          <w:rFonts w:cstheme="minorHAnsi"/>
          <w:sz w:val="24"/>
          <w:szCs w:val="24"/>
          <w:shd w:val="clear" w:color="auto" w:fill="FFFFFF"/>
        </w:rPr>
      </w:pPr>
      <w:proofErr w:type="spellStart"/>
      <w:r w:rsidRPr="00D92C98">
        <w:rPr>
          <w:rFonts w:cstheme="minorHAnsi"/>
          <w:sz w:val="24"/>
          <w:szCs w:val="24"/>
          <w:shd w:val="clear" w:color="auto" w:fill="FFFFFF"/>
        </w:rPr>
        <w:t>Airenti</w:t>
      </w:r>
      <w:proofErr w:type="spellEnd"/>
      <w:r w:rsidRPr="00D92C98">
        <w:rPr>
          <w:rFonts w:cstheme="minorHAnsi"/>
          <w:sz w:val="24"/>
          <w:szCs w:val="24"/>
          <w:shd w:val="clear" w:color="auto" w:fill="FFFFFF"/>
        </w:rPr>
        <w:t xml:space="preserve"> G. (2019). ‘The Place of Development in the History of Psychology and Cognitive Science.’ </w:t>
      </w:r>
      <w:r w:rsidRPr="00D92C98">
        <w:rPr>
          <w:rFonts w:cstheme="minorHAnsi"/>
          <w:i/>
          <w:iCs/>
          <w:sz w:val="24"/>
          <w:szCs w:val="24"/>
          <w:shd w:val="clear" w:color="auto" w:fill="FFFFFF"/>
        </w:rPr>
        <w:t>Frontiers in psychology</w:t>
      </w:r>
      <w:r w:rsidRPr="00D92C98">
        <w:rPr>
          <w:rFonts w:cstheme="minorHAnsi"/>
          <w:sz w:val="24"/>
          <w:szCs w:val="24"/>
          <w:shd w:val="clear" w:color="auto" w:fill="FFFFFF"/>
        </w:rPr>
        <w:t>, 10, pp. 895.</w:t>
      </w:r>
    </w:p>
    <w:p w14:paraId="5F99100B" w14:textId="77777777" w:rsidR="00F60E89" w:rsidRPr="00D92C98" w:rsidRDefault="00F60E89" w:rsidP="00F60E89">
      <w:pPr>
        <w:shd w:val="clear" w:color="auto" w:fill="FFFFFF"/>
        <w:spacing w:after="0" w:line="240" w:lineRule="auto"/>
        <w:rPr>
          <w:rFonts w:cstheme="minorHAnsi"/>
          <w:sz w:val="24"/>
          <w:szCs w:val="24"/>
          <w:shd w:val="clear" w:color="auto" w:fill="FFFFFF"/>
        </w:rPr>
      </w:pPr>
    </w:p>
    <w:p w14:paraId="1A170A93" w14:textId="523A97BD" w:rsidR="00F60E89" w:rsidRPr="00D92C98" w:rsidRDefault="00F60E89" w:rsidP="00F60E89">
      <w:pPr>
        <w:shd w:val="clear" w:color="auto" w:fill="FFFFFF"/>
        <w:spacing w:after="0" w:line="240" w:lineRule="auto"/>
        <w:rPr>
          <w:rFonts w:cstheme="minorHAnsi"/>
          <w:sz w:val="24"/>
          <w:szCs w:val="24"/>
          <w:shd w:val="clear" w:color="auto" w:fill="FCFCFC"/>
        </w:rPr>
      </w:pPr>
      <w:r w:rsidRPr="00D92C98">
        <w:rPr>
          <w:rFonts w:cstheme="minorHAnsi"/>
          <w:sz w:val="24"/>
          <w:szCs w:val="24"/>
          <w:shd w:val="clear" w:color="auto" w:fill="FCFCFC"/>
        </w:rPr>
        <w:t>Belardinelli, O. (2012) ‘The debt of cognitive science to Ulric Neisser.’ </w:t>
      </w:r>
      <w:proofErr w:type="spellStart"/>
      <w:r w:rsidRPr="00D92C98">
        <w:rPr>
          <w:rFonts w:cstheme="minorHAnsi"/>
          <w:i/>
          <w:iCs/>
          <w:sz w:val="24"/>
          <w:szCs w:val="24"/>
          <w:shd w:val="clear" w:color="auto" w:fill="FCFCFC"/>
        </w:rPr>
        <w:t>Cogn</w:t>
      </w:r>
      <w:proofErr w:type="spellEnd"/>
      <w:r w:rsidRPr="00D92C98">
        <w:rPr>
          <w:rFonts w:cstheme="minorHAnsi"/>
          <w:i/>
          <w:iCs/>
          <w:sz w:val="24"/>
          <w:szCs w:val="24"/>
          <w:shd w:val="clear" w:color="auto" w:fill="FCFCFC"/>
        </w:rPr>
        <w:t xml:space="preserve"> Process,</w:t>
      </w:r>
      <w:r w:rsidRPr="00D92C98">
        <w:rPr>
          <w:rFonts w:cstheme="minorHAnsi"/>
          <w:sz w:val="24"/>
          <w:szCs w:val="24"/>
          <w:shd w:val="clear" w:color="auto" w:fill="FCFCFC"/>
        </w:rPr>
        <w:t> 13, pp</w:t>
      </w:r>
      <w:r w:rsidRPr="00D92C98">
        <w:rPr>
          <w:rFonts w:cstheme="minorHAnsi"/>
          <w:b/>
          <w:bCs/>
          <w:sz w:val="24"/>
          <w:szCs w:val="24"/>
          <w:shd w:val="clear" w:color="auto" w:fill="FCFCFC"/>
        </w:rPr>
        <w:t xml:space="preserve"> </w:t>
      </w:r>
      <w:r w:rsidRPr="00D92C98">
        <w:rPr>
          <w:rFonts w:cstheme="minorHAnsi"/>
          <w:sz w:val="24"/>
          <w:szCs w:val="24"/>
          <w:shd w:val="clear" w:color="auto" w:fill="FCFCFC"/>
        </w:rPr>
        <w:t>189–191.</w:t>
      </w:r>
    </w:p>
    <w:p w14:paraId="00FD72D6" w14:textId="77777777" w:rsidR="00F60E89" w:rsidRPr="00D92C98" w:rsidRDefault="00F60E89" w:rsidP="00F60E89">
      <w:pPr>
        <w:shd w:val="clear" w:color="auto" w:fill="FFFFFF"/>
        <w:spacing w:after="0" w:line="240" w:lineRule="auto"/>
        <w:rPr>
          <w:rFonts w:cstheme="minorHAnsi"/>
          <w:sz w:val="24"/>
          <w:szCs w:val="24"/>
          <w:shd w:val="clear" w:color="auto" w:fill="FCFCFC"/>
        </w:rPr>
      </w:pPr>
    </w:p>
    <w:p w14:paraId="11CAC881" w14:textId="07EE0B77" w:rsidR="00F60E89" w:rsidRPr="00D92C98" w:rsidRDefault="00F60E89" w:rsidP="00F60E89">
      <w:pPr>
        <w:shd w:val="clear" w:color="auto" w:fill="FFFFFF"/>
        <w:rPr>
          <w:rFonts w:cstheme="minorHAnsi"/>
          <w:spacing w:val="-5"/>
          <w:sz w:val="24"/>
          <w:szCs w:val="24"/>
        </w:rPr>
      </w:pPr>
      <w:r w:rsidRPr="00D92C98">
        <w:rPr>
          <w:rFonts w:cstheme="minorHAnsi"/>
          <w:spacing w:val="-5"/>
          <w:sz w:val="24"/>
          <w:szCs w:val="24"/>
        </w:rPr>
        <w:t xml:space="preserve">Chatterjee, P. (1984) ‘Cognitive Theories and Social Work Practise’ </w:t>
      </w:r>
      <w:r w:rsidRPr="00D92C98">
        <w:rPr>
          <w:rFonts w:cstheme="minorHAnsi"/>
          <w:i/>
          <w:iCs/>
          <w:spacing w:val="-5"/>
          <w:sz w:val="24"/>
          <w:szCs w:val="24"/>
        </w:rPr>
        <w:t>Social Service Review</w:t>
      </w:r>
      <w:r w:rsidRPr="00D92C98">
        <w:rPr>
          <w:rFonts w:cstheme="minorHAnsi"/>
          <w:spacing w:val="-5"/>
          <w:sz w:val="24"/>
          <w:szCs w:val="24"/>
        </w:rPr>
        <w:t>. 58(1) pp, 63-80.</w:t>
      </w:r>
    </w:p>
    <w:p w14:paraId="2B7AAAE9" w14:textId="2CDC20C0" w:rsidR="00F60E89" w:rsidRPr="00D92C98" w:rsidRDefault="00F60E89" w:rsidP="00F60E89">
      <w:pPr>
        <w:shd w:val="clear" w:color="auto" w:fill="FFFFFF"/>
        <w:spacing w:after="0" w:line="240" w:lineRule="auto"/>
        <w:rPr>
          <w:rFonts w:eastAsia="Times New Roman" w:cstheme="minorHAnsi"/>
          <w:kern w:val="0"/>
          <w:sz w:val="24"/>
          <w:szCs w:val="24"/>
          <w:bdr w:val="none" w:sz="0" w:space="0" w:color="auto" w:frame="1"/>
          <w:lang w:eastAsia="en-GB"/>
          <w14:ligatures w14:val="none"/>
        </w:rPr>
      </w:pPr>
      <w:r w:rsidRPr="00D92C98">
        <w:rPr>
          <w:rFonts w:eastAsia="Times New Roman" w:cstheme="minorHAnsi"/>
          <w:kern w:val="0"/>
          <w:sz w:val="24"/>
          <w:szCs w:val="24"/>
          <w:bdr w:val="none" w:sz="0" w:space="0" w:color="auto" w:frame="1"/>
          <w:lang w:eastAsia="en-GB"/>
          <w14:ligatures w14:val="none"/>
        </w:rPr>
        <w:t>Eysenck, M. (2001) </w:t>
      </w:r>
      <w:r w:rsidRPr="00D92C98">
        <w:rPr>
          <w:rFonts w:eastAsia="Times New Roman" w:cstheme="minorHAnsi"/>
          <w:i/>
          <w:iCs/>
          <w:kern w:val="0"/>
          <w:sz w:val="24"/>
          <w:szCs w:val="24"/>
          <w:bdr w:val="none" w:sz="0" w:space="0" w:color="auto" w:frame="1"/>
          <w:lang w:eastAsia="en-GB"/>
          <w14:ligatures w14:val="none"/>
        </w:rPr>
        <w:t>Principles of Cognitive Psychology</w:t>
      </w:r>
      <w:r w:rsidRPr="00D92C98">
        <w:rPr>
          <w:rFonts w:eastAsia="Times New Roman" w:cstheme="minorHAnsi"/>
          <w:kern w:val="0"/>
          <w:sz w:val="24"/>
          <w:szCs w:val="24"/>
          <w:bdr w:val="none" w:sz="0" w:space="0" w:color="auto" w:frame="1"/>
          <w:lang w:eastAsia="en-GB"/>
          <w14:ligatures w14:val="none"/>
        </w:rPr>
        <w:t>. United Kingdom: Psychology Press</w:t>
      </w:r>
      <w:r w:rsidRPr="00D92C98">
        <w:rPr>
          <w:rFonts w:eastAsia="Times New Roman" w:cstheme="minorHAnsi"/>
          <w:kern w:val="0"/>
          <w:sz w:val="24"/>
          <w:szCs w:val="24"/>
          <w:bdr w:val="none" w:sz="0" w:space="0" w:color="auto" w:frame="1"/>
          <w:lang w:eastAsia="en-GB"/>
          <w14:ligatures w14:val="none"/>
        </w:rPr>
        <w:t>.</w:t>
      </w:r>
    </w:p>
    <w:p w14:paraId="1BFB64A8" w14:textId="77777777" w:rsidR="00F60E89" w:rsidRPr="00D92C98" w:rsidRDefault="00F60E89" w:rsidP="00F60E89">
      <w:pPr>
        <w:shd w:val="clear" w:color="auto" w:fill="FFFFFF"/>
        <w:spacing w:after="0" w:line="240" w:lineRule="auto"/>
        <w:rPr>
          <w:rFonts w:eastAsia="Times New Roman" w:cstheme="minorHAnsi"/>
          <w:kern w:val="0"/>
          <w:sz w:val="24"/>
          <w:szCs w:val="24"/>
          <w:bdr w:val="none" w:sz="0" w:space="0" w:color="auto" w:frame="1"/>
          <w:lang w:eastAsia="en-GB"/>
          <w14:ligatures w14:val="none"/>
        </w:rPr>
      </w:pPr>
      <w:r w:rsidRPr="00D92C98">
        <w:rPr>
          <w:rFonts w:eastAsia="Times New Roman" w:cstheme="minorHAnsi"/>
          <w:kern w:val="0"/>
          <w:sz w:val="24"/>
          <w:szCs w:val="24"/>
          <w:bdr w:val="none" w:sz="0" w:space="0" w:color="auto" w:frame="1"/>
          <w:lang w:eastAsia="en-GB"/>
          <w14:ligatures w14:val="none"/>
        </w:rPr>
        <w:lastRenderedPageBreak/>
        <w:t xml:space="preserve">Wilson, T. (1984) ‘The cognitive approach to information-seeking behaviour and information use’ </w:t>
      </w:r>
      <w:r w:rsidRPr="00D92C98">
        <w:rPr>
          <w:rFonts w:eastAsia="Times New Roman" w:cstheme="minorHAnsi"/>
          <w:i/>
          <w:iCs/>
          <w:kern w:val="0"/>
          <w:sz w:val="24"/>
          <w:szCs w:val="24"/>
          <w:bdr w:val="none" w:sz="0" w:space="0" w:color="auto" w:frame="1"/>
          <w:lang w:eastAsia="en-GB"/>
          <w14:ligatures w14:val="none"/>
        </w:rPr>
        <w:t>Social Science Information Studies</w:t>
      </w:r>
      <w:r w:rsidRPr="00D92C98">
        <w:rPr>
          <w:rFonts w:eastAsia="Times New Roman" w:cstheme="minorHAnsi"/>
          <w:kern w:val="0"/>
          <w:sz w:val="24"/>
          <w:szCs w:val="24"/>
          <w:bdr w:val="none" w:sz="0" w:space="0" w:color="auto" w:frame="1"/>
          <w:lang w:eastAsia="en-GB"/>
          <w14:ligatures w14:val="none"/>
        </w:rPr>
        <w:t>, 4, (2–3), pp 197-204.</w:t>
      </w:r>
    </w:p>
    <w:p w14:paraId="16513F1D" w14:textId="77777777" w:rsidR="00F60E89" w:rsidRPr="00D92C98" w:rsidRDefault="00F60E89" w:rsidP="00F60E89">
      <w:pPr>
        <w:shd w:val="clear" w:color="auto" w:fill="FFFFFF"/>
        <w:spacing w:after="0" w:line="240" w:lineRule="auto"/>
        <w:rPr>
          <w:rFonts w:eastAsia="Times New Roman" w:cstheme="minorHAnsi"/>
          <w:kern w:val="0"/>
          <w:sz w:val="24"/>
          <w:szCs w:val="24"/>
          <w:bdr w:val="none" w:sz="0" w:space="0" w:color="auto" w:frame="1"/>
          <w:lang w:eastAsia="en-GB"/>
          <w14:ligatures w14:val="none"/>
        </w:rPr>
      </w:pPr>
    </w:p>
    <w:p w14:paraId="45EEEE99" w14:textId="77777777" w:rsidR="00F60E89" w:rsidRPr="00D92C98" w:rsidRDefault="00F60E89" w:rsidP="00F60E89">
      <w:pPr>
        <w:shd w:val="clear" w:color="auto" w:fill="FFFFFF"/>
        <w:spacing w:after="0" w:line="240" w:lineRule="auto"/>
        <w:rPr>
          <w:rFonts w:cstheme="minorHAnsi"/>
          <w:sz w:val="24"/>
          <w:szCs w:val="24"/>
          <w:shd w:val="clear" w:color="auto" w:fill="FFFFFF"/>
        </w:rPr>
      </w:pPr>
      <w:r w:rsidRPr="00D92C98">
        <w:rPr>
          <w:rFonts w:cstheme="minorHAnsi"/>
          <w:sz w:val="24"/>
          <w:szCs w:val="24"/>
          <w:shd w:val="clear" w:color="auto" w:fill="FFFFFF"/>
        </w:rPr>
        <w:t xml:space="preserve">Sicora, A., Taylor, B., </w:t>
      </w:r>
      <w:proofErr w:type="spellStart"/>
      <w:r w:rsidRPr="00D92C98">
        <w:rPr>
          <w:rFonts w:cstheme="minorHAnsi"/>
          <w:sz w:val="24"/>
          <w:szCs w:val="24"/>
          <w:shd w:val="clear" w:color="auto" w:fill="FFFFFF"/>
        </w:rPr>
        <w:t>Alfandari</w:t>
      </w:r>
      <w:proofErr w:type="spellEnd"/>
      <w:r w:rsidRPr="00D92C98">
        <w:rPr>
          <w:rFonts w:cstheme="minorHAnsi"/>
          <w:sz w:val="24"/>
          <w:szCs w:val="24"/>
          <w:shd w:val="clear" w:color="auto" w:fill="FFFFFF"/>
        </w:rPr>
        <w:t xml:space="preserve">, R., Enosh, G., Helm, D., Killick, C., Lyons, O., </w:t>
      </w:r>
      <w:proofErr w:type="spellStart"/>
      <w:r w:rsidRPr="00D92C98">
        <w:rPr>
          <w:rFonts w:cstheme="minorHAnsi"/>
          <w:sz w:val="24"/>
          <w:szCs w:val="24"/>
          <w:shd w:val="clear" w:color="auto" w:fill="FFFFFF"/>
        </w:rPr>
        <w:t>Mullineux</w:t>
      </w:r>
      <w:proofErr w:type="spellEnd"/>
      <w:r w:rsidRPr="00D92C98">
        <w:rPr>
          <w:rFonts w:cstheme="minorHAnsi"/>
          <w:sz w:val="24"/>
          <w:szCs w:val="24"/>
          <w:shd w:val="clear" w:color="auto" w:fill="FFFFFF"/>
        </w:rPr>
        <w:t xml:space="preserve">, J., </w:t>
      </w:r>
      <w:proofErr w:type="spellStart"/>
      <w:r w:rsidRPr="00D92C98">
        <w:rPr>
          <w:rFonts w:cstheme="minorHAnsi"/>
          <w:sz w:val="24"/>
          <w:szCs w:val="24"/>
          <w:shd w:val="clear" w:color="auto" w:fill="FFFFFF"/>
        </w:rPr>
        <w:t>Przeperski</w:t>
      </w:r>
      <w:proofErr w:type="spellEnd"/>
      <w:r w:rsidRPr="00D92C98">
        <w:rPr>
          <w:rFonts w:cstheme="minorHAnsi"/>
          <w:sz w:val="24"/>
          <w:szCs w:val="24"/>
          <w:shd w:val="clear" w:color="auto" w:fill="FFFFFF"/>
        </w:rPr>
        <w:t xml:space="preserve">, J., </w:t>
      </w:r>
      <w:proofErr w:type="spellStart"/>
      <w:r w:rsidRPr="00D92C98">
        <w:rPr>
          <w:rFonts w:cstheme="minorHAnsi"/>
          <w:sz w:val="24"/>
          <w:szCs w:val="24"/>
          <w:shd w:val="clear" w:color="auto" w:fill="FFFFFF"/>
        </w:rPr>
        <w:t>Rölver</w:t>
      </w:r>
      <w:proofErr w:type="spellEnd"/>
      <w:r w:rsidRPr="00D92C98">
        <w:rPr>
          <w:rFonts w:cstheme="minorHAnsi"/>
          <w:sz w:val="24"/>
          <w:szCs w:val="24"/>
          <w:shd w:val="clear" w:color="auto" w:fill="FFFFFF"/>
        </w:rPr>
        <w:t xml:space="preserve">, M. and Whittaker, A. (2021) ‘Using intuition in social work decision making.’ </w:t>
      </w:r>
      <w:r w:rsidRPr="00D92C98">
        <w:rPr>
          <w:rFonts w:cstheme="minorHAnsi"/>
          <w:i/>
          <w:iCs/>
          <w:sz w:val="24"/>
          <w:szCs w:val="24"/>
          <w:shd w:val="clear" w:color="auto" w:fill="FFFFFF"/>
        </w:rPr>
        <w:t>European Journal of Social Work</w:t>
      </w:r>
      <w:r w:rsidRPr="00D92C98">
        <w:rPr>
          <w:rFonts w:cstheme="minorHAnsi"/>
          <w:sz w:val="24"/>
          <w:szCs w:val="24"/>
          <w:shd w:val="clear" w:color="auto" w:fill="FFFFFF"/>
        </w:rPr>
        <w:t>, 24(5) pp 772-87.</w:t>
      </w:r>
    </w:p>
    <w:p w14:paraId="7A444878" w14:textId="77777777" w:rsidR="00F60E89" w:rsidRPr="00D92C98" w:rsidRDefault="00F60E89" w:rsidP="00F60E89">
      <w:pPr>
        <w:shd w:val="clear" w:color="auto" w:fill="FFFFFF"/>
        <w:spacing w:after="0" w:line="240" w:lineRule="auto"/>
        <w:rPr>
          <w:rFonts w:cstheme="minorHAnsi"/>
          <w:sz w:val="24"/>
          <w:szCs w:val="24"/>
          <w:shd w:val="clear" w:color="auto" w:fill="FFFFFF"/>
        </w:rPr>
      </w:pPr>
    </w:p>
    <w:p w14:paraId="289D26DF" w14:textId="77777777" w:rsidR="00F60E89" w:rsidRPr="00D92C98" w:rsidRDefault="00F60E89" w:rsidP="00F60E89">
      <w:pPr>
        <w:shd w:val="clear" w:color="auto" w:fill="FFFFFF"/>
        <w:spacing w:after="0" w:line="240" w:lineRule="auto"/>
        <w:rPr>
          <w:rFonts w:cstheme="minorHAnsi"/>
          <w:sz w:val="24"/>
          <w:szCs w:val="24"/>
          <w:shd w:val="clear" w:color="auto" w:fill="FFFFFF"/>
        </w:rPr>
      </w:pPr>
      <w:r w:rsidRPr="00D92C98">
        <w:rPr>
          <w:rFonts w:cstheme="minorHAnsi"/>
          <w:sz w:val="24"/>
          <w:szCs w:val="24"/>
          <w:shd w:val="clear" w:color="auto" w:fill="FFFFFF"/>
        </w:rPr>
        <w:t xml:space="preserve">Joseph S. (2021). ‘How Humanistic Is Positive Psychology? Lessons in Positive Psychology </w:t>
      </w:r>
      <w:proofErr w:type="gramStart"/>
      <w:r w:rsidRPr="00D92C98">
        <w:rPr>
          <w:rFonts w:cstheme="minorHAnsi"/>
          <w:sz w:val="24"/>
          <w:szCs w:val="24"/>
          <w:shd w:val="clear" w:color="auto" w:fill="FFFFFF"/>
        </w:rPr>
        <w:t>From</w:t>
      </w:r>
      <w:proofErr w:type="gramEnd"/>
      <w:r w:rsidRPr="00D92C98">
        <w:rPr>
          <w:rFonts w:cstheme="minorHAnsi"/>
          <w:sz w:val="24"/>
          <w:szCs w:val="24"/>
          <w:shd w:val="clear" w:color="auto" w:fill="FFFFFF"/>
        </w:rPr>
        <w:t xml:space="preserve"> Carl Rogers' Person-Centered Approach-It's the Social Environment That Must Change.’ </w:t>
      </w:r>
      <w:r w:rsidRPr="00D92C98">
        <w:rPr>
          <w:rFonts w:cstheme="minorHAnsi"/>
          <w:i/>
          <w:iCs/>
          <w:sz w:val="24"/>
          <w:szCs w:val="24"/>
          <w:shd w:val="clear" w:color="auto" w:fill="FFFFFF"/>
        </w:rPr>
        <w:t>Frontiers in psychology</w:t>
      </w:r>
      <w:r w:rsidRPr="00D92C98">
        <w:rPr>
          <w:rFonts w:cstheme="minorHAnsi"/>
          <w:sz w:val="24"/>
          <w:szCs w:val="24"/>
          <w:shd w:val="clear" w:color="auto" w:fill="FFFFFF"/>
        </w:rPr>
        <w:t>, </w:t>
      </w:r>
      <w:r w:rsidRPr="00D92C98">
        <w:rPr>
          <w:rFonts w:cstheme="minorHAnsi"/>
          <w:i/>
          <w:iCs/>
          <w:sz w:val="24"/>
          <w:szCs w:val="24"/>
          <w:shd w:val="clear" w:color="auto" w:fill="FFFFFF"/>
        </w:rPr>
        <w:t>12</w:t>
      </w:r>
      <w:r w:rsidRPr="00D92C98">
        <w:rPr>
          <w:rFonts w:cstheme="minorHAnsi"/>
          <w:sz w:val="24"/>
          <w:szCs w:val="24"/>
          <w:shd w:val="clear" w:color="auto" w:fill="FFFFFF"/>
        </w:rPr>
        <w:t>, pp. 709-789.</w:t>
      </w:r>
    </w:p>
    <w:p w14:paraId="2FE8F57B" w14:textId="77777777" w:rsidR="00F60E89" w:rsidRPr="00D92C98" w:rsidRDefault="00F60E89" w:rsidP="00F60E89">
      <w:pPr>
        <w:shd w:val="clear" w:color="auto" w:fill="FFFFFF"/>
        <w:spacing w:after="0" w:line="240" w:lineRule="auto"/>
        <w:rPr>
          <w:rFonts w:cstheme="minorHAnsi"/>
          <w:sz w:val="24"/>
          <w:szCs w:val="24"/>
          <w:shd w:val="clear" w:color="auto" w:fill="FFFFFF"/>
        </w:rPr>
      </w:pPr>
    </w:p>
    <w:p w14:paraId="171E3991" w14:textId="43515587" w:rsidR="00F60E89" w:rsidRPr="00D92C98" w:rsidRDefault="00F60E89" w:rsidP="00F60E89">
      <w:pPr>
        <w:shd w:val="clear" w:color="auto" w:fill="FFFFFF"/>
        <w:spacing w:after="0" w:line="240" w:lineRule="auto"/>
        <w:rPr>
          <w:rFonts w:cstheme="minorHAnsi"/>
          <w:sz w:val="24"/>
          <w:szCs w:val="24"/>
        </w:rPr>
      </w:pPr>
      <w:r w:rsidRPr="00D92C98">
        <w:rPr>
          <w:rFonts w:cstheme="minorHAnsi"/>
          <w:sz w:val="24"/>
          <w:szCs w:val="24"/>
        </w:rPr>
        <w:t xml:space="preserve">Waterman, A. (2013) ‘The Humanistic Psychology–Positive Psychology Divide Contrasts in Philosophical Foundations’ </w:t>
      </w:r>
      <w:r w:rsidRPr="00D92C98">
        <w:rPr>
          <w:rFonts w:cstheme="minorHAnsi"/>
          <w:i/>
          <w:iCs/>
          <w:sz w:val="24"/>
          <w:szCs w:val="24"/>
        </w:rPr>
        <w:t>The College of New Jersey</w:t>
      </w:r>
      <w:r w:rsidRPr="00D92C98">
        <w:rPr>
          <w:rFonts w:cstheme="minorHAnsi"/>
          <w:sz w:val="24"/>
          <w:szCs w:val="24"/>
        </w:rPr>
        <w:t>.</w:t>
      </w:r>
    </w:p>
    <w:p w14:paraId="7D9326E5" w14:textId="77777777" w:rsidR="00F60E89" w:rsidRPr="00D92C98" w:rsidRDefault="00F60E89" w:rsidP="00F60E89">
      <w:pPr>
        <w:shd w:val="clear" w:color="auto" w:fill="FFFFFF"/>
        <w:spacing w:after="0" w:line="240" w:lineRule="auto"/>
        <w:rPr>
          <w:rFonts w:cstheme="minorHAnsi"/>
          <w:sz w:val="24"/>
          <w:szCs w:val="24"/>
        </w:rPr>
      </w:pPr>
    </w:p>
    <w:p w14:paraId="11481A60" w14:textId="77777777" w:rsidR="00F60E89" w:rsidRPr="00D92C98" w:rsidRDefault="00F60E89" w:rsidP="00F60E89">
      <w:pPr>
        <w:shd w:val="clear" w:color="auto" w:fill="FFFFFF"/>
        <w:spacing w:after="0" w:line="240" w:lineRule="auto"/>
        <w:rPr>
          <w:rFonts w:cstheme="minorHAnsi"/>
          <w:sz w:val="24"/>
          <w:szCs w:val="24"/>
          <w:shd w:val="clear" w:color="auto" w:fill="FFFFFF"/>
        </w:rPr>
      </w:pPr>
      <w:r w:rsidRPr="00D92C98">
        <w:rPr>
          <w:rFonts w:cstheme="minorHAnsi"/>
          <w:sz w:val="24"/>
          <w:szCs w:val="24"/>
          <w:shd w:val="clear" w:color="auto" w:fill="FFFFFF"/>
        </w:rPr>
        <w:t>Rogers, C. and Russell, D. (2002). </w:t>
      </w:r>
      <w:r w:rsidRPr="00D92C98">
        <w:rPr>
          <w:rStyle w:val="Emphasis"/>
          <w:rFonts w:cstheme="minorHAnsi"/>
          <w:sz w:val="24"/>
          <w:szCs w:val="24"/>
          <w:shd w:val="clear" w:color="auto" w:fill="FFFFFF"/>
        </w:rPr>
        <w:t>Carl Rogers: The quiet revolutionary, an oral history.</w:t>
      </w:r>
      <w:r w:rsidRPr="00D92C98">
        <w:rPr>
          <w:rFonts w:cstheme="minorHAnsi"/>
          <w:sz w:val="24"/>
          <w:szCs w:val="24"/>
          <w:shd w:val="clear" w:color="auto" w:fill="FFFFFF"/>
        </w:rPr>
        <w:t> </w:t>
      </w:r>
      <w:proofErr w:type="spellStart"/>
      <w:r w:rsidRPr="00D92C98">
        <w:rPr>
          <w:rFonts w:cstheme="minorHAnsi"/>
          <w:sz w:val="24"/>
          <w:szCs w:val="24"/>
          <w:shd w:val="clear" w:color="auto" w:fill="FFFFFF"/>
        </w:rPr>
        <w:t>Penmarin</w:t>
      </w:r>
      <w:proofErr w:type="spellEnd"/>
      <w:r w:rsidRPr="00D92C98">
        <w:rPr>
          <w:rFonts w:cstheme="minorHAnsi"/>
          <w:sz w:val="24"/>
          <w:szCs w:val="24"/>
          <w:shd w:val="clear" w:color="auto" w:fill="FFFFFF"/>
        </w:rPr>
        <w:t xml:space="preserve"> Books.</w:t>
      </w:r>
    </w:p>
    <w:p w14:paraId="1628A008" w14:textId="77777777" w:rsidR="00F60E89" w:rsidRPr="00D92C98" w:rsidRDefault="00F60E89" w:rsidP="00F60E89">
      <w:pPr>
        <w:shd w:val="clear" w:color="auto" w:fill="FFFFFF"/>
        <w:spacing w:after="0" w:line="240" w:lineRule="auto"/>
        <w:rPr>
          <w:rFonts w:cstheme="minorHAnsi"/>
          <w:sz w:val="24"/>
          <w:szCs w:val="24"/>
          <w:shd w:val="clear" w:color="auto" w:fill="FFFFFF"/>
        </w:rPr>
      </w:pPr>
    </w:p>
    <w:p w14:paraId="2F900D80" w14:textId="30B6718D" w:rsidR="00F60E89" w:rsidRPr="00D92C98" w:rsidRDefault="00F60E89" w:rsidP="00F60E89">
      <w:pPr>
        <w:shd w:val="clear" w:color="auto" w:fill="FFFFFF"/>
        <w:spacing w:after="0" w:line="240" w:lineRule="auto"/>
        <w:rPr>
          <w:rFonts w:cstheme="minorHAnsi"/>
          <w:sz w:val="24"/>
          <w:szCs w:val="24"/>
          <w:shd w:val="clear" w:color="auto" w:fill="FFFFFF"/>
        </w:rPr>
      </w:pPr>
      <w:r w:rsidRPr="00D92C98">
        <w:rPr>
          <w:rFonts w:cstheme="minorHAnsi"/>
          <w:sz w:val="24"/>
          <w:szCs w:val="24"/>
          <w:shd w:val="clear" w:color="auto" w:fill="FFFFFF"/>
        </w:rPr>
        <w:t>Murphy, D., Duggan, M. and Joseph, S. (2013) ‘Relationship-Based Social Work and Its Compatibility with the Person-Centred Approach: Principled versus Instrumental Perspectives,’ </w:t>
      </w:r>
      <w:r w:rsidRPr="00D92C98">
        <w:rPr>
          <w:rStyle w:val="Emphasis"/>
          <w:rFonts w:cstheme="minorHAnsi"/>
          <w:sz w:val="24"/>
          <w:szCs w:val="24"/>
          <w:bdr w:val="none" w:sz="0" w:space="0" w:color="auto" w:frame="1"/>
          <w:shd w:val="clear" w:color="auto" w:fill="FFFFFF"/>
        </w:rPr>
        <w:t>The British Journal of Social Work</w:t>
      </w:r>
      <w:r w:rsidRPr="00D92C98">
        <w:rPr>
          <w:rFonts w:cstheme="minorHAnsi"/>
          <w:sz w:val="24"/>
          <w:szCs w:val="24"/>
          <w:shd w:val="clear" w:color="auto" w:fill="FFFFFF"/>
        </w:rPr>
        <w:t>, 43(4), pp 703–719</w:t>
      </w:r>
      <w:r w:rsidRPr="00D92C98">
        <w:rPr>
          <w:rFonts w:cstheme="minorHAnsi"/>
          <w:sz w:val="24"/>
          <w:szCs w:val="24"/>
          <w:shd w:val="clear" w:color="auto" w:fill="FFFFFF"/>
        </w:rPr>
        <w:t>.</w:t>
      </w:r>
    </w:p>
    <w:p w14:paraId="4462C2FD" w14:textId="77777777" w:rsidR="00F60E89" w:rsidRPr="00D92C98" w:rsidRDefault="00F60E89" w:rsidP="00F60E89">
      <w:pPr>
        <w:shd w:val="clear" w:color="auto" w:fill="FFFFFF"/>
        <w:spacing w:after="0" w:line="240" w:lineRule="auto"/>
        <w:rPr>
          <w:rFonts w:cstheme="minorHAnsi"/>
          <w:sz w:val="24"/>
          <w:szCs w:val="24"/>
          <w:shd w:val="clear" w:color="auto" w:fill="FFFFFF"/>
        </w:rPr>
      </w:pPr>
    </w:p>
    <w:p w14:paraId="1BDF356F" w14:textId="77777777" w:rsidR="00F60E89" w:rsidRPr="00E92711" w:rsidRDefault="00F60E89" w:rsidP="00F60E89">
      <w:pPr>
        <w:shd w:val="clear" w:color="auto" w:fill="FFFFFF"/>
        <w:spacing w:after="0" w:line="240" w:lineRule="auto"/>
        <w:rPr>
          <w:rFonts w:cstheme="minorHAnsi"/>
          <w:sz w:val="24"/>
          <w:szCs w:val="24"/>
          <w:shd w:val="clear" w:color="auto" w:fill="FFFFFF"/>
        </w:rPr>
      </w:pPr>
      <w:r w:rsidRPr="00E92711">
        <w:rPr>
          <w:rFonts w:cstheme="minorHAnsi"/>
          <w:sz w:val="24"/>
          <w:szCs w:val="24"/>
          <w:shd w:val="clear" w:color="auto" w:fill="FFFFFF"/>
        </w:rPr>
        <w:t xml:space="preserve">Howe, D. (1987) </w:t>
      </w:r>
      <w:r w:rsidRPr="00E92711">
        <w:rPr>
          <w:rFonts w:cstheme="minorHAnsi"/>
          <w:i/>
          <w:iCs/>
          <w:sz w:val="24"/>
          <w:szCs w:val="24"/>
          <w:shd w:val="clear" w:color="auto" w:fill="FFFFFF"/>
        </w:rPr>
        <w:t>An Introduction to Social Work Theory</w:t>
      </w:r>
      <w:r w:rsidRPr="00E92711">
        <w:rPr>
          <w:rFonts w:cstheme="minorHAnsi"/>
          <w:sz w:val="24"/>
          <w:szCs w:val="24"/>
          <w:shd w:val="clear" w:color="auto" w:fill="FFFFFF"/>
        </w:rPr>
        <w:t xml:space="preserve">. 1st </w:t>
      </w:r>
      <w:proofErr w:type="spellStart"/>
      <w:r w:rsidRPr="00E92711">
        <w:rPr>
          <w:rFonts w:cstheme="minorHAnsi"/>
          <w:sz w:val="24"/>
          <w:szCs w:val="24"/>
          <w:shd w:val="clear" w:color="auto" w:fill="FFFFFF"/>
        </w:rPr>
        <w:t>edn</w:t>
      </w:r>
      <w:proofErr w:type="spellEnd"/>
      <w:r w:rsidRPr="00E92711">
        <w:rPr>
          <w:rFonts w:cstheme="minorHAnsi"/>
          <w:sz w:val="24"/>
          <w:szCs w:val="24"/>
          <w:shd w:val="clear" w:color="auto" w:fill="FFFFFF"/>
        </w:rPr>
        <w:t>. Abingdon: Routledge.</w:t>
      </w:r>
    </w:p>
    <w:p w14:paraId="5D11AEC7" w14:textId="77777777" w:rsidR="00F60E89" w:rsidRPr="00E92711" w:rsidRDefault="00F60E89" w:rsidP="00F60E89">
      <w:pPr>
        <w:shd w:val="clear" w:color="auto" w:fill="FFFFFF"/>
        <w:spacing w:after="0" w:line="240" w:lineRule="auto"/>
        <w:rPr>
          <w:rFonts w:cstheme="minorHAnsi"/>
          <w:sz w:val="24"/>
          <w:szCs w:val="24"/>
          <w:shd w:val="clear" w:color="auto" w:fill="FFFFFF"/>
        </w:rPr>
      </w:pPr>
    </w:p>
    <w:p w14:paraId="0A6ADEC4" w14:textId="622EF9F9" w:rsidR="00F60E89" w:rsidRDefault="00F60E89" w:rsidP="00F60E89">
      <w:pPr>
        <w:shd w:val="clear" w:color="auto" w:fill="FFFFFF"/>
        <w:spacing w:after="0" w:line="240" w:lineRule="auto"/>
        <w:rPr>
          <w:rFonts w:cstheme="minorHAnsi"/>
          <w:sz w:val="24"/>
          <w:szCs w:val="24"/>
          <w:shd w:val="clear" w:color="auto" w:fill="FFFFFF"/>
        </w:rPr>
      </w:pPr>
      <w:r w:rsidRPr="00E92711">
        <w:rPr>
          <w:rFonts w:cstheme="minorHAnsi"/>
          <w:sz w:val="24"/>
          <w:szCs w:val="24"/>
          <w:shd w:val="clear" w:color="auto" w:fill="FFFFFF"/>
        </w:rPr>
        <w:t xml:space="preserve">Lewis, T. and Umbreit, M. (2015) ‘A Humanistic Approach to Mediation and Dialogue: An Evolving Transformative Practice.’ </w:t>
      </w:r>
      <w:r w:rsidRPr="00E92711">
        <w:rPr>
          <w:rFonts w:cstheme="minorHAnsi"/>
          <w:i/>
          <w:iCs/>
          <w:sz w:val="24"/>
          <w:szCs w:val="24"/>
          <w:shd w:val="clear" w:color="auto" w:fill="FFFFFF"/>
        </w:rPr>
        <w:t>Conflict Resolution Quarterly</w:t>
      </w:r>
      <w:r w:rsidRPr="00E92711">
        <w:rPr>
          <w:rFonts w:cstheme="minorHAnsi"/>
          <w:sz w:val="24"/>
          <w:szCs w:val="24"/>
          <w:shd w:val="clear" w:color="auto" w:fill="FFFFFF"/>
        </w:rPr>
        <w:t>, 33, pp 3-17</w:t>
      </w:r>
      <w:r>
        <w:rPr>
          <w:rFonts w:cstheme="minorHAnsi"/>
          <w:sz w:val="24"/>
          <w:szCs w:val="24"/>
          <w:shd w:val="clear" w:color="auto" w:fill="FFFFFF"/>
        </w:rPr>
        <w:t>.</w:t>
      </w:r>
    </w:p>
    <w:p w14:paraId="40F0A9D8" w14:textId="77777777" w:rsidR="00F60E89" w:rsidRPr="00E92711" w:rsidRDefault="00F60E89" w:rsidP="00F60E89">
      <w:pPr>
        <w:shd w:val="clear" w:color="auto" w:fill="FFFFFF"/>
        <w:spacing w:after="0" w:line="240" w:lineRule="auto"/>
        <w:rPr>
          <w:rFonts w:cstheme="minorHAnsi"/>
          <w:sz w:val="24"/>
          <w:szCs w:val="24"/>
          <w:shd w:val="clear" w:color="auto" w:fill="FFFFFF"/>
        </w:rPr>
      </w:pPr>
    </w:p>
    <w:p w14:paraId="6BB0967D" w14:textId="77777777" w:rsidR="00F60E89" w:rsidRPr="00E92711" w:rsidRDefault="00F60E89" w:rsidP="00F60E89">
      <w:pPr>
        <w:shd w:val="clear" w:color="auto" w:fill="FFFFFF"/>
        <w:rPr>
          <w:rFonts w:cstheme="minorHAnsi"/>
          <w:sz w:val="24"/>
          <w:szCs w:val="24"/>
        </w:rPr>
      </w:pPr>
      <w:r w:rsidRPr="00E92711">
        <w:rPr>
          <w:rFonts w:cstheme="minorHAnsi"/>
          <w:sz w:val="24"/>
          <w:szCs w:val="24"/>
        </w:rPr>
        <w:t xml:space="preserve">Chigangaidze, R. (2021) ‘Covid-19 and the calls of humanistic social work: Exploring the developmental clinical work concerns of the pandemic’ </w:t>
      </w:r>
      <w:r w:rsidRPr="00E92711">
        <w:rPr>
          <w:rFonts w:cstheme="minorHAnsi"/>
          <w:i/>
          <w:iCs/>
          <w:sz w:val="24"/>
          <w:szCs w:val="24"/>
        </w:rPr>
        <w:t>International Social Work</w:t>
      </w:r>
      <w:r w:rsidRPr="00E92711">
        <w:rPr>
          <w:rFonts w:cstheme="minorHAnsi"/>
          <w:sz w:val="24"/>
          <w:szCs w:val="24"/>
        </w:rPr>
        <w:t>. 64(5) pp 663-675.</w:t>
      </w:r>
    </w:p>
    <w:p w14:paraId="1CBC2F43" w14:textId="3F38B7CC" w:rsidR="00950DF0" w:rsidRPr="00F60E89" w:rsidRDefault="00F60E89" w:rsidP="00F60E89">
      <w:pPr>
        <w:shd w:val="clear" w:color="auto" w:fill="FFFFFF"/>
        <w:rPr>
          <w:rFonts w:cstheme="minorHAnsi"/>
          <w:sz w:val="24"/>
          <w:szCs w:val="24"/>
          <w:shd w:val="clear" w:color="auto" w:fill="FFFFFF"/>
        </w:rPr>
      </w:pPr>
      <w:r w:rsidRPr="00E92711">
        <w:rPr>
          <w:rFonts w:cstheme="minorHAnsi"/>
          <w:sz w:val="24"/>
          <w:szCs w:val="24"/>
        </w:rPr>
        <w:t xml:space="preserve">Goroff, N. (1981) ‘Humanism and Social W Humanism and Social Work Paradoxes, Problems, and Problems, and Promises’ </w:t>
      </w:r>
      <w:r w:rsidRPr="00E92711">
        <w:rPr>
          <w:rStyle w:val="Emphasis"/>
          <w:rFonts w:cstheme="minorHAnsi"/>
          <w:sz w:val="24"/>
          <w:szCs w:val="24"/>
          <w:bdr w:val="none" w:sz="0" w:space="0" w:color="auto" w:frame="1"/>
          <w:shd w:val="clear" w:color="auto" w:fill="FFFFFF"/>
        </w:rPr>
        <w:t>The Journal of Sociology &amp; Social Welfare</w:t>
      </w:r>
      <w:r w:rsidRPr="00E92711">
        <w:rPr>
          <w:rFonts w:cstheme="minorHAnsi"/>
          <w:sz w:val="24"/>
          <w:szCs w:val="24"/>
          <w:shd w:val="clear" w:color="auto" w:fill="FFFFFF"/>
        </w:rPr>
        <w:t> (JSSW) 8(1)</w:t>
      </w:r>
      <w:r>
        <w:rPr>
          <w:rFonts w:cstheme="minorHAnsi"/>
          <w:sz w:val="24"/>
          <w:szCs w:val="24"/>
          <w:shd w:val="clear" w:color="auto" w:fill="FFFFFF"/>
        </w:rPr>
        <w:t>.</w:t>
      </w:r>
    </w:p>
    <w:sectPr w:rsidR="00950DF0" w:rsidRPr="00F60E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82AC1"/>
    <w:rsid w:val="0002769A"/>
    <w:rsid w:val="00066AF9"/>
    <w:rsid w:val="000C3A14"/>
    <w:rsid w:val="000D3A59"/>
    <w:rsid w:val="00101B27"/>
    <w:rsid w:val="00147BE7"/>
    <w:rsid w:val="00167444"/>
    <w:rsid w:val="001772AA"/>
    <w:rsid w:val="001B68A6"/>
    <w:rsid w:val="00261625"/>
    <w:rsid w:val="002E0045"/>
    <w:rsid w:val="00321B7A"/>
    <w:rsid w:val="00336428"/>
    <w:rsid w:val="00372B52"/>
    <w:rsid w:val="00386C19"/>
    <w:rsid w:val="003A5A91"/>
    <w:rsid w:val="003E766B"/>
    <w:rsid w:val="004222A3"/>
    <w:rsid w:val="00437F82"/>
    <w:rsid w:val="0047687F"/>
    <w:rsid w:val="004838C8"/>
    <w:rsid w:val="004874FF"/>
    <w:rsid w:val="004B3035"/>
    <w:rsid w:val="005A5A6F"/>
    <w:rsid w:val="005D6231"/>
    <w:rsid w:val="00611201"/>
    <w:rsid w:val="0062310C"/>
    <w:rsid w:val="006326F0"/>
    <w:rsid w:val="00654A43"/>
    <w:rsid w:val="006749E8"/>
    <w:rsid w:val="00690D28"/>
    <w:rsid w:val="007323FA"/>
    <w:rsid w:val="007668B6"/>
    <w:rsid w:val="00794A14"/>
    <w:rsid w:val="00831B4E"/>
    <w:rsid w:val="00846304"/>
    <w:rsid w:val="008556E3"/>
    <w:rsid w:val="00880D6E"/>
    <w:rsid w:val="00892DAD"/>
    <w:rsid w:val="0091497E"/>
    <w:rsid w:val="00950DF0"/>
    <w:rsid w:val="0098322B"/>
    <w:rsid w:val="009D5862"/>
    <w:rsid w:val="009E3786"/>
    <w:rsid w:val="00A048A0"/>
    <w:rsid w:val="00A346B4"/>
    <w:rsid w:val="00A60164"/>
    <w:rsid w:val="00B24EBB"/>
    <w:rsid w:val="00C30A45"/>
    <w:rsid w:val="00C52C48"/>
    <w:rsid w:val="00CB5E83"/>
    <w:rsid w:val="00D04A0D"/>
    <w:rsid w:val="00D3602F"/>
    <w:rsid w:val="00D92C98"/>
    <w:rsid w:val="00D934D4"/>
    <w:rsid w:val="00E02E0F"/>
    <w:rsid w:val="00E62E14"/>
    <w:rsid w:val="00E87D50"/>
    <w:rsid w:val="00EF7B6D"/>
    <w:rsid w:val="00F05BAB"/>
    <w:rsid w:val="00F07269"/>
    <w:rsid w:val="00F1607D"/>
    <w:rsid w:val="00F60E89"/>
    <w:rsid w:val="00F82AC1"/>
    <w:rsid w:val="00FB3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2D566"/>
  <w15:docId w15:val="{F7BF1283-53A6-45A1-9DDE-9AA84A7F3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60E89"/>
    <w:rPr>
      <w:i/>
      <w:iCs/>
    </w:rPr>
  </w:style>
  <w:style w:type="character" w:customStyle="1" w:styleId="authors">
    <w:name w:val="authors"/>
    <w:basedOn w:val="DefaultParagraphFont"/>
    <w:rsid w:val="00F60E89"/>
  </w:style>
  <w:style w:type="character" w:customStyle="1" w:styleId="date">
    <w:name w:val="date"/>
    <w:basedOn w:val="DefaultParagraphFont"/>
    <w:rsid w:val="00F60E89"/>
  </w:style>
  <w:style w:type="character" w:customStyle="1" w:styleId="arttitle">
    <w:name w:val="art_title"/>
    <w:basedOn w:val="DefaultParagraphFont"/>
    <w:rsid w:val="00F60E89"/>
  </w:style>
  <w:style w:type="character" w:customStyle="1" w:styleId="serialtitle">
    <w:name w:val="serial_title"/>
    <w:basedOn w:val="DefaultParagraphFont"/>
    <w:rsid w:val="00F60E89"/>
  </w:style>
  <w:style w:type="character" w:customStyle="1" w:styleId="volumeissue">
    <w:name w:val="volume_issue"/>
    <w:basedOn w:val="DefaultParagraphFont"/>
    <w:rsid w:val="00F60E89"/>
  </w:style>
  <w:style w:type="character" w:customStyle="1" w:styleId="pagerange">
    <w:name w:val="page_range"/>
    <w:basedOn w:val="DefaultParagraphFont"/>
    <w:rsid w:val="00F60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1443</TotalTime>
  <Pages>7</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Ashford</dc:creator>
  <cp:keywords/>
  <dc:description/>
  <cp:lastModifiedBy>Charlotte Ashford</cp:lastModifiedBy>
  <cp:revision>27</cp:revision>
  <dcterms:created xsi:type="dcterms:W3CDTF">2022-05-05T16:44:00Z</dcterms:created>
  <dcterms:modified xsi:type="dcterms:W3CDTF">2022-05-06T19:10:00Z</dcterms:modified>
</cp:coreProperties>
</file>