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391122" w14:textId="77777777" w:rsidR="000D5B21" w:rsidRPr="00B13CA0" w:rsidRDefault="000D5B21" w:rsidP="00B13CA0">
      <w:pPr>
        <w:spacing w:after="200" w:line="360" w:lineRule="auto"/>
        <w:jc w:val="both"/>
        <w:rPr>
          <w:rFonts w:ascii="Arial" w:hAnsi="Arial" w:cs="Arial"/>
          <w:b/>
          <w:bCs/>
          <w:lang w:val="en-US"/>
        </w:rPr>
      </w:pPr>
    </w:p>
    <w:p w14:paraId="692DB1F5" w14:textId="77777777" w:rsidR="000D5B21" w:rsidRPr="00B13CA0" w:rsidRDefault="000D5B21" w:rsidP="00B13CA0">
      <w:pPr>
        <w:spacing w:after="200" w:line="360" w:lineRule="auto"/>
        <w:jc w:val="both"/>
        <w:rPr>
          <w:rFonts w:ascii="Arial" w:hAnsi="Arial" w:cs="Arial"/>
          <w:b/>
          <w:bCs/>
          <w:lang w:val="en-US"/>
        </w:rPr>
      </w:pPr>
    </w:p>
    <w:p w14:paraId="076B68C3" w14:textId="77777777" w:rsidR="00B13CA0" w:rsidRPr="00B13CA0" w:rsidRDefault="005F0BEC" w:rsidP="00B13CA0">
      <w:pPr>
        <w:pStyle w:val="pdq2pgselectionanchorcontainer"/>
        <w:spacing w:line="360" w:lineRule="auto"/>
        <w:jc w:val="center"/>
        <w:rPr>
          <w:rFonts w:ascii="Arial" w:hAnsi="Arial" w:cs="Arial"/>
          <w:sz w:val="22"/>
          <w:szCs w:val="22"/>
        </w:rPr>
      </w:pPr>
      <w:r w:rsidRPr="00B13CA0">
        <w:rPr>
          <w:rFonts w:ascii="Arial" w:hAnsi="Arial" w:cs="Arial"/>
          <w:b/>
          <w:bCs/>
          <w:sz w:val="22"/>
          <w:szCs w:val="22"/>
          <w:lang w:val="en-US"/>
        </w:rPr>
        <w:t xml:space="preserve">Research title: </w:t>
      </w:r>
      <w:r w:rsidR="00B13CA0" w:rsidRPr="00B13CA0">
        <w:rPr>
          <w:rStyle w:val="Strong"/>
          <w:rFonts w:ascii="Arial" w:hAnsi="Arial" w:cs="Arial"/>
          <w:sz w:val="22"/>
          <w:szCs w:val="22"/>
        </w:rPr>
        <w:t>Barriers and Facilitators to Older Adults’ Access to Online NHS Services in UK Primary and Community Care: A Scoping Review</w:t>
      </w:r>
    </w:p>
    <w:p w14:paraId="734D80A1" w14:textId="77777777" w:rsidR="001B0686" w:rsidRPr="00B13CA0" w:rsidRDefault="001B0686" w:rsidP="00B13CA0">
      <w:pPr>
        <w:spacing w:after="200" w:line="360" w:lineRule="auto"/>
        <w:jc w:val="center"/>
        <w:rPr>
          <w:rStyle w:val="Strong"/>
          <w:rFonts w:ascii="Arial" w:hAnsi="Arial" w:cs="Arial"/>
        </w:rPr>
      </w:pPr>
    </w:p>
    <w:p w14:paraId="48CA79B9" w14:textId="7F215FE7" w:rsidR="005F0BEC" w:rsidRPr="00B13CA0" w:rsidRDefault="005F0BEC" w:rsidP="00B13CA0">
      <w:pPr>
        <w:spacing w:after="200" w:line="360" w:lineRule="auto"/>
        <w:jc w:val="center"/>
        <w:rPr>
          <w:rFonts w:ascii="Arial" w:hAnsi="Arial" w:cs="Arial"/>
          <w:b/>
          <w:bCs/>
          <w:lang w:val="en-KE"/>
        </w:rPr>
      </w:pPr>
      <w:r w:rsidRPr="00B13CA0">
        <w:rPr>
          <w:rFonts w:ascii="Arial" w:hAnsi="Arial" w:cs="Arial"/>
          <w:b/>
          <w:bCs/>
          <w:lang w:val="en-KE"/>
        </w:rPr>
        <w:t>Module: BMHP5019 Introduction to Independent Research Skills</w:t>
      </w:r>
    </w:p>
    <w:p w14:paraId="668F1EEE" w14:textId="68636945" w:rsidR="005F0BEC" w:rsidRPr="00B13CA0" w:rsidRDefault="005F0BEC" w:rsidP="00B13CA0">
      <w:pPr>
        <w:spacing w:after="200" w:line="360" w:lineRule="auto"/>
        <w:jc w:val="center"/>
        <w:rPr>
          <w:rFonts w:ascii="Arial" w:hAnsi="Arial" w:cs="Arial"/>
          <w:b/>
          <w:bCs/>
          <w:lang w:val="en-KE"/>
        </w:rPr>
      </w:pPr>
      <w:r w:rsidRPr="00B13CA0">
        <w:rPr>
          <w:rFonts w:ascii="Arial" w:hAnsi="Arial" w:cs="Arial"/>
          <w:b/>
          <w:bCs/>
          <w:lang w:val="en-KE"/>
        </w:rPr>
        <w:t>Component 1: Written Assignment (Research Proposal)</w:t>
      </w:r>
    </w:p>
    <w:p w14:paraId="6C7BEA4C" w14:textId="36A80402" w:rsidR="005F0BEC" w:rsidRPr="00B13CA0" w:rsidRDefault="005F0BEC" w:rsidP="00B13CA0">
      <w:pPr>
        <w:spacing w:after="200" w:line="360" w:lineRule="auto"/>
        <w:jc w:val="center"/>
        <w:rPr>
          <w:rFonts w:ascii="Arial" w:hAnsi="Arial" w:cs="Arial"/>
          <w:b/>
          <w:bCs/>
          <w:lang w:val="en-KE"/>
        </w:rPr>
      </w:pPr>
      <w:r w:rsidRPr="00B13CA0">
        <w:rPr>
          <w:rFonts w:ascii="Arial" w:hAnsi="Arial" w:cs="Arial"/>
          <w:b/>
          <w:bCs/>
          <w:lang w:val="en-US"/>
        </w:rPr>
        <w:t xml:space="preserve">Module code: </w:t>
      </w:r>
      <w:r w:rsidRPr="00B13CA0">
        <w:rPr>
          <w:rFonts w:ascii="Arial" w:hAnsi="Arial" w:cs="Arial"/>
          <w:b/>
          <w:bCs/>
          <w:lang w:val="en-KE"/>
        </w:rPr>
        <w:t>BMHP5019</w:t>
      </w:r>
    </w:p>
    <w:p w14:paraId="440AF8A8" w14:textId="77777777" w:rsidR="005F0BEC" w:rsidRPr="00B13CA0" w:rsidRDefault="005F0BEC" w:rsidP="00B13CA0">
      <w:pPr>
        <w:spacing w:after="200" w:line="360" w:lineRule="auto"/>
        <w:jc w:val="center"/>
        <w:rPr>
          <w:rFonts w:ascii="Arial" w:hAnsi="Arial" w:cs="Arial"/>
          <w:b/>
          <w:bCs/>
          <w:lang w:val="en-KE"/>
        </w:rPr>
      </w:pPr>
      <w:r w:rsidRPr="00B13CA0">
        <w:rPr>
          <w:rFonts w:ascii="Arial" w:hAnsi="Arial" w:cs="Arial"/>
          <w:b/>
          <w:bCs/>
          <w:lang w:val="en-KE"/>
        </w:rPr>
        <w:t xml:space="preserve">Student name: Pascaline Nono </w:t>
      </w:r>
      <w:proofErr w:type="spellStart"/>
      <w:r w:rsidRPr="00B13CA0">
        <w:rPr>
          <w:rFonts w:ascii="Arial" w:hAnsi="Arial" w:cs="Arial"/>
          <w:b/>
          <w:bCs/>
          <w:lang w:val="en-KE"/>
        </w:rPr>
        <w:t>Amagna</w:t>
      </w:r>
      <w:proofErr w:type="spellEnd"/>
    </w:p>
    <w:p w14:paraId="73F2290F" w14:textId="78245E77" w:rsidR="005F0BEC" w:rsidRPr="00B13CA0" w:rsidRDefault="005F0BEC" w:rsidP="00B13CA0">
      <w:pPr>
        <w:spacing w:after="200" w:line="360" w:lineRule="auto"/>
        <w:jc w:val="center"/>
        <w:rPr>
          <w:rFonts w:ascii="Arial" w:hAnsi="Arial" w:cs="Arial"/>
          <w:b/>
          <w:bCs/>
          <w:lang w:val="en-KE"/>
        </w:rPr>
      </w:pPr>
      <w:r w:rsidRPr="00B13CA0">
        <w:rPr>
          <w:rFonts w:ascii="Arial" w:hAnsi="Arial" w:cs="Arial"/>
          <w:b/>
          <w:bCs/>
          <w:lang w:val="en-KE"/>
        </w:rPr>
        <w:t>Student number: 2424794</w:t>
      </w:r>
    </w:p>
    <w:p w14:paraId="2648E58E" w14:textId="66AE9A6A" w:rsidR="001B0686" w:rsidRPr="00B13CA0" w:rsidRDefault="001B0686" w:rsidP="00B13CA0">
      <w:pPr>
        <w:spacing w:after="200" w:line="360" w:lineRule="auto"/>
        <w:jc w:val="center"/>
        <w:rPr>
          <w:rFonts w:ascii="Arial" w:hAnsi="Arial" w:cs="Arial"/>
          <w:b/>
          <w:bCs/>
          <w:lang w:val="en-US"/>
        </w:rPr>
      </w:pPr>
      <w:r w:rsidRPr="00B13CA0">
        <w:rPr>
          <w:rFonts w:ascii="Arial" w:hAnsi="Arial" w:cs="Arial"/>
          <w:b/>
          <w:bCs/>
          <w:lang w:val="en-US"/>
        </w:rPr>
        <w:t>Lecturer name: Philip Jones</w:t>
      </w:r>
    </w:p>
    <w:p w14:paraId="43F8D045" w14:textId="15E7401B" w:rsidR="001B0686" w:rsidRPr="00B13CA0" w:rsidRDefault="001B0686" w:rsidP="00B13CA0">
      <w:pPr>
        <w:spacing w:after="200" w:line="360" w:lineRule="auto"/>
        <w:jc w:val="center"/>
        <w:rPr>
          <w:rFonts w:ascii="Arial" w:hAnsi="Arial" w:cs="Arial"/>
          <w:b/>
          <w:bCs/>
          <w:lang w:val="en-US"/>
        </w:rPr>
      </w:pPr>
      <w:r w:rsidRPr="00B13CA0">
        <w:rPr>
          <w:rFonts w:ascii="Arial" w:hAnsi="Arial" w:cs="Arial"/>
          <w:b/>
          <w:bCs/>
          <w:lang w:val="en-US"/>
        </w:rPr>
        <w:t>Submission date:</w:t>
      </w:r>
      <w:r w:rsidR="00A218CC">
        <w:rPr>
          <w:rFonts w:ascii="Arial" w:hAnsi="Arial" w:cs="Arial"/>
          <w:b/>
          <w:bCs/>
          <w:lang w:val="en-US"/>
        </w:rPr>
        <w:t xml:space="preserve"> October 11, 2026</w:t>
      </w:r>
    </w:p>
    <w:p w14:paraId="3ADC9F9F" w14:textId="77777777" w:rsidR="001B0686" w:rsidRPr="00B13CA0" w:rsidRDefault="001B0686" w:rsidP="00B13CA0">
      <w:pPr>
        <w:spacing w:after="200" w:line="360" w:lineRule="auto"/>
        <w:jc w:val="both"/>
        <w:rPr>
          <w:rFonts w:ascii="Arial" w:hAnsi="Arial" w:cs="Arial"/>
          <w:b/>
          <w:bCs/>
          <w:lang w:val="en-US"/>
        </w:rPr>
      </w:pPr>
    </w:p>
    <w:p w14:paraId="39385CEC" w14:textId="77777777" w:rsidR="005F0BEC" w:rsidRPr="00B13CA0" w:rsidRDefault="005F0BEC" w:rsidP="00B13CA0">
      <w:pPr>
        <w:spacing w:line="360" w:lineRule="auto"/>
        <w:jc w:val="both"/>
        <w:rPr>
          <w:rFonts w:ascii="Arial" w:hAnsi="Arial" w:cs="Arial"/>
          <w:b/>
          <w:bCs/>
        </w:rPr>
      </w:pPr>
    </w:p>
    <w:p w14:paraId="2315E6C2" w14:textId="77777777" w:rsidR="008620A9" w:rsidRDefault="008620A9">
      <w:pPr>
        <w:rPr>
          <w:rFonts w:ascii="Arial" w:hAnsi="Arial" w:cs="Arial"/>
          <w:b/>
          <w:bCs/>
        </w:rPr>
      </w:pPr>
      <w:r>
        <w:rPr>
          <w:rFonts w:ascii="Arial" w:hAnsi="Arial" w:cs="Arial"/>
          <w:b/>
          <w:bCs/>
        </w:rPr>
        <w:br w:type="page"/>
      </w:r>
    </w:p>
    <w:p w14:paraId="3FBAE941" w14:textId="41C7A51B" w:rsidR="008620A9" w:rsidRPr="00E015BF" w:rsidRDefault="008620A9" w:rsidP="008620A9">
      <w:pPr>
        <w:spacing w:line="360" w:lineRule="auto"/>
        <w:jc w:val="both"/>
        <w:rPr>
          <w:rFonts w:ascii="Arial" w:hAnsi="Arial" w:cs="Arial"/>
          <w:b/>
          <w:bCs/>
        </w:rPr>
      </w:pPr>
      <w:r w:rsidRPr="00E015BF">
        <w:rPr>
          <w:rFonts w:ascii="Arial" w:hAnsi="Arial" w:cs="Arial"/>
          <w:b/>
          <w:bCs/>
        </w:rPr>
        <w:lastRenderedPageBreak/>
        <w:t>Topic, Review Question and Objectives</w:t>
      </w:r>
    </w:p>
    <w:p w14:paraId="009340BA" w14:textId="77777777" w:rsidR="008620A9" w:rsidRPr="00E015BF" w:rsidRDefault="008620A9" w:rsidP="008620A9">
      <w:pPr>
        <w:spacing w:line="360" w:lineRule="auto"/>
        <w:jc w:val="both"/>
        <w:rPr>
          <w:rFonts w:ascii="Arial" w:hAnsi="Arial" w:cs="Arial"/>
        </w:rPr>
      </w:pPr>
      <w:r w:rsidRPr="00E015BF">
        <w:rPr>
          <w:rFonts w:ascii="Arial" w:hAnsi="Arial" w:cs="Arial"/>
        </w:rPr>
        <w:t>This proposal aims to conduct a scoping review on factors assisting and hindering older people in accessing online NHS services in the United Kingdom. The review question is informed by the framework of Peters et al. (2020), Population-Concept-Context: which factors make online NHS services more or less easy to use for adults (65+ years) in primary and community care (context), and what factors facilitate them? Objectives: (1) to identify barriers and enablers, (2) to identify support approaches, and (3) to note group differences and research gaps.</w:t>
      </w:r>
    </w:p>
    <w:p w14:paraId="2C26D871" w14:textId="77777777" w:rsidR="008620A9" w:rsidRPr="00E015BF" w:rsidRDefault="008620A9" w:rsidP="008620A9">
      <w:pPr>
        <w:spacing w:line="360" w:lineRule="auto"/>
        <w:jc w:val="both"/>
        <w:rPr>
          <w:rFonts w:ascii="Arial" w:hAnsi="Arial" w:cs="Arial"/>
          <w:b/>
          <w:bCs/>
        </w:rPr>
      </w:pPr>
      <w:r w:rsidRPr="00E015BF">
        <w:rPr>
          <w:rFonts w:ascii="Arial" w:hAnsi="Arial" w:cs="Arial"/>
          <w:b/>
          <w:bCs/>
        </w:rPr>
        <w:t>Rationale</w:t>
      </w:r>
    </w:p>
    <w:p w14:paraId="694A3BB8" w14:textId="77777777" w:rsidR="008620A9" w:rsidRPr="00E015BF" w:rsidRDefault="008620A9" w:rsidP="008620A9">
      <w:pPr>
        <w:spacing w:line="360" w:lineRule="auto"/>
        <w:jc w:val="both"/>
        <w:rPr>
          <w:rFonts w:ascii="Arial" w:hAnsi="Arial" w:cs="Arial"/>
        </w:rPr>
      </w:pPr>
      <w:r w:rsidRPr="00E015BF">
        <w:rPr>
          <w:rFonts w:ascii="Arial" w:hAnsi="Arial" w:cs="Arial"/>
        </w:rPr>
        <w:t>The NHS App will be the pathway to accessing NHS services in the 10 Year Health Plan for England (DHSC, 2025). However, there is concern around digital exclusion, as only 54% of adults aged 75 years and above were found to be recent internet users, compared to 99% of adults aged 16-44 years, from the ONS (2020); Money et al. (2024) identified barriers preventing the use of the internet for accessing public services has an impact on older adults.</w:t>
      </w:r>
    </w:p>
    <w:p w14:paraId="5FE1F0EC" w14:textId="77777777" w:rsidR="008620A9" w:rsidRPr="00E015BF" w:rsidRDefault="008620A9" w:rsidP="008620A9">
      <w:pPr>
        <w:spacing w:line="360" w:lineRule="auto"/>
        <w:jc w:val="both"/>
        <w:rPr>
          <w:rFonts w:ascii="Arial" w:hAnsi="Arial" w:cs="Arial"/>
        </w:rPr>
      </w:pPr>
      <w:r w:rsidRPr="00E015BF">
        <w:rPr>
          <w:rFonts w:ascii="Arial" w:hAnsi="Arial" w:cs="Arial"/>
        </w:rPr>
        <w:t>Digital services could be challenging for older people with fewer economic, social, and language resources; minorities may have extra language difficulties (Husain et al., 2024; Ahmed et al., 2024).</w:t>
      </w:r>
    </w:p>
    <w:p w14:paraId="79E4859E" w14:textId="77777777" w:rsidR="008620A9" w:rsidRPr="00E015BF" w:rsidRDefault="008620A9" w:rsidP="008620A9">
      <w:pPr>
        <w:spacing w:line="360" w:lineRule="auto"/>
        <w:jc w:val="both"/>
        <w:rPr>
          <w:rFonts w:ascii="Arial" w:hAnsi="Arial" w:cs="Arial"/>
          <w:b/>
          <w:bCs/>
        </w:rPr>
      </w:pPr>
      <w:r w:rsidRPr="00E015BF">
        <w:rPr>
          <w:rFonts w:ascii="Arial" w:hAnsi="Arial" w:cs="Arial"/>
          <w:b/>
          <w:bCs/>
        </w:rPr>
        <w:t>Methods</w:t>
      </w:r>
    </w:p>
    <w:p w14:paraId="4EE6F037" w14:textId="77777777" w:rsidR="008620A9" w:rsidRPr="00E015BF" w:rsidRDefault="008620A9" w:rsidP="008620A9">
      <w:pPr>
        <w:spacing w:line="360" w:lineRule="auto"/>
        <w:jc w:val="both"/>
        <w:rPr>
          <w:rFonts w:ascii="Arial" w:hAnsi="Arial" w:cs="Arial"/>
        </w:rPr>
      </w:pPr>
      <w:r w:rsidRPr="00E015BF">
        <w:rPr>
          <w:rFonts w:ascii="Arial" w:hAnsi="Arial" w:cs="Arial"/>
        </w:rPr>
        <w:t>The review is conducted and reported based on the Arksey and O'Malley (2005) framework, modified by Levac et al. (2010) and Peters et al. (2020), and reported using PRISMA-</w:t>
      </w:r>
      <w:proofErr w:type="spellStart"/>
      <w:r w:rsidRPr="00E015BF">
        <w:rPr>
          <w:rFonts w:ascii="Arial" w:hAnsi="Arial" w:cs="Arial"/>
        </w:rPr>
        <w:t>ScR</w:t>
      </w:r>
      <w:proofErr w:type="spellEnd"/>
      <w:r w:rsidRPr="00E015BF">
        <w:rPr>
          <w:rFonts w:ascii="Arial" w:hAnsi="Arial" w:cs="Arial"/>
        </w:rPr>
        <w:t xml:space="preserve"> by </w:t>
      </w:r>
      <w:proofErr w:type="spellStart"/>
      <w:r w:rsidRPr="00E015BF">
        <w:rPr>
          <w:rFonts w:ascii="Arial" w:hAnsi="Arial" w:cs="Arial"/>
        </w:rPr>
        <w:t>Tricco</w:t>
      </w:r>
      <w:proofErr w:type="spellEnd"/>
      <w:r w:rsidRPr="00E015BF">
        <w:rPr>
          <w:rFonts w:ascii="Arial" w:hAnsi="Arial" w:cs="Arial"/>
        </w:rPr>
        <w:t xml:space="preserve"> et al. (2018). A scoping review would be appropriate for this topic since the intent of the review is to map out the extent of evidence and not to appraise its effectiveness.</w:t>
      </w:r>
    </w:p>
    <w:p w14:paraId="0C9A4487" w14:textId="77777777" w:rsidR="008620A9" w:rsidRPr="00E015BF" w:rsidRDefault="008620A9" w:rsidP="008620A9">
      <w:pPr>
        <w:spacing w:line="360" w:lineRule="auto"/>
        <w:jc w:val="both"/>
        <w:rPr>
          <w:rFonts w:ascii="Arial" w:hAnsi="Arial" w:cs="Arial"/>
        </w:rPr>
      </w:pPr>
      <w:r w:rsidRPr="00E015BF">
        <w:rPr>
          <w:rFonts w:ascii="Arial" w:hAnsi="Arial" w:cs="Arial"/>
        </w:rPr>
        <w:t>Data collection will be carried out using MEDLINE (biomedical), CINAHL (nursing and allied health), Scopus, and Web of Science (multidisciplinary) databases with the Boolean search terms of older adults, barriers/enablers, and digital NHS services. This will include peer-reviewed, UK-based, English-language studies from 2020 onwards due to the pandemic driving digital services. Titles, abstracts, and full texts will be reviewed, and exclusions documented with a PRISMA flow diagram.</w:t>
      </w:r>
    </w:p>
    <w:p w14:paraId="15439AA7" w14:textId="77777777" w:rsidR="008620A9" w:rsidRPr="00E015BF" w:rsidRDefault="008620A9" w:rsidP="008620A9">
      <w:pPr>
        <w:spacing w:line="360" w:lineRule="auto"/>
        <w:jc w:val="both"/>
        <w:rPr>
          <w:rFonts w:ascii="Arial" w:hAnsi="Arial" w:cs="Arial"/>
        </w:rPr>
      </w:pPr>
      <w:r w:rsidRPr="00E015BF">
        <w:rPr>
          <w:rFonts w:ascii="Arial" w:hAnsi="Arial" w:cs="Arial"/>
        </w:rPr>
        <w:t>An analysis charting form will be created for data analysis, which will record design, setting, participants, and findings. Results will be quantitatively and qualitatively represented, and not just barriers, but the intersection of barriers will be shown (Levac et al., 2010; Husain et al., 2024). Limitations: scoping reviews do not evaluate study quality; evidence is laid out rather than weighed; and this work is not expanded to include stakeholder consultation.</w:t>
      </w:r>
    </w:p>
    <w:p w14:paraId="5D90C791" w14:textId="77777777" w:rsidR="008620A9" w:rsidRPr="00E015BF" w:rsidRDefault="008620A9" w:rsidP="008620A9">
      <w:pPr>
        <w:spacing w:line="360" w:lineRule="auto"/>
        <w:jc w:val="both"/>
        <w:rPr>
          <w:rFonts w:ascii="Arial" w:hAnsi="Arial" w:cs="Arial"/>
          <w:b/>
          <w:bCs/>
        </w:rPr>
      </w:pPr>
      <w:r w:rsidRPr="00E015BF">
        <w:rPr>
          <w:rFonts w:ascii="Arial" w:hAnsi="Arial" w:cs="Arial"/>
          <w:b/>
          <w:bCs/>
        </w:rPr>
        <w:t>Ethical Considerations</w:t>
      </w:r>
    </w:p>
    <w:p w14:paraId="4ECC894B" w14:textId="754C1BCB" w:rsidR="005F0BEC" w:rsidRPr="00B13CA0" w:rsidRDefault="008620A9" w:rsidP="00B13CA0">
      <w:pPr>
        <w:spacing w:line="360" w:lineRule="auto"/>
        <w:jc w:val="both"/>
        <w:rPr>
          <w:rFonts w:ascii="Arial" w:hAnsi="Arial" w:cs="Arial"/>
          <w:b/>
          <w:bCs/>
        </w:rPr>
      </w:pPr>
      <w:r w:rsidRPr="00E015BF">
        <w:rPr>
          <w:rFonts w:ascii="Arial" w:hAnsi="Arial" w:cs="Arial"/>
        </w:rPr>
        <w:lastRenderedPageBreak/>
        <w:t>This is secondary research; no participants or formal approval is needed. Sources will be cited in an appropriate way to maintain academic integrity</w:t>
      </w:r>
      <w:r>
        <w:rPr>
          <w:rFonts w:ascii="Arial" w:hAnsi="Arial" w:cs="Arial"/>
        </w:rPr>
        <w:t>;</w:t>
      </w:r>
      <w:r w:rsidRPr="00E015BF">
        <w:rPr>
          <w:rFonts w:ascii="Arial" w:hAnsi="Arial" w:cs="Arial"/>
        </w:rPr>
        <w:t xml:space="preserve"> findings will be drawn from the literature in an accurate manner</w:t>
      </w:r>
      <w:r w:rsidR="001801A0">
        <w:rPr>
          <w:rFonts w:ascii="Arial" w:hAnsi="Arial" w:cs="Arial"/>
        </w:rPr>
        <w:t>.</w:t>
      </w:r>
    </w:p>
    <w:p w14:paraId="6D7A3A17" w14:textId="026F91B5" w:rsidR="005F0BEC" w:rsidRPr="008620A9" w:rsidRDefault="005F0BEC" w:rsidP="00B13CA0">
      <w:pPr>
        <w:spacing w:line="360" w:lineRule="auto"/>
        <w:jc w:val="both"/>
        <w:rPr>
          <w:rFonts w:ascii="Arial" w:hAnsi="Arial" w:cs="Arial"/>
          <w:b/>
          <w:bCs/>
        </w:rPr>
      </w:pPr>
      <w:r w:rsidRPr="00B13CA0">
        <w:rPr>
          <w:rFonts w:ascii="Arial" w:hAnsi="Arial" w:cs="Arial"/>
        </w:rPr>
        <w:br w:type="page"/>
      </w:r>
    </w:p>
    <w:p w14:paraId="01E82AC6" w14:textId="53C2A67F" w:rsidR="005F0BEC" w:rsidRPr="00B13CA0" w:rsidRDefault="005F0BEC" w:rsidP="00B13CA0">
      <w:pPr>
        <w:pStyle w:val="Heading1"/>
        <w:keepNext/>
        <w:jc w:val="both"/>
      </w:pPr>
      <w:r w:rsidRPr="00B13CA0">
        <w:lastRenderedPageBreak/>
        <w:t>References</w:t>
      </w:r>
    </w:p>
    <w:p w14:paraId="42BDAA06" w14:textId="77777777" w:rsidR="005F0BEC" w:rsidRPr="00B13CA0" w:rsidRDefault="005F0BEC" w:rsidP="00B13CA0">
      <w:pPr>
        <w:spacing w:after="120" w:line="360" w:lineRule="auto"/>
        <w:ind w:left="567" w:hanging="567"/>
        <w:jc w:val="both"/>
        <w:rPr>
          <w:rFonts w:ascii="Arial" w:hAnsi="Arial" w:cs="Arial"/>
        </w:rPr>
      </w:pPr>
      <w:r w:rsidRPr="00B13CA0">
        <w:rPr>
          <w:rFonts w:ascii="Arial" w:eastAsia="Arial" w:hAnsi="Arial" w:cs="Arial"/>
        </w:rPr>
        <w:t xml:space="preserve">Ahmed, N., Hall, A., Poku, B., McDermott, J., Astbury, J. and Todd, C. (2024) ‘Experiences and views of older adults of South Asian, Black African, and Caribbean backgrounds about the digitalization of primary care services since the COVID-19 pandemic: qualitative focus group study’, </w:t>
      </w:r>
      <w:r w:rsidRPr="00B13CA0">
        <w:rPr>
          <w:rFonts w:ascii="Arial" w:eastAsia="Arial" w:hAnsi="Arial" w:cs="Arial"/>
          <w:i/>
          <w:iCs/>
        </w:rPr>
        <w:t>JMIR Formative Research</w:t>
      </w:r>
      <w:r w:rsidRPr="00B13CA0">
        <w:rPr>
          <w:rFonts w:ascii="Arial" w:eastAsia="Arial" w:hAnsi="Arial" w:cs="Arial"/>
        </w:rPr>
        <w:t xml:space="preserve">, 8, e57580. </w:t>
      </w:r>
      <w:hyperlink r:id="rId6" w:history="1">
        <w:r w:rsidRPr="00B13CA0">
          <w:rPr>
            <w:rStyle w:val="Hyperlink"/>
            <w:rFonts w:ascii="Arial" w:hAnsi="Arial" w:cs="Arial"/>
          </w:rPr>
          <w:t>https://doi.org/10.2196/57580</w:t>
        </w:r>
      </w:hyperlink>
    </w:p>
    <w:p w14:paraId="01307596" w14:textId="77777777" w:rsidR="005F0BEC" w:rsidRPr="00B13CA0" w:rsidRDefault="005F0BEC" w:rsidP="00B13CA0">
      <w:pPr>
        <w:spacing w:after="120" w:line="360" w:lineRule="auto"/>
        <w:ind w:left="567" w:hanging="567"/>
        <w:jc w:val="both"/>
        <w:rPr>
          <w:rFonts w:ascii="Arial" w:hAnsi="Arial" w:cs="Arial"/>
        </w:rPr>
      </w:pPr>
      <w:r w:rsidRPr="00B13CA0">
        <w:rPr>
          <w:rFonts w:ascii="Arial" w:eastAsia="Arial" w:hAnsi="Arial" w:cs="Arial"/>
        </w:rPr>
        <w:t xml:space="preserve">Arksey, H. and O’Malley, L. (2005) ‘Scoping studies: towards a methodological framework’, </w:t>
      </w:r>
      <w:r w:rsidRPr="00B13CA0">
        <w:rPr>
          <w:rFonts w:ascii="Arial" w:eastAsia="Arial" w:hAnsi="Arial" w:cs="Arial"/>
          <w:i/>
          <w:iCs/>
        </w:rPr>
        <w:t>International Journal of Social Research Methodology</w:t>
      </w:r>
      <w:r w:rsidRPr="00B13CA0">
        <w:rPr>
          <w:rFonts w:ascii="Arial" w:eastAsia="Arial" w:hAnsi="Arial" w:cs="Arial"/>
        </w:rPr>
        <w:t xml:space="preserve">, 8(1), pp. 19–32. </w:t>
      </w:r>
      <w:hyperlink r:id="rId7" w:history="1">
        <w:r w:rsidRPr="00B13CA0">
          <w:rPr>
            <w:rStyle w:val="Hyperlink"/>
            <w:rFonts w:ascii="Arial" w:hAnsi="Arial" w:cs="Arial"/>
          </w:rPr>
          <w:t>https://doi.org/10.1080/1364557032000119616</w:t>
        </w:r>
      </w:hyperlink>
    </w:p>
    <w:p w14:paraId="3B1BB7F6" w14:textId="77777777" w:rsidR="005F0BEC" w:rsidRPr="00B13CA0" w:rsidRDefault="005F0BEC" w:rsidP="00B13CA0">
      <w:pPr>
        <w:spacing w:after="120" w:line="360" w:lineRule="auto"/>
        <w:ind w:left="567" w:hanging="567"/>
        <w:jc w:val="both"/>
        <w:rPr>
          <w:rFonts w:ascii="Arial" w:hAnsi="Arial" w:cs="Arial"/>
        </w:rPr>
      </w:pPr>
      <w:r w:rsidRPr="00B13CA0">
        <w:rPr>
          <w:rFonts w:ascii="Arial" w:eastAsia="Arial" w:hAnsi="Arial" w:cs="Arial"/>
        </w:rPr>
        <w:t xml:space="preserve">Department of Health and Social Care (DHSC) (2025) </w:t>
      </w:r>
      <w:r w:rsidRPr="00B13CA0">
        <w:rPr>
          <w:rFonts w:ascii="Arial" w:eastAsia="Arial" w:hAnsi="Arial" w:cs="Arial"/>
          <w:i/>
          <w:iCs/>
        </w:rPr>
        <w:t>Fit for the future: 10 Year Health Plan for England</w:t>
      </w:r>
      <w:r w:rsidRPr="00B13CA0">
        <w:rPr>
          <w:rFonts w:ascii="Arial" w:eastAsia="Arial" w:hAnsi="Arial" w:cs="Arial"/>
        </w:rPr>
        <w:t xml:space="preserve">. London: DHSC. </w:t>
      </w:r>
      <w:hyperlink r:id="rId8" w:history="1">
        <w:r w:rsidRPr="00B13CA0">
          <w:rPr>
            <w:rStyle w:val="Hyperlink"/>
            <w:rFonts w:ascii="Arial" w:hAnsi="Arial" w:cs="Arial"/>
          </w:rPr>
          <w:t>https://www.gov.uk/government/publications/10-year-health-plan-for-england-fit-for-the-future</w:t>
        </w:r>
      </w:hyperlink>
    </w:p>
    <w:p w14:paraId="316D2240" w14:textId="77777777" w:rsidR="005F0BEC" w:rsidRPr="00B13CA0" w:rsidRDefault="005F0BEC" w:rsidP="00B13CA0">
      <w:pPr>
        <w:spacing w:after="120" w:line="360" w:lineRule="auto"/>
        <w:ind w:left="567" w:hanging="567"/>
        <w:jc w:val="both"/>
        <w:rPr>
          <w:rFonts w:ascii="Arial" w:hAnsi="Arial" w:cs="Arial"/>
        </w:rPr>
      </w:pPr>
      <w:r w:rsidRPr="00B13CA0">
        <w:rPr>
          <w:rFonts w:ascii="Arial" w:eastAsia="Arial" w:hAnsi="Arial" w:cs="Arial"/>
        </w:rPr>
        <w:t xml:space="preserve">Husain, L., Finlay, T., Husain, A., </w:t>
      </w:r>
      <w:proofErr w:type="spellStart"/>
      <w:r w:rsidRPr="00B13CA0">
        <w:rPr>
          <w:rFonts w:ascii="Arial" w:eastAsia="Arial" w:hAnsi="Arial" w:cs="Arial"/>
        </w:rPr>
        <w:t>Wherton</w:t>
      </w:r>
      <w:proofErr w:type="spellEnd"/>
      <w:r w:rsidRPr="00B13CA0">
        <w:rPr>
          <w:rFonts w:ascii="Arial" w:eastAsia="Arial" w:hAnsi="Arial" w:cs="Arial"/>
        </w:rPr>
        <w:t xml:space="preserve">, J., Hughes, G. and Greenhalgh, T. (2024) ‘Developing user personas to capture intersecting dimensions of disadvantage in older patients who are marginalised: a qualitative study’, </w:t>
      </w:r>
      <w:r w:rsidRPr="00B13CA0">
        <w:rPr>
          <w:rFonts w:ascii="Arial" w:eastAsia="Arial" w:hAnsi="Arial" w:cs="Arial"/>
          <w:i/>
          <w:iCs/>
        </w:rPr>
        <w:t>British Journal of General Practice</w:t>
      </w:r>
      <w:r w:rsidRPr="00B13CA0">
        <w:rPr>
          <w:rFonts w:ascii="Arial" w:eastAsia="Arial" w:hAnsi="Arial" w:cs="Arial"/>
        </w:rPr>
        <w:t xml:space="preserve">, 74(741), pp. e250–e257. </w:t>
      </w:r>
      <w:hyperlink r:id="rId9" w:history="1">
        <w:r w:rsidRPr="00B13CA0">
          <w:rPr>
            <w:rStyle w:val="Hyperlink"/>
            <w:rFonts w:ascii="Arial" w:hAnsi="Arial" w:cs="Arial"/>
          </w:rPr>
          <w:t>https://doi.org/10.3399/BJGP.2023.0412</w:t>
        </w:r>
      </w:hyperlink>
    </w:p>
    <w:p w14:paraId="42C7B3F0" w14:textId="77777777" w:rsidR="005F0BEC" w:rsidRPr="00B13CA0" w:rsidRDefault="005F0BEC" w:rsidP="00B13CA0">
      <w:pPr>
        <w:spacing w:after="120" w:line="360" w:lineRule="auto"/>
        <w:ind w:left="567" w:hanging="567"/>
        <w:jc w:val="both"/>
        <w:rPr>
          <w:rFonts w:ascii="Arial" w:hAnsi="Arial" w:cs="Arial"/>
        </w:rPr>
      </w:pPr>
      <w:r w:rsidRPr="00B13CA0">
        <w:rPr>
          <w:rFonts w:ascii="Arial" w:eastAsia="Arial" w:hAnsi="Arial" w:cs="Arial"/>
        </w:rPr>
        <w:t xml:space="preserve">Levac, D., Colquhoun, H. and O’Brien, K.K. (2010) ‘Scoping studies: advancing the methodology’, </w:t>
      </w:r>
      <w:r w:rsidRPr="00B13CA0">
        <w:rPr>
          <w:rFonts w:ascii="Arial" w:eastAsia="Arial" w:hAnsi="Arial" w:cs="Arial"/>
          <w:i/>
          <w:iCs/>
        </w:rPr>
        <w:t>Implementation Science</w:t>
      </w:r>
      <w:r w:rsidRPr="00B13CA0">
        <w:rPr>
          <w:rFonts w:ascii="Arial" w:eastAsia="Arial" w:hAnsi="Arial" w:cs="Arial"/>
        </w:rPr>
        <w:t>, 5, article 69.</w:t>
      </w:r>
      <w:r w:rsidRPr="00B13CA0">
        <w:rPr>
          <w:rFonts w:ascii="Arial" w:hAnsi="Arial" w:cs="Arial"/>
          <w:lang w:val="en-US"/>
        </w:rPr>
        <w:t xml:space="preserve"> </w:t>
      </w:r>
      <w:hyperlink r:id="rId10" w:history="1">
        <w:r w:rsidRPr="00B13CA0">
          <w:rPr>
            <w:rStyle w:val="Hyperlink"/>
            <w:rFonts w:ascii="Arial" w:hAnsi="Arial" w:cs="Arial"/>
          </w:rPr>
          <w:t>https://doi.org/10.1186/1748-5908-5-69</w:t>
        </w:r>
      </w:hyperlink>
    </w:p>
    <w:p w14:paraId="024ECAFE" w14:textId="77777777" w:rsidR="005F0BEC" w:rsidRPr="00B13CA0" w:rsidRDefault="005F0BEC" w:rsidP="00B13CA0">
      <w:pPr>
        <w:spacing w:after="120" w:line="360" w:lineRule="auto"/>
        <w:ind w:left="567" w:hanging="567"/>
        <w:jc w:val="both"/>
        <w:rPr>
          <w:rFonts w:ascii="Arial" w:hAnsi="Arial" w:cs="Arial"/>
        </w:rPr>
      </w:pPr>
      <w:r w:rsidRPr="00B13CA0">
        <w:rPr>
          <w:rFonts w:ascii="Arial" w:eastAsia="Arial" w:hAnsi="Arial" w:cs="Arial"/>
        </w:rPr>
        <w:t xml:space="preserve">Money, A., Hall, A., Harris, D., </w:t>
      </w:r>
      <w:proofErr w:type="spellStart"/>
      <w:r w:rsidRPr="00B13CA0">
        <w:rPr>
          <w:rFonts w:ascii="Arial" w:eastAsia="Arial" w:hAnsi="Arial" w:cs="Arial"/>
        </w:rPr>
        <w:t>Eost</w:t>
      </w:r>
      <w:proofErr w:type="spellEnd"/>
      <w:r w:rsidRPr="00B13CA0">
        <w:rPr>
          <w:rFonts w:ascii="Arial" w:eastAsia="Arial" w:hAnsi="Arial" w:cs="Arial"/>
        </w:rPr>
        <w:t xml:space="preserve">-Telling, C., McDermott, J. and Todd, C. (2024) ‘Barriers to and facilitators of older people’s engagement with web-based services: qualitative study of adults aged &gt;75 years’, </w:t>
      </w:r>
      <w:r w:rsidRPr="00B13CA0">
        <w:rPr>
          <w:rFonts w:ascii="Arial" w:eastAsia="Arial" w:hAnsi="Arial" w:cs="Arial"/>
          <w:i/>
          <w:iCs/>
        </w:rPr>
        <w:t>JMIR Aging</w:t>
      </w:r>
      <w:r w:rsidRPr="00B13CA0">
        <w:rPr>
          <w:rFonts w:ascii="Arial" w:eastAsia="Arial" w:hAnsi="Arial" w:cs="Arial"/>
        </w:rPr>
        <w:t xml:space="preserve">, 7, e46522. </w:t>
      </w:r>
      <w:hyperlink r:id="rId11" w:history="1">
        <w:r w:rsidRPr="00B13CA0">
          <w:rPr>
            <w:rStyle w:val="Hyperlink"/>
            <w:rFonts w:ascii="Arial" w:hAnsi="Arial" w:cs="Arial"/>
          </w:rPr>
          <w:t>https://doi.org/10.2196/46522</w:t>
        </w:r>
      </w:hyperlink>
    </w:p>
    <w:p w14:paraId="37965C66" w14:textId="77777777" w:rsidR="005F0BEC" w:rsidRPr="00B13CA0" w:rsidRDefault="005F0BEC" w:rsidP="00B13CA0">
      <w:pPr>
        <w:spacing w:after="120" w:line="360" w:lineRule="auto"/>
        <w:ind w:left="567" w:hanging="567"/>
        <w:jc w:val="both"/>
        <w:rPr>
          <w:rFonts w:ascii="Arial" w:hAnsi="Arial" w:cs="Arial"/>
        </w:rPr>
      </w:pPr>
      <w:r w:rsidRPr="00B13CA0">
        <w:rPr>
          <w:rFonts w:ascii="Arial" w:eastAsia="Arial" w:hAnsi="Arial" w:cs="Arial"/>
        </w:rPr>
        <w:t xml:space="preserve">Peters, M.D.J., Marnie, C., </w:t>
      </w:r>
      <w:proofErr w:type="spellStart"/>
      <w:r w:rsidRPr="00B13CA0">
        <w:rPr>
          <w:rFonts w:ascii="Arial" w:eastAsia="Arial" w:hAnsi="Arial" w:cs="Arial"/>
        </w:rPr>
        <w:t>Tricco</w:t>
      </w:r>
      <w:proofErr w:type="spellEnd"/>
      <w:r w:rsidRPr="00B13CA0">
        <w:rPr>
          <w:rFonts w:ascii="Arial" w:eastAsia="Arial" w:hAnsi="Arial" w:cs="Arial"/>
        </w:rPr>
        <w:t xml:space="preserve">, A.C., Pollock, D., Munn, Z., Alexander, L., McInerney, P., Godfrey, C.M. and Khalil, H. (2020) ‘Updated methodological guidance for the conduct of scoping reviews’, </w:t>
      </w:r>
      <w:r w:rsidRPr="00B13CA0">
        <w:rPr>
          <w:rFonts w:ascii="Arial" w:eastAsia="Arial" w:hAnsi="Arial" w:cs="Arial"/>
          <w:i/>
          <w:iCs/>
        </w:rPr>
        <w:t>JBI Evidence Synthesis</w:t>
      </w:r>
      <w:r w:rsidRPr="00B13CA0">
        <w:rPr>
          <w:rFonts w:ascii="Arial" w:eastAsia="Arial" w:hAnsi="Arial" w:cs="Arial"/>
        </w:rPr>
        <w:t xml:space="preserve">, 18(10), pp. 2119–2126. </w:t>
      </w:r>
      <w:hyperlink r:id="rId12" w:history="1">
        <w:r w:rsidRPr="00B13CA0">
          <w:rPr>
            <w:rStyle w:val="Hyperlink"/>
            <w:rFonts w:ascii="Arial" w:hAnsi="Arial" w:cs="Arial"/>
          </w:rPr>
          <w:t>https://doi.org/10.11124/JBIES-20-00167</w:t>
        </w:r>
      </w:hyperlink>
    </w:p>
    <w:p w14:paraId="1E637F76" w14:textId="77777777" w:rsidR="005F0BEC" w:rsidRPr="00B13CA0" w:rsidRDefault="005F0BEC" w:rsidP="00B13CA0">
      <w:pPr>
        <w:spacing w:after="120" w:line="360" w:lineRule="auto"/>
        <w:ind w:left="567" w:hanging="567"/>
        <w:jc w:val="both"/>
        <w:rPr>
          <w:rFonts w:ascii="Arial" w:hAnsi="Arial" w:cs="Arial"/>
        </w:rPr>
      </w:pPr>
      <w:proofErr w:type="spellStart"/>
      <w:r w:rsidRPr="00B13CA0">
        <w:rPr>
          <w:rFonts w:ascii="Arial" w:eastAsia="Arial" w:hAnsi="Arial" w:cs="Arial"/>
        </w:rPr>
        <w:t>Tricco</w:t>
      </w:r>
      <w:proofErr w:type="spellEnd"/>
      <w:r w:rsidRPr="00B13CA0">
        <w:rPr>
          <w:rFonts w:ascii="Arial" w:eastAsia="Arial" w:hAnsi="Arial" w:cs="Arial"/>
        </w:rPr>
        <w:t xml:space="preserve">, A.C., Lillie, E., Zarin, W., O’Brien, K.K., Colquhoun, H., Levac, D., Moher, D., Peters, M.D.J., Horsley, T., Weeks, L., Hempel, S., Akl, E.A., Chang, C., McGowan, J., Stewart, L., Hartling, L., </w:t>
      </w:r>
      <w:proofErr w:type="spellStart"/>
      <w:r w:rsidRPr="00B13CA0">
        <w:rPr>
          <w:rFonts w:ascii="Arial" w:eastAsia="Arial" w:hAnsi="Arial" w:cs="Arial"/>
        </w:rPr>
        <w:t>Aldcroft</w:t>
      </w:r>
      <w:proofErr w:type="spellEnd"/>
      <w:r w:rsidRPr="00B13CA0">
        <w:rPr>
          <w:rFonts w:ascii="Arial" w:eastAsia="Arial" w:hAnsi="Arial" w:cs="Arial"/>
        </w:rPr>
        <w:t xml:space="preserve">, A., Wilson, M.G., </w:t>
      </w:r>
      <w:proofErr w:type="spellStart"/>
      <w:r w:rsidRPr="00B13CA0">
        <w:rPr>
          <w:rFonts w:ascii="Arial" w:eastAsia="Arial" w:hAnsi="Arial" w:cs="Arial"/>
        </w:rPr>
        <w:t>Garritty</w:t>
      </w:r>
      <w:proofErr w:type="spellEnd"/>
      <w:r w:rsidRPr="00B13CA0">
        <w:rPr>
          <w:rFonts w:ascii="Arial" w:eastAsia="Arial" w:hAnsi="Arial" w:cs="Arial"/>
        </w:rPr>
        <w:t xml:space="preserve">, C., Lewin, S., Godfrey, C.M., Macdonald, M.T., Langlois, E.V., Soares-Weiser, K., Moriarty, J., Clifford, T., </w:t>
      </w:r>
      <w:proofErr w:type="spellStart"/>
      <w:r w:rsidRPr="00B13CA0">
        <w:rPr>
          <w:rFonts w:ascii="Arial" w:eastAsia="Arial" w:hAnsi="Arial" w:cs="Arial"/>
        </w:rPr>
        <w:t>Tunçalp</w:t>
      </w:r>
      <w:proofErr w:type="spellEnd"/>
      <w:r w:rsidRPr="00B13CA0">
        <w:rPr>
          <w:rFonts w:ascii="Arial" w:eastAsia="Arial" w:hAnsi="Arial" w:cs="Arial"/>
        </w:rPr>
        <w:t>, Ö. and Straus, S.E. (2018) ‘PRISMA extension for scoping reviews (PRISMA-</w:t>
      </w:r>
      <w:proofErr w:type="spellStart"/>
      <w:r w:rsidRPr="00B13CA0">
        <w:rPr>
          <w:rFonts w:ascii="Arial" w:eastAsia="Arial" w:hAnsi="Arial" w:cs="Arial"/>
        </w:rPr>
        <w:t>ScR</w:t>
      </w:r>
      <w:proofErr w:type="spellEnd"/>
      <w:r w:rsidRPr="00B13CA0">
        <w:rPr>
          <w:rFonts w:ascii="Arial" w:eastAsia="Arial" w:hAnsi="Arial" w:cs="Arial"/>
        </w:rPr>
        <w:t xml:space="preserve">): checklist and explanation’, </w:t>
      </w:r>
      <w:r w:rsidRPr="00B13CA0">
        <w:rPr>
          <w:rFonts w:ascii="Arial" w:eastAsia="Arial" w:hAnsi="Arial" w:cs="Arial"/>
          <w:i/>
          <w:iCs/>
        </w:rPr>
        <w:t>Annals of Internal Medicine</w:t>
      </w:r>
      <w:r w:rsidRPr="00B13CA0">
        <w:rPr>
          <w:rFonts w:ascii="Arial" w:eastAsia="Arial" w:hAnsi="Arial" w:cs="Arial"/>
        </w:rPr>
        <w:t xml:space="preserve">, 169(7), pp. 467–473. </w:t>
      </w:r>
      <w:hyperlink r:id="rId13" w:history="1">
        <w:r w:rsidRPr="00B13CA0">
          <w:rPr>
            <w:rStyle w:val="Hyperlink"/>
            <w:rFonts w:ascii="Arial" w:hAnsi="Arial" w:cs="Arial"/>
          </w:rPr>
          <w:t>https://doi.org/10.7326/M18-0850</w:t>
        </w:r>
      </w:hyperlink>
    </w:p>
    <w:p w14:paraId="54A2BAE1" w14:textId="77777777" w:rsidR="005F0BEC" w:rsidRPr="00B13CA0" w:rsidRDefault="005F0BEC" w:rsidP="00B13CA0">
      <w:pPr>
        <w:spacing w:line="360" w:lineRule="auto"/>
        <w:jc w:val="both"/>
        <w:rPr>
          <w:rFonts w:ascii="Arial" w:hAnsi="Arial" w:cs="Arial"/>
        </w:rPr>
      </w:pPr>
    </w:p>
    <w:sectPr w:rsidR="005F0BEC" w:rsidRPr="00B13CA0">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5BF8E7" w14:textId="77777777" w:rsidR="00936A19" w:rsidRDefault="00936A19" w:rsidP="001B0686">
      <w:pPr>
        <w:spacing w:after="0" w:line="240" w:lineRule="auto"/>
      </w:pPr>
      <w:r>
        <w:separator/>
      </w:r>
    </w:p>
  </w:endnote>
  <w:endnote w:type="continuationSeparator" w:id="0">
    <w:p w14:paraId="443E06BE" w14:textId="77777777" w:rsidR="00936A19" w:rsidRDefault="00936A19" w:rsidP="001B06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4036761"/>
      <w:docPartObj>
        <w:docPartGallery w:val="Page Numbers (Bottom of Page)"/>
        <w:docPartUnique/>
      </w:docPartObj>
    </w:sdtPr>
    <w:sdtContent>
      <w:sdt>
        <w:sdtPr>
          <w:id w:val="-1705238520"/>
          <w:docPartObj>
            <w:docPartGallery w:val="Page Numbers (Top of Page)"/>
            <w:docPartUnique/>
          </w:docPartObj>
        </w:sdtPr>
        <w:sdtContent>
          <w:p w14:paraId="56BDC932" w14:textId="25E0216D" w:rsidR="001B0686" w:rsidRDefault="001B0686">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5D519A5" w14:textId="77777777" w:rsidR="001B0686" w:rsidRDefault="001B06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ADCAF9" w14:textId="77777777" w:rsidR="00936A19" w:rsidRDefault="00936A19" w:rsidP="001B0686">
      <w:pPr>
        <w:spacing w:after="0" w:line="240" w:lineRule="auto"/>
      </w:pPr>
      <w:r>
        <w:separator/>
      </w:r>
    </w:p>
  </w:footnote>
  <w:footnote w:type="continuationSeparator" w:id="0">
    <w:p w14:paraId="2B79CFEF" w14:textId="77777777" w:rsidR="00936A19" w:rsidRDefault="00936A19" w:rsidP="001B068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5C96"/>
    <w:rsid w:val="000D5B21"/>
    <w:rsid w:val="000E5C96"/>
    <w:rsid w:val="001801A0"/>
    <w:rsid w:val="001B0686"/>
    <w:rsid w:val="0027204B"/>
    <w:rsid w:val="005B1372"/>
    <w:rsid w:val="005F0BEC"/>
    <w:rsid w:val="00631DC1"/>
    <w:rsid w:val="00666549"/>
    <w:rsid w:val="008620A9"/>
    <w:rsid w:val="00936A19"/>
    <w:rsid w:val="00A218CC"/>
    <w:rsid w:val="00B13CA0"/>
  </w:rsids>
  <m:mathPr>
    <m:mathFont m:val="Cambria Math"/>
    <m:brkBin m:val="before"/>
    <m:brkBinSub m:val="--"/>
    <m:smallFrac m:val="0"/>
    <m:dispDef/>
    <m:lMargin m:val="0"/>
    <m:rMargin m:val="0"/>
    <m:defJc m:val="centerGroup"/>
    <m:wrapIndent m:val="1440"/>
    <m:intLim m:val="subSup"/>
    <m:naryLim m:val="undOvr"/>
  </m:mathPr>
  <w:themeFontLang w:val="en-K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F0F53C"/>
  <w15:chartTrackingRefBased/>
  <w15:docId w15:val="{F15DF6E8-AE1D-4ACE-BAE5-D140C22D02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KE"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link w:val="Heading1Char"/>
    <w:uiPriority w:val="9"/>
    <w:qFormat/>
    <w:rsid w:val="005F0BEC"/>
    <w:pPr>
      <w:spacing w:before="120" w:after="120" w:line="360" w:lineRule="auto"/>
      <w:outlineLvl w:val="0"/>
    </w:pPr>
    <w:rPr>
      <w:rFonts w:ascii="Arial" w:eastAsia="Arial" w:hAnsi="Arial" w:cs="Arial"/>
      <w:b/>
      <w:bCs/>
      <w:color w:val="000000"/>
      <w:lang w:eastAsia="en-K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0BEC"/>
    <w:rPr>
      <w:rFonts w:ascii="Arial" w:eastAsia="Arial" w:hAnsi="Arial" w:cs="Arial"/>
      <w:b/>
      <w:bCs/>
      <w:color w:val="000000"/>
      <w:lang w:val="en-KE" w:eastAsia="en-KE"/>
    </w:rPr>
  </w:style>
  <w:style w:type="character" w:styleId="Hyperlink">
    <w:name w:val="Hyperlink"/>
    <w:uiPriority w:val="99"/>
    <w:unhideWhenUsed/>
    <w:rsid w:val="005F0BEC"/>
    <w:rPr>
      <w:color w:val="0563C1"/>
      <w:u w:val="single"/>
    </w:rPr>
  </w:style>
  <w:style w:type="character" w:styleId="FollowedHyperlink">
    <w:name w:val="FollowedHyperlink"/>
    <w:basedOn w:val="DefaultParagraphFont"/>
    <w:uiPriority w:val="99"/>
    <w:semiHidden/>
    <w:unhideWhenUsed/>
    <w:rsid w:val="005F0BEC"/>
    <w:rPr>
      <w:color w:val="954F72" w:themeColor="followedHyperlink"/>
      <w:u w:val="single"/>
    </w:rPr>
  </w:style>
  <w:style w:type="paragraph" w:styleId="NormalWeb">
    <w:name w:val="Normal (Web)"/>
    <w:basedOn w:val="Normal"/>
    <w:uiPriority w:val="99"/>
    <w:unhideWhenUsed/>
    <w:rsid w:val="005F0BEC"/>
    <w:pPr>
      <w:spacing w:before="100" w:beforeAutospacing="1" w:after="100" w:afterAutospacing="1" w:line="240" w:lineRule="auto"/>
    </w:pPr>
    <w:rPr>
      <w:rFonts w:ascii="Times New Roman" w:eastAsia="Times New Roman" w:hAnsi="Times New Roman" w:cs="Times New Roman"/>
      <w:sz w:val="24"/>
      <w:szCs w:val="24"/>
      <w:lang w:val="en-KE" w:eastAsia="en-KE"/>
    </w:rPr>
  </w:style>
  <w:style w:type="character" w:styleId="Strong">
    <w:name w:val="Strong"/>
    <w:basedOn w:val="DefaultParagraphFont"/>
    <w:uiPriority w:val="22"/>
    <w:qFormat/>
    <w:rsid w:val="005F0BEC"/>
    <w:rPr>
      <w:b/>
      <w:bCs/>
    </w:rPr>
  </w:style>
  <w:style w:type="paragraph" w:styleId="Header">
    <w:name w:val="header"/>
    <w:basedOn w:val="Normal"/>
    <w:link w:val="HeaderChar"/>
    <w:uiPriority w:val="99"/>
    <w:unhideWhenUsed/>
    <w:rsid w:val="001B06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0686"/>
    <w:rPr>
      <w:lang w:val="en-GB"/>
    </w:rPr>
  </w:style>
  <w:style w:type="paragraph" w:styleId="Footer">
    <w:name w:val="footer"/>
    <w:basedOn w:val="Normal"/>
    <w:link w:val="FooterChar"/>
    <w:uiPriority w:val="99"/>
    <w:unhideWhenUsed/>
    <w:rsid w:val="001B06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0686"/>
    <w:rPr>
      <w:lang w:val="en-GB"/>
    </w:rPr>
  </w:style>
  <w:style w:type="paragraph" w:customStyle="1" w:styleId="pdq2pgselectionanchorcontainer">
    <w:name w:val="pdq2pg_selectionanchorcontainer"/>
    <w:basedOn w:val="Normal"/>
    <w:rsid w:val="00B13CA0"/>
    <w:pPr>
      <w:spacing w:before="100" w:beforeAutospacing="1" w:after="100" w:afterAutospacing="1" w:line="240" w:lineRule="auto"/>
    </w:pPr>
    <w:rPr>
      <w:rFonts w:ascii="Times New Roman" w:eastAsia="Times New Roman" w:hAnsi="Times New Roman" w:cs="Times New Roman"/>
      <w:sz w:val="24"/>
      <w:szCs w:val="24"/>
      <w:lang w:val="en-KE" w:eastAsia="en-K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4816534">
      <w:bodyDiv w:val="1"/>
      <w:marLeft w:val="0"/>
      <w:marRight w:val="0"/>
      <w:marTop w:val="0"/>
      <w:marBottom w:val="0"/>
      <w:divBdr>
        <w:top w:val="none" w:sz="0" w:space="0" w:color="auto"/>
        <w:left w:val="none" w:sz="0" w:space="0" w:color="auto"/>
        <w:bottom w:val="none" w:sz="0" w:space="0" w:color="auto"/>
        <w:right w:val="none" w:sz="0" w:space="0" w:color="auto"/>
      </w:divBdr>
    </w:div>
    <w:div w:id="494497416">
      <w:bodyDiv w:val="1"/>
      <w:marLeft w:val="0"/>
      <w:marRight w:val="0"/>
      <w:marTop w:val="0"/>
      <w:marBottom w:val="0"/>
      <w:divBdr>
        <w:top w:val="none" w:sz="0" w:space="0" w:color="auto"/>
        <w:left w:val="none" w:sz="0" w:space="0" w:color="auto"/>
        <w:bottom w:val="none" w:sz="0" w:space="0" w:color="auto"/>
        <w:right w:val="none" w:sz="0" w:space="0" w:color="auto"/>
      </w:divBdr>
      <w:divsChild>
        <w:div w:id="148046079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88619319">
      <w:bodyDiv w:val="1"/>
      <w:marLeft w:val="0"/>
      <w:marRight w:val="0"/>
      <w:marTop w:val="0"/>
      <w:marBottom w:val="0"/>
      <w:divBdr>
        <w:top w:val="none" w:sz="0" w:space="0" w:color="auto"/>
        <w:left w:val="none" w:sz="0" w:space="0" w:color="auto"/>
        <w:bottom w:val="none" w:sz="0" w:space="0" w:color="auto"/>
        <w:right w:val="none" w:sz="0" w:space="0" w:color="auto"/>
      </w:divBdr>
    </w:div>
    <w:div w:id="1440105263">
      <w:bodyDiv w:val="1"/>
      <w:marLeft w:val="0"/>
      <w:marRight w:val="0"/>
      <w:marTop w:val="0"/>
      <w:marBottom w:val="0"/>
      <w:divBdr>
        <w:top w:val="none" w:sz="0" w:space="0" w:color="auto"/>
        <w:left w:val="none" w:sz="0" w:space="0" w:color="auto"/>
        <w:bottom w:val="none" w:sz="0" w:space="0" w:color="auto"/>
        <w:right w:val="none" w:sz="0" w:space="0" w:color="auto"/>
      </w:divBdr>
      <w:divsChild>
        <w:div w:id="11514879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10-year-health-plan-for-england-fit-for-the-future" TargetMode="External"/><Relationship Id="rId13" Type="http://schemas.openxmlformats.org/officeDocument/2006/relationships/hyperlink" Target="https://doi.org/10.7326/M18-0850" TargetMode="External"/><Relationship Id="rId3" Type="http://schemas.openxmlformats.org/officeDocument/2006/relationships/webSettings" Target="webSettings.xml"/><Relationship Id="rId7" Type="http://schemas.openxmlformats.org/officeDocument/2006/relationships/hyperlink" Target="https://doi.org/10.1080/1364557032000119616" TargetMode="External"/><Relationship Id="rId12" Type="http://schemas.openxmlformats.org/officeDocument/2006/relationships/hyperlink" Target="https://doi.org/10.11124/JBIES-20-00167"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doi.org/10.2196/57580" TargetMode="External"/><Relationship Id="rId11" Type="http://schemas.openxmlformats.org/officeDocument/2006/relationships/hyperlink" Target="https://doi.org/10.2196/46522"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doi.org/10.1186/1748-5908-5-69" TargetMode="External"/><Relationship Id="rId4" Type="http://schemas.openxmlformats.org/officeDocument/2006/relationships/footnotes" Target="footnotes.xml"/><Relationship Id="rId9" Type="http://schemas.openxmlformats.org/officeDocument/2006/relationships/hyperlink" Target="https://doi.org/10.3399/BJGP.2023.0412"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4</Pages>
  <Words>906</Words>
  <Characters>5168</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4</cp:revision>
  <dcterms:created xsi:type="dcterms:W3CDTF">2026-10-11T21:19:00Z</dcterms:created>
  <dcterms:modified xsi:type="dcterms:W3CDTF">2026-10-11T22:01:00Z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24d998e6-f79b-457f-861b-b33cf70e3c95</vt:lpwstr>
  </property>
</Properties>
</file>