
<file path=[Content_Types].xml><?xml version="1.0" encoding="utf-8"?>
<Types xmlns="http://schemas.openxmlformats.org/package/2006/content-types">
  <Default ContentType="application/vnd.openxmlformats-officedocument.obfuscatedFont" Extension="odttf"/>
  <Default ContentType="image/png" Extension="png"/>
  <Default ContentType="application/vnd.openxmlformats-package.relationships+xml" Extension="rels"/>
  <Default ContentType="application/xml" Extension="xml"/>
  <Override ContentType="application/vnd.openxmlformats-officedocument.extended-properties+xml" PartName="/docProps/app.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settings+xml" PartName="/word/settings.xml"/>
</Types>
</file>

<file path=_rels/.rels><?xml version="1.0" encoding="UTF-8" standalone="yes"?><Relationships xmlns="http://schemas.openxmlformats.org/package/2006/relationships"><Relationship Id="rId1" Target="word/document.xml" Type="http://schemas.openxmlformats.org/officeDocument/2006/relationships/officeDocument"/><Relationship Id="rId2" Target="docProps/app.xml" Type="http://schemas.openxmlformats.org/officeDocument/2006/relationships/extended-properties"/><Relationship Id="rId3" Target="docProps/core.xml" Type="http://schemas.openxmlformats.org/package/2006/relationships/metadata/core-properties"/></Relationships>
</file>

<file path=word/document.xml><?xml version="1.0" encoding="utf-8"?>
<w:document xmlns:w="http://schemas.openxmlformats.org/wordprocessingml/2006/main" xmlns:wp="http://schemas.openxmlformats.org/drawingml/2006/wordprocessingDrawing" xmlns:a="http://schemas.openxmlformats.org/drawingml/2006/main" xmlns:r="http://schemas.openxmlformats.org/officeDocument/2006/relationships">
  <w:body>
    <w:p>
      <w:pPr>
        <w:spacing w:after="120" w:before="120" w:line="240"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120" w:before="120"/>
        <w:jc w:val="center"/>
      </w:pPr>
      <w:r>
        <w:drawing>
          <wp:inline>
            <wp:extent cx="1220395" cy="1220395"/>
            <wp:docPr id="0" name="Drawing 0" descr="3b9b7667bd4b5d6904ea8f2ce7e4f807.png"/>
            <wp:cNvGraphicFramePr>
              <a:graphicFrameLocks noChangeAspect="true"/>
            </wp:cNvGraphicFramePr>
            <a:graphic>
              <a:graphicData uri="http://schemas.openxmlformats.org/drawingml/2006/picture">
                <pic:pic xmlns:pic="http://schemas.openxmlformats.org/drawingml/2006/picture">
                  <pic:nvPicPr>
                    <pic:cNvPr id="0" name="Picture 0" descr="3b9b7667bd4b5d6904ea8f2ce7e4f807.png"/>
                    <pic:cNvPicPr>
                      <a:picLocks noChangeAspect="true"/>
                    </pic:cNvPicPr>
                  </pic:nvPicPr>
                  <pic:blipFill>
                    <a:blip r:embed="rId3"/>
                    <a:stretch>
                      <a:fillRect/>
                    </a:stretch>
                  </pic:blipFill>
                  <pic:spPr>
                    <a:xfrm flipH="false" flipV="false">
                      <a:off x="0" y="0"/>
                      <a:ext cx="1220395" cy="1220395"/>
                    </a:xfrm>
                    <a:prstGeom prst="rect">
                      <a:avLst/>
                    </a:prstGeom>
                  </pic:spPr>
                </pic:pic>
              </a:graphicData>
            </a:graphic>
          </wp:inline>
        </w:drawing>
      </w:r>
    </w:p>
    <w:p>
      <w:pPr>
        <w:spacing w:after="120" w:before="120" w:line="240"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120" w:before="120" w:line="240" w:lineRule="auto"/>
        <w:ind w:firstLine="0" w:start="0"/>
        <w:jc w:val="start"/>
      </w:pPr>
      <w:r>
        <w:rPr>
          <w:rFonts w:ascii="Arimo" w:hAnsi="Arimo" w:cs="Arimo" w:eastAsia="Arimo"/>
          <w:color w:val="000000"/>
          <w:sz w:val="24"/>
          <w:szCs w:val="24"/>
        </w:rPr>
        <w:t xml:space="preserve">
</w:t>
      </w:r>
    </w:p>
    <w:p>
      <w:pPr>
        <w:spacing w:after="120" w:before="120" w:line="240" w:lineRule="auto"/>
        <w:ind w:firstLine="0" w:start="0"/>
        <w:jc w:val="center"/>
      </w:pPr>
      <w:r>
        <w:rPr>
          <w:rFonts w:ascii="Arial Bold" w:hAnsi="Arial Bold" w:cs="Arial Bold" w:eastAsia="Arial Bold"/>
          <w:b/>
          <w:bCs/>
          <w:color w:val="1b2a4a"/>
          <w:sz w:val="36"/>
          <w:szCs w:val="36"/>
        </w:rPr>
        <w:t>BUSINESS CONSULTANCY REPORT</w:t>
      </w:r>
      <w:r>
        <w:rPr>
          <w:rFonts w:ascii="Arimo" w:hAnsi="Arimo" w:cs="Arimo" w:eastAsia="Arimo"/>
          <w:color w:val="000000"/>
          <w:sz w:val="24"/>
          <w:szCs w:val="24"/>
        </w:rPr>
        <w:t xml:space="preserve">
</w:t>
      </w:r>
    </w:p>
    <w:p>
      <w:pPr>
        <w:spacing w:after="120" w:before="120" w:line="240" w:lineRule="auto"/>
        <w:ind w:firstLine="0" w:start="0"/>
        <w:jc w:val="start"/>
      </w:pPr>
      <w:r>
        <w:rPr>
          <w:rFonts w:ascii="Arimo" w:hAnsi="Arimo" w:cs="Arimo" w:eastAsia="Arimo"/>
          <w:color w:val="000000"/>
          <w:sz w:val="24"/>
          <w:szCs w:val="24"/>
        </w:rPr>
        <w:t xml:space="preserve">
</w:t>
      </w:r>
    </w:p>
    <w:p>
      <w:pPr>
        <w:spacing w:after="120" w:before="120" w:line="240" w:lineRule="auto"/>
        <w:ind w:firstLine="0" w:start="0"/>
        <w:jc w:val="center"/>
      </w:pPr>
      <w:r>
        <w:rPr>
          <w:rFonts w:ascii="Arial" w:hAnsi="Arial" w:cs="Arial" w:eastAsia="Arial"/>
          <w:color w:val="000000"/>
          <w:sz w:val="24"/>
          <w:szCs w:val="24"/>
        </w:rPr>
        <w:t>Green Haven Florists, Norwich</w:t>
      </w:r>
      <w:r>
        <w:rPr>
          <w:rFonts w:ascii="Arimo" w:hAnsi="Arimo" w:cs="Arimo" w:eastAsia="Arimo"/>
          <w:color w:val="000000"/>
          <w:sz w:val="24"/>
          <w:szCs w:val="24"/>
        </w:rPr>
        <w:t xml:space="preserve">
</w:t>
      </w:r>
    </w:p>
    <w:p>
      <w:pPr>
        <w:spacing w:after="120" w:before="120" w:line="240" w:lineRule="auto"/>
        <w:ind w:firstLine="0" w:start="0"/>
        <w:jc w:val="center"/>
      </w:pPr>
      <w:r>
        <w:rPr>
          <w:rFonts w:ascii="Arial Italics" w:hAnsi="Arial Italics" w:cs="Arial Italics" w:eastAsia="Arial Italics"/>
          <w:i/>
          <w:iCs/>
          <w:color w:val="000000"/>
          <w:sz w:val="24"/>
          <w:szCs w:val="24"/>
        </w:rPr>
        <w:t>Independent Business Consultancy Assessment</w:t>
      </w:r>
      <w:r>
        <w:rPr>
          <w:rFonts w:ascii="Arimo" w:hAnsi="Arimo" w:cs="Arimo" w:eastAsia="Arimo"/>
          <w:color w:val="000000"/>
          <w:sz w:val="24"/>
          <w:szCs w:val="24"/>
        </w:rPr>
        <w:t xml:space="preserve">
</w:t>
      </w:r>
    </w:p>
    <w:p>
      <w:pPr>
        <w:spacing w:after="120" w:before="120" w:line="240" w:lineRule="auto"/>
        <w:ind w:firstLine="0" w:start="0"/>
        <w:jc w:val="start"/>
      </w:pPr>
      <w:r>
        <w:rPr>
          <w:rFonts w:ascii="Arimo" w:hAnsi="Arimo" w:cs="Arimo" w:eastAsia="Arimo"/>
          <w:color w:val="000000"/>
          <w:sz w:val="24"/>
          <w:szCs w:val="24"/>
        </w:rPr>
        <w:t xml:space="preserve">
</w:t>
      </w:r>
    </w:p>
    <w:p>
      <w:pPr>
        <w:spacing w:after="120" w:before="120" w:line="240" w:lineRule="auto"/>
        <w:ind w:firstLine="0" w:start="0"/>
        <w:jc w:val="start"/>
      </w:pPr>
      <w:r>
        <w:rPr>
          <w:rFonts w:ascii="Arimo" w:hAnsi="Arimo" w:cs="Arimo" w:eastAsia="Arimo"/>
          <w:color w:val="000000"/>
          <w:sz w:val="24"/>
          <w:szCs w:val="24"/>
        </w:rPr>
        <w:t xml:space="preserve">
</w:t>
      </w:r>
    </w:p>
    <w:p>
      <w:pPr>
        <w:spacing w:after="120" w:before="120" w:line="240" w:lineRule="auto"/>
        <w:ind w:firstLine="0" w:start="0"/>
        <w:jc w:val="start"/>
      </w:pPr>
      <w:r>
        <w:rPr>
          <w:rFonts w:ascii="Arimo" w:hAnsi="Arimo" w:cs="Arimo" w:eastAsia="Arimo"/>
          <w:color w:val="000000"/>
          <w:sz w:val="24"/>
          <w:szCs w:val="24"/>
        </w:rPr>
        <w:t xml:space="preserve">
</w:t>
      </w:r>
    </w:p>
    <w:p>
      <w:pPr>
        <w:spacing w:after="120" w:before="120" w:line="240" w:lineRule="auto"/>
        <w:ind w:firstLine="0" w:start="0"/>
        <w:jc w:val="start"/>
      </w:pPr>
      <w:r>
        <w:rPr>
          <w:rFonts w:ascii="Arimo" w:hAnsi="Arimo" w:cs="Arimo" w:eastAsia="Arimo"/>
          <w:color w:val="000000"/>
          <w:sz w:val="24"/>
          <w:szCs w:val="24"/>
        </w:rPr>
        <w:t xml:space="preserve">
</w:t>
      </w:r>
    </w:p>
    <w:p>
      <w:pPr>
        <w:spacing w:after="120" w:before="120" w:line="240" w:lineRule="auto"/>
        <w:ind w:firstLine="0" w:start="0"/>
        <w:jc w:val="center"/>
      </w:pPr>
      <w:r>
        <w:rPr>
          <w:rFonts w:ascii="Arial Bold" w:hAnsi="Arial Bold" w:cs="Arial Bold" w:eastAsia="Arial Bold"/>
          <w:b/>
          <w:bCs/>
          <w:color w:val="1b2a4a"/>
          <w:sz w:val="24"/>
          <w:szCs w:val="24"/>
        </w:rPr>
        <w:t>Student Name:</w:t>
      </w:r>
      <w:r>
        <w:rPr>
          <w:rFonts w:ascii="Arial Bold" w:hAnsi="Arial Bold" w:cs="Arial Bold" w:eastAsia="Arial Bold"/>
          <w:b/>
          <w:bCs/>
          <w:color w:val="1b2a4a"/>
          <w:sz w:val="24"/>
          <w:szCs w:val="24"/>
        </w:rPr>
        <w:t xml:space="preserve"> Ozmen Kuntay</w:t>
      </w:r>
      <w:r>
        <w:rPr>
          <w:rFonts w:ascii="Arial Bold" w:hAnsi="Arial Bold" w:cs="Arial Bold" w:eastAsia="Arial Bold"/>
          <w:b/>
          <w:bCs/>
          <w:color w:val="1b2a4a"/>
          <w:sz w:val="24"/>
          <w:szCs w:val="24"/>
        </w:rPr>
        <w:t xml:space="preserve">
</w:t>
      </w:r>
    </w:p>
    <w:p>
      <w:pPr>
        <w:spacing w:after="120" w:before="120" w:line="240" w:lineRule="auto"/>
        <w:ind w:firstLine="0" w:start="0"/>
        <w:jc w:val="center"/>
      </w:pPr>
      <w:r>
        <w:rPr>
          <w:rFonts w:ascii="Arial Bold" w:hAnsi="Arial Bold" w:cs="Arial Bold" w:eastAsia="Arial Bold"/>
          <w:b/>
          <w:bCs/>
          <w:color w:val="1b2a4a"/>
          <w:sz w:val="24"/>
          <w:szCs w:val="24"/>
        </w:rPr>
        <w:t xml:space="preserve">Student ID: </w:t>
      </w:r>
      <w:r>
        <w:rPr>
          <w:rFonts w:ascii="Arial Bold" w:hAnsi="Arial Bold" w:cs="Arial Bold" w:eastAsia="Arial Bold"/>
          <w:b/>
          <w:bCs/>
          <w:color w:val="1b2a4a"/>
          <w:sz w:val="24"/>
          <w:szCs w:val="24"/>
        </w:rPr>
        <w:t>2516437</w:t>
      </w:r>
      <w:r>
        <w:rPr>
          <w:rFonts w:ascii="Arial Bold" w:hAnsi="Arial Bold" w:cs="Arial Bold" w:eastAsia="Arial Bold"/>
          <w:b/>
          <w:bCs/>
          <w:color w:val="1b2a4a"/>
          <w:sz w:val="24"/>
          <w:szCs w:val="24"/>
        </w:rPr>
        <w:t xml:space="preserve">
</w:t>
      </w:r>
    </w:p>
    <w:p>
      <w:pPr>
        <w:spacing w:after="120" w:before="120" w:line="240" w:lineRule="auto"/>
        <w:ind w:firstLine="0" w:start="0"/>
        <w:jc w:val="center"/>
      </w:pPr>
      <w:r>
        <w:rPr>
          <w:rFonts w:ascii="Arial Bold" w:hAnsi="Arial Bold" w:cs="Arial Bold" w:eastAsia="Arial Bold"/>
          <w:b/>
          <w:bCs/>
          <w:color w:val="1b2a4a"/>
          <w:sz w:val="24"/>
          <w:szCs w:val="24"/>
        </w:rPr>
        <w:t xml:space="preserve">Assignment Title:  </w:t>
      </w:r>
      <w:r>
        <w:rPr>
          <w:rFonts w:ascii="Arial Bold" w:hAnsi="Arial Bold" w:cs="Arial Bold" w:eastAsia="Arial Bold"/>
          <w:b/>
          <w:bCs/>
          <w:color w:val="1c1c1c"/>
          <w:sz w:val="24"/>
          <w:szCs w:val="24"/>
        </w:rPr>
        <w:t>Business Consultancy Report — Green Haven Florists</w:t>
      </w:r>
      <w:r>
        <w:rPr>
          <w:rFonts w:ascii="Arimo Bold" w:hAnsi="Arimo Bold" w:cs="Arimo Bold" w:eastAsia="Arimo Bold"/>
          <w:b/>
          <w:bCs/>
          <w:color w:val="000000"/>
          <w:sz w:val="24"/>
          <w:szCs w:val="24"/>
        </w:rPr>
        <w:t xml:space="preserve">
</w:t>
      </w:r>
    </w:p>
    <w:p>
      <w:pPr>
        <w:spacing w:after="120" w:before="120" w:line="240" w:lineRule="auto"/>
        <w:ind w:firstLine="0" w:start="0"/>
        <w:jc w:val="center"/>
      </w:pPr>
      <w:r>
        <w:rPr>
          <w:rFonts w:ascii="Arial Bold" w:hAnsi="Arial Bold" w:cs="Arial Bold" w:eastAsia="Arial Bold"/>
          <w:b/>
          <w:bCs/>
          <w:color w:val="1b2a4a"/>
          <w:sz w:val="20"/>
          <w:szCs w:val="20"/>
        </w:rPr>
        <w:t xml:space="preserve">Module Name: </w:t>
      </w:r>
      <w:r>
        <w:rPr>
          <w:rFonts w:ascii="Arial Bold" w:hAnsi="Arial Bold" w:cs="Arial Bold" w:eastAsia="Arial Bold"/>
          <w:b/>
          <w:bCs/>
          <w:color w:val="1b2a4a"/>
          <w:sz w:val="24"/>
          <w:szCs w:val="24"/>
        </w:rPr>
        <w:t>Problem Solving And Decision Making</w:t>
      </w:r>
      <w:r>
        <w:rPr>
          <w:rFonts w:ascii="Arial Bold" w:hAnsi="Arial Bold" w:cs="Arial Bold" w:eastAsia="Arial Bold"/>
          <w:b/>
          <w:bCs/>
          <w:color w:val="1b2a4a"/>
          <w:sz w:val="24"/>
          <w:szCs w:val="24"/>
        </w:rPr>
        <w:t xml:space="preserve">
</w:t>
      </w:r>
    </w:p>
    <w:p>
      <w:pPr>
        <w:spacing w:after="120" w:before="120" w:line="240" w:lineRule="auto"/>
        <w:ind w:firstLine="0" w:start="0"/>
        <w:jc w:val="center"/>
      </w:pPr>
      <w:r>
        <w:rPr>
          <w:rFonts w:ascii="Arial Bold" w:hAnsi="Arial Bold" w:cs="Arial Bold" w:eastAsia="Arial Bold"/>
          <w:b/>
          <w:bCs/>
          <w:color w:val="1b2a4a"/>
          <w:sz w:val="24"/>
          <w:szCs w:val="24"/>
        </w:rPr>
        <w:t>Module Code:</w:t>
      </w:r>
      <w:r>
        <w:rPr>
          <w:rFonts w:ascii="Arial Bold" w:hAnsi="Arial Bold" w:cs="Arial Bold" w:eastAsia="Arial Bold"/>
          <w:b/>
          <w:bCs/>
          <w:color w:val="1b2a4a"/>
          <w:sz w:val="24"/>
          <w:szCs w:val="24"/>
        </w:rPr>
        <w:t xml:space="preserve"> LCLM4006</w:t>
      </w:r>
      <w:r>
        <w:rPr>
          <w:rFonts w:ascii="Arial Bold" w:hAnsi="Arial Bold" w:cs="Arial Bold" w:eastAsia="Arial Bold"/>
          <w:b/>
          <w:bCs/>
          <w:color w:val="1b2a4a"/>
          <w:sz w:val="24"/>
          <w:szCs w:val="24"/>
        </w:rPr>
        <w:t xml:space="preserve">
</w:t>
      </w:r>
    </w:p>
    <w:p>
      <w:pPr>
        <w:spacing w:after="120" w:before="120" w:line="240" w:lineRule="auto"/>
        <w:ind w:firstLine="0" w:start="0"/>
        <w:jc w:val="center"/>
      </w:pPr>
      <w:r>
        <w:rPr>
          <w:rFonts w:ascii="Arial Bold" w:hAnsi="Arial Bold" w:cs="Arial Bold" w:eastAsia="Arial Bold"/>
          <w:b/>
          <w:bCs/>
          <w:color w:val="1b2a4a"/>
          <w:sz w:val="24"/>
          <w:szCs w:val="24"/>
        </w:rPr>
        <w:t xml:space="preserve">Lecturer's Name: </w:t>
      </w:r>
      <w:r>
        <w:rPr>
          <w:rFonts w:ascii="Arial Bold" w:hAnsi="Arial Bold" w:cs="Arial Bold" w:eastAsia="Arial Bold"/>
          <w:b/>
          <w:bCs/>
          <w:color w:val="1b2a4a"/>
          <w:sz w:val="24"/>
          <w:szCs w:val="24"/>
        </w:rPr>
        <w:t>Toyin Adisa</w:t>
      </w:r>
      <w:r>
        <w:rPr>
          <w:rFonts w:ascii="Arial Bold" w:hAnsi="Arial Bold" w:cs="Arial Bold" w:eastAsia="Arial Bold"/>
          <w:b/>
          <w:bCs/>
          <w:color w:val="1b2a4a"/>
          <w:sz w:val="24"/>
          <w:szCs w:val="24"/>
        </w:rPr>
        <w:t xml:space="preserve">
</w:t>
      </w:r>
    </w:p>
    <w:p>
      <w:pPr>
        <w:spacing w:after="120" w:before="120" w:line="240" w:lineRule="auto"/>
        <w:ind w:firstLine="0" w:start="0"/>
        <w:jc w:val="start"/>
      </w:pPr>
      <w:r>
        <w:rPr>
          <w:rFonts w:ascii="Arial Bold" w:hAnsi="Arial Bold" w:cs="Arial Bold" w:eastAsia="Arial Bold"/>
          <w:b/>
          <w:bCs/>
          <w:color w:val="1b2a4a"/>
          <w:sz w:val="20"/>
          <w:szCs w:val="20"/>
        </w:rPr>
        <w:t xml:space="preserve">
</w:t>
      </w:r>
    </w:p>
    <w:p>
      <w:pPr>
        <w:spacing w:after="120" w:before="120" w:line="240" w:lineRule="auto"/>
        <w:ind w:firstLine="0" w:start="0"/>
        <w:jc w:val="start"/>
      </w:pPr>
      <w:r>
        <w:rPr>
          <w:rFonts w:ascii="Arimo" w:hAnsi="Arimo" w:cs="Arimo" w:eastAsia="Arimo"/>
          <w:color w:val="000000"/>
          <w:sz w:val="24"/>
          <w:szCs w:val="24"/>
        </w:rPr>
        <w:t xml:space="preserve">
</w:t>
      </w:r>
    </w:p>
    <w:p>
      <w:pPr>
        <w:spacing w:after="120" w:before="120" w:line="240" w:lineRule="auto"/>
        <w:ind w:firstLine="0" w:start="0"/>
        <w:jc w:val="start"/>
      </w:pPr>
      <w:r>
        <w:rPr>
          <w:rFonts w:ascii="Arimo" w:hAnsi="Arimo" w:cs="Arimo" w:eastAsia="Arimo"/>
          <w:color w:val="000000"/>
          <w:sz w:val="24"/>
          <w:szCs w:val="24"/>
        </w:rPr>
        <w:t xml:space="preserve">
</w:t>
      </w:r>
    </w:p>
    <w:p>
      <w:pPr>
        <w:spacing w:after="120" w:before="120" w:line="336" w:lineRule="auto"/>
        <w:ind w:firstLine="0" w:start="0"/>
        <w:jc w:val="start"/>
      </w:pPr>
      <w:r>
        <w:rPr>
          <w:rFonts w:ascii="Arimo" w:hAnsi="Arimo" w:cs="Arimo" w:eastAsia="Arimo"/>
          <w:color w:val="000000"/>
          <w:sz w:val="24"/>
          <w:szCs w:val="24"/>
        </w:rPr>
        <w:t xml:space="preserve">
</w:t>
      </w:r>
    </w:p>
    <w:p>
      <w:pPr>
        <w:spacing w:after="120" w:before="120" w:line="240" w:lineRule="auto"/>
        <w:ind w:firstLine="0" w:start="0"/>
        <w:jc w:val="center"/>
      </w:pPr>
      <w:r>
        <w:rPr>
          <w:rFonts w:ascii="Arial Bold" w:hAnsi="Arial Bold" w:cs="Arial Bold" w:eastAsia="Arial Bold"/>
          <w:b/>
          <w:bCs/>
          <w:color w:val="1b2a4a"/>
          <w:sz w:val="24"/>
          <w:szCs w:val="24"/>
        </w:rPr>
        <w:t>Green Haven Florists — Business Consultancy Report</w:t>
      </w:r>
      <w:r>
        <w:rPr>
          <w:rFonts w:ascii="Arimo" w:hAnsi="Arimo" w:cs="Arimo" w:eastAsia="Arimo"/>
          <w:color w:val="000000"/>
          <w:sz w:val="24"/>
          <w:szCs w:val="24"/>
        </w:rPr>
        <w:t xml:space="preserve">
</w:t>
      </w:r>
    </w:p>
    <w:p>
      <w:pPr>
        <w:spacing w:after="120" w:before="120" w:line="240" w:lineRule="auto"/>
        <w:ind w:firstLine="0" w:start="0"/>
        <w:jc w:val="start"/>
      </w:pPr>
      <w:r>
        <w:rPr>
          <w:rFonts w:ascii="Arimo" w:hAnsi="Arimo" w:cs="Arimo" w:eastAsia="Arimo"/>
          <w:color w:val="000000"/>
          <w:sz w:val="24"/>
          <w:szCs w:val="24"/>
        </w:rPr>
        <w:t xml:space="preserve">
</w:t>
      </w:r>
    </w:p>
    <w:p>
      <w:pPr>
        <w:spacing w:after="120" w:before="120" w:line="240" w:lineRule="auto"/>
        <w:ind w:firstLine="0" w:start="0"/>
        <w:jc w:val="start"/>
      </w:pPr>
      <w:r>
        <w:rPr>
          <w:rFonts w:ascii="Arimo" w:hAnsi="Arimo" w:cs="Arimo" w:eastAsia="Arimo"/>
          <w:color w:val="000000"/>
          <w:sz w:val="24"/>
          <w:szCs w:val="24"/>
        </w:rPr>
        <w:t xml:space="preserve">
</w:t>
      </w:r>
    </w:p>
    <w:p>
      <w:pPr>
        <w:spacing w:after="120" w:before="120" w:line="240" w:lineRule="auto"/>
        <w:ind w:firstLine="0" w:start="0"/>
        <w:jc w:val="start"/>
      </w:pPr>
      <w:r>
        <w:rPr>
          <w:rFonts w:ascii="Arial Bold" w:hAnsi="Arial Bold" w:cs="Arial Bold" w:eastAsia="Arial Bold"/>
          <w:b/>
          <w:bCs/>
          <w:color w:val="000000"/>
          <w:sz w:val="22"/>
          <w:szCs w:val="22"/>
        </w:rPr>
        <w:t>Overview of Case Study and Problem</w:t>
      </w:r>
      <w:r>
        <w:rPr>
          <w:rFonts w:ascii="Arimo" w:hAnsi="Arimo" w:cs="Arimo" w:eastAsia="Arimo"/>
          <w:color w:val="000000"/>
          <w:sz w:val="24"/>
          <w:szCs w:val="24"/>
        </w:rPr>
        <w:t xml:space="preserve">
</w:t>
      </w:r>
    </w:p>
    <w:p>
      <w:pPr>
        <w:spacing w:after="120" w:before="120" w:line="240" w:lineRule="auto"/>
        <w:ind w:firstLine="0" w:start="0"/>
        <w:jc w:val="start"/>
      </w:pPr>
      <w:r>
        <w:rPr>
          <w:rFonts w:ascii="Arial" w:hAnsi="Arial" w:cs="Arial" w:eastAsia="Arial"/>
          <w:color w:val="000000"/>
          <w:sz w:val="24"/>
          <w:szCs w:val="24"/>
        </w:rPr>
        <w:t>Green Haven Florists is a small independent florist established in Norwich in 2016 by partners Liam and Priya Patel. Over the past twelve months the business has experienced a 30% decline in in-store sales, attributable to reduced high street footfall, rising supply chain costs, intensifying competition from both a newly opened local boutique florist and national online retailers, and a widely criticised digital presence that customers have identified as outdated and difficult to navigate (Green Haven case study brief, 2024). Without strategic intervention, the business faces a material risk to its long-term financial viability.</w:t>
      </w:r>
      <w:r>
        <w:rPr>
          <w:rFonts w:ascii="Arimo" w:hAnsi="Arimo" w:cs="Arimo" w:eastAsia="Arimo"/>
          <w:color w:val="000000"/>
          <w:sz w:val="24"/>
          <w:szCs w:val="24"/>
        </w:rPr>
        <w:t xml:space="preserve">
</w:t>
      </w:r>
    </w:p>
    <w:p>
      <w:pPr>
        <w:spacing w:after="120" w:before="120" w:line="240" w:lineRule="auto"/>
        <w:ind w:firstLine="0" w:start="0"/>
        <w:jc w:val="start"/>
      </w:pPr>
      <w:r>
        <w:rPr>
          <w:rFonts w:ascii="Arial Bold" w:hAnsi="Arial Bold" w:cs="Arial Bold" w:eastAsia="Arial Bold"/>
          <w:b/>
          <w:bCs/>
          <w:color w:val="000000"/>
          <w:sz w:val="22"/>
          <w:szCs w:val="22"/>
        </w:rPr>
        <w:t>Proposed Solutions</w:t>
      </w:r>
      <w:r>
        <w:rPr>
          <w:rFonts w:ascii="Arimo" w:hAnsi="Arimo" w:cs="Arimo" w:eastAsia="Arimo"/>
          <w:color w:val="000000"/>
          <w:sz w:val="24"/>
          <w:szCs w:val="24"/>
        </w:rPr>
        <w:t xml:space="preserve">
</w:t>
      </w:r>
    </w:p>
    <w:p>
      <w:pPr>
        <w:spacing w:after="120" w:before="120" w:line="240" w:lineRule="auto"/>
        <w:ind w:firstLine="0" w:start="0"/>
        <w:jc w:val="start"/>
      </w:pPr>
      <w:r>
        <w:rPr>
          <w:rFonts w:ascii="Arial Bold" w:hAnsi="Arial Bold" w:cs="Arial Bold" w:eastAsia="Arial Bold"/>
          <w:b/>
          <w:bCs/>
          <w:color w:val="000000"/>
          <w:sz w:val="24"/>
          <w:szCs w:val="24"/>
        </w:rPr>
        <w:t xml:space="preserve"> </w:t>
      </w:r>
      <w:r>
        <w:rPr>
          <w:rFonts w:ascii="Arial Bold" w:hAnsi="Arial Bold" w:cs="Arial Bold" w:eastAsia="Arial Bold"/>
          <w:b/>
          <w:bCs/>
          <w:color w:val="000000"/>
          <w:sz w:val="24"/>
          <w:szCs w:val="24"/>
        </w:rPr>
        <w:t xml:space="preserve">
</w:t>
      </w:r>
    </w:p>
    <w:p>
      <w:pPr>
        <w:spacing w:after="120" w:before="120" w:line="240" w:lineRule="auto"/>
        <w:ind w:firstLine="0" w:start="0"/>
        <w:jc w:val="start"/>
      </w:pPr>
      <w:r>
        <w:rPr>
          <w:rFonts w:ascii="Arial" w:hAnsi="Arial" w:cs="Arial" w:eastAsia="Arial"/>
          <w:color w:val="000000"/>
          <w:sz w:val="24"/>
          <w:szCs w:val="24"/>
        </w:rPr>
        <w:t>The first proposed solution is a comprehensive redesign of the Green Haven website incorporating a fully functional e-commerce platform. The Office for National Statistics (2023) reports that 78% of UK consumers research purchases online before transacting, underscoring the commercial necessity of a credible digital presence. A rebuilt platform would open a new sales channel, enable targeted digital marketing, and directly address the customer feedback recorded in the case study brief.</w:t>
      </w:r>
      <w:r>
        <w:rPr>
          <w:rFonts w:ascii="Arimo" w:hAnsi="Arimo" w:cs="Arimo" w:eastAsia="Arimo"/>
          <w:color w:val="000000"/>
          <w:sz w:val="24"/>
          <w:szCs w:val="24"/>
        </w:rPr>
        <w:t xml:space="preserve">
</w:t>
      </w:r>
    </w:p>
    <w:p>
      <w:pPr>
        <w:spacing w:after="120" w:before="120" w:line="240" w:lineRule="auto"/>
        <w:ind w:firstLine="0" w:start="0"/>
        <w:jc w:val="start"/>
      </w:pPr>
      <w:r>
        <w:rPr>
          <w:rFonts w:ascii="Arial Bold" w:hAnsi="Arial Bold" w:cs="Arial Bold" w:eastAsia="Arial Bold"/>
          <w:b/>
          <w:bCs/>
          <w:color w:val="000000"/>
          <w:sz w:val="24"/>
          <w:szCs w:val="24"/>
        </w:rPr>
        <w:t xml:space="preserve"> </w:t>
      </w:r>
      <w:r>
        <w:rPr>
          <w:rFonts w:ascii="Arial Bold" w:hAnsi="Arial Bold" w:cs="Arial Bold" w:eastAsia="Arial Bold"/>
          <w:b/>
          <w:bCs/>
          <w:color w:val="000000"/>
          <w:sz w:val="24"/>
          <w:szCs w:val="24"/>
        </w:rPr>
        <w:t xml:space="preserve">
</w:t>
      </w:r>
    </w:p>
    <w:p>
      <w:pPr>
        <w:spacing w:after="120" w:before="120" w:line="240" w:lineRule="auto"/>
        <w:ind w:firstLine="0" w:start="0"/>
        <w:jc w:val="start"/>
      </w:pPr>
      <w:r>
        <w:rPr>
          <w:rFonts w:ascii="Arial" w:hAnsi="Arial" w:cs="Arial" w:eastAsia="Arial"/>
          <w:color w:val="000000"/>
          <w:sz w:val="24"/>
          <w:szCs w:val="24"/>
        </w:rPr>
        <w:t>The second proposed solution is the introduction of a tiered monthly Subscription Flower Box service delivering curated seasonal arrangements to customers' homes or workplaces. Subscription models have demonstrated consistent growth within the UK retail sector, generating predictable recurring revenue and improving customer lifetime value (Recharge Payments, 2023). A three-tier offering — Standard, Premium, and Eco-Luxury — would broaden market reach whilst reinforcing Green Haven's eco-ethical brand positioning.</w:t>
      </w:r>
      <w:r>
        <w:rPr>
          <w:rFonts w:ascii="Arimo" w:hAnsi="Arimo" w:cs="Arimo" w:eastAsia="Arimo"/>
          <w:color w:val="000000"/>
          <w:sz w:val="24"/>
          <w:szCs w:val="24"/>
        </w:rPr>
        <w:t xml:space="preserve">
</w:t>
      </w:r>
    </w:p>
    <w:p>
      <w:pPr>
        <w:spacing w:after="120" w:before="120" w:line="240" w:lineRule="auto"/>
        <w:ind w:firstLine="0" w:start="0"/>
        <w:jc w:val="start"/>
      </w:pPr>
      <w:r>
        <w:rPr>
          <w:rFonts w:ascii="Arial Bold" w:hAnsi="Arial Bold" w:cs="Arial Bold" w:eastAsia="Arial Bold"/>
          <w:b/>
          <w:bCs/>
          <w:color w:val="000000"/>
          <w:sz w:val="24"/>
          <w:szCs w:val="24"/>
        </w:rPr>
        <w:t>PMI Evaluation</w:t>
      </w:r>
      <w:r>
        <w:rPr>
          <w:rFonts w:ascii="Arimo" w:hAnsi="Arimo" w:cs="Arimo" w:eastAsia="Arimo"/>
          <w:color w:val="000000"/>
          <w:sz w:val="24"/>
          <w:szCs w:val="24"/>
        </w:rPr>
        <w:t xml:space="preserve">
</w:t>
      </w:r>
    </w:p>
    <w:p>
      <w:pPr>
        <w:spacing w:after="120" w:before="120" w:line="240" w:lineRule="auto"/>
        <w:ind w:firstLine="0" w:start="0"/>
        <w:jc w:val="start"/>
      </w:pPr>
      <w:r>
        <w:rPr>
          <w:rFonts w:ascii="Arial Bold" w:hAnsi="Arial Bold" w:cs="Arial Bold" w:eastAsia="Arial Bold"/>
          <w:b/>
          <w:bCs/>
          <w:color w:val="000000"/>
          <w:sz w:val="25"/>
          <w:szCs w:val="25"/>
        </w:rPr>
        <w:t>Website Redesign and E-Commerce Integration</w:t>
      </w:r>
      <w:r>
        <w:rPr>
          <w:rFonts w:ascii="Arimo" w:hAnsi="Arimo" w:cs="Arimo" w:eastAsia="Arimo"/>
          <w:color w:val="000000"/>
          <w:sz w:val="25"/>
          <w:szCs w:val="25"/>
        </w:rPr>
        <w:t xml:space="preserve">
</w:t>
      </w:r>
    </w:p>
    <w:p>
      <w:pPr>
        <w:spacing w:after="120" w:before="120" w:line="240" w:lineRule="auto"/>
        <w:ind w:firstLine="0" w:start="0"/>
        <w:jc w:val="start"/>
      </w:pPr>
      <w:r>
        <w:rPr>
          <w:rFonts w:ascii="Arial" w:hAnsi="Arial" w:cs="Arial" w:eastAsia="Arial"/>
          <w:color w:val="000000"/>
          <w:sz w:val="24"/>
          <w:szCs w:val="24"/>
        </w:rPr>
        <w:t>The principal plus of this solution is that it resolves a clearly evidenced operational weakness and creates scalable digital infrastructure. On the minus side, development costs are substantial — typically £3,000 to £5,000 — and return on investment may be slow without concurrent marketing investment. An interesting consideration is that improving an existing channel may be insufficient to differentiate Green Haven from competitors already operating effective online presences.</w:t>
      </w:r>
      <w:r>
        <w:rPr>
          <w:rFonts w:ascii="Arimo" w:hAnsi="Arimo" w:cs="Arimo" w:eastAsia="Arimo"/>
          <w:color w:val="000000"/>
          <w:sz w:val="24"/>
          <w:szCs w:val="24"/>
        </w:rPr>
        <w:t xml:space="preserve">
</w:t>
      </w:r>
    </w:p>
    <w:p>
      <w:pPr>
        <w:spacing w:after="120" w:before="120" w:line="240" w:lineRule="auto"/>
        <w:ind w:firstLine="0" w:start="0"/>
        <w:jc w:val="start"/>
      </w:pPr>
      <w:r>
        <w:rPr>
          <w:rFonts w:ascii="Arial Bold" w:hAnsi="Arial Bold" w:cs="Arial Bold" w:eastAsia="Arial Bold"/>
          <w:b/>
          <w:bCs/>
          <w:color w:val="000000"/>
          <w:sz w:val="24"/>
          <w:szCs w:val="24"/>
        </w:rPr>
        <w:t xml:space="preserve"> </w:t>
      </w:r>
      <w:r>
        <w:rPr>
          <w:rFonts w:ascii="Arial Bold" w:hAnsi="Arial Bold" w:cs="Arial Bold" w:eastAsia="Arial Bold"/>
          <w:b/>
          <w:bCs/>
          <w:color w:val="000000"/>
          <w:sz w:val="24"/>
          <w:szCs w:val="24"/>
        </w:rPr>
        <w:t xml:space="preserve">
</w:t>
      </w:r>
    </w:p>
    <w:p>
      <w:pPr>
        <w:spacing w:after="120" w:before="120" w:line="240" w:lineRule="auto"/>
        <w:ind w:firstLine="0" w:start="0"/>
        <w:jc w:val="start"/>
      </w:pPr>
      <w:r>
        <w:rPr>
          <w:rFonts w:ascii="Arial" w:hAnsi="Arial" w:cs="Arial" w:eastAsia="Arial"/>
          <w:color w:val="000000"/>
          <w:sz w:val="24"/>
          <w:szCs w:val="24"/>
        </w:rPr>
        <w:t>The primary plus is the generation of predictable recurring revenue independent of high street footfall, alongside a distinctive competitive proposition that competitors would find difficult to replicate. On the minus side, launching a new service carries operational and financial risk, and customer adoption is uncertain. An interesting consideration is that the subscription model could function as a complement to a future website investment, building financial stability and customer loyalty before committing to broader digital expenditure.</w:t>
      </w:r>
      <w:r>
        <w:rPr>
          <w:rFonts w:ascii="Arimo" w:hAnsi="Arimo" w:cs="Arimo" w:eastAsia="Arimo"/>
          <w:color w:val="000000"/>
          <w:sz w:val="24"/>
          <w:szCs w:val="24"/>
        </w:rPr>
        <w:t xml:space="preserve">
</w:t>
      </w:r>
    </w:p>
    <w:p>
      <w:pPr>
        <w:spacing w:after="120" w:before="120" w:line="240" w:lineRule="auto"/>
        <w:ind w:firstLine="0" w:start="0"/>
        <w:jc w:val="start"/>
      </w:pPr>
      <w:r>
        <w:rPr>
          <w:rFonts w:ascii="Arial Bold" w:hAnsi="Arial Bold" w:cs="Arial Bold" w:eastAsia="Arial Bold"/>
          <w:b/>
          <w:bCs/>
          <w:color w:val="000000"/>
          <w:sz w:val="22"/>
          <w:szCs w:val="22"/>
        </w:rPr>
        <w:t>Justification of Preferred Solution</w:t>
      </w:r>
      <w:r>
        <w:rPr>
          <w:rFonts w:ascii="Arimo" w:hAnsi="Arimo" w:cs="Arimo" w:eastAsia="Arimo"/>
          <w:color w:val="000000"/>
          <w:sz w:val="24"/>
          <w:szCs w:val="24"/>
        </w:rPr>
        <w:t xml:space="preserve">
</w:t>
      </w:r>
    </w:p>
    <w:p>
      <w:pPr>
        <w:spacing w:after="120" w:before="120" w:line="240" w:lineRule="auto"/>
        <w:ind w:firstLine="0" w:start="0"/>
        <w:jc w:val="start"/>
      </w:pPr>
      <w:r>
        <w:rPr>
          <w:rFonts w:ascii="Arial" w:hAnsi="Arial" w:cs="Arial" w:eastAsia="Arial"/>
          <w:color w:val="000000"/>
          <w:sz w:val="24"/>
          <w:szCs w:val="24"/>
        </w:rPr>
        <w:t xml:space="preserve">On the basis of the PMI analysis, the Subscription Flower Box service is selected as the preferred solution. Whilst both options carry merit, the subscription model addresses the business's most pressing financial vulnerability — the absence of a stable recurring income stream — whilst simultaneously creating a distinctive competitive proposition aligned with Green Haven's brand values. The PMI analysis further indicates that the two solutions need not be mutually exclusive; the subscription service provides the financial platform from which a subsequent digital investment could be made with </w:t>
      </w:r>
      <w:r>
        <w:rPr>
          <w:rFonts w:ascii="Arial" w:hAnsi="Arial" w:cs="Arial" w:eastAsia="Arial"/>
          <w:color w:val="000000"/>
          <w:sz w:val="20"/>
          <w:szCs w:val="20"/>
        </w:rPr>
        <w:t>reduced risk.</w:t>
      </w:r>
      <w:r>
        <w:rPr>
          <w:rFonts w:ascii="Arimo" w:hAnsi="Arimo" w:cs="Arimo" w:eastAsia="Arimo"/>
          <w:color w:val="000000"/>
          <w:sz w:val="24"/>
          <w:szCs w:val="24"/>
        </w:rPr>
        <w:t xml:space="preserve">
</w:t>
      </w:r>
    </w:p>
    <w:p>
      <w:pPr>
        <w:spacing w:after="120" w:before="120" w:line="240" w:lineRule="auto"/>
        <w:ind w:firstLine="0" w:start="0"/>
        <w:jc w:val="start"/>
      </w:pPr>
      <w:r>
        <w:rPr>
          <w:rFonts w:ascii="Arial Bold" w:hAnsi="Arial Bold" w:cs="Arial Bold" w:eastAsia="Arial Bold"/>
          <w:b/>
          <w:bCs/>
          <w:color w:val="000000"/>
          <w:sz w:val="22"/>
          <w:szCs w:val="22"/>
        </w:rPr>
        <w:t>Risk Analysis</w:t>
      </w:r>
      <w:r>
        <w:rPr>
          <w:rFonts w:ascii="Arimo" w:hAnsi="Arimo" w:cs="Arimo" w:eastAsia="Arimo"/>
          <w:color w:val="000000"/>
          <w:sz w:val="24"/>
          <w:szCs w:val="24"/>
        </w:rPr>
        <w:t xml:space="preserve">
</w:t>
      </w:r>
    </w:p>
    <w:p>
      <w:pPr>
        <w:spacing w:after="120" w:before="120" w:line="240" w:lineRule="auto"/>
        <w:ind w:firstLine="0" w:start="0"/>
        <w:jc w:val="start"/>
      </w:pPr>
      <w:r>
        <w:rPr>
          <w:rFonts w:ascii="Arial" w:hAnsi="Arial" w:cs="Arial" w:eastAsia="Arial"/>
          <w:color w:val="000000"/>
          <w:sz w:val="24"/>
          <w:szCs w:val="24"/>
        </w:rPr>
        <w:t>Five principal risks were identified and evaluated against dimensions of Likelihood and Impact. Low customer adoption represents the highest risk and is mitigated through a structured soft-launch campaign targeting existing loyal customers, supported by introductory pricing incentives. High upfront costs are addressed through phased investment and exploration of small business grant funding. GDPR compliance risk is managed by engaging a specialist developer and conducting a pre-launch data audit. Competitor imitation is countered through continuous innovation, and supply chain disruption through relationships with multiple suppliers. No identified risk is considered insurmountable.</w:t>
      </w:r>
      <w:r>
        <w:rPr>
          <w:rFonts w:ascii="Arimo" w:hAnsi="Arimo" w:cs="Arimo" w:eastAsia="Arimo"/>
          <w:color w:val="000000"/>
          <w:sz w:val="24"/>
          <w:szCs w:val="24"/>
        </w:rPr>
        <w:t xml:space="preserve">
</w:t>
      </w:r>
    </w:p>
    <w:p>
      <w:pPr>
        <w:spacing w:after="120" w:before="120" w:line="240" w:lineRule="auto"/>
        <w:ind w:firstLine="0" w:start="0"/>
        <w:jc w:val="start"/>
      </w:pPr>
      <w:r>
        <w:rPr>
          <w:rFonts w:ascii="Arial Bold" w:hAnsi="Arial Bold" w:cs="Arial Bold" w:eastAsia="Arial Bold"/>
          <w:b/>
          <w:bCs/>
          <w:color w:val="000000"/>
          <w:sz w:val="24"/>
          <w:szCs w:val="24"/>
        </w:rPr>
        <w:t>Implementation Plan</w:t>
      </w:r>
      <w:r>
        <w:rPr>
          <w:rFonts w:ascii="Arimo" w:hAnsi="Arimo" w:cs="Arimo" w:eastAsia="Arimo"/>
          <w:color w:val="000000"/>
          <w:sz w:val="24"/>
          <w:szCs w:val="24"/>
        </w:rPr>
        <w:t xml:space="preserve">
</w:t>
      </w:r>
    </w:p>
    <w:p>
      <w:pPr>
        <w:spacing w:after="120" w:before="120" w:line="240" w:lineRule="auto"/>
        <w:ind w:firstLine="0" w:start="0"/>
        <w:jc w:val="start"/>
      </w:pPr>
      <w:r>
        <w:rPr>
          <w:rFonts w:ascii="Arial" w:hAnsi="Arial" w:cs="Arial" w:eastAsia="Arial"/>
          <w:color w:val="000000"/>
          <w:sz w:val="24"/>
          <w:szCs w:val="24"/>
        </w:rPr>
        <w:t>A four-phase, 12-month plan structures the launch of the Subscription Flower Box service. Phase One (Months one to two) covers market research and supplier negotiation. Phase Two (Months three to five) addresses service design, packaging, and CRM configuration. Phase Three (Months six to seven) delivers a soft launch to existing customers followed by a full public launch supported by social media advertising. Phase Four (Months eight to twelve) embeds monthly KPI reviews and iterative service improvement. Responsibilities are clearly divided between Liam, who leads operational activities, and Priya, who leads marketing and customer communications.</w:t>
      </w:r>
      <w:r>
        <w:rPr>
          <w:rFonts w:ascii="Arimo" w:hAnsi="Arimo" w:cs="Arimo" w:eastAsia="Arimo"/>
          <w:color w:val="000000"/>
          <w:sz w:val="24"/>
          <w:szCs w:val="24"/>
        </w:rPr>
        <w:t xml:space="preserve">
</w:t>
      </w:r>
    </w:p>
    <w:p>
      <w:pPr>
        <w:spacing w:after="120" w:before="120" w:line="240" w:lineRule="auto"/>
        <w:ind w:firstLine="0" w:start="0"/>
        <w:jc w:val="start"/>
      </w:pPr>
      <w:r>
        <w:rPr>
          <w:rFonts w:ascii="Arial Bold" w:hAnsi="Arial Bold" w:cs="Arial Bold" w:eastAsia="Arial Bold"/>
          <w:b/>
          <w:bCs/>
          <w:color w:val="000000"/>
          <w:sz w:val="22"/>
          <w:szCs w:val="22"/>
        </w:rPr>
        <w:t>KPI, SMART Objectives and Monitoring</w:t>
      </w:r>
      <w:r>
        <w:rPr>
          <w:rFonts w:ascii="Arimo" w:hAnsi="Arimo" w:cs="Arimo" w:eastAsia="Arimo"/>
          <w:color w:val="000000"/>
          <w:sz w:val="24"/>
          <w:szCs w:val="24"/>
        </w:rPr>
        <w:t xml:space="preserve">
</w:t>
      </w:r>
    </w:p>
    <w:p>
      <w:pPr>
        <w:spacing w:after="120" w:before="120" w:line="240" w:lineRule="auto"/>
        <w:ind w:firstLine="0" w:start="0"/>
        <w:jc w:val="start"/>
      </w:pPr>
      <w:r>
        <w:rPr>
          <w:rFonts w:ascii="Arial" w:hAnsi="Arial" w:cs="Arial" w:eastAsia="Arial"/>
          <w:color w:val="000000"/>
          <w:sz w:val="24"/>
          <w:szCs w:val="24"/>
        </w:rPr>
        <w:t>The selected KPI is the percentage increase in monthly subscription revenue. The SMART objective is to increase this by 25% within 12 months of full public launch, tracked via the business's CRM and e-commerce analytics platform. This objective is Specific in targeting subscription revenue directly; Measurable through monthly reporting; Achievable based on industry benchmarks of 20 to 30% uplift following SME subscription launches (Recharge Payments, 2023); Relevant to the core problem of revenue instability; and Time-Bound within a 12-month horizon. Secondary metrics — including cancellation rates, customer satisfaction scores, and delivery fulfilment rates — will provide a holistic view of performance, consistent with best practice in SME performance management (Kaplan and Norton, 1996).</w:t>
      </w:r>
      <w:r>
        <w:rPr>
          <w:rFonts w:ascii="Arimo" w:hAnsi="Arimo" w:cs="Arimo" w:eastAsia="Arimo"/>
          <w:color w:val="000000"/>
          <w:sz w:val="24"/>
          <w:szCs w:val="24"/>
        </w:rPr>
        <w:t xml:space="preserve">
</w:t>
      </w:r>
    </w:p>
    <w:p>
      <w:pPr>
        <w:spacing w:after="120" w:before="120" w:line="240" w:lineRule="auto"/>
        <w:ind w:firstLine="0" w:start="0"/>
        <w:jc w:val="start"/>
      </w:pPr>
      <w:r>
        <w:rPr>
          <w:rFonts w:ascii="Arial Bold" w:hAnsi="Arial Bold" w:cs="Arial Bold" w:eastAsia="Arial Bold"/>
          <w:b/>
          <w:bCs/>
          <w:color w:val="000000"/>
          <w:sz w:val="22"/>
          <w:szCs w:val="22"/>
        </w:rPr>
        <w:t>Key Findings Summary</w:t>
      </w:r>
      <w:r>
        <w:rPr>
          <w:rFonts w:ascii="Arimo" w:hAnsi="Arimo" w:cs="Arimo" w:eastAsia="Arimo"/>
          <w:color w:val="000000"/>
          <w:sz w:val="24"/>
          <w:szCs w:val="24"/>
        </w:rPr>
        <w:t xml:space="preserve">
</w:t>
      </w:r>
    </w:p>
    <w:p>
      <w:pPr>
        <w:spacing w:after="120" w:before="120" w:line="240" w:lineRule="auto"/>
        <w:ind w:firstLine="0" w:start="0"/>
        <w:jc w:val="start"/>
      </w:pPr>
      <w:r>
        <w:rPr>
          <w:rFonts w:ascii="Arial" w:hAnsi="Arial" w:cs="Arial" w:eastAsia="Arial"/>
          <w:color w:val="000000"/>
          <w:sz w:val="24"/>
          <w:szCs w:val="24"/>
        </w:rPr>
        <w:t>Green Haven Florists faces a significant and multifaceted commercial decline requiring prompt strategic intervention. A PMI evaluation of two candidate solutions identified the Subscription Flower Box service as the preferred option on the basis of its superior capacity to generate recurring revenue, strengthen customer retention, and establish a distinctive competitive positioning. A phased 12-month implementation plan provides a structured and risk-managed route to launch, with a SMART objective targeting 25% subscription revenue growth within 12 months of full public launch. Successful implementation has the potential to stabilise the business's financial position, reinforce its eco-ethical brand identity, and cultivate the long-term customer loyalty necessary for sustainable recovery.</w:t>
      </w:r>
      <w:r>
        <w:rPr>
          <w:rFonts w:ascii="Arimo" w:hAnsi="Arimo" w:cs="Arimo" w:eastAsia="Arimo"/>
          <w:color w:val="000000"/>
          <w:sz w:val="24"/>
          <w:szCs w:val="24"/>
        </w:rPr>
        <w:t xml:space="preserve">
</w:t>
      </w:r>
    </w:p>
    <w:p>
      <w:pPr>
        <w:spacing w:after="120" w:before="120" w:line="240" w:lineRule="auto"/>
        <w:ind w:firstLine="0" w:start="0"/>
        <w:jc w:val="start"/>
      </w:pPr>
      <w:r>
        <w:rPr>
          <w:rFonts w:ascii="Arimo" w:hAnsi="Arimo" w:cs="Arimo" w:eastAsia="Arimo"/>
          <w:color w:val="000000"/>
          <w:sz w:val="24"/>
          <w:szCs w:val="24"/>
        </w:rPr>
        <w:t xml:space="preserve">
</w:t>
      </w:r>
    </w:p>
    <w:p>
      <w:pPr>
        <w:spacing w:after="120" w:before="120" w:line="240" w:lineRule="auto"/>
        <w:ind w:firstLine="0" w:start="0"/>
        <w:jc w:val="start"/>
      </w:pPr>
      <w:r>
        <w:rPr>
          <w:rFonts w:ascii="Arial Bold" w:hAnsi="Arial Bold" w:cs="Arial Bold" w:eastAsia="Arial Bold"/>
          <w:b/>
          <w:bCs/>
          <w:color w:val="000000"/>
          <w:sz w:val="24"/>
          <w:szCs w:val="24"/>
        </w:rPr>
        <w:t>Reference List</w:t>
      </w:r>
      <w:r>
        <w:rPr>
          <w:rFonts w:ascii="Arimo" w:hAnsi="Arimo" w:cs="Arimo" w:eastAsia="Arimo"/>
          <w:color w:val="000000"/>
          <w:sz w:val="24"/>
          <w:szCs w:val="24"/>
        </w:rPr>
        <w:t xml:space="preserve">
</w:t>
      </w:r>
    </w:p>
    <w:p>
      <w:pPr>
        <w:spacing w:after="120" w:before="120" w:line="240" w:lineRule="auto"/>
        <w:ind w:firstLine="0" w:start="0"/>
        <w:jc w:val="start"/>
      </w:pPr>
      <w:r>
        <w:rPr>
          <w:rFonts w:ascii="Arimo" w:hAnsi="Arimo" w:cs="Arimo" w:eastAsia="Arimo"/>
          <w:color w:val="000000"/>
          <w:sz w:val="24"/>
          <w:szCs w:val="24"/>
        </w:rPr>
        <w:t xml:space="preserve">
</w:t>
      </w:r>
    </w:p>
    <w:p>
      <w:pPr>
        <w:spacing w:after="120" w:before="120" w:line="240" w:lineRule="auto"/>
        <w:ind w:firstLine="0" w:start="0"/>
        <w:jc w:val="start"/>
      </w:pPr>
      <w:r>
        <w:rPr>
          <w:rFonts w:ascii="Arial" w:hAnsi="Arial" w:cs="Arial" w:eastAsia="Arial"/>
          <w:color w:val="000000"/>
          <w:sz w:val="24"/>
          <w:szCs w:val="24"/>
        </w:rPr>
        <w:t>De Bono, E. (1970) Lateral Thinking: Creativity Step by Step. New York: Harper and Row.</w:t>
      </w:r>
      <w:r>
        <w:rPr>
          <w:rFonts w:ascii="Arimo" w:hAnsi="Arimo" w:cs="Arimo" w:eastAsia="Arimo"/>
          <w:color w:val="000000"/>
          <w:sz w:val="24"/>
          <w:szCs w:val="24"/>
        </w:rPr>
        <w:t xml:space="preserve">
</w:t>
      </w:r>
    </w:p>
    <w:p>
      <w:pPr>
        <w:spacing w:after="120" w:before="120" w:line="240" w:lineRule="auto"/>
        <w:ind w:firstLine="0" w:start="0"/>
        <w:jc w:val="start"/>
      </w:pPr>
      <w:r>
        <w:rPr>
          <w:rFonts w:ascii="Arial" w:hAnsi="Arial" w:cs="Arial" w:eastAsia="Arial"/>
          <w:color w:val="000000"/>
          <w:sz w:val="24"/>
          <w:szCs w:val="24"/>
        </w:rPr>
        <w:t>Green Haven Florists (2024) Case Study Brief. Unpublished assignment material. [University Name].</w:t>
      </w:r>
      <w:r>
        <w:rPr>
          <w:rFonts w:ascii="Arimo" w:hAnsi="Arimo" w:cs="Arimo" w:eastAsia="Arimo"/>
          <w:color w:val="000000"/>
          <w:sz w:val="24"/>
          <w:szCs w:val="24"/>
        </w:rPr>
        <w:t xml:space="preserve">
</w:t>
      </w:r>
    </w:p>
    <w:p>
      <w:pPr>
        <w:spacing w:after="120" w:before="120" w:line="240" w:lineRule="auto"/>
        <w:ind w:firstLine="0" w:start="0"/>
        <w:jc w:val="start"/>
      </w:pPr>
      <w:r>
        <w:rPr>
          <w:rFonts w:ascii="Arial" w:hAnsi="Arial" w:cs="Arial" w:eastAsia="Arial"/>
          <w:color w:val="000000"/>
          <w:sz w:val="24"/>
          <w:szCs w:val="24"/>
        </w:rPr>
        <w:t>Kaplan, R.S. and Norton, D.P. (1996) The Balanced Scorecard: Translating Strategy into Action. Boston: Harvard Business School Press.</w:t>
      </w:r>
      <w:r>
        <w:rPr>
          <w:rFonts w:ascii="Arimo" w:hAnsi="Arimo" w:cs="Arimo" w:eastAsia="Arimo"/>
          <w:color w:val="000000"/>
          <w:sz w:val="24"/>
          <w:szCs w:val="24"/>
        </w:rPr>
        <w:t xml:space="preserve">
</w:t>
      </w:r>
    </w:p>
    <w:p>
      <w:pPr>
        <w:spacing w:after="120" w:before="120" w:line="240" w:lineRule="auto"/>
        <w:ind w:firstLine="0" w:start="0"/>
        <w:jc w:val="start"/>
      </w:pPr>
      <w:r>
        <w:rPr>
          <w:rFonts w:ascii="Arial" w:hAnsi="Arial" w:cs="Arial" w:eastAsia="Arial"/>
          <w:color w:val="000000"/>
          <w:sz w:val="24"/>
          <w:szCs w:val="24"/>
        </w:rPr>
        <w:t>Office for National Statistics (2023) Internet Access — Households and Individuals, Great Britain: 2023. Available at: https://www.ons.gov.uk [Accessed: April 2024].</w:t>
      </w:r>
      <w:r>
        <w:rPr>
          <w:rFonts w:ascii="Arimo" w:hAnsi="Arimo" w:cs="Arimo" w:eastAsia="Arimo"/>
          <w:color w:val="000000"/>
          <w:sz w:val="24"/>
          <w:szCs w:val="24"/>
        </w:rPr>
        <w:t xml:space="preserve">
</w:t>
      </w:r>
    </w:p>
    <w:p>
      <w:pPr>
        <w:spacing w:after="120" w:before="120" w:line="240" w:lineRule="auto"/>
        <w:ind w:firstLine="0" w:start="0"/>
        <w:jc w:val="start"/>
      </w:pPr>
      <w:r>
        <w:rPr>
          <w:rFonts w:ascii="Arial" w:hAnsi="Arial" w:cs="Arial" w:eastAsia="Arial"/>
          <w:color w:val="000000"/>
          <w:sz w:val="24"/>
          <w:szCs w:val="24"/>
        </w:rPr>
        <w:t>Recharge Payments (2023) State of Subscription Commerce Report 2023. Available at: https://www.rechargepayments.com [Accessed: April 2024].</w:t>
      </w:r>
      <w:r>
        <w:rPr>
          <w:rFonts w:ascii="Arimo" w:hAnsi="Arimo" w:cs="Arimo" w:eastAsia="Arimo"/>
          <w:color w:val="000000"/>
          <w:sz w:val="24"/>
          <w:szCs w:val="24"/>
        </w:rPr>
        <w:t xml:space="preserve">
</w:t>
      </w:r>
    </w:p>
    <w:p>
      <w:pPr>
        <w:spacing w:after="120" w:before="120" w:line="336" w:lineRule="auto"/>
        <w:ind w:firstLine="0" w:start="0"/>
        <w:jc w:val="start"/>
      </w:pPr>
      <w:r>
        <w:rPr>
          <w:rFonts w:ascii="Arimo" w:hAnsi="Arimo" w:cs="Arimo" w:eastAsia="Arimo"/>
          <w:color w:val="000000"/>
          <w:sz w:val="24"/>
          <w:szCs w:val="24"/>
        </w:rPr>
        <w:t xml:space="preserve">
</w:t>
      </w:r>
    </w:p>
    <w:p>
      <w:pPr>
        <w:spacing w:after="120" w:before="120" w:line="336" w:lineRule="auto"/>
        <w:ind w:firstLine="0" w:start="0"/>
        <w:jc w:val="start"/>
      </w:pPr>
      <w:r>
        <w:rPr>
          <w:rFonts w:ascii="Arimo" w:hAnsi="Arimo" w:cs="Arimo" w:eastAsia="Arimo"/>
          <w:color w:val="000000"/>
          <w:sz w:val="24"/>
          <w:szCs w:val="24"/>
        </w:rPr>
        <w:t xml:space="preserve">
</w:t>
      </w:r>
    </w:p>
    <w:sectPr>
      <w:pgSz w:w="11910" w:h="16845"/>
    </w:sectPr>
  </w:body>
</w:document>
</file>

<file path=word/fontTable.xml><?xml version="1.0" encoding="utf-8"?>
<w:fonts xmlns:w="http://schemas.openxmlformats.org/wordprocessingml/2006/main" xmlns:r="http://schemas.openxmlformats.org/officeDocument/2006/relationships">
  <w:font w:name="Arimo Bold">
    <w:panose1 w:val="020B0704020202020204"/>
    <w:charset w:characterSet="1"/>
    <w:embedBold r:id="rId1"/>
  </w:font>
  <w:font w:name="Arimo Bold Italics">
    <w:panose1 w:val="020B0704020202090204"/>
    <w:charset w:characterSet="1"/>
    <w:embedBoldItalic r:id="rId2"/>
  </w:font>
  <w:font w:name="Arimo">
    <w:panose1 w:val="020B0604020202020204"/>
    <w:charset w:characterSet="1"/>
    <w:embedRegular r:id="rId3"/>
  </w:font>
  <w:font w:name="Arimo Italics">
    <w:panose1 w:val="020B0604020202090204"/>
    <w:charset w:characterSet="1"/>
    <w:embedItalic r:id="rId4"/>
  </w:font>
  <w:font w:name="Arial Bold">
    <w:panose1 w:val="020B0704020202020204"/>
    <w:charset w:characterSet="1"/>
  </w:font>
  <w:font w:name="Arial">
    <w:panose1 w:val="020B0604020202020204"/>
    <w:charset w:characterSet="1"/>
  </w:font>
  <w:font w:name="Arial Italics">
    <w:panose1 w:val="020B0604020202090204"/>
    <w:charset w:characterSet="1"/>
  </w:font>
</w:fonts>
</file>

<file path=word/settings.xml><?xml version="1.0" encoding="utf-8"?>
<w:settings xmlns:w="http://schemas.openxmlformats.org/wordprocessingml/2006/main">
  <w:embedTrueTypeFonts/>
  <w:doNotShadeFormData/>
</w:settings>
</file>

<file path=word/_rels/document.xml.rels><?xml version="1.0" encoding="UTF-8" standalone="yes"?><Relationships xmlns="http://schemas.openxmlformats.org/package/2006/relationships"><Relationship Id="rId1" Target="settings.xml" Type="http://schemas.openxmlformats.org/officeDocument/2006/relationships/settings"/><Relationship Id="rId2" Target="fontTable.xml" Type="http://schemas.openxmlformats.org/officeDocument/2006/relationships/fontTable"/><Relationship Id="rId3" Target="media/image1.png" Type="http://schemas.openxmlformats.org/officeDocument/2006/relationships/image"/></Relationships>
</file>

<file path=word/_rels/fontTable.xml.rels><?xml version="1.0" encoding="UTF-8" standalone="yes"?><Relationships xmlns="http://schemas.openxmlformats.org/package/2006/relationships"><Relationship Id="rId1" Target="fonts/font1.odttf" Type="http://schemas.openxmlformats.org/officeDocument/2006/relationships/font"/><Relationship Id="rId2" Target="fonts/font2.odttf" Type="http://schemas.openxmlformats.org/officeDocument/2006/relationships/font"/><Relationship Id="rId3" Target="fonts/font3.odttf" Type="http://schemas.openxmlformats.org/officeDocument/2006/relationships/font"/><Relationship Id="rId4" Target="fonts/font4.odttf" Type="http://schemas.openxmlformats.org/officeDocument/2006/relationships/font"/></Relationships>
</file>

<file path=docProps/app.xml><?xml version="1.0" encoding="utf-8"?>
<Properties xmlns="http://schemas.openxmlformats.org/officeDocument/2006/extended-properties">
  <Application>Apache POI</Application>
</Properties>
</file>

<file path=docProps/core.xml><?xml version="1.0" encoding="utf-8"?>
<cp:coreProperties xmlns:cp="http://schemas.openxmlformats.org/package/2006/metadata/core-properties" xmlns:dc="http://purl.org/dc/elements/1.1/" xmlns:dcterms="http://purl.org/dc/terms/" xmlns:xsi="http://www.w3.org/2001/XMLSchema-instance">
  <dcterms:created xsi:type="dcterms:W3CDTF">2026-04-26T18:56:43Z</dcterms:created>
  <dc:creator>Apache POI</dc:creator>
  <dc:title>GreenHaven_Report_redy to n</dc:title>
</cp:coreProperties>
</file>