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A30FE"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20462B6F"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Introduction </w:t>
      </w:r>
    </w:p>
    <w:p w14:paraId="3EFD0CC7"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0CE004C3" w14:textId="5BFFC885"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The very first attempt to link the problems of monetary improvement and environmental resilience was published in 1987 by the Brundtland Commission in the article quoted “Our Common Future” (</w:t>
      </w:r>
      <w:proofErr w:type="spellStart"/>
      <w:r>
        <w:rPr>
          <w:rFonts w:ascii="AppleSystemUIFont" w:eastAsiaTheme="minorHAnsi" w:hAnsi="AppleSystemUIFont" w:cs="AppleSystemUIFont"/>
          <w:sz w:val="26"/>
          <w:szCs w:val="26"/>
          <w:lang w:eastAsia="en-US"/>
        </w:rPr>
        <w:t>Emas</w:t>
      </w:r>
      <w:proofErr w:type="spellEnd"/>
      <w:r>
        <w:rPr>
          <w:rFonts w:ascii="AppleSystemUIFont" w:eastAsiaTheme="minorHAnsi" w:hAnsi="AppleSystemUIFont" w:cs="AppleSystemUIFont"/>
          <w:sz w:val="26"/>
          <w:szCs w:val="26"/>
          <w:lang w:eastAsia="en-US"/>
        </w:rPr>
        <w:t>, 2015). The same article defines sustainable development as “development that meets the needs of the present without compromising the ability of future generations to meet their own needs” (</w:t>
      </w:r>
      <w:proofErr w:type="spellStart"/>
      <w:r>
        <w:rPr>
          <w:rFonts w:ascii="AppleSystemUIFont" w:eastAsiaTheme="minorHAnsi" w:hAnsi="AppleSystemUIFont" w:cs="AppleSystemUIFont"/>
          <w:sz w:val="26"/>
          <w:szCs w:val="26"/>
          <w:lang w:eastAsia="en-US"/>
        </w:rPr>
        <w:t>Emas</w:t>
      </w:r>
      <w:proofErr w:type="spellEnd"/>
      <w:r>
        <w:rPr>
          <w:rFonts w:ascii="AppleSystemUIFont" w:eastAsiaTheme="minorHAnsi" w:hAnsi="AppleSystemUIFont" w:cs="AppleSystemUIFont"/>
          <w:sz w:val="26"/>
          <w:szCs w:val="26"/>
          <w:lang w:eastAsia="en-US"/>
        </w:rPr>
        <w:t xml:space="preserve">, 2015). </w:t>
      </w:r>
    </w:p>
    <w:p w14:paraId="092377D9" w14:textId="2F8ECB35"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Yet Hose of Commons (1997) suggests that sustainable development implies various aspects to various nations. Therefore, defines sustainable development as a way of maintaining and even quickening monetary development, and protecting international competitiveness while retaining sufficient scrutiny for the climate.  The concept was also interpreted as a way of implementing a responsibility that will leave coming generations with the ability to improve human wellbeing (House of Commons, 1997). The ability to preserve the environmental assets made by man (e.g., coal, oil, gas) and natural assets such as the Ozon membrane, equatorial forests, and biological variety (Hose of Commons, 1997). </w:t>
      </w:r>
    </w:p>
    <w:p w14:paraId="30B96C7E"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5483DB24" w14:textId="45B96A4B"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leaders of 193 countries gathered and they decided there was time for changing the future because what was happening in the world was frightening (United Nations Booklet, 2015).  </w:t>
      </w:r>
    </w:p>
    <w:p w14:paraId="617AC4D9" w14:textId="3AF1239D"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Starvations, shortage, conflicts, diseases, and deprivation were the problems that the United Nations leaders recognized as being top priority because it was happening even in their own countries. Furthermore, they were aware of the fact that there is enough food to feed everyone, but it needs a better sharing strategy, there is enough medicine to treat HIV infections but there are not enough economic funds available for purchase, earthquakes and floods cannot be stopped, but the fatalities can be reduced with the help of technology and more importantly they were aware of the millions of people around the world that we're hoping for a better life (United Nations Booklet, 2015). </w:t>
      </w:r>
    </w:p>
    <w:p w14:paraId="3DDEB1B1"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By assessing the problems that the world was facing they have developed a plan called Sustainable Development Goals (SDGs) comprising 17 goals for a better future by 2030 (United Nations Booklet, 2015). </w:t>
      </w:r>
    </w:p>
    <w:p w14:paraId="2353AC9E"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5C11F0A7" w14:textId="47FEE77D"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first goal is NO POVERTY aiming to end extreme poverty by 2030. That is a very driving goal since almost 800 million people around the earth (the equal to approximately all of Europe) are still living on less than $1.25 a day. </w:t>
      </w:r>
    </w:p>
    <w:p w14:paraId="374A2CE8"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33A98BE3" w14:textId="051582A4"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second goal is ZERO HUNGER aiming to promote sustainable farming, attain nutrition safety, enhance nutrition, and eventually end starvation by facilitating sustainable agribusiness and funding small agriculturists. </w:t>
      </w:r>
    </w:p>
    <w:p w14:paraId="0A684182"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5CA5DAFC" w14:textId="5979AE58"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lastRenderedPageBreak/>
        <w:t xml:space="preserve">The third goal is GOOD HEALTH AND WELL-BEING aiming to assure and improve health and well-being for all ages by providing access to medicine and vaccines. </w:t>
      </w:r>
    </w:p>
    <w:p w14:paraId="61CEEFAE"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5ACDC2E5" w14:textId="055C658E"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fourth goal is QUALITY EDUCATION assures broad and rightful integrity schooling and promotes lifelong learning chances by tackling child poverty, armed warfare, and reasonable access to higher education. </w:t>
      </w:r>
    </w:p>
    <w:p w14:paraId="22BABF7B"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7150A7EC"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fifth goal is GENDER EQUALITY which aims to empower all women and girls in work and wages as well as public decision making. </w:t>
      </w:r>
    </w:p>
    <w:p w14:paraId="3E470B8F"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46934C7C"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sixth goal is CLEAN WATER AND SANITATION aiming to assure the availability of clean water and sanitation for everyone by conserving wetlands and rivers and budgeting water-treatment technologies. </w:t>
      </w:r>
    </w:p>
    <w:p w14:paraId="1BE9FB3A"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7A57B32A"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The seventh goal is AFFORDABLE AND CLEAN ENERGY aiming to assure access to reasonable contemporary energy by financing solar and wind energy.</w:t>
      </w:r>
    </w:p>
    <w:p w14:paraId="11813CF5"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260C4FA8" w14:textId="5073B36B"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eighth goal is DECENT WORK AND ECONOMIC GROWTH aiming to facilitate sustained broad and sustainable financial development, ample and effective employment, and reasonable jobs for all by stopping compelled labour, slavery, and human trafficking. </w:t>
      </w:r>
    </w:p>
    <w:p w14:paraId="4158B2E7"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02D41DB7"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ninth goal is INDUSTRY, INNOVATION AND INFRASTRUCTURE aims to build resilient infrastructure, facilitate comprehensive and tolerable mechanization and foster creation by offering people from developing countries access to information. </w:t>
      </w:r>
    </w:p>
    <w:p w14:paraId="1E84A822"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6232F219"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tenth goal is REDUCED INEQUALITIES which aims to decrease imbalance within and among nations by enhancing the legislation of economic markets. </w:t>
      </w:r>
    </w:p>
    <w:p w14:paraId="577EA071"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2FDDF674" w14:textId="1BE79F23"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eleventh goal is SUSTAINABLE CITIES AND COMMUNITIES aiming to invest in transportation, green spaces, and suitable housing for all. </w:t>
      </w:r>
    </w:p>
    <w:p w14:paraId="71448D17"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6DE59A19"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twelfth goal is RESPONSIBLE CONSUMPTION AND PRODUCTION aims to secure sustainable consumption and output habits by lessening recycling trash and getting nations that do not have a big consumption to stride to a satisfactory consumption habit. </w:t>
      </w:r>
    </w:p>
    <w:p w14:paraId="1C559CE8"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1B713272" w14:textId="27506D1E"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thirteenth goal is CLIMATE ACTION which aims to adopt a critical strategy to fight temperature fluctuation with the help of technology and reduce the temperature by 2 degrees. </w:t>
      </w:r>
    </w:p>
    <w:p w14:paraId="60A901CD"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4EB6ECC3" w14:textId="49DDEB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fourteenth goal is LIFE BELOW WATER aiming to protect and sustainably utilize the oceans, seas, and maritime reserves. </w:t>
      </w:r>
    </w:p>
    <w:p w14:paraId="5AA5E621"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297A7268"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fifteenth goal is LIFE ON LAND aiming to stop the desertification from expanding by protecting the terrestrial ecosystem. </w:t>
      </w:r>
    </w:p>
    <w:p w14:paraId="5983C144"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2E9A4477"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sixteenth goal is PEACE, JUSTICE AND STRONG INSTITUTIONS aiming to enforce the laws regarding the progression of illegal arms and bring the expanding regions to the centre of organizations of common administration. </w:t>
      </w:r>
    </w:p>
    <w:p w14:paraId="6F415F3F"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39EFE1CF"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seventeenth goal is PARTNERSHIPS FOR THE GOALS having the main aim to keep the 193 joined countries working on The Sustainable Development Goals. </w:t>
      </w:r>
    </w:p>
    <w:p w14:paraId="42B687A8"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6F7F207B" w14:textId="055D3586"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Further, this report will discuss in details Goal 3 (Good health and well-being), Goal 4 (Quality Education) and Goal 17 (Partnerships to achieve the Goals) in the Borough of Barnet in London, indicating policies adopted by the UK government to fulfil these objectives, including statistics that will show whether the adopted strategies are working. The strategies will be analysed, and a conclusion will be made as well as recommendations for areas of improvement. </w:t>
      </w:r>
    </w:p>
    <w:p w14:paraId="60CEE0B7"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7B8FC470"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Discussion </w:t>
      </w:r>
    </w:p>
    <w:p w14:paraId="556FF579"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4328F54E" w14:textId="3EA26353"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Weiland et.al. (2021) states that the United Nations 2030 Agenda that's created by 17 goals and 169 sub-targets assist as a universal source for the evolution to sustainability. The agenda concedes that various matters such as health, education, partnership, and others are evaluated and then, address them jointly by enforcing the SDGs as an “invisible whole” that will depict the substantial litmus test for the accomplishment of the 2030 Agenda (Weiland et.al., 2021).</w:t>
      </w:r>
    </w:p>
    <w:p w14:paraId="15577CB7"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585847FA"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Goal three Good Health and well-being, part of “Transforming the World: 2030 Agenda for Sustainable Development” is aiming to assure healthy life and improve well-being for every individual regardless of their age and is one of the most transversal objectives because it is linked with the other SDGs (</w:t>
      </w:r>
      <w:proofErr w:type="spellStart"/>
      <w:r>
        <w:rPr>
          <w:rFonts w:ascii="AppleSystemUIFont" w:eastAsiaTheme="minorHAnsi" w:hAnsi="AppleSystemUIFont" w:cs="AppleSystemUIFont"/>
          <w:sz w:val="26"/>
          <w:szCs w:val="26"/>
          <w:lang w:eastAsia="en-US"/>
        </w:rPr>
        <w:t>Guégan</w:t>
      </w:r>
      <w:proofErr w:type="spellEnd"/>
      <w:r>
        <w:rPr>
          <w:rFonts w:ascii="AppleSystemUIFont" w:eastAsiaTheme="minorHAnsi" w:hAnsi="AppleSystemUIFont" w:cs="AppleSystemUIFont"/>
          <w:sz w:val="26"/>
          <w:szCs w:val="26"/>
          <w:lang w:eastAsia="en-US"/>
        </w:rPr>
        <w:t xml:space="preserve"> et.al., 2018). </w:t>
      </w:r>
    </w:p>
    <w:p w14:paraId="4DCE374F"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The improvement of individuals' well-being and the assurance of healthy lives are the outcomes of other goals that provide individuals to improve sufficiently in various social, financial, and beneficial sectors. SDG three is a numerous and widespread reserve on which sustainable development strategies can be founded, particularly for the greatly needed nations, and can oversee the sustainable expenditure of well-being and health (</w:t>
      </w:r>
      <w:proofErr w:type="spellStart"/>
      <w:r>
        <w:rPr>
          <w:rFonts w:ascii="AppleSystemUIFont" w:eastAsiaTheme="minorHAnsi" w:hAnsi="AppleSystemUIFont" w:cs="AppleSystemUIFont"/>
          <w:sz w:val="26"/>
          <w:szCs w:val="26"/>
          <w:lang w:eastAsia="en-US"/>
        </w:rPr>
        <w:t>Guégan</w:t>
      </w:r>
      <w:proofErr w:type="spellEnd"/>
      <w:r>
        <w:rPr>
          <w:rFonts w:ascii="AppleSystemUIFont" w:eastAsiaTheme="minorHAnsi" w:hAnsi="AppleSystemUIFont" w:cs="AppleSystemUIFont"/>
          <w:sz w:val="26"/>
          <w:szCs w:val="26"/>
          <w:lang w:eastAsia="en-US"/>
        </w:rPr>
        <w:t xml:space="preserve"> et.al., 2018).</w:t>
      </w:r>
    </w:p>
    <w:p w14:paraId="7B2CA458"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7AA9AB37"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5A1A68DF"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As has been mentioned above all seventeen SDGs are interconnected and so is the fourth SDG Quality Education (Global Goals, 2022). For example, </w:t>
      </w:r>
      <w:proofErr w:type="spellStart"/>
      <w:r>
        <w:rPr>
          <w:rFonts w:ascii="AppleSystemUIFont" w:eastAsiaTheme="minorHAnsi" w:hAnsi="AppleSystemUIFont" w:cs="AppleSystemUIFont"/>
          <w:sz w:val="26"/>
          <w:szCs w:val="26"/>
          <w:lang w:eastAsia="en-US"/>
        </w:rPr>
        <w:t>Boeren</w:t>
      </w:r>
      <w:proofErr w:type="spellEnd"/>
      <w:r>
        <w:rPr>
          <w:rFonts w:ascii="AppleSystemUIFont" w:eastAsiaTheme="minorHAnsi" w:hAnsi="AppleSystemUIFont" w:cs="AppleSystemUIFont"/>
          <w:sz w:val="26"/>
          <w:szCs w:val="26"/>
          <w:lang w:eastAsia="en-US"/>
        </w:rPr>
        <w:t xml:space="preserve"> (2019) indicates that the benefits of those that have higher education achievements are more likely to secure better-paid jobs, enjoy healthier lifestyles, have higher </w:t>
      </w:r>
      <w:r>
        <w:rPr>
          <w:rFonts w:ascii="AppleSystemUIFont" w:eastAsiaTheme="minorHAnsi" w:hAnsi="AppleSystemUIFont" w:cs="AppleSystemUIFont"/>
          <w:sz w:val="26"/>
          <w:szCs w:val="26"/>
          <w:lang w:eastAsia="en-US"/>
        </w:rPr>
        <w:lastRenderedPageBreak/>
        <w:t xml:space="preserve">involvement in their communities and process more effective citizenship. Also, </w:t>
      </w:r>
      <w:proofErr w:type="spellStart"/>
      <w:r>
        <w:rPr>
          <w:rFonts w:ascii="AppleSystemUIFont" w:eastAsiaTheme="minorHAnsi" w:hAnsi="AppleSystemUIFont" w:cs="AppleSystemUIFont"/>
          <w:sz w:val="26"/>
          <w:szCs w:val="26"/>
          <w:lang w:eastAsia="en-US"/>
        </w:rPr>
        <w:t>Boeren</w:t>
      </w:r>
      <w:proofErr w:type="spellEnd"/>
      <w:r>
        <w:rPr>
          <w:rFonts w:ascii="AppleSystemUIFont" w:eastAsiaTheme="minorHAnsi" w:hAnsi="AppleSystemUIFont" w:cs="AppleSystemUIFont"/>
          <w:sz w:val="26"/>
          <w:szCs w:val="26"/>
          <w:lang w:eastAsia="en-US"/>
        </w:rPr>
        <w:t xml:space="preserve"> (2019), indicates that there is a correlation between schooling participation fees and governmental involvement in enterprises, creation and infrastructure meaning that education can operate as a dominant mechanism for developing a more united and equal society. </w:t>
      </w:r>
    </w:p>
    <w:p w14:paraId="423611A5" w14:textId="55FE7741"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Furthermore, the core aspect of SDG four is the concept of “lifelong learning for all” and contains ten explicit targets meeting the needs of children, adults, and youth (</w:t>
      </w:r>
      <w:proofErr w:type="spellStart"/>
      <w:r>
        <w:rPr>
          <w:rFonts w:ascii="AppleSystemUIFont" w:eastAsiaTheme="minorHAnsi" w:hAnsi="AppleSystemUIFont" w:cs="AppleSystemUIFont"/>
          <w:sz w:val="26"/>
          <w:szCs w:val="26"/>
          <w:lang w:eastAsia="en-US"/>
        </w:rPr>
        <w:t>Boeren</w:t>
      </w:r>
      <w:proofErr w:type="spellEnd"/>
      <w:r>
        <w:rPr>
          <w:rFonts w:ascii="AppleSystemUIFont" w:eastAsiaTheme="minorHAnsi" w:hAnsi="AppleSystemUIFont" w:cs="AppleSystemUIFont"/>
          <w:sz w:val="26"/>
          <w:szCs w:val="26"/>
          <w:lang w:eastAsia="en-US"/>
        </w:rPr>
        <w:t xml:space="preserve">, 2019). </w:t>
      </w:r>
    </w:p>
    <w:p w14:paraId="2F4FD097"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24020F0B"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7E07D8D5" w14:textId="21969FC6"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Then, unlike the SDG three and four are interconnected, SDG seventeen (Partnership to achieve the goals) is the global association between people, the planet, prosperity, peace, and partnerships, also called the “5 P’s” (</w:t>
      </w:r>
      <w:proofErr w:type="spellStart"/>
      <w:r>
        <w:rPr>
          <w:rFonts w:ascii="AppleSystemUIFont" w:eastAsiaTheme="minorHAnsi" w:hAnsi="AppleSystemUIFont" w:cs="AppleSystemUIFont"/>
          <w:sz w:val="26"/>
          <w:szCs w:val="26"/>
          <w:lang w:eastAsia="en-US"/>
        </w:rPr>
        <w:t>Planell</w:t>
      </w:r>
      <w:proofErr w:type="spellEnd"/>
      <w:r>
        <w:rPr>
          <w:rFonts w:ascii="AppleSystemUIFont" w:eastAsiaTheme="minorHAnsi" w:hAnsi="AppleSystemUIFont" w:cs="AppleSystemUIFont"/>
          <w:sz w:val="26"/>
          <w:szCs w:val="26"/>
          <w:lang w:eastAsia="en-US"/>
        </w:rPr>
        <w:t xml:space="preserve">, 2018). </w:t>
      </w:r>
    </w:p>
    <w:p w14:paraId="0E165A4B"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roofErr w:type="spellStart"/>
      <w:r>
        <w:rPr>
          <w:rFonts w:ascii="AppleSystemUIFont" w:eastAsiaTheme="minorHAnsi" w:hAnsi="AppleSystemUIFont" w:cs="AppleSystemUIFont"/>
          <w:sz w:val="26"/>
          <w:szCs w:val="26"/>
          <w:lang w:eastAsia="en-US"/>
        </w:rPr>
        <w:t>Planell</w:t>
      </w:r>
      <w:proofErr w:type="spellEnd"/>
      <w:r>
        <w:rPr>
          <w:rFonts w:ascii="AppleSystemUIFont" w:eastAsiaTheme="minorHAnsi" w:hAnsi="AppleSystemUIFont" w:cs="AppleSystemUIFont"/>
          <w:sz w:val="26"/>
          <w:szCs w:val="26"/>
          <w:lang w:eastAsia="en-US"/>
        </w:rPr>
        <w:t xml:space="preserve"> (2018) describes the SDG seventeen as a fundamental component of the 2030 Agenda changing the rise of imbalances and asymmetries between nations and humanity, can also change la scarcity of international administration originating from the distribution of strength and the dilemma of articulation and rightfulness in many regions. </w:t>
      </w:r>
    </w:p>
    <w:p w14:paraId="0A92ACEA" w14:textId="77777777" w:rsidR="00CF7EB3" w:rsidRDefault="00CF7EB3" w:rsidP="00CF7EB3">
      <w:pPr>
        <w:autoSpaceDE w:val="0"/>
        <w:autoSpaceDN w:val="0"/>
        <w:adjustRightInd w:val="0"/>
        <w:rPr>
          <w:rFonts w:ascii="AppleSystemUIFont" w:eastAsiaTheme="minorHAnsi" w:hAnsi="AppleSystemUIFont" w:cs="AppleSystemUIFont"/>
          <w:sz w:val="26"/>
          <w:szCs w:val="26"/>
          <w:lang w:eastAsia="en-US"/>
        </w:rPr>
      </w:pPr>
    </w:p>
    <w:p w14:paraId="32225067" w14:textId="48633105" w:rsidR="00E5591C" w:rsidRDefault="00E5591C" w:rsidP="00E5591C">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Likewise, the targets of the above described 3 SDGs as well as the rest of them are constructed to create an equilibrium between the social, economic, and environmental proportions of sustainable development (UK 2070 Commission, 2019). Yet the strategy is that they are incorporated and unseen and then bound with main planning theories (UK 2070 Commission, 2019). The United </w:t>
      </w:r>
      <w:r w:rsidR="00377CF4">
        <w:rPr>
          <w:rFonts w:ascii="AppleSystemUIFont" w:eastAsiaTheme="minorHAnsi" w:hAnsi="AppleSystemUIFont" w:cs="AppleSystemUIFont"/>
          <w:sz w:val="26"/>
          <w:szCs w:val="26"/>
          <w:lang w:eastAsia="en-US"/>
        </w:rPr>
        <w:t>Kingdom’s</w:t>
      </w:r>
      <w:r>
        <w:rPr>
          <w:rFonts w:ascii="AppleSystemUIFont" w:eastAsiaTheme="minorHAnsi" w:hAnsi="AppleSystemUIFont" w:cs="AppleSystemUIFont"/>
          <w:sz w:val="26"/>
          <w:szCs w:val="26"/>
          <w:lang w:eastAsia="en-US"/>
        </w:rPr>
        <w:t xml:space="preserve"> government is engaging in meeting those targets by implementing the following: </w:t>
      </w:r>
    </w:p>
    <w:p w14:paraId="205C6DED" w14:textId="77777777" w:rsidR="00377CF4" w:rsidRDefault="00377CF4" w:rsidP="00E5591C">
      <w:pPr>
        <w:autoSpaceDE w:val="0"/>
        <w:autoSpaceDN w:val="0"/>
        <w:adjustRightInd w:val="0"/>
        <w:rPr>
          <w:rFonts w:ascii="AppleSystemUIFont" w:eastAsiaTheme="minorHAnsi" w:hAnsi="AppleSystemUIFont" w:cs="AppleSystemUIFont"/>
          <w:sz w:val="26"/>
          <w:szCs w:val="26"/>
          <w:lang w:eastAsia="en-US"/>
        </w:rPr>
      </w:pPr>
    </w:p>
    <w:p w14:paraId="69734CD1" w14:textId="14493543" w:rsidR="00E5591C" w:rsidRDefault="00E5591C" w:rsidP="00377CF4">
      <w:pPr>
        <w:pStyle w:val="ListParagraph"/>
        <w:numPr>
          <w:ilvl w:val="0"/>
          <w:numId w:val="8"/>
        </w:numPr>
        <w:autoSpaceDE w:val="0"/>
        <w:autoSpaceDN w:val="0"/>
        <w:adjustRightInd w:val="0"/>
        <w:rPr>
          <w:rFonts w:ascii="AppleSystemUIFont" w:eastAsiaTheme="minorHAnsi" w:hAnsi="AppleSystemUIFont" w:cs="AppleSystemUIFont"/>
          <w:sz w:val="26"/>
          <w:szCs w:val="26"/>
          <w:lang w:eastAsia="en-US"/>
        </w:rPr>
      </w:pPr>
      <w:r w:rsidRPr="00377CF4">
        <w:rPr>
          <w:rFonts w:ascii="AppleSystemUIFont" w:eastAsiaTheme="minorHAnsi" w:hAnsi="AppleSystemUIFont" w:cs="AppleSystemUIFont"/>
          <w:sz w:val="26"/>
          <w:szCs w:val="26"/>
          <w:lang w:eastAsia="en-US"/>
        </w:rPr>
        <w:t xml:space="preserve">Equality Act 2010 section 149 obliges the Department of Health and Social Care to eradicate prejudice, </w:t>
      </w:r>
      <w:r w:rsidR="00377CF4" w:rsidRPr="00377CF4">
        <w:rPr>
          <w:rFonts w:ascii="AppleSystemUIFont" w:eastAsiaTheme="minorHAnsi" w:hAnsi="AppleSystemUIFont" w:cs="AppleSystemUIFont"/>
          <w:sz w:val="26"/>
          <w:szCs w:val="26"/>
          <w:lang w:eastAsia="en-US"/>
        </w:rPr>
        <w:t>molestation,</w:t>
      </w:r>
      <w:r w:rsidRPr="00377CF4">
        <w:rPr>
          <w:rFonts w:ascii="AppleSystemUIFont" w:eastAsiaTheme="minorHAnsi" w:hAnsi="AppleSystemUIFont" w:cs="AppleSystemUIFont"/>
          <w:sz w:val="26"/>
          <w:szCs w:val="26"/>
          <w:lang w:eastAsia="en-US"/>
        </w:rPr>
        <w:t xml:space="preserve"> and deception along with any other restricted procedure by the Act; develop equivalence of chance between individuals who share a related safeguarded standard as well as those that do not share it; facilitate an adequate connection between individuals who share the related aspect as well as those who do not (Department of Health and Social Care, 2019).   </w:t>
      </w:r>
    </w:p>
    <w:p w14:paraId="578CFA9E" w14:textId="77777777" w:rsidR="00D17367" w:rsidRPr="00377CF4" w:rsidRDefault="00D17367" w:rsidP="00D17367">
      <w:pPr>
        <w:pStyle w:val="ListParagraph"/>
        <w:autoSpaceDE w:val="0"/>
        <w:autoSpaceDN w:val="0"/>
        <w:adjustRightInd w:val="0"/>
        <w:rPr>
          <w:rFonts w:ascii="AppleSystemUIFont" w:eastAsiaTheme="minorHAnsi" w:hAnsi="AppleSystemUIFont" w:cs="AppleSystemUIFont"/>
          <w:sz w:val="26"/>
          <w:szCs w:val="26"/>
          <w:lang w:eastAsia="en-US"/>
        </w:rPr>
      </w:pPr>
    </w:p>
    <w:p w14:paraId="0756E01F" w14:textId="49ACB201" w:rsidR="00E5591C" w:rsidRDefault="00E5591C" w:rsidP="00377CF4">
      <w:pPr>
        <w:pStyle w:val="ListParagraph"/>
        <w:numPr>
          <w:ilvl w:val="0"/>
          <w:numId w:val="8"/>
        </w:numPr>
        <w:autoSpaceDE w:val="0"/>
        <w:autoSpaceDN w:val="0"/>
        <w:adjustRightInd w:val="0"/>
        <w:rPr>
          <w:rFonts w:ascii="AppleSystemUIFont" w:eastAsiaTheme="minorHAnsi" w:hAnsi="AppleSystemUIFont" w:cs="AppleSystemUIFont"/>
          <w:sz w:val="26"/>
          <w:szCs w:val="26"/>
          <w:lang w:eastAsia="en-US"/>
        </w:rPr>
      </w:pPr>
      <w:r w:rsidRPr="00377CF4">
        <w:rPr>
          <w:rFonts w:ascii="AppleSystemUIFont" w:eastAsiaTheme="minorHAnsi" w:hAnsi="AppleSystemUIFont" w:cs="AppleSystemUIFont"/>
          <w:sz w:val="26"/>
          <w:szCs w:val="26"/>
          <w:lang w:eastAsia="en-US"/>
        </w:rPr>
        <w:t xml:space="preserve">The strategy DfE Outcome Delivery Plan:2021 to 2022 prioritising the financial development by enhancing the aptitudes channel, levelling up productivity and assisting society to work with the support of the Department for Business Energy and Industrial Strategy, Department for Digital Culture Media and </w:t>
      </w:r>
      <w:proofErr w:type="spellStart"/>
      <w:r w:rsidRPr="00377CF4">
        <w:rPr>
          <w:rFonts w:ascii="AppleSystemUIFont" w:eastAsiaTheme="minorHAnsi" w:hAnsi="AppleSystemUIFont" w:cs="AppleSystemUIFont"/>
          <w:sz w:val="26"/>
          <w:szCs w:val="26"/>
          <w:lang w:eastAsia="en-US"/>
        </w:rPr>
        <w:t>Soort</w:t>
      </w:r>
      <w:proofErr w:type="spellEnd"/>
      <w:r w:rsidRPr="00377CF4">
        <w:rPr>
          <w:rFonts w:ascii="AppleSystemUIFont" w:eastAsiaTheme="minorHAnsi" w:hAnsi="AppleSystemUIFont" w:cs="AppleSystemUIFont"/>
          <w:sz w:val="26"/>
          <w:szCs w:val="26"/>
          <w:lang w:eastAsia="en-US"/>
        </w:rPr>
        <w:t xml:space="preserve">, Department for Work and Pensions, Ministry of Housing, Communities and Local Government. Further, they want to increase the schooling criteria so that the youngsters and youth from anywhere in the country are equipped with the information, </w:t>
      </w:r>
      <w:r w:rsidR="00D17367" w:rsidRPr="00377CF4">
        <w:rPr>
          <w:rFonts w:ascii="AppleSystemUIFont" w:eastAsiaTheme="minorHAnsi" w:hAnsi="AppleSystemUIFont" w:cs="AppleSystemUIFont"/>
          <w:sz w:val="26"/>
          <w:szCs w:val="26"/>
          <w:lang w:eastAsia="en-US"/>
        </w:rPr>
        <w:t>abilities,</w:t>
      </w:r>
      <w:r w:rsidRPr="00377CF4">
        <w:rPr>
          <w:rFonts w:ascii="AppleSystemUIFont" w:eastAsiaTheme="minorHAnsi" w:hAnsi="AppleSystemUIFont" w:cs="AppleSystemUIFont"/>
          <w:sz w:val="26"/>
          <w:szCs w:val="26"/>
          <w:lang w:eastAsia="en-US"/>
        </w:rPr>
        <w:t xml:space="preserve"> and capabilities that they need. Also, the Department for Digital Culture Media and Sport, Department of Health and </w:t>
      </w:r>
      <w:r w:rsidRPr="00377CF4">
        <w:rPr>
          <w:rFonts w:ascii="AppleSystemUIFont" w:eastAsiaTheme="minorHAnsi" w:hAnsi="AppleSystemUIFont" w:cs="AppleSystemUIFont"/>
          <w:sz w:val="26"/>
          <w:szCs w:val="26"/>
          <w:lang w:eastAsia="en-US"/>
        </w:rPr>
        <w:lastRenderedPageBreak/>
        <w:t xml:space="preserve">Social Care, Department for Work and Pensions, Ministry of Housing, Communities, and Local Government and Ministry of Justice, will assist the greatly deprived and susceptible youngsters and youth by furnishing high-quality regional assistance. As well, Department for Work and Pensions and Her Majesty's Revenue and Customs will enable parents to continue working by providing high-quality early schooling and </w:t>
      </w:r>
      <w:r w:rsidR="00D17367" w:rsidRPr="00377CF4">
        <w:rPr>
          <w:rFonts w:ascii="AppleSystemUIFont" w:eastAsiaTheme="minorHAnsi" w:hAnsi="AppleSystemUIFont" w:cs="AppleSystemUIFont"/>
          <w:sz w:val="26"/>
          <w:szCs w:val="26"/>
          <w:lang w:eastAsia="en-US"/>
        </w:rPr>
        <w:t>childcare</w:t>
      </w:r>
      <w:r w:rsidRPr="00377CF4">
        <w:rPr>
          <w:rFonts w:ascii="AppleSystemUIFont" w:eastAsiaTheme="minorHAnsi" w:hAnsi="AppleSystemUIFont" w:cs="AppleSystemUIFont"/>
          <w:sz w:val="26"/>
          <w:szCs w:val="26"/>
          <w:lang w:eastAsia="en-US"/>
        </w:rPr>
        <w:t xml:space="preserve"> (Department for Education, 2021). </w:t>
      </w:r>
    </w:p>
    <w:p w14:paraId="0135BFDC" w14:textId="77777777" w:rsidR="00D17367" w:rsidRPr="00377CF4" w:rsidRDefault="00D17367" w:rsidP="00D17367">
      <w:pPr>
        <w:pStyle w:val="ListParagraph"/>
        <w:autoSpaceDE w:val="0"/>
        <w:autoSpaceDN w:val="0"/>
        <w:adjustRightInd w:val="0"/>
        <w:rPr>
          <w:rFonts w:ascii="AppleSystemUIFont" w:eastAsiaTheme="minorHAnsi" w:hAnsi="AppleSystemUIFont" w:cs="AppleSystemUIFont"/>
          <w:sz w:val="26"/>
          <w:szCs w:val="26"/>
          <w:lang w:eastAsia="en-US"/>
        </w:rPr>
      </w:pPr>
    </w:p>
    <w:p w14:paraId="2AE0B1D8" w14:textId="71B12A22" w:rsidR="00E5591C" w:rsidRDefault="00E5591C" w:rsidP="00377CF4">
      <w:pPr>
        <w:pStyle w:val="ListParagraph"/>
        <w:numPr>
          <w:ilvl w:val="0"/>
          <w:numId w:val="8"/>
        </w:numPr>
        <w:autoSpaceDE w:val="0"/>
        <w:autoSpaceDN w:val="0"/>
        <w:adjustRightInd w:val="0"/>
        <w:rPr>
          <w:rFonts w:ascii="AppleSystemUIFont" w:eastAsiaTheme="minorHAnsi" w:hAnsi="AppleSystemUIFont" w:cs="AppleSystemUIFont"/>
          <w:sz w:val="26"/>
          <w:szCs w:val="26"/>
          <w:lang w:eastAsia="en-US"/>
        </w:rPr>
      </w:pPr>
      <w:r w:rsidRPr="00377CF4">
        <w:rPr>
          <w:rFonts w:ascii="AppleSystemUIFont" w:eastAsiaTheme="minorHAnsi" w:hAnsi="AppleSystemUIFont" w:cs="AppleSystemUIFont"/>
          <w:sz w:val="26"/>
          <w:szCs w:val="26"/>
          <w:lang w:eastAsia="en-US"/>
        </w:rPr>
        <w:t xml:space="preserve">The strategy HM Revenue and Customs Outcome Delivery Plan: 2021 to 2022 aims to amass the proper tax as well as </w:t>
      </w:r>
      <w:r w:rsidR="00D17367" w:rsidRPr="00377CF4">
        <w:rPr>
          <w:rFonts w:ascii="AppleSystemUIFont" w:eastAsiaTheme="minorHAnsi" w:hAnsi="AppleSystemUIFont" w:cs="AppleSystemUIFont"/>
          <w:sz w:val="26"/>
          <w:szCs w:val="26"/>
          <w:lang w:eastAsia="en-US"/>
        </w:rPr>
        <w:t>pay-out</w:t>
      </w:r>
      <w:r w:rsidRPr="00377CF4">
        <w:rPr>
          <w:rFonts w:ascii="AppleSystemUIFont" w:eastAsiaTheme="minorHAnsi" w:hAnsi="AppleSystemUIFont" w:cs="AppleSystemUIFont"/>
          <w:sz w:val="26"/>
          <w:szCs w:val="26"/>
          <w:lang w:eastAsia="en-US"/>
        </w:rPr>
        <w:t xml:space="preserve"> the proper economic assistance, solidify security make it harder to twist the laws as well as make it simple to obtain tax rights. They also, aim to protect society by maintaining reasonable solutions regarding taxpayers' approval, making HMRC a greater area of work and financing administration financial goals through resilient and flexible fee management strategies (HM Revenue &amp; Customs, 2021).   </w:t>
      </w:r>
    </w:p>
    <w:p w14:paraId="04EDFC18" w14:textId="77777777" w:rsidR="00D17367" w:rsidRPr="00D17367" w:rsidRDefault="00D17367" w:rsidP="00D17367">
      <w:pPr>
        <w:pStyle w:val="ListParagraph"/>
        <w:rPr>
          <w:rFonts w:ascii="AppleSystemUIFont" w:eastAsiaTheme="minorHAnsi" w:hAnsi="AppleSystemUIFont" w:cs="AppleSystemUIFont"/>
          <w:sz w:val="26"/>
          <w:szCs w:val="26"/>
          <w:lang w:eastAsia="en-US"/>
        </w:rPr>
      </w:pPr>
    </w:p>
    <w:p w14:paraId="34AA50E4" w14:textId="7E36AFFE" w:rsidR="00D17367" w:rsidRPr="00D17367" w:rsidRDefault="00970D97" w:rsidP="00D17367">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The Borough of Barnet is the largest in London by population and it continues to grow. In 2015 the population of Barnet was over 360, 000 and it is estimated to increase by 13.7% by 2030 with higher rates of growth in the west of the Borough and higher preponderance among the 65-year-old and over, estimated to increase by 34.5% until 2030 whereas 85 and older population increasing by 66.6%. Yet the population of children has remained vastly similar between 2014 and 2021 (</w:t>
      </w:r>
      <w:proofErr w:type="spellStart"/>
      <w:r>
        <w:rPr>
          <w:rFonts w:ascii="AppleSystemUIFont" w:eastAsiaTheme="minorHAnsi" w:hAnsi="AppleSystemUIFont" w:cs="AppleSystemUIFont"/>
          <w:sz w:val="26"/>
          <w:szCs w:val="26"/>
          <w:lang w:eastAsia="en-US"/>
        </w:rPr>
        <w:t>Barnets</w:t>
      </w:r>
      <w:proofErr w:type="spellEnd"/>
      <w:r>
        <w:rPr>
          <w:rFonts w:ascii="AppleSystemUIFont" w:eastAsiaTheme="minorHAnsi" w:hAnsi="AppleSystemUIFont" w:cs="AppleSystemUIFont"/>
          <w:sz w:val="26"/>
          <w:szCs w:val="26"/>
          <w:lang w:eastAsia="en-US"/>
        </w:rPr>
        <w:t>, 2021).</w:t>
      </w:r>
    </w:p>
    <w:p w14:paraId="0A9EC3F0" w14:textId="3AB770FF" w:rsidR="00D17367" w:rsidRDefault="00D17367" w:rsidP="00D17367">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Furthermore, Barnet’s main collaborators that can facilitate a difference in the borough's health and well-being involve regional Councillors, Adult Social Care, Family Services, Public Health, NHS, regional voluntary and neighbourhood district organisations, and Health Watch Barnet. Jointly have established a statutory Health and Well-Being Board and evolved a JHWS which is a formal responsibility of the partners to provide their respective health and well-being responsibilities under the Health and Social Care Act 2012 (Barnet, NHS, Healthwatch, 2021-2025). </w:t>
      </w:r>
    </w:p>
    <w:p w14:paraId="07CF71EF" w14:textId="34673C4C" w:rsidR="00D17367" w:rsidRDefault="00D17367" w:rsidP="00D17367">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The borough of Barnet has identified three areas of priority: </w:t>
      </w:r>
    </w:p>
    <w:p w14:paraId="7780F00B" w14:textId="77777777" w:rsidR="00D17367" w:rsidRDefault="00D17367" w:rsidP="00D17367">
      <w:pPr>
        <w:autoSpaceDE w:val="0"/>
        <w:autoSpaceDN w:val="0"/>
        <w:adjustRightInd w:val="0"/>
        <w:rPr>
          <w:rFonts w:ascii="AppleSystemUIFont" w:eastAsiaTheme="minorHAnsi" w:hAnsi="AppleSystemUIFont" w:cs="AppleSystemUIFont"/>
          <w:sz w:val="26"/>
          <w:szCs w:val="26"/>
          <w:lang w:eastAsia="en-US"/>
        </w:rPr>
      </w:pPr>
    </w:p>
    <w:p w14:paraId="3C528397" w14:textId="2AA5C444" w:rsidR="00D17367" w:rsidRDefault="00D17367" w:rsidP="00D17367">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Developing healthier areas and flexible neighbourhoods.</w:t>
      </w:r>
    </w:p>
    <w:p w14:paraId="448F0050" w14:textId="77777777" w:rsidR="00D17367" w:rsidRPr="00D17367" w:rsidRDefault="00D17367" w:rsidP="00D17367">
      <w:pPr>
        <w:pStyle w:val="ListParagraph"/>
        <w:numPr>
          <w:ilvl w:val="0"/>
          <w:numId w:val="9"/>
        </w:numPr>
        <w:autoSpaceDE w:val="0"/>
        <w:autoSpaceDN w:val="0"/>
        <w:adjustRightInd w:val="0"/>
        <w:rPr>
          <w:rFonts w:ascii="AppleSystemUIFont" w:eastAsiaTheme="minorHAnsi" w:hAnsi="AppleSystemUIFont" w:cs="AppleSystemUIFont"/>
          <w:sz w:val="26"/>
          <w:szCs w:val="26"/>
          <w:lang w:eastAsia="en-US"/>
        </w:rPr>
      </w:pPr>
      <w:r w:rsidRPr="00D17367">
        <w:rPr>
          <w:rFonts w:ascii="AppleSystemUIFont" w:eastAsiaTheme="minorHAnsi" w:hAnsi="AppleSystemUIFont" w:cs="AppleSystemUIFont"/>
          <w:sz w:val="26"/>
          <w:szCs w:val="26"/>
          <w:lang w:eastAsia="en-US"/>
        </w:rPr>
        <w:t>cleaning the air (because according to the WHO (2022) annually 4.2 million people die due to exposure to polluted air) and maintaining well open spaces and parks</w:t>
      </w:r>
    </w:p>
    <w:p w14:paraId="3D0BC957" w14:textId="77777777" w:rsidR="00D17367" w:rsidRPr="00D17367" w:rsidRDefault="00D17367" w:rsidP="00D17367">
      <w:pPr>
        <w:pStyle w:val="ListParagraph"/>
        <w:numPr>
          <w:ilvl w:val="0"/>
          <w:numId w:val="9"/>
        </w:numPr>
        <w:autoSpaceDE w:val="0"/>
        <w:autoSpaceDN w:val="0"/>
        <w:adjustRightInd w:val="0"/>
        <w:rPr>
          <w:rFonts w:ascii="AppleSystemUIFont" w:eastAsiaTheme="minorHAnsi" w:hAnsi="AppleSystemUIFont" w:cs="AppleSystemUIFont"/>
          <w:sz w:val="26"/>
          <w:szCs w:val="26"/>
          <w:lang w:eastAsia="en-US"/>
        </w:rPr>
      </w:pPr>
      <w:r w:rsidRPr="00D17367">
        <w:rPr>
          <w:rFonts w:ascii="AppleSystemUIFont" w:eastAsiaTheme="minorHAnsi" w:hAnsi="AppleSystemUIFont" w:cs="AppleSystemUIFont"/>
          <w:sz w:val="26"/>
          <w:szCs w:val="26"/>
          <w:lang w:eastAsia="en-US"/>
        </w:rPr>
        <w:t>building an environment where healthy foods will be the most accessible option because diet and drinks are the components of the major risk for obesity, in 2016-2017 53% of the adult population in Barnet was obese (Barnet, NHS, Healthwatch, 2021-2025)</w:t>
      </w:r>
    </w:p>
    <w:p w14:paraId="0837E500" w14:textId="77777777" w:rsidR="00D17367" w:rsidRPr="00D17367" w:rsidRDefault="00D17367" w:rsidP="00D17367">
      <w:pPr>
        <w:pStyle w:val="ListParagraph"/>
        <w:numPr>
          <w:ilvl w:val="0"/>
          <w:numId w:val="9"/>
        </w:numPr>
        <w:autoSpaceDE w:val="0"/>
        <w:autoSpaceDN w:val="0"/>
        <w:adjustRightInd w:val="0"/>
        <w:rPr>
          <w:rFonts w:ascii="AppleSystemUIFont" w:eastAsiaTheme="minorHAnsi" w:hAnsi="AppleSystemUIFont" w:cs="AppleSystemUIFont"/>
          <w:sz w:val="26"/>
          <w:szCs w:val="26"/>
          <w:lang w:eastAsia="en-US"/>
        </w:rPr>
      </w:pPr>
      <w:r w:rsidRPr="00D17367">
        <w:rPr>
          <w:rFonts w:ascii="AppleSystemUIFont" w:eastAsiaTheme="minorHAnsi" w:hAnsi="AppleSystemUIFont" w:cs="AppleSystemUIFont"/>
          <w:sz w:val="26"/>
          <w:szCs w:val="26"/>
          <w:lang w:eastAsia="en-US"/>
        </w:rPr>
        <w:t xml:space="preserve">building healthier neighbourhoods by creating neighbourhood areas and allowance accessible. </w:t>
      </w:r>
    </w:p>
    <w:p w14:paraId="6358F508" w14:textId="77777777" w:rsidR="00D17367" w:rsidRDefault="00D17367" w:rsidP="00D17367">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Beginning, residence and ageing well</w:t>
      </w:r>
    </w:p>
    <w:p w14:paraId="66BD3169" w14:textId="77777777" w:rsidR="00D17367" w:rsidRPr="00D17367" w:rsidRDefault="00D17367" w:rsidP="00D17367">
      <w:pPr>
        <w:pStyle w:val="ListParagraph"/>
        <w:numPr>
          <w:ilvl w:val="0"/>
          <w:numId w:val="10"/>
        </w:numPr>
        <w:autoSpaceDE w:val="0"/>
        <w:autoSpaceDN w:val="0"/>
        <w:adjustRightInd w:val="0"/>
        <w:rPr>
          <w:rFonts w:ascii="AppleSystemUIFont" w:eastAsiaTheme="minorHAnsi" w:hAnsi="AppleSystemUIFont" w:cs="AppleSystemUIFont"/>
          <w:sz w:val="26"/>
          <w:szCs w:val="26"/>
          <w:lang w:eastAsia="en-US"/>
        </w:rPr>
      </w:pPr>
      <w:r w:rsidRPr="00D17367">
        <w:rPr>
          <w:rFonts w:ascii="AppleSystemUIFont" w:eastAsiaTheme="minorHAnsi" w:hAnsi="AppleSystemUIFont" w:cs="AppleSystemUIFont"/>
          <w:sz w:val="26"/>
          <w:szCs w:val="26"/>
          <w:lang w:eastAsia="en-US"/>
        </w:rPr>
        <w:lastRenderedPageBreak/>
        <w:t xml:space="preserve">improving cognitive wellbeing </w:t>
      </w:r>
    </w:p>
    <w:p w14:paraId="031D6C81" w14:textId="77777777" w:rsidR="00D17367" w:rsidRPr="00D17367" w:rsidRDefault="00D17367" w:rsidP="00D17367">
      <w:pPr>
        <w:pStyle w:val="ListParagraph"/>
        <w:numPr>
          <w:ilvl w:val="0"/>
          <w:numId w:val="10"/>
        </w:numPr>
        <w:autoSpaceDE w:val="0"/>
        <w:autoSpaceDN w:val="0"/>
        <w:adjustRightInd w:val="0"/>
        <w:rPr>
          <w:rFonts w:ascii="AppleSystemUIFont" w:eastAsiaTheme="minorHAnsi" w:hAnsi="AppleSystemUIFont" w:cs="AppleSystemUIFont"/>
          <w:sz w:val="26"/>
          <w:szCs w:val="26"/>
          <w:lang w:eastAsia="en-US"/>
        </w:rPr>
      </w:pPr>
      <w:r w:rsidRPr="00D17367">
        <w:rPr>
          <w:rFonts w:ascii="AppleSystemUIFont" w:eastAsiaTheme="minorHAnsi" w:hAnsi="AppleSystemUIFont" w:cs="AppleSystemUIFont"/>
          <w:sz w:val="26"/>
          <w:szCs w:val="26"/>
          <w:lang w:eastAsia="en-US"/>
        </w:rPr>
        <w:t xml:space="preserve">reasonable recreation establishments and green areas </w:t>
      </w:r>
    </w:p>
    <w:p w14:paraId="1AD83ECC" w14:textId="77777777" w:rsidR="00D17367" w:rsidRPr="00D17367" w:rsidRDefault="00D17367" w:rsidP="00D17367">
      <w:pPr>
        <w:pStyle w:val="ListParagraph"/>
        <w:numPr>
          <w:ilvl w:val="0"/>
          <w:numId w:val="10"/>
        </w:numPr>
        <w:autoSpaceDE w:val="0"/>
        <w:autoSpaceDN w:val="0"/>
        <w:adjustRightInd w:val="0"/>
        <w:rPr>
          <w:rFonts w:ascii="AppleSystemUIFont" w:eastAsiaTheme="minorHAnsi" w:hAnsi="AppleSystemUIFont" w:cs="AppleSystemUIFont"/>
          <w:sz w:val="26"/>
          <w:szCs w:val="26"/>
          <w:lang w:eastAsia="en-US"/>
        </w:rPr>
      </w:pPr>
      <w:r w:rsidRPr="00D17367">
        <w:rPr>
          <w:rFonts w:ascii="AppleSystemUIFont" w:eastAsiaTheme="minorHAnsi" w:hAnsi="AppleSystemUIFont" w:cs="AppleSystemUIFont"/>
          <w:sz w:val="26"/>
          <w:szCs w:val="26"/>
          <w:lang w:eastAsia="en-US"/>
        </w:rPr>
        <w:t xml:space="preserve">assistance for jobs and workplace health </w:t>
      </w:r>
    </w:p>
    <w:p w14:paraId="74EDD8D9" w14:textId="77777777" w:rsidR="00D17367" w:rsidRPr="00D17367" w:rsidRDefault="00D17367" w:rsidP="00D17367">
      <w:pPr>
        <w:pStyle w:val="ListParagraph"/>
        <w:numPr>
          <w:ilvl w:val="0"/>
          <w:numId w:val="10"/>
        </w:numPr>
        <w:autoSpaceDE w:val="0"/>
        <w:autoSpaceDN w:val="0"/>
        <w:adjustRightInd w:val="0"/>
        <w:rPr>
          <w:rFonts w:ascii="AppleSystemUIFont" w:eastAsiaTheme="minorHAnsi" w:hAnsi="AppleSystemUIFont" w:cs="AppleSystemUIFont"/>
          <w:sz w:val="26"/>
          <w:szCs w:val="26"/>
          <w:lang w:eastAsia="en-US"/>
        </w:rPr>
      </w:pPr>
      <w:r w:rsidRPr="00D17367">
        <w:rPr>
          <w:rFonts w:ascii="AppleSystemUIFont" w:eastAsiaTheme="minorHAnsi" w:hAnsi="AppleSystemUIFont" w:cs="AppleSystemUIFont"/>
          <w:sz w:val="26"/>
          <w:szCs w:val="26"/>
          <w:lang w:eastAsia="en-US"/>
        </w:rPr>
        <w:t xml:space="preserve">Enhancing life options and child deprivation </w:t>
      </w:r>
    </w:p>
    <w:p w14:paraId="63A4EB46" w14:textId="77777777" w:rsidR="00D17367" w:rsidRDefault="00D17367" w:rsidP="00D17367">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Securing distribution of collaborative and comprehensive supervision for those who need it</w:t>
      </w:r>
    </w:p>
    <w:p w14:paraId="48E2D2BE" w14:textId="77777777" w:rsidR="00D17367" w:rsidRPr="00D17367" w:rsidRDefault="00D17367" w:rsidP="00D17367">
      <w:pPr>
        <w:pStyle w:val="ListParagraph"/>
        <w:numPr>
          <w:ilvl w:val="0"/>
          <w:numId w:val="11"/>
        </w:numPr>
        <w:autoSpaceDE w:val="0"/>
        <w:autoSpaceDN w:val="0"/>
        <w:adjustRightInd w:val="0"/>
        <w:rPr>
          <w:rFonts w:ascii="AppleSystemUIFont" w:eastAsiaTheme="minorHAnsi" w:hAnsi="AppleSystemUIFont" w:cs="AppleSystemUIFont"/>
          <w:sz w:val="26"/>
          <w:szCs w:val="26"/>
          <w:lang w:eastAsia="en-US"/>
        </w:rPr>
      </w:pPr>
      <w:r w:rsidRPr="00D17367">
        <w:rPr>
          <w:rFonts w:ascii="AppleSystemUIFont" w:eastAsiaTheme="minorHAnsi" w:hAnsi="AppleSystemUIFont" w:cs="AppleSystemUIFont"/>
          <w:sz w:val="26"/>
          <w:szCs w:val="26"/>
          <w:lang w:eastAsia="en-US"/>
        </w:rPr>
        <w:t>permanent access to local pharmacies and walk-in centres and GP’s</w:t>
      </w:r>
    </w:p>
    <w:p w14:paraId="40BB9598" w14:textId="69299770" w:rsidR="00D17367" w:rsidRPr="00D17367" w:rsidRDefault="00D17367" w:rsidP="00D17367">
      <w:pPr>
        <w:pStyle w:val="ListParagraph"/>
        <w:numPr>
          <w:ilvl w:val="0"/>
          <w:numId w:val="11"/>
        </w:numPr>
        <w:autoSpaceDE w:val="0"/>
        <w:autoSpaceDN w:val="0"/>
        <w:adjustRightInd w:val="0"/>
        <w:rPr>
          <w:rFonts w:ascii="AppleSystemUIFont" w:eastAsiaTheme="minorHAnsi" w:hAnsi="AppleSystemUIFont" w:cs="AppleSystemUIFont"/>
          <w:sz w:val="26"/>
          <w:szCs w:val="26"/>
          <w:lang w:eastAsia="en-US"/>
        </w:rPr>
      </w:pPr>
      <w:r w:rsidRPr="00D17367">
        <w:rPr>
          <w:rFonts w:ascii="AppleSystemUIFont" w:eastAsiaTheme="minorHAnsi" w:hAnsi="AppleSystemUIFont" w:cs="AppleSystemUIFont"/>
          <w:sz w:val="26"/>
          <w:szCs w:val="26"/>
          <w:lang w:eastAsia="en-US"/>
        </w:rPr>
        <w:t xml:space="preserve">encouraging carers to take care of their health </w:t>
      </w:r>
    </w:p>
    <w:p w14:paraId="7766C880" w14:textId="4EC4FFA8" w:rsidR="00D17367" w:rsidRPr="00D17367" w:rsidRDefault="00D17367" w:rsidP="00D17367">
      <w:pPr>
        <w:pStyle w:val="ListParagraph"/>
        <w:numPr>
          <w:ilvl w:val="0"/>
          <w:numId w:val="11"/>
        </w:numPr>
        <w:autoSpaceDE w:val="0"/>
        <w:autoSpaceDN w:val="0"/>
        <w:adjustRightInd w:val="0"/>
        <w:rPr>
          <w:rFonts w:ascii="AppleSystemUIFont" w:eastAsiaTheme="minorHAnsi" w:hAnsi="AppleSystemUIFont" w:cs="AppleSystemUIFont"/>
          <w:sz w:val="26"/>
          <w:szCs w:val="26"/>
          <w:lang w:eastAsia="en-US"/>
        </w:rPr>
      </w:pPr>
      <w:r w:rsidRPr="00D17367">
        <w:rPr>
          <w:rFonts w:ascii="AppleSystemUIFont" w:eastAsiaTheme="minorHAnsi" w:hAnsi="AppleSystemUIFont" w:cs="AppleSystemUIFont"/>
          <w:sz w:val="26"/>
          <w:szCs w:val="26"/>
          <w:lang w:eastAsia="en-US"/>
        </w:rPr>
        <w:t xml:space="preserve">assistance to support preventing long term disorders such as stopping smoking (Barnet, NHS, Healthwatch, 2021-2025).  </w:t>
      </w:r>
    </w:p>
    <w:p w14:paraId="7D3B882E" w14:textId="77777777" w:rsidR="00CF7EB3" w:rsidRDefault="00CF7EB3" w:rsidP="00377CF4">
      <w:pPr>
        <w:rPr>
          <w:rFonts w:ascii="AppleSystemUIFont" w:hAnsi="AppleSystemUIFont" w:cs="AppleSystemUIFont"/>
          <w:sz w:val="26"/>
          <w:szCs w:val="26"/>
        </w:rPr>
      </w:pPr>
    </w:p>
    <w:p w14:paraId="19BE46A2" w14:textId="77777777" w:rsidR="00AE569B" w:rsidRDefault="00AE569B" w:rsidP="00AE569B">
      <w:r>
        <w:t xml:space="preserve">Reference list: </w:t>
      </w:r>
    </w:p>
    <w:p w14:paraId="33A8810E" w14:textId="77777777" w:rsidR="00AE569B" w:rsidRDefault="00AE569B" w:rsidP="00AE569B"/>
    <w:p w14:paraId="27CEDBC2" w14:textId="77777777" w:rsidR="00B05088" w:rsidRDefault="00B05088" w:rsidP="00AE569B"/>
    <w:p w14:paraId="7158C1BB" w14:textId="77777777" w:rsidR="00A31C60" w:rsidRDefault="00B05088" w:rsidP="00A31C60">
      <w:pPr>
        <w:pStyle w:val="ListParagraph"/>
        <w:numPr>
          <w:ilvl w:val="0"/>
          <w:numId w:val="1"/>
        </w:numPr>
      </w:pPr>
      <w:proofErr w:type="spellStart"/>
      <w:r w:rsidRPr="00192734">
        <w:rPr>
          <w:rFonts w:ascii="AppleSystemUIFont" w:eastAsiaTheme="minorHAnsi" w:hAnsi="AppleSystemUIFont" w:cs="AppleSystemUIFont"/>
          <w:sz w:val="26"/>
          <w:szCs w:val="26"/>
          <w:lang w:eastAsia="en-US"/>
        </w:rPr>
        <w:t>Barnets</w:t>
      </w:r>
      <w:proofErr w:type="spellEnd"/>
      <w:r w:rsidRPr="00192734">
        <w:rPr>
          <w:rFonts w:ascii="AppleSystemUIFont" w:eastAsiaTheme="minorHAnsi" w:hAnsi="AppleSystemUIFont" w:cs="AppleSystemUIFont"/>
          <w:sz w:val="26"/>
          <w:szCs w:val="26"/>
          <w:lang w:eastAsia="en-US"/>
        </w:rPr>
        <w:t xml:space="preserve"> (2021) </w:t>
      </w:r>
      <w:r w:rsidRPr="00192734">
        <w:rPr>
          <w:i/>
          <w:iCs/>
        </w:rPr>
        <w:t>2 Demography</w:t>
      </w:r>
      <w:r>
        <w:t xml:space="preserve">. (Online). Available at: </w:t>
      </w:r>
      <w:hyperlink r:id="rId5" w:history="1">
        <w:r w:rsidRPr="00D71B6C">
          <w:rPr>
            <w:rStyle w:val="Hyperlink"/>
          </w:rPr>
          <w:t>https://www.barnet.gov.uk/sites/default/files/assets/jsna/Downloads/BarnetsJSNA20152020.2453.pdf</w:t>
        </w:r>
      </w:hyperlink>
      <w:r>
        <w:t xml:space="preserve"> (Accessed: 31 March 2022). </w:t>
      </w:r>
    </w:p>
    <w:p w14:paraId="750D0829" w14:textId="77777777" w:rsidR="00A31C60" w:rsidRPr="00A31C60" w:rsidRDefault="00A31C60" w:rsidP="00A31C60">
      <w:pPr>
        <w:pStyle w:val="ListParagraph"/>
        <w:rPr>
          <w:rFonts w:ascii="AppleSystemUIFont" w:eastAsiaTheme="minorHAnsi" w:hAnsi="AppleSystemUIFont" w:cs="AppleSystemUIFont"/>
          <w:sz w:val="26"/>
          <w:szCs w:val="26"/>
          <w:lang w:eastAsia="en-US"/>
        </w:rPr>
      </w:pPr>
    </w:p>
    <w:p w14:paraId="7E87527C" w14:textId="7596914B" w:rsidR="009D50C1" w:rsidRDefault="00166134" w:rsidP="009D50C1">
      <w:pPr>
        <w:pStyle w:val="ListParagraph"/>
        <w:numPr>
          <w:ilvl w:val="0"/>
          <w:numId w:val="1"/>
        </w:numPr>
      </w:pPr>
      <w:r w:rsidRPr="00A31C60">
        <w:rPr>
          <w:rFonts w:ascii="AppleSystemUIFont" w:eastAsiaTheme="minorHAnsi" w:hAnsi="AppleSystemUIFont" w:cs="AppleSystemUIFont"/>
          <w:sz w:val="26"/>
          <w:szCs w:val="26"/>
          <w:lang w:eastAsia="en-US"/>
        </w:rPr>
        <w:t xml:space="preserve">Barnet, NHS, Healthwatch </w:t>
      </w:r>
      <w:r w:rsidR="00A31C60" w:rsidRPr="00A31C60">
        <w:rPr>
          <w:rFonts w:ascii="AppleSystemUIFont" w:eastAsiaTheme="minorHAnsi" w:hAnsi="AppleSystemUIFont" w:cs="AppleSystemUIFont"/>
          <w:sz w:val="26"/>
          <w:szCs w:val="26"/>
          <w:lang w:eastAsia="en-US"/>
        </w:rPr>
        <w:t>(</w:t>
      </w:r>
      <w:r w:rsidRPr="00A31C60">
        <w:rPr>
          <w:rFonts w:ascii="AppleSystemUIFont" w:eastAsiaTheme="minorHAnsi" w:hAnsi="AppleSystemUIFont" w:cs="AppleSystemUIFont"/>
          <w:sz w:val="26"/>
          <w:szCs w:val="26"/>
          <w:lang w:eastAsia="en-US"/>
        </w:rPr>
        <w:t>2021</w:t>
      </w:r>
      <w:r w:rsidR="00A31C60" w:rsidRPr="00A31C60">
        <w:rPr>
          <w:rFonts w:ascii="AppleSystemUIFont" w:eastAsiaTheme="minorHAnsi" w:hAnsi="AppleSystemUIFont" w:cs="AppleSystemUIFont"/>
          <w:sz w:val="26"/>
          <w:szCs w:val="26"/>
          <w:lang w:eastAsia="en-US"/>
        </w:rPr>
        <w:t>)</w:t>
      </w:r>
      <w:r w:rsidR="00A31C60" w:rsidRPr="00A31C60">
        <w:t xml:space="preserve"> </w:t>
      </w:r>
      <w:r w:rsidR="00A31C60">
        <w:t xml:space="preserve">Barnet Joint Health and Wellbeing Strategy 2021-2025: Creating a borough of health </w:t>
      </w:r>
      <w:proofErr w:type="gramStart"/>
      <w:r w:rsidR="00A31C60">
        <w:t>together!.</w:t>
      </w:r>
      <w:proofErr w:type="gramEnd"/>
      <w:r w:rsidR="00A31C60">
        <w:t xml:space="preserve"> (Online). Available at: </w:t>
      </w:r>
      <w:hyperlink r:id="rId6" w:history="1">
        <w:r w:rsidR="00A31C60" w:rsidRPr="005C5579">
          <w:rPr>
            <w:rStyle w:val="Hyperlink"/>
          </w:rPr>
          <w:t>https://barnet.moderngov.co.uk/documents/s64508/Appendix%201%20-%20Final%20JHWS.pdf</w:t>
        </w:r>
      </w:hyperlink>
      <w:r w:rsidR="00A31C60">
        <w:t xml:space="preserve"> (Accessed: 3 April 2022). </w:t>
      </w:r>
    </w:p>
    <w:p w14:paraId="35B82CA7" w14:textId="77777777" w:rsidR="009D50C1" w:rsidRDefault="009D50C1" w:rsidP="009D50C1">
      <w:pPr>
        <w:pStyle w:val="ListParagraph"/>
      </w:pPr>
    </w:p>
    <w:p w14:paraId="2C50E043" w14:textId="192B7A61" w:rsidR="009D50C1" w:rsidRDefault="009D50C1" w:rsidP="009D50C1">
      <w:pPr>
        <w:pStyle w:val="ListParagraph"/>
        <w:numPr>
          <w:ilvl w:val="0"/>
          <w:numId w:val="1"/>
        </w:numPr>
      </w:pPr>
      <w:proofErr w:type="spellStart"/>
      <w:r>
        <w:t>Departament</w:t>
      </w:r>
      <w:proofErr w:type="spellEnd"/>
      <w:r>
        <w:t xml:space="preserve"> of </w:t>
      </w:r>
      <w:proofErr w:type="spellStart"/>
      <w:r>
        <w:t>Htealth</w:t>
      </w:r>
      <w:proofErr w:type="spellEnd"/>
      <w:r>
        <w:t xml:space="preserve"> and Social Care (2019) DHSC equality objectives: 2019 to 2023. (Online) Available at: </w:t>
      </w:r>
      <w:hyperlink r:id="rId7" w:history="1">
        <w:r w:rsidRPr="005C5579">
          <w:rPr>
            <w:rStyle w:val="Hyperlink"/>
          </w:rPr>
          <w:t>https://www.gov.uk/government/publications/dhsc-equality-objectives-2019-to-2023/dhsc-equality-objectives-2019-to-2023</w:t>
        </w:r>
      </w:hyperlink>
      <w:r>
        <w:t xml:space="preserve"> (Accessed: 20 April 2022). </w:t>
      </w:r>
    </w:p>
    <w:p w14:paraId="6157D215" w14:textId="77777777" w:rsidR="00ED3FAF" w:rsidRDefault="00ED3FAF" w:rsidP="00ED3FAF">
      <w:pPr>
        <w:pStyle w:val="ListParagraph"/>
      </w:pPr>
    </w:p>
    <w:p w14:paraId="34028FEA" w14:textId="2A21FA61" w:rsidR="00ED3FAF" w:rsidRDefault="00ED3FAF" w:rsidP="009D50C1">
      <w:pPr>
        <w:pStyle w:val="ListParagraph"/>
        <w:numPr>
          <w:ilvl w:val="0"/>
          <w:numId w:val="1"/>
        </w:numPr>
      </w:pPr>
      <w:r>
        <w:t xml:space="preserve">Department for education (2021) DfE Outcome Delivery Plan: 2021-2022 (Online). Available at: </w:t>
      </w:r>
      <w:hyperlink r:id="rId8" w:history="1">
        <w:r w:rsidRPr="005C5579">
          <w:rPr>
            <w:rStyle w:val="Hyperlink"/>
          </w:rPr>
          <w:t>https://www.gov.uk/government/publications/department-for-education-outcome-delivery-plan/dfe-outcome-delivery-plan-2021-to-2022</w:t>
        </w:r>
      </w:hyperlink>
      <w:r>
        <w:t xml:space="preserve"> (Accessed: 19 April 2022). </w:t>
      </w:r>
    </w:p>
    <w:p w14:paraId="4555C8C7" w14:textId="77777777" w:rsidR="009D50C1" w:rsidRPr="009D50C1" w:rsidRDefault="009D50C1" w:rsidP="009D50C1"/>
    <w:p w14:paraId="19824BC6" w14:textId="77777777" w:rsidR="009D50C1" w:rsidRDefault="009D50C1" w:rsidP="009D50C1">
      <w:pPr>
        <w:pStyle w:val="ListParagraph"/>
        <w:numPr>
          <w:ilvl w:val="0"/>
          <w:numId w:val="1"/>
        </w:numPr>
      </w:pPr>
      <w:proofErr w:type="spellStart"/>
      <w:r>
        <w:t>Emas</w:t>
      </w:r>
      <w:proofErr w:type="spellEnd"/>
      <w:r>
        <w:t>, R. (2015</w:t>
      </w:r>
      <w:r w:rsidRPr="00192734">
        <w:rPr>
          <w:i/>
          <w:iCs/>
        </w:rPr>
        <w:t>) Brief for GSDR 2015 The Concept of Sustainable Development: Definition and Defining Principles</w:t>
      </w:r>
      <w:r>
        <w:t xml:space="preserve"> (Online). Available at: </w:t>
      </w:r>
      <w:hyperlink r:id="rId9" w:history="1">
        <w:r w:rsidRPr="00241415">
          <w:rPr>
            <w:rStyle w:val="Hyperlink"/>
          </w:rPr>
          <w:t>https://sustainabledevelopment.un.org/content/documents/5839GSDR%202015_SD_concept_definiton_rev.pdf</w:t>
        </w:r>
      </w:hyperlink>
      <w:r>
        <w:t xml:space="preserve"> (Accessed: 4 March 2022). </w:t>
      </w:r>
    </w:p>
    <w:p w14:paraId="6BCBA50A" w14:textId="77777777" w:rsidR="009D50C1" w:rsidRDefault="009D50C1" w:rsidP="00A31C60">
      <w:pPr>
        <w:pStyle w:val="ListParagraph"/>
        <w:numPr>
          <w:ilvl w:val="0"/>
          <w:numId w:val="1"/>
        </w:numPr>
      </w:pPr>
    </w:p>
    <w:p w14:paraId="0D216745" w14:textId="77777777" w:rsidR="001F2434" w:rsidRDefault="001F2434" w:rsidP="001F2434">
      <w:pPr>
        <w:pStyle w:val="ListParagraph"/>
      </w:pPr>
    </w:p>
    <w:p w14:paraId="6388AB52" w14:textId="77777777" w:rsidR="001F2434" w:rsidRDefault="001F2434" w:rsidP="001F2434">
      <w:pPr>
        <w:pStyle w:val="ListParagraph"/>
      </w:pPr>
    </w:p>
    <w:p w14:paraId="683ED262" w14:textId="2A31BA7E" w:rsidR="001F2434" w:rsidRDefault="00C85FBD" w:rsidP="001F2434">
      <w:pPr>
        <w:pStyle w:val="ListParagraph"/>
        <w:numPr>
          <w:ilvl w:val="0"/>
          <w:numId w:val="1"/>
        </w:numPr>
        <w:shd w:val="clear" w:color="auto" w:fill="FFFFFF"/>
        <w:rPr>
          <w:rFonts w:ascii="Roboto" w:hAnsi="Roboto"/>
          <w:color w:val="555555"/>
          <w:sz w:val="18"/>
          <w:szCs w:val="18"/>
        </w:rPr>
      </w:pPr>
      <w:proofErr w:type="spellStart"/>
      <w:r w:rsidRPr="001F2434">
        <w:rPr>
          <w:rFonts w:ascii="AppleSystemUIFont" w:eastAsiaTheme="minorHAnsi" w:hAnsi="AppleSystemUIFont" w:cs="AppleSystemUIFont"/>
          <w:lang w:eastAsia="en-US"/>
        </w:rPr>
        <w:t>Guégan</w:t>
      </w:r>
      <w:proofErr w:type="spellEnd"/>
      <w:r w:rsidRPr="001F2434">
        <w:rPr>
          <w:rFonts w:ascii="AppleSystemUIFont" w:eastAsiaTheme="minorHAnsi" w:hAnsi="AppleSystemUIFont" w:cs="AppleSystemUIFont"/>
          <w:lang w:eastAsia="en-US"/>
        </w:rPr>
        <w:t>, J-F. et.al. (2018) “</w:t>
      </w:r>
      <w:r w:rsidRPr="001F2434">
        <w:rPr>
          <w:rFonts w:ascii="Roboto" w:hAnsi="Roboto"/>
          <w:color w:val="111111"/>
        </w:rPr>
        <w:t>Sustainable Development Goal #3, "health and well-being", and the need for more integrative thinking</w:t>
      </w:r>
      <w:r w:rsidR="00166134" w:rsidRPr="001F2434">
        <w:rPr>
          <w:rFonts w:ascii="Roboto" w:hAnsi="Roboto"/>
          <w:color w:val="111111"/>
        </w:rPr>
        <w:t xml:space="preserve">”, </w:t>
      </w:r>
      <w:proofErr w:type="spellStart"/>
      <w:r w:rsidR="00166134" w:rsidRPr="001F2434">
        <w:rPr>
          <w:rFonts w:ascii="Roboto" w:hAnsi="Roboto"/>
          <w:color w:val="111111"/>
        </w:rPr>
        <w:t>Veterinaria</w:t>
      </w:r>
      <w:proofErr w:type="spellEnd"/>
      <w:r w:rsidR="001F2434" w:rsidRPr="001F2434">
        <w:rPr>
          <w:rFonts w:ascii="Roboto" w:hAnsi="Roboto"/>
          <w:i/>
          <w:iCs/>
          <w:color w:val="111111"/>
        </w:rPr>
        <w:t xml:space="preserve"> México</w:t>
      </w:r>
      <w:r w:rsidR="001F2434" w:rsidRPr="001F2434">
        <w:rPr>
          <w:rFonts w:ascii="Roboto" w:hAnsi="Roboto"/>
          <w:color w:val="111111"/>
        </w:rPr>
        <w:t xml:space="preserve">, 5(2), </w:t>
      </w:r>
      <w:r w:rsidR="001F2434" w:rsidRPr="001F2434">
        <w:rPr>
          <w:rFonts w:ascii="Roboto" w:hAnsi="Roboto"/>
          <w:color w:val="555555"/>
          <w:sz w:val="18"/>
          <w:szCs w:val="18"/>
        </w:rPr>
        <w:t>DOI:</w:t>
      </w:r>
      <w:hyperlink r:id="rId10" w:tgtFrame="_blank" w:history="1">
        <w:r w:rsidR="001F2434" w:rsidRPr="001F2434">
          <w:rPr>
            <w:rStyle w:val="Hyperlink"/>
            <w:rFonts w:ascii="inherit" w:hAnsi="inherit"/>
            <w:sz w:val="18"/>
            <w:szCs w:val="18"/>
            <w:bdr w:val="none" w:sz="0" w:space="0" w:color="auto" w:frame="1"/>
          </w:rPr>
          <w:t>10.21753/vmoa.5.2.443</w:t>
        </w:r>
      </w:hyperlink>
    </w:p>
    <w:p w14:paraId="5A659547" w14:textId="77777777" w:rsidR="001F2434" w:rsidRPr="001F2434" w:rsidRDefault="001F2434" w:rsidP="001F2434">
      <w:pPr>
        <w:shd w:val="clear" w:color="auto" w:fill="FFFFFF"/>
        <w:ind w:left="360"/>
        <w:rPr>
          <w:rFonts w:ascii="Roboto" w:hAnsi="Roboto"/>
          <w:color w:val="555555"/>
          <w:sz w:val="18"/>
          <w:szCs w:val="18"/>
        </w:rPr>
      </w:pPr>
    </w:p>
    <w:p w14:paraId="17944828" w14:textId="542FC94D" w:rsidR="00AE569B" w:rsidRPr="002B4924" w:rsidRDefault="00AE569B" w:rsidP="001F2434">
      <w:pPr>
        <w:pStyle w:val="ListParagraph"/>
        <w:numPr>
          <w:ilvl w:val="0"/>
          <w:numId w:val="1"/>
        </w:numPr>
        <w:shd w:val="clear" w:color="auto" w:fill="FFFFFF"/>
        <w:rPr>
          <w:rFonts w:ascii="Roboto" w:hAnsi="Roboto"/>
          <w:color w:val="555555"/>
          <w:sz w:val="18"/>
          <w:szCs w:val="18"/>
        </w:rPr>
      </w:pPr>
      <w:r w:rsidRPr="001F2434">
        <w:rPr>
          <w:rFonts w:ascii="AppleSystemUIFont" w:hAnsi="AppleSystemUIFont" w:cs="AppleSystemUIFont"/>
          <w:sz w:val="26"/>
          <w:szCs w:val="26"/>
        </w:rPr>
        <w:t xml:space="preserve">Hose of Commons (1997) </w:t>
      </w:r>
      <w:r w:rsidRPr="001F2434">
        <w:rPr>
          <w:i/>
          <w:iCs/>
        </w:rPr>
        <w:t>SUSTAINABLE D E V E L O P M E N T - THEORY AND PRACTICE</w:t>
      </w:r>
      <w:r>
        <w:t xml:space="preserve"> (Online) Available at: </w:t>
      </w:r>
      <w:hyperlink r:id="rId11" w:history="1">
        <w:r w:rsidRPr="00241415">
          <w:rPr>
            <w:rStyle w:val="Hyperlink"/>
          </w:rPr>
          <w:t>https://www.parliament.uk/globalassets/documents/post/pn091.pdf</w:t>
        </w:r>
      </w:hyperlink>
      <w:r>
        <w:t xml:space="preserve"> (Accessed: 4 March 2022). </w:t>
      </w:r>
    </w:p>
    <w:p w14:paraId="6D9D5773" w14:textId="77777777" w:rsidR="002B4924" w:rsidRPr="002B4924" w:rsidRDefault="002B4924" w:rsidP="002B4924">
      <w:pPr>
        <w:pStyle w:val="ListParagraph"/>
        <w:rPr>
          <w:rFonts w:ascii="Roboto" w:hAnsi="Roboto"/>
          <w:color w:val="555555"/>
          <w:sz w:val="18"/>
          <w:szCs w:val="18"/>
        </w:rPr>
      </w:pPr>
    </w:p>
    <w:p w14:paraId="484A8356" w14:textId="47C48E54" w:rsidR="002B4924" w:rsidRPr="002B4924" w:rsidRDefault="002B4924" w:rsidP="001F2434">
      <w:pPr>
        <w:pStyle w:val="ListParagraph"/>
        <w:numPr>
          <w:ilvl w:val="0"/>
          <w:numId w:val="1"/>
        </w:numPr>
        <w:shd w:val="clear" w:color="auto" w:fill="FFFFFF"/>
        <w:rPr>
          <w:rFonts w:ascii="Roboto" w:hAnsi="Roboto"/>
          <w:color w:val="000000" w:themeColor="text1"/>
          <w:sz w:val="18"/>
          <w:szCs w:val="18"/>
        </w:rPr>
      </w:pPr>
      <w:r w:rsidRPr="002B4924">
        <w:rPr>
          <w:rFonts w:ascii="Roboto" w:hAnsi="Roboto"/>
          <w:color w:val="000000" w:themeColor="text1"/>
          <w:sz w:val="18"/>
          <w:szCs w:val="18"/>
        </w:rPr>
        <w:t xml:space="preserve">HM Revenue &amp; Customs (2021) HM Revenue and Customs Outcome Delivery Plan: 2021 to 2022. (Online) Available at: </w:t>
      </w:r>
      <w:hyperlink r:id="rId12" w:history="1">
        <w:r w:rsidRPr="005C5579">
          <w:rPr>
            <w:rStyle w:val="Hyperlink"/>
            <w:rFonts w:ascii="Roboto" w:hAnsi="Roboto"/>
            <w:sz w:val="18"/>
            <w:szCs w:val="18"/>
          </w:rPr>
          <w:t>https://www.gov.uk/government/publications/hm-revenue-and-customs-hmrc-outcome-delivery-plan/hm-revenue-and-customs-outcome-delivery-plan-2021-to-2022--2</w:t>
        </w:r>
      </w:hyperlink>
      <w:r>
        <w:rPr>
          <w:rFonts w:ascii="Roboto" w:hAnsi="Roboto"/>
          <w:color w:val="555555"/>
          <w:sz w:val="18"/>
          <w:szCs w:val="18"/>
        </w:rPr>
        <w:t xml:space="preserve"> </w:t>
      </w:r>
      <w:r w:rsidRPr="002B4924">
        <w:rPr>
          <w:rFonts w:ascii="Roboto" w:hAnsi="Roboto"/>
          <w:color w:val="000000" w:themeColor="text1"/>
          <w:sz w:val="18"/>
          <w:szCs w:val="18"/>
        </w:rPr>
        <w:t>(Accessed 20 April 2022).</w:t>
      </w:r>
    </w:p>
    <w:p w14:paraId="2EA0E70C" w14:textId="4B0CBFC7" w:rsidR="00AE569B" w:rsidRPr="002B4924" w:rsidRDefault="00AE569B" w:rsidP="00AE569B">
      <w:pPr>
        <w:rPr>
          <w:color w:val="000000" w:themeColor="text1"/>
        </w:rPr>
      </w:pPr>
    </w:p>
    <w:p w14:paraId="0E99B101" w14:textId="77777777" w:rsidR="007970C2" w:rsidRPr="007970C2" w:rsidRDefault="003D5FFF" w:rsidP="007970C2">
      <w:pPr>
        <w:pStyle w:val="ListParagraph"/>
        <w:numPr>
          <w:ilvl w:val="0"/>
          <w:numId w:val="1"/>
        </w:numPr>
      </w:pPr>
      <w:r w:rsidRPr="00192734">
        <w:rPr>
          <w:rFonts w:ascii="AppleSystemUIFont" w:hAnsi="AppleSystemUIFont" w:cs="AppleSystemUIFont"/>
          <w:sz w:val="26"/>
          <w:szCs w:val="26"/>
        </w:rPr>
        <w:t xml:space="preserve">United Nations Booklet (2015) </w:t>
      </w:r>
      <w:r w:rsidRPr="00192734">
        <w:rPr>
          <w:rFonts w:ascii="AppleSystemUIFont" w:hAnsi="AppleSystemUIFont" w:cs="AppleSystemUIFont"/>
          <w:i/>
          <w:iCs/>
          <w:sz w:val="26"/>
          <w:szCs w:val="26"/>
        </w:rPr>
        <w:t xml:space="preserve">Sustainable Development Goals </w:t>
      </w:r>
      <w:r w:rsidRPr="00192734">
        <w:rPr>
          <w:rFonts w:ascii="AppleSystemUIFont" w:hAnsi="AppleSystemUIFont" w:cs="AppleSystemUIFont"/>
          <w:sz w:val="26"/>
          <w:szCs w:val="26"/>
        </w:rPr>
        <w:t xml:space="preserve">(Online). Available at: </w:t>
      </w:r>
      <w:r>
        <w:br/>
      </w:r>
      <w:hyperlink r:id="rId13" w:history="1">
        <w:r w:rsidRPr="00192734">
          <w:rPr>
            <w:rStyle w:val="Hyperlink"/>
            <w:rFonts w:ascii="Arial" w:hAnsi="Arial" w:cs="Arial"/>
            <w:sz w:val="21"/>
            <w:szCs w:val="21"/>
            <w:shd w:val="clear" w:color="auto" w:fill="FFFFFF"/>
          </w:rPr>
          <w:t>https://www.undp.org/content/dam/undp/library/corporate/brochure/SDGs_Booklet_Web_En.pdf</w:t>
        </w:r>
      </w:hyperlink>
      <w:r w:rsidRPr="00192734">
        <w:rPr>
          <w:rFonts w:ascii="Arial" w:hAnsi="Arial" w:cs="Arial"/>
          <w:color w:val="1A0DAB"/>
          <w:sz w:val="21"/>
          <w:szCs w:val="21"/>
          <w:u w:val="single"/>
          <w:shd w:val="clear" w:color="auto" w:fill="FFFFFF"/>
        </w:rPr>
        <w:t xml:space="preserve">  </w:t>
      </w:r>
      <w:r w:rsidRPr="00192734">
        <w:rPr>
          <w:rFonts w:ascii="Arial" w:hAnsi="Arial" w:cs="Arial"/>
          <w:color w:val="000000" w:themeColor="text1"/>
          <w:sz w:val="21"/>
          <w:szCs w:val="21"/>
          <w:shd w:val="clear" w:color="auto" w:fill="FFFFFF"/>
        </w:rPr>
        <w:t>(Accessed: 7 March 2022).</w:t>
      </w:r>
      <w:r w:rsidRPr="00192734">
        <w:rPr>
          <w:rFonts w:ascii="Arial" w:hAnsi="Arial" w:cs="Arial"/>
          <w:color w:val="000000" w:themeColor="text1"/>
          <w:sz w:val="21"/>
          <w:szCs w:val="21"/>
          <w:u w:val="single"/>
          <w:shd w:val="clear" w:color="auto" w:fill="FFFFFF"/>
        </w:rPr>
        <w:t xml:space="preserve"> </w:t>
      </w:r>
    </w:p>
    <w:p w14:paraId="39283BD2" w14:textId="77777777" w:rsidR="007970C2" w:rsidRPr="007970C2" w:rsidRDefault="007970C2" w:rsidP="007970C2">
      <w:pPr>
        <w:pStyle w:val="ListParagraph"/>
        <w:rPr>
          <w:rFonts w:ascii="AppleSystemUIFont" w:eastAsiaTheme="minorHAnsi" w:hAnsi="AppleSystemUIFont" w:cs="AppleSystemUIFont"/>
          <w:sz w:val="26"/>
          <w:szCs w:val="26"/>
          <w:lang w:eastAsia="en-US"/>
        </w:rPr>
      </w:pPr>
    </w:p>
    <w:p w14:paraId="6729426D" w14:textId="5686123B" w:rsidR="00CF7EB3" w:rsidRPr="001F2434" w:rsidRDefault="00CF7EB3" w:rsidP="007970C2">
      <w:pPr>
        <w:pStyle w:val="ListParagraph"/>
        <w:numPr>
          <w:ilvl w:val="0"/>
          <w:numId w:val="1"/>
        </w:numPr>
      </w:pPr>
      <w:r w:rsidRPr="007970C2">
        <w:rPr>
          <w:rFonts w:ascii="AppleSystemUIFont" w:eastAsiaTheme="minorHAnsi" w:hAnsi="AppleSystemUIFont" w:cs="AppleSystemUIFont"/>
          <w:sz w:val="26"/>
          <w:szCs w:val="26"/>
          <w:lang w:eastAsia="en-US"/>
        </w:rPr>
        <w:t>UK 2070 Commission (2019</w:t>
      </w:r>
      <w:r w:rsidR="007970C2" w:rsidRPr="007970C2">
        <w:rPr>
          <w:rFonts w:ascii="AppleSystemUIFont" w:eastAsiaTheme="minorHAnsi" w:hAnsi="AppleSystemUIFont" w:cs="AppleSystemUIFont"/>
          <w:sz w:val="26"/>
          <w:szCs w:val="26"/>
          <w:lang w:eastAsia="en-US"/>
        </w:rPr>
        <w:t xml:space="preserve">) </w:t>
      </w:r>
      <w:r w:rsidR="007970C2">
        <w:t xml:space="preserve">UK 2070, Agenda 2030, the New Urban </w:t>
      </w:r>
      <w:proofErr w:type="gramStart"/>
      <w:r w:rsidR="007970C2">
        <w:t>Agenda</w:t>
      </w:r>
      <w:proofErr w:type="gramEnd"/>
      <w:r w:rsidR="007970C2">
        <w:t xml:space="preserve"> and the Sustainable Development Goals - what do our international commitments mean for reducing spatial inequalities in the UK? (Online). Available at: </w:t>
      </w:r>
      <w:hyperlink r:id="rId14" w:history="1">
        <w:r w:rsidR="007970C2" w:rsidRPr="005C5579">
          <w:rPr>
            <w:rStyle w:val="Hyperlink"/>
          </w:rPr>
          <w:t>http://uk2070.org.uk/wp-content/uploads/2019/03/37-ELLIOT-Agenda-2030-and-the-SDGs-v3.pdf</w:t>
        </w:r>
      </w:hyperlink>
      <w:r w:rsidR="007970C2">
        <w:t xml:space="preserve"> (Accessed: 15 April 2022). </w:t>
      </w:r>
    </w:p>
    <w:p w14:paraId="61AC53E4" w14:textId="77777777" w:rsidR="001F2434" w:rsidRDefault="001F2434" w:rsidP="001F2434">
      <w:pPr>
        <w:pStyle w:val="ListParagraph"/>
      </w:pPr>
    </w:p>
    <w:p w14:paraId="54C5E04E" w14:textId="77777777" w:rsidR="00166134" w:rsidRPr="00166134" w:rsidRDefault="001F2434" w:rsidP="00166134">
      <w:pPr>
        <w:pStyle w:val="ListParagraph"/>
        <w:numPr>
          <w:ilvl w:val="0"/>
          <w:numId w:val="1"/>
        </w:numPr>
      </w:pPr>
      <w:r>
        <w:rPr>
          <w:rFonts w:ascii="AppleSystemUIFont" w:eastAsiaTheme="minorHAnsi" w:hAnsi="AppleSystemUIFont" w:cs="AppleSystemUIFont"/>
          <w:sz w:val="26"/>
          <w:szCs w:val="26"/>
          <w:lang w:eastAsia="en-US"/>
        </w:rPr>
        <w:t xml:space="preserve">The Global Goals (2022) </w:t>
      </w:r>
      <w:r w:rsidRPr="001F2434">
        <w:rPr>
          <w:rFonts w:ascii="AppleSystemUIFont" w:eastAsiaTheme="minorHAnsi" w:hAnsi="AppleSystemUIFont" w:cs="AppleSystemUIFont"/>
          <w:i/>
          <w:iCs/>
          <w:sz w:val="26"/>
          <w:szCs w:val="26"/>
          <w:lang w:eastAsia="en-US"/>
        </w:rPr>
        <w:t>GOOD HEALTH AND WELL-BEING</w:t>
      </w:r>
      <w:r>
        <w:rPr>
          <w:rFonts w:ascii="AppleSystemUIFont" w:eastAsiaTheme="minorHAnsi" w:hAnsi="AppleSystemUIFont" w:cs="AppleSystemUIFont"/>
          <w:sz w:val="26"/>
          <w:szCs w:val="26"/>
          <w:lang w:eastAsia="en-US"/>
        </w:rPr>
        <w:t xml:space="preserve">. (Online). Available at: </w:t>
      </w:r>
      <w:hyperlink r:id="rId15" w:history="1">
        <w:r w:rsidRPr="005C5579">
          <w:rPr>
            <w:rStyle w:val="Hyperlink"/>
            <w:rFonts w:ascii="AppleSystemUIFont" w:eastAsiaTheme="minorHAnsi" w:hAnsi="AppleSystemUIFont" w:cs="AppleSystemUIFont"/>
            <w:sz w:val="26"/>
            <w:szCs w:val="26"/>
            <w:lang w:eastAsia="en-US"/>
          </w:rPr>
          <w:t>https://www.globalgoals.org/goals/3-good-health-and-well-being/</w:t>
        </w:r>
      </w:hyperlink>
      <w:r>
        <w:rPr>
          <w:rFonts w:ascii="AppleSystemUIFont" w:eastAsiaTheme="minorHAnsi" w:hAnsi="AppleSystemUIFont" w:cs="AppleSystemUIFont"/>
          <w:sz w:val="26"/>
          <w:szCs w:val="26"/>
          <w:lang w:eastAsia="en-US"/>
        </w:rPr>
        <w:t xml:space="preserve">. (Accessed: 1 April 2022). </w:t>
      </w:r>
    </w:p>
    <w:p w14:paraId="463AF291" w14:textId="77777777" w:rsidR="00166134" w:rsidRPr="00166134" w:rsidRDefault="00166134" w:rsidP="00166134">
      <w:pPr>
        <w:pStyle w:val="ListParagraph"/>
        <w:rPr>
          <w:rFonts w:ascii="AppleSystemUIFont" w:eastAsiaTheme="minorHAnsi" w:hAnsi="AppleSystemUIFont" w:cs="AppleSystemUIFont"/>
          <w:lang w:eastAsia="en-US"/>
        </w:rPr>
      </w:pPr>
    </w:p>
    <w:p w14:paraId="16589AEE" w14:textId="320E9DD4" w:rsidR="00166134" w:rsidRPr="00166134" w:rsidRDefault="00166134" w:rsidP="00166134">
      <w:pPr>
        <w:pStyle w:val="ListParagraph"/>
        <w:numPr>
          <w:ilvl w:val="0"/>
          <w:numId w:val="1"/>
        </w:numPr>
      </w:pPr>
      <w:r w:rsidRPr="00166134">
        <w:rPr>
          <w:rFonts w:ascii="AppleSystemUIFont" w:eastAsiaTheme="minorHAnsi" w:hAnsi="AppleSystemUIFont" w:cs="AppleSystemUIFont"/>
          <w:lang w:eastAsia="en-US"/>
        </w:rPr>
        <w:t xml:space="preserve">WHO (2022) </w:t>
      </w:r>
      <w:r w:rsidRPr="00166134">
        <w:rPr>
          <w:rFonts w:ascii="Arial" w:hAnsi="Arial" w:cs="Arial"/>
          <w:color w:val="20313B"/>
        </w:rPr>
        <w:t>Air pollution</w:t>
      </w:r>
      <w:r>
        <w:rPr>
          <w:rFonts w:ascii="Arial" w:hAnsi="Arial" w:cs="Arial"/>
          <w:color w:val="20313B"/>
        </w:rPr>
        <w:t xml:space="preserve">. (Online). Available at: </w:t>
      </w:r>
      <w:hyperlink r:id="rId16" w:anchor="tab=tab_1" w:history="1">
        <w:r w:rsidRPr="005C5579">
          <w:rPr>
            <w:rStyle w:val="Hyperlink"/>
            <w:rFonts w:ascii="Arial" w:hAnsi="Arial" w:cs="Arial"/>
          </w:rPr>
          <w:t>https://www.who.int/health-topics/air-pollution#tab=tab_1</w:t>
        </w:r>
      </w:hyperlink>
      <w:r>
        <w:rPr>
          <w:rFonts w:ascii="Arial" w:hAnsi="Arial" w:cs="Arial"/>
          <w:color w:val="20313B"/>
        </w:rPr>
        <w:t xml:space="preserve"> (Accessed: 2 April 2022). </w:t>
      </w:r>
    </w:p>
    <w:p w14:paraId="2A72FE99" w14:textId="5AC85DFA" w:rsidR="00166134" w:rsidRDefault="00166134" w:rsidP="00166134">
      <w:pPr>
        <w:pStyle w:val="ListParagraph"/>
      </w:pPr>
    </w:p>
    <w:p w14:paraId="43261E7E" w14:textId="37990453" w:rsidR="003D5FFF" w:rsidRPr="00455239" w:rsidRDefault="003D5FFF" w:rsidP="00AE569B"/>
    <w:p w14:paraId="532DA921" w14:textId="77777777" w:rsidR="00AE569B" w:rsidRDefault="00AE569B" w:rsidP="00AE569B"/>
    <w:sectPr w:rsidR="00AE569B" w:rsidSect="00AE569B">
      <w:pgSz w:w="11900" w:h="16840"/>
      <w:pgMar w:top="1440" w:right="1440" w:bottom="1440" w:left="1440" w:header="0" w:footer="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Roboto">
    <w:panose1 w:val="02000000000000000000"/>
    <w:charset w:val="00"/>
    <w:family w:val="auto"/>
    <w:pitch w:val="variable"/>
    <w:sig w:usb0="E00002FF" w:usb1="5000205B" w:usb2="00000020" w:usb3="00000000" w:csb0="0000019F"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5FF339B"/>
    <w:multiLevelType w:val="hybridMultilevel"/>
    <w:tmpl w:val="DE16A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FF3BD8"/>
    <w:multiLevelType w:val="hybridMultilevel"/>
    <w:tmpl w:val="269A4DD6"/>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9772FE"/>
    <w:multiLevelType w:val="hybridMultilevel"/>
    <w:tmpl w:val="A706F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83514"/>
    <w:multiLevelType w:val="hybridMultilevel"/>
    <w:tmpl w:val="DFAA3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C966C0"/>
    <w:multiLevelType w:val="hybridMultilevel"/>
    <w:tmpl w:val="5A026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587244"/>
    <w:multiLevelType w:val="hybridMultilevel"/>
    <w:tmpl w:val="0972A99C"/>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4B4D7A"/>
    <w:multiLevelType w:val="hybridMultilevel"/>
    <w:tmpl w:val="22685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512BC"/>
    <w:multiLevelType w:val="hybridMultilevel"/>
    <w:tmpl w:val="E206981A"/>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3473144">
    <w:abstractNumId w:val="3"/>
  </w:num>
  <w:num w:numId="2" w16cid:durableId="1600479308">
    <w:abstractNumId w:val="0"/>
  </w:num>
  <w:num w:numId="3" w16cid:durableId="501046370">
    <w:abstractNumId w:val="1"/>
  </w:num>
  <w:num w:numId="4" w16cid:durableId="1535772867">
    <w:abstractNumId w:val="2"/>
  </w:num>
  <w:num w:numId="5" w16cid:durableId="599802065">
    <w:abstractNumId w:val="8"/>
  </w:num>
  <w:num w:numId="6" w16cid:durableId="1376269142">
    <w:abstractNumId w:val="4"/>
  </w:num>
  <w:num w:numId="7" w16cid:durableId="879318785">
    <w:abstractNumId w:val="10"/>
  </w:num>
  <w:num w:numId="8" w16cid:durableId="1759672371">
    <w:abstractNumId w:val="5"/>
  </w:num>
  <w:num w:numId="9" w16cid:durableId="2130851078">
    <w:abstractNumId w:val="9"/>
  </w:num>
  <w:num w:numId="10" w16cid:durableId="144981493">
    <w:abstractNumId w:val="7"/>
  </w:num>
  <w:num w:numId="11" w16cid:durableId="8972790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69B"/>
    <w:rsid w:val="00166134"/>
    <w:rsid w:val="00192734"/>
    <w:rsid w:val="001F2434"/>
    <w:rsid w:val="002B4924"/>
    <w:rsid w:val="00351163"/>
    <w:rsid w:val="00377CF4"/>
    <w:rsid w:val="003D5FFF"/>
    <w:rsid w:val="00432C2E"/>
    <w:rsid w:val="00780689"/>
    <w:rsid w:val="007970C2"/>
    <w:rsid w:val="00970D97"/>
    <w:rsid w:val="009D50C1"/>
    <w:rsid w:val="00A31C60"/>
    <w:rsid w:val="00AE569B"/>
    <w:rsid w:val="00B05088"/>
    <w:rsid w:val="00B92B52"/>
    <w:rsid w:val="00C077F1"/>
    <w:rsid w:val="00C85FBD"/>
    <w:rsid w:val="00CF7EB3"/>
    <w:rsid w:val="00D17367"/>
    <w:rsid w:val="00D86E0F"/>
    <w:rsid w:val="00DB796A"/>
    <w:rsid w:val="00E226B8"/>
    <w:rsid w:val="00E5591C"/>
    <w:rsid w:val="00ED3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9304BA"/>
  <w15:chartTrackingRefBased/>
  <w15:docId w15:val="{AA94F34A-FAEC-694D-832D-A8E3E9086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0C2"/>
    <w:rPr>
      <w:rFonts w:ascii="Times New Roman" w:eastAsia="Times New Roman" w:hAnsi="Times New Roman" w:cs="Times New Roman"/>
      <w:lang w:eastAsia="en-GB"/>
    </w:rPr>
  </w:style>
  <w:style w:type="paragraph" w:styleId="Heading1">
    <w:name w:val="heading 1"/>
    <w:basedOn w:val="Normal"/>
    <w:link w:val="Heading1Char"/>
    <w:uiPriority w:val="9"/>
    <w:qFormat/>
    <w:rsid w:val="00C85FB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569B"/>
    <w:rPr>
      <w:color w:val="0563C1" w:themeColor="hyperlink"/>
      <w:u w:val="single"/>
    </w:rPr>
  </w:style>
  <w:style w:type="character" w:styleId="UnresolvedMention">
    <w:name w:val="Unresolved Mention"/>
    <w:basedOn w:val="DefaultParagraphFont"/>
    <w:uiPriority w:val="99"/>
    <w:semiHidden/>
    <w:unhideWhenUsed/>
    <w:rsid w:val="003D5FFF"/>
    <w:rPr>
      <w:color w:val="605E5C"/>
      <w:shd w:val="clear" w:color="auto" w:fill="E1DFDD"/>
    </w:rPr>
  </w:style>
  <w:style w:type="paragraph" w:styleId="ListParagraph">
    <w:name w:val="List Paragraph"/>
    <w:basedOn w:val="Normal"/>
    <w:uiPriority w:val="34"/>
    <w:qFormat/>
    <w:rsid w:val="00192734"/>
    <w:pPr>
      <w:ind w:left="720"/>
      <w:contextualSpacing/>
    </w:pPr>
  </w:style>
  <w:style w:type="character" w:customStyle="1" w:styleId="Heading1Char">
    <w:name w:val="Heading 1 Char"/>
    <w:basedOn w:val="DefaultParagraphFont"/>
    <w:link w:val="Heading1"/>
    <w:uiPriority w:val="9"/>
    <w:rsid w:val="00C85FBD"/>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C85F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720378">
      <w:bodyDiv w:val="1"/>
      <w:marLeft w:val="0"/>
      <w:marRight w:val="0"/>
      <w:marTop w:val="0"/>
      <w:marBottom w:val="0"/>
      <w:divBdr>
        <w:top w:val="none" w:sz="0" w:space="0" w:color="auto"/>
        <w:left w:val="none" w:sz="0" w:space="0" w:color="auto"/>
        <w:bottom w:val="none" w:sz="0" w:space="0" w:color="auto"/>
        <w:right w:val="none" w:sz="0" w:space="0" w:color="auto"/>
      </w:divBdr>
    </w:div>
    <w:div w:id="492838125">
      <w:bodyDiv w:val="1"/>
      <w:marLeft w:val="0"/>
      <w:marRight w:val="0"/>
      <w:marTop w:val="0"/>
      <w:marBottom w:val="0"/>
      <w:divBdr>
        <w:top w:val="none" w:sz="0" w:space="0" w:color="auto"/>
        <w:left w:val="none" w:sz="0" w:space="0" w:color="auto"/>
        <w:bottom w:val="none" w:sz="0" w:space="0" w:color="auto"/>
        <w:right w:val="none" w:sz="0" w:space="0" w:color="auto"/>
      </w:divBdr>
    </w:div>
    <w:div w:id="760374883">
      <w:bodyDiv w:val="1"/>
      <w:marLeft w:val="0"/>
      <w:marRight w:val="0"/>
      <w:marTop w:val="0"/>
      <w:marBottom w:val="0"/>
      <w:divBdr>
        <w:top w:val="none" w:sz="0" w:space="0" w:color="auto"/>
        <w:left w:val="none" w:sz="0" w:space="0" w:color="auto"/>
        <w:bottom w:val="none" w:sz="0" w:space="0" w:color="auto"/>
        <w:right w:val="none" w:sz="0" w:space="0" w:color="auto"/>
      </w:divBdr>
    </w:div>
    <w:div w:id="784235552">
      <w:bodyDiv w:val="1"/>
      <w:marLeft w:val="0"/>
      <w:marRight w:val="0"/>
      <w:marTop w:val="0"/>
      <w:marBottom w:val="0"/>
      <w:divBdr>
        <w:top w:val="none" w:sz="0" w:space="0" w:color="auto"/>
        <w:left w:val="none" w:sz="0" w:space="0" w:color="auto"/>
        <w:bottom w:val="none" w:sz="0" w:space="0" w:color="auto"/>
        <w:right w:val="none" w:sz="0" w:space="0" w:color="auto"/>
      </w:divBdr>
    </w:div>
    <w:div w:id="839391799">
      <w:bodyDiv w:val="1"/>
      <w:marLeft w:val="0"/>
      <w:marRight w:val="0"/>
      <w:marTop w:val="0"/>
      <w:marBottom w:val="0"/>
      <w:divBdr>
        <w:top w:val="none" w:sz="0" w:space="0" w:color="auto"/>
        <w:left w:val="none" w:sz="0" w:space="0" w:color="auto"/>
        <w:bottom w:val="none" w:sz="0" w:space="0" w:color="auto"/>
        <w:right w:val="none" w:sz="0" w:space="0" w:color="auto"/>
      </w:divBdr>
      <w:divsChild>
        <w:div w:id="1511985801">
          <w:marLeft w:val="0"/>
          <w:marRight w:val="0"/>
          <w:marTop w:val="0"/>
          <w:marBottom w:val="75"/>
          <w:divBdr>
            <w:top w:val="none" w:sz="0" w:space="0" w:color="auto"/>
            <w:left w:val="none" w:sz="0" w:space="0" w:color="auto"/>
            <w:bottom w:val="none" w:sz="0" w:space="0" w:color="auto"/>
            <w:right w:val="none" w:sz="0" w:space="0" w:color="auto"/>
          </w:divBdr>
        </w:div>
      </w:divsChild>
    </w:div>
    <w:div w:id="1263489132">
      <w:bodyDiv w:val="1"/>
      <w:marLeft w:val="0"/>
      <w:marRight w:val="0"/>
      <w:marTop w:val="0"/>
      <w:marBottom w:val="0"/>
      <w:divBdr>
        <w:top w:val="none" w:sz="0" w:space="0" w:color="auto"/>
        <w:left w:val="none" w:sz="0" w:space="0" w:color="auto"/>
        <w:bottom w:val="none" w:sz="0" w:space="0" w:color="auto"/>
        <w:right w:val="none" w:sz="0" w:space="0" w:color="auto"/>
      </w:divBdr>
    </w:div>
    <w:div w:id="1341857654">
      <w:bodyDiv w:val="1"/>
      <w:marLeft w:val="0"/>
      <w:marRight w:val="0"/>
      <w:marTop w:val="0"/>
      <w:marBottom w:val="0"/>
      <w:divBdr>
        <w:top w:val="none" w:sz="0" w:space="0" w:color="auto"/>
        <w:left w:val="none" w:sz="0" w:space="0" w:color="auto"/>
        <w:bottom w:val="none" w:sz="0" w:space="0" w:color="auto"/>
        <w:right w:val="none" w:sz="0" w:space="0" w:color="auto"/>
      </w:divBdr>
    </w:div>
    <w:div w:id="1423910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department-for-education-outcome-delivery-plan/dfe-outcome-delivery-plan-2021-to-2022" TargetMode="External"/><Relationship Id="rId13" Type="http://schemas.openxmlformats.org/officeDocument/2006/relationships/hyperlink" Target="https://www.undp.org/content/dam/undp/library/corporate/brochure/SDGs_Booklet_Web_En.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dhsc-equality-objectives-2019-to-2023/dhsc-equality-objectives-2019-to-2023" TargetMode="External"/><Relationship Id="rId12" Type="http://schemas.openxmlformats.org/officeDocument/2006/relationships/hyperlink" Target="https://www.gov.uk/government/publications/hm-revenue-and-customs-hmrc-outcome-delivery-plan/hm-revenue-and-customs-outcome-delivery-plan-2021-to-2022--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health-topics/air-pollution" TargetMode="External"/><Relationship Id="rId1" Type="http://schemas.openxmlformats.org/officeDocument/2006/relationships/numbering" Target="numbering.xml"/><Relationship Id="rId6" Type="http://schemas.openxmlformats.org/officeDocument/2006/relationships/hyperlink" Target="https://barnet.moderngov.co.uk/documents/s64508/Appendix%201%20-%20Final%20JHWS.pdf" TargetMode="External"/><Relationship Id="rId11" Type="http://schemas.openxmlformats.org/officeDocument/2006/relationships/hyperlink" Target="https://www.parliament.uk/globalassets/documents/post/pn091.pdf" TargetMode="External"/><Relationship Id="rId5" Type="http://schemas.openxmlformats.org/officeDocument/2006/relationships/hyperlink" Target="https://www.barnet.gov.uk/sites/default/files/assets/jsna/Downloads/BarnetsJSNA20152020.2453.pdf" TargetMode="External"/><Relationship Id="rId15" Type="http://schemas.openxmlformats.org/officeDocument/2006/relationships/hyperlink" Target="https://www.globalgoals.org/goals/3-good-health-and-well-being/" TargetMode="External"/><Relationship Id="rId10" Type="http://schemas.openxmlformats.org/officeDocument/2006/relationships/hyperlink" Target="http://dx.doi.org/10.21753/vmoa.5.2.443" TargetMode="External"/><Relationship Id="rId4" Type="http://schemas.openxmlformats.org/officeDocument/2006/relationships/webSettings" Target="webSettings.xml"/><Relationship Id="rId9" Type="http://schemas.openxmlformats.org/officeDocument/2006/relationships/hyperlink" Target="https://sustainabledevelopment.un.org/content/documents/5839GSDR%202015_SD_concept_definiton_rev.pdf" TargetMode="External"/><Relationship Id="rId14" Type="http://schemas.openxmlformats.org/officeDocument/2006/relationships/hyperlink" Target="http://uk2070.org.uk/wp-content/uploads/2019/03/37-ELLIOT-Agenda-2030-and-the-SDGs-v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7</Pages>
  <Words>2592</Words>
  <Characters>14780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Elena Stanciu (1909953)</dc:creator>
  <cp:keywords/>
  <dc:description/>
  <cp:lastModifiedBy>Ana Maria Elena Stanciu (1909953)</cp:lastModifiedBy>
  <cp:revision>13</cp:revision>
  <dcterms:created xsi:type="dcterms:W3CDTF">2022-03-09T13:50:00Z</dcterms:created>
  <dcterms:modified xsi:type="dcterms:W3CDTF">2022-04-25T20:39:00Z</dcterms:modified>
</cp:coreProperties>
</file>