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249592E">
      <w:pPr>
        <w:spacing w:before="212"/>
        <w:jc w:val="center"/>
        <w:rPr>
          <w:rFonts w:ascii="Arial"/>
          <w:b/>
          <w:sz w:val="56"/>
          <w:szCs w:val="56"/>
        </w:rPr>
      </w:pPr>
      <w:r>
        <w:drawing>
          <wp:inline distT="0" distB="0" distL="0" distR="0">
            <wp:extent cx="2980055" cy="1188085"/>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98772" cy="1195431"/>
                    </a:xfrm>
                    <a:prstGeom prst="rect">
                      <a:avLst/>
                    </a:prstGeom>
                    <a:noFill/>
                  </pic:spPr>
                </pic:pic>
              </a:graphicData>
            </a:graphic>
          </wp:inline>
        </w:drawing>
      </w:r>
    </w:p>
    <w:p w14:paraId="72EEF115">
      <w:pPr>
        <w:spacing w:before="212"/>
        <w:rPr>
          <w:rFonts w:ascii="Arial"/>
          <w:b/>
          <w:sz w:val="56"/>
        </w:rPr>
      </w:pPr>
    </w:p>
    <w:p w14:paraId="34F22890">
      <w:pPr>
        <w:spacing w:before="212"/>
        <w:rPr>
          <w:rFonts w:ascii="Arial"/>
          <w:b/>
          <w:bCs/>
          <w:sz w:val="48"/>
          <w:szCs w:val="48"/>
        </w:rPr>
      </w:pPr>
      <w:r>
        <w:rPr>
          <w:rFonts w:ascii="Arial"/>
          <w:b/>
          <w:bCs/>
          <w:sz w:val="48"/>
          <w:szCs w:val="48"/>
        </w:rPr>
        <w:t>MODULE CODE: Digital Skills for Personal Development and Business Growth BMSW4008</w:t>
      </w:r>
    </w:p>
    <w:p w14:paraId="45A6BA07">
      <w:pPr>
        <w:spacing w:before="212"/>
        <w:rPr>
          <w:rFonts w:ascii="Arial"/>
          <w:b/>
          <w:sz w:val="48"/>
          <w:szCs w:val="48"/>
        </w:rPr>
      </w:pPr>
    </w:p>
    <w:p w14:paraId="283B67D3">
      <w:pPr>
        <w:spacing w:before="212"/>
        <w:rPr>
          <w:rFonts w:ascii="Arial"/>
          <w:b/>
          <w:bCs/>
          <w:sz w:val="40"/>
          <w:szCs w:val="40"/>
        </w:rPr>
      </w:pPr>
      <w:r>
        <w:rPr>
          <w:rFonts w:ascii="Arial"/>
          <w:b/>
          <w:bCs/>
          <w:sz w:val="48"/>
          <w:szCs w:val="48"/>
        </w:rPr>
        <w:t>ASSESSMENT COMPONENT: PORTFOLIO</w:t>
      </w:r>
    </w:p>
    <w:p w14:paraId="0A0AD5DC">
      <w:pPr>
        <w:spacing w:before="7"/>
        <w:jc w:val="center"/>
        <w:rPr>
          <w:rFonts w:ascii="Arial"/>
          <w:b/>
          <w:sz w:val="44"/>
        </w:rPr>
      </w:pPr>
    </w:p>
    <w:p w14:paraId="5CBB01FB">
      <w:pPr>
        <w:spacing w:before="3"/>
        <w:rPr>
          <w:rFonts w:hint="default" w:ascii="Arial"/>
          <w:b/>
          <w:sz w:val="48"/>
          <w:szCs w:val="48"/>
          <w:lang w:val="en-US"/>
        </w:rPr>
      </w:pPr>
      <w:r>
        <w:rPr>
          <w:rFonts w:ascii="Arial"/>
          <w:b/>
          <w:sz w:val="48"/>
          <w:szCs w:val="48"/>
        </w:rPr>
        <w:t>STUDENT NAME:</w:t>
      </w:r>
      <w:r>
        <w:rPr>
          <w:rFonts w:hint="default" w:ascii="Arial"/>
          <w:b/>
          <w:sz w:val="48"/>
          <w:szCs w:val="48"/>
          <w:lang w:val="en-US"/>
        </w:rPr>
        <w:t>Denisa Nemeckova</w:t>
      </w:r>
    </w:p>
    <w:p w14:paraId="0D47E8B5">
      <w:pPr>
        <w:spacing w:before="3"/>
        <w:rPr>
          <w:rFonts w:ascii="Arial"/>
          <w:b/>
          <w:sz w:val="48"/>
          <w:szCs w:val="48"/>
        </w:rPr>
      </w:pPr>
    </w:p>
    <w:p w14:paraId="1AB71829">
      <w:pPr>
        <w:spacing w:before="3"/>
        <w:rPr>
          <w:rFonts w:hint="default" w:ascii="Arial"/>
          <w:b/>
          <w:sz w:val="48"/>
          <w:szCs w:val="48"/>
          <w:lang w:val="en-US"/>
        </w:rPr>
      </w:pPr>
      <w:r>
        <w:rPr>
          <w:rFonts w:ascii="Arial"/>
          <w:b/>
          <w:sz w:val="48"/>
          <w:szCs w:val="48"/>
        </w:rPr>
        <w:t>STUDENT NUMBER:</w:t>
      </w:r>
      <w:r>
        <w:rPr>
          <w:rFonts w:hint="default" w:ascii="Arial"/>
          <w:b/>
          <w:sz w:val="48"/>
          <w:szCs w:val="48"/>
          <w:lang w:val="en-US"/>
        </w:rPr>
        <w:t>2315615</w:t>
      </w:r>
    </w:p>
    <w:p w14:paraId="0E17CBF1">
      <w:pPr>
        <w:rPr>
          <w:rFonts w:ascii="Arial"/>
          <w:b/>
          <w:sz w:val="47"/>
        </w:rPr>
      </w:pPr>
    </w:p>
    <w:p w14:paraId="7D269D68">
      <w:pPr>
        <w:rPr>
          <w:rFonts w:hint="default" w:ascii="Arial"/>
          <w:b/>
          <w:sz w:val="47"/>
          <w:lang w:val="en-US"/>
        </w:rPr>
      </w:pPr>
      <w:r>
        <w:rPr>
          <w:rFonts w:ascii="Arial"/>
          <w:b/>
          <w:sz w:val="47"/>
        </w:rPr>
        <w:t>LECTURER:</w:t>
      </w:r>
      <w:r>
        <w:rPr>
          <w:rFonts w:hint="default" w:ascii="Arial"/>
          <w:b/>
          <w:sz w:val="47"/>
          <w:lang w:val="en-US"/>
        </w:rPr>
        <w:t>Philippa Fitzgerald</w:t>
      </w:r>
    </w:p>
    <w:p w14:paraId="4D7187AE">
      <w:pPr>
        <w:ind w:left="100"/>
        <w:rPr>
          <w:rFonts w:ascii="Arial"/>
          <w:b/>
          <w:sz w:val="47"/>
        </w:rPr>
      </w:pPr>
    </w:p>
    <w:p w14:paraId="52EF9C1C">
      <w:pPr>
        <w:ind w:left="100"/>
        <w:rPr>
          <w:rFonts w:hint="default" w:ascii="Arial"/>
          <w:b/>
          <w:sz w:val="47"/>
          <w:lang w:val="en-US"/>
        </w:rPr>
      </w:pPr>
      <w:r>
        <w:rPr>
          <w:rFonts w:ascii="Arial"/>
          <w:b/>
          <w:sz w:val="47"/>
        </w:rPr>
        <w:t>DATE:</w:t>
      </w:r>
      <w:r>
        <w:rPr>
          <w:rFonts w:hint="default" w:ascii="Arial"/>
          <w:b/>
          <w:sz w:val="47"/>
          <w:lang w:val="en-US"/>
        </w:rPr>
        <w:t>21/10/2025</w:t>
      </w:r>
    </w:p>
    <w:sdt>
      <w:sdtPr>
        <w:rPr>
          <w:rFonts w:asciiTheme="minorHAnsi" w:hAnsiTheme="minorHAnsi" w:eastAsiaTheme="minorHAnsi" w:cstheme="minorBidi"/>
          <w:color w:val="auto"/>
          <w:kern w:val="2"/>
          <w:sz w:val="24"/>
          <w:szCs w:val="24"/>
          <w:lang w:val="en-GB"/>
          <w14:ligatures w14:val="standardContextual"/>
        </w:rPr>
        <w:id w:val="1271819053"/>
        <w:docPartObj>
          <w:docPartGallery w:val="Table of Contents"/>
          <w:docPartUnique/>
        </w:docPartObj>
      </w:sdtPr>
      <w:sdtEndPr>
        <w:rPr>
          <w:rFonts w:asciiTheme="minorHAnsi" w:hAnsiTheme="minorHAnsi" w:eastAsiaTheme="minorHAnsi" w:cstheme="minorBidi"/>
          <w:b/>
          <w:bCs/>
          <w:color w:val="auto"/>
          <w:kern w:val="2"/>
          <w:sz w:val="24"/>
          <w:szCs w:val="24"/>
          <w:lang w:val="en-GB"/>
          <w14:ligatures w14:val="standardContextual"/>
        </w:rPr>
      </w:sdtEndPr>
      <w:sdtContent>
        <w:p w14:paraId="662C45F4">
          <w:pPr>
            <w:pStyle w:val="46"/>
          </w:pPr>
          <w:r>
            <w:t>Contents</w:t>
          </w:r>
        </w:p>
        <w:p w14:paraId="1FF5C363">
          <w:pPr>
            <w:pStyle w:val="23"/>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"_Toc211605235" </w:instrText>
          </w:r>
          <w:r>
            <w:fldChar w:fldCharType="separate"/>
          </w:r>
          <w:r>
            <w:rPr>
              <w:rStyle w:val="17"/>
            </w:rPr>
            <w:t>Task 1</w:t>
          </w:r>
          <w:r>
            <w:tab/>
          </w:r>
          <w:r>
            <w:fldChar w:fldCharType="begin"/>
          </w:r>
          <w:r>
            <w:instrText xml:space="preserve"> PAGEREF _Toc211605235 \h </w:instrText>
          </w:r>
          <w:r>
            <w:fldChar w:fldCharType="separate"/>
          </w:r>
          <w:r>
            <w:t>3</w:t>
          </w:r>
          <w:r>
            <w:fldChar w:fldCharType="end"/>
          </w:r>
          <w:r>
            <w:fldChar w:fldCharType="end"/>
          </w:r>
        </w:p>
        <w:p w14:paraId="32556217">
          <w:pPr>
            <w:pStyle w:val="23"/>
            <w:tabs>
              <w:tab w:val="right" w:leader="dot" w:pos="9016"/>
            </w:tabs>
            <w:rPr>
              <w:rFonts w:eastAsiaTheme="minorEastAsia"/>
              <w:lang w:eastAsia="en-GB"/>
            </w:rPr>
          </w:pPr>
          <w:r>
            <w:fldChar w:fldCharType="begin"/>
          </w:r>
          <w:r>
            <w:instrText xml:space="preserve"> HYPERLINK \l "_Toc211605236" </w:instrText>
          </w:r>
          <w:r>
            <w:fldChar w:fldCharType="separate"/>
          </w:r>
          <w:r>
            <w:rPr>
              <w:rStyle w:val="17"/>
            </w:rPr>
            <w:t>Assessment of Digital Skills</w:t>
          </w:r>
          <w:r>
            <w:tab/>
          </w:r>
          <w:r>
            <w:fldChar w:fldCharType="begin"/>
          </w:r>
          <w:r>
            <w:instrText xml:space="preserve"> PAGEREF _Toc211605236 \h </w:instrText>
          </w:r>
          <w:r>
            <w:fldChar w:fldCharType="separate"/>
          </w:r>
          <w:r>
            <w:t>3</w:t>
          </w:r>
          <w:r>
            <w:fldChar w:fldCharType="end"/>
          </w:r>
          <w:r>
            <w:fldChar w:fldCharType="end"/>
          </w:r>
        </w:p>
        <w:p w14:paraId="10A0DDE1">
          <w:pPr>
            <w:pStyle w:val="24"/>
            <w:tabs>
              <w:tab w:val="right" w:leader="dot" w:pos="9016"/>
            </w:tabs>
          </w:pPr>
          <w:r>
            <w:fldChar w:fldCharType="begin"/>
          </w:r>
          <w:r>
            <w:instrText xml:space="preserve"> HYPERLINK \l "_Toc211605237" </w:instrText>
          </w:r>
          <w:r>
            <w:fldChar w:fldCharType="separate"/>
          </w:r>
          <w:r>
            <w:rPr>
              <w:rStyle w:val="17"/>
            </w:rPr>
            <w:t>References</w:t>
          </w:r>
          <w:r>
            <w:tab/>
          </w:r>
          <w:r>
            <w:fldChar w:fldCharType="begin"/>
          </w:r>
          <w:r>
            <w:instrText xml:space="preserve"> PAGEREF _Toc211605237 \h </w:instrText>
          </w:r>
          <w:r>
            <w:fldChar w:fldCharType="separate"/>
          </w:r>
          <w:r>
            <w:t>3</w:t>
          </w:r>
          <w:r>
            <w:fldChar w:fldCharType="end"/>
          </w:r>
          <w:r>
            <w:fldChar w:fldCharType="end"/>
          </w:r>
        </w:p>
        <w:p w14:paraId="066CCC32">
          <w:pPr>
            <w:pStyle w:val="23"/>
            <w:tabs>
              <w:tab w:val="right" w:leader="dot" w:pos="9016"/>
            </w:tabs>
            <w:rPr>
              <w:rFonts w:eastAsiaTheme="minorEastAsia"/>
              <w:lang w:eastAsia="en-GB"/>
            </w:rPr>
          </w:pPr>
          <w:r>
            <w:fldChar w:fldCharType="begin"/>
          </w:r>
          <w:r>
            <w:instrText xml:space="preserve"> HYPERLINK \l "_Toc211605238" </w:instrText>
          </w:r>
          <w:r>
            <w:fldChar w:fldCharType="separate"/>
          </w:r>
          <w:r>
            <w:rPr>
              <w:rStyle w:val="17"/>
            </w:rPr>
            <w:t>Task 2</w:t>
          </w:r>
          <w:r>
            <w:tab/>
          </w:r>
          <w:r>
            <w:fldChar w:fldCharType="begin"/>
          </w:r>
          <w:r>
            <w:instrText xml:space="preserve"> PAGEREF _Toc211605238 \h </w:instrText>
          </w:r>
          <w:r>
            <w:fldChar w:fldCharType="separate"/>
          </w:r>
          <w:r>
            <w:t>4</w:t>
          </w:r>
          <w:r>
            <w:fldChar w:fldCharType="end"/>
          </w:r>
          <w:r>
            <w:fldChar w:fldCharType="end"/>
          </w:r>
        </w:p>
        <w:p w14:paraId="16E24A45">
          <w:pPr>
            <w:pStyle w:val="23"/>
            <w:tabs>
              <w:tab w:val="right" w:leader="dot" w:pos="9016"/>
            </w:tabs>
            <w:rPr>
              <w:rFonts w:eastAsiaTheme="minorEastAsia"/>
              <w:lang w:eastAsia="en-GB"/>
            </w:rPr>
          </w:pPr>
          <w:r>
            <w:fldChar w:fldCharType="begin"/>
          </w:r>
          <w:r>
            <w:instrText xml:space="preserve"> HYPERLINK \l "_Toc211605239" </w:instrText>
          </w:r>
          <w:r>
            <w:fldChar w:fldCharType="separate"/>
          </w:r>
          <w:r>
            <w:rPr>
              <w:rStyle w:val="17"/>
            </w:rPr>
            <w:t>LinkedIn Learning Certificates for Office365</w:t>
          </w:r>
          <w:r>
            <w:tab/>
          </w:r>
          <w:r>
            <w:fldChar w:fldCharType="begin"/>
          </w:r>
          <w:r>
            <w:instrText xml:space="preserve"> PAGEREF _Toc211605239 \h </w:instrText>
          </w:r>
          <w:r>
            <w:fldChar w:fldCharType="separate"/>
          </w:r>
          <w:r>
            <w:t>4</w:t>
          </w:r>
          <w:r>
            <w:fldChar w:fldCharType="end"/>
          </w:r>
          <w:r>
            <w:fldChar w:fldCharType="end"/>
          </w:r>
        </w:p>
        <w:p w14:paraId="02480413">
          <w:pPr>
            <w:pStyle w:val="23"/>
            <w:tabs>
              <w:tab w:val="right" w:leader="dot" w:pos="9016"/>
            </w:tabs>
            <w:rPr>
              <w:rFonts w:eastAsiaTheme="minorEastAsia"/>
              <w:lang w:eastAsia="en-GB"/>
            </w:rPr>
          </w:pPr>
          <w:r>
            <w:fldChar w:fldCharType="begin"/>
          </w:r>
          <w:r>
            <w:instrText xml:space="preserve"> HYPERLINK \l "_Toc211605240" </w:instrText>
          </w:r>
          <w:r>
            <w:fldChar w:fldCharType="separate"/>
          </w:r>
          <w:r>
            <w:rPr>
              <w:rStyle w:val="17"/>
            </w:rPr>
            <w:t>Task 3</w:t>
          </w:r>
          <w:r>
            <w:tab/>
          </w:r>
          <w:r>
            <w:fldChar w:fldCharType="begin"/>
          </w:r>
          <w:r>
            <w:instrText xml:space="preserve"> PAGEREF _Toc211605240 \h </w:instrText>
          </w:r>
          <w:r>
            <w:fldChar w:fldCharType="separate"/>
          </w:r>
          <w:r>
            <w:t>5</w:t>
          </w:r>
          <w:r>
            <w:fldChar w:fldCharType="end"/>
          </w:r>
          <w:r>
            <w:fldChar w:fldCharType="end"/>
          </w:r>
        </w:p>
        <w:p w14:paraId="1FD0F990">
          <w:pPr>
            <w:pStyle w:val="23"/>
            <w:tabs>
              <w:tab w:val="right" w:leader="dot" w:pos="9016"/>
            </w:tabs>
            <w:rPr>
              <w:rFonts w:eastAsiaTheme="minorEastAsia"/>
              <w:lang w:eastAsia="en-GB"/>
            </w:rPr>
          </w:pPr>
          <w:r>
            <w:fldChar w:fldCharType="begin"/>
          </w:r>
          <w:r>
            <w:instrText xml:space="preserve"> HYPERLINK \l "_Toc211605241" </w:instrText>
          </w:r>
          <w:r>
            <w:fldChar w:fldCharType="separate"/>
          </w:r>
          <w:r>
            <w:rPr>
              <w:rStyle w:val="17"/>
            </w:rPr>
            <w:t>Essay on Relevance of Excel in professional and personal life.</w:t>
          </w:r>
          <w:r>
            <w:tab/>
          </w:r>
          <w:r>
            <w:fldChar w:fldCharType="begin"/>
          </w:r>
          <w:r>
            <w:instrText xml:space="preserve"> PAGEREF _Toc211605241 \h </w:instrText>
          </w:r>
          <w:r>
            <w:fldChar w:fldCharType="separate"/>
          </w:r>
          <w:r>
            <w:t>5</w:t>
          </w:r>
          <w:r>
            <w:fldChar w:fldCharType="end"/>
          </w:r>
          <w:r>
            <w:fldChar w:fldCharType="end"/>
          </w:r>
        </w:p>
        <w:p w14:paraId="2F02C6AF">
          <w:pPr>
            <w:pStyle w:val="24"/>
            <w:tabs>
              <w:tab w:val="right" w:leader="dot" w:pos="9016"/>
            </w:tabs>
          </w:pPr>
          <w:r>
            <w:fldChar w:fldCharType="begin"/>
          </w:r>
          <w:r>
            <w:instrText xml:space="preserve"> HYPERLINK \l "_Toc211605242" </w:instrText>
          </w:r>
          <w:r>
            <w:fldChar w:fldCharType="separate"/>
          </w:r>
          <w:r>
            <w:rPr>
              <w:rStyle w:val="17"/>
            </w:rPr>
            <w:t>References</w:t>
          </w:r>
          <w:r>
            <w:tab/>
          </w:r>
          <w:r>
            <w:fldChar w:fldCharType="begin"/>
          </w:r>
          <w:r>
            <w:instrText xml:space="preserve"> PAGEREF _Toc211605242 \h </w:instrText>
          </w:r>
          <w:r>
            <w:fldChar w:fldCharType="separate"/>
          </w:r>
          <w:r>
            <w:t>5</w:t>
          </w:r>
          <w:r>
            <w:fldChar w:fldCharType="end"/>
          </w:r>
          <w:r>
            <w:fldChar w:fldCharType="end"/>
          </w:r>
        </w:p>
        <w:p w14:paraId="188CE8FD">
          <w:pPr>
            <w:pStyle w:val="23"/>
            <w:tabs>
              <w:tab w:val="right" w:leader="dot" w:pos="9016"/>
            </w:tabs>
            <w:rPr>
              <w:rFonts w:eastAsiaTheme="minorEastAsia"/>
              <w:lang w:eastAsia="en-GB"/>
            </w:rPr>
          </w:pPr>
          <w:r>
            <w:fldChar w:fldCharType="begin"/>
          </w:r>
          <w:r>
            <w:instrText xml:space="preserve"> HYPERLINK \l "_Toc211605243" </w:instrText>
          </w:r>
          <w:r>
            <w:fldChar w:fldCharType="separate"/>
          </w:r>
          <w:r>
            <w:rPr>
              <w:rStyle w:val="17"/>
            </w:rPr>
            <w:t>Task 4</w:t>
          </w:r>
          <w:r>
            <w:tab/>
          </w:r>
          <w:r>
            <w:fldChar w:fldCharType="begin"/>
          </w:r>
          <w:r>
            <w:instrText xml:space="preserve"> PAGEREF _Toc211605243 \h </w:instrText>
          </w:r>
          <w:r>
            <w:fldChar w:fldCharType="separate"/>
          </w:r>
          <w:r>
            <w:t>6</w:t>
          </w:r>
          <w:r>
            <w:fldChar w:fldCharType="end"/>
          </w:r>
          <w:r>
            <w:fldChar w:fldCharType="end"/>
          </w:r>
        </w:p>
        <w:p w14:paraId="70D2FB56">
          <w:pPr>
            <w:pStyle w:val="23"/>
            <w:tabs>
              <w:tab w:val="right" w:leader="dot" w:pos="9016"/>
            </w:tabs>
            <w:rPr>
              <w:rFonts w:eastAsiaTheme="minorEastAsia"/>
              <w:lang w:eastAsia="en-GB"/>
            </w:rPr>
          </w:pPr>
          <w:r>
            <w:fldChar w:fldCharType="begin"/>
          </w:r>
          <w:r>
            <w:instrText xml:space="preserve"> HYPERLINK \l "_Toc211605244" </w:instrText>
          </w:r>
          <w:r>
            <w:fldChar w:fldCharType="separate"/>
          </w:r>
          <w:r>
            <w:rPr>
              <w:rStyle w:val="17"/>
            </w:rPr>
            <w:t>7 Minute Reflective Presentation</w:t>
          </w:r>
          <w:r>
            <w:tab/>
          </w:r>
          <w:r>
            <w:fldChar w:fldCharType="begin"/>
          </w:r>
          <w:r>
            <w:instrText xml:space="preserve"> PAGEREF _Toc211605244 \h </w:instrText>
          </w:r>
          <w:r>
            <w:fldChar w:fldCharType="separate"/>
          </w:r>
          <w:r>
            <w:t>6</w:t>
          </w:r>
          <w:r>
            <w:fldChar w:fldCharType="end"/>
          </w:r>
          <w:r>
            <w:fldChar w:fldCharType="end"/>
          </w:r>
        </w:p>
        <w:p w14:paraId="690112BE">
          <w:pPr>
            <w:pStyle w:val="24"/>
            <w:tabs>
              <w:tab w:val="right" w:leader="dot" w:pos="9016"/>
            </w:tabs>
          </w:pPr>
          <w:r>
            <w:fldChar w:fldCharType="begin"/>
          </w:r>
          <w:r>
            <w:instrText xml:space="preserve"> HYPERLINK \l "_Toc211605245" </w:instrText>
          </w:r>
          <w:r>
            <w:fldChar w:fldCharType="separate"/>
          </w:r>
          <w:r>
            <w:rPr>
              <w:rStyle w:val="17"/>
            </w:rPr>
            <w:t>References</w:t>
          </w:r>
          <w:r>
            <w:tab/>
          </w:r>
          <w:r>
            <w:fldChar w:fldCharType="begin"/>
          </w:r>
          <w:r>
            <w:instrText xml:space="preserve"> PAGEREF _Toc211605245 \h </w:instrText>
          </w:r>
          <w:r>
            <w:fldChar w:fldCharType="separate"/>
          </w:r>
          <w:r>
            <w:t>6</w:t>
          </w:r>
          <w:r>
            <w:fldChar w:fldCharType="end"/>
          </w:r>
          <w:r>
            <w:fldChar w:fldCharType="end"/>
          </w:r>
        </w:p>
        <w:p w14:paraId="4B849DA6">
          <w:r>
            <w:rPr>
              <w:b/>
              <w:bCs/>
            </w:rPr>
            <w:fldChar w:fldCharType="end"/>
          </w:r>
        </w:p>
      </w:sdtContent>
    </w:sdt>
    <w:p w14:paraId="176F0371">
      <w:pPr>
        <w:ind w:left="100"/>
        <w:rPr>
          <w:rFonts w:ascii="Arial"/>
          <w:b/>
          <w:sz w:val="47"/>
          <w:szCs w:val="47"/>
        </w:rPr>
      </w:pPr>
    </w:p>
    <w:p w14:paraId="18E3C8BD">
      <w:pPr>
        <w:ind w:left="100"/>
        <w:rPr>
          <w:rFonts w:ascii="Arial"/>
          <w:b/>
          <w:sz w:val="47"/>
          <w:szCs w:val="47"/>
        </w:rPr>
      </w:pPr>
    </w:p>
    <w:p w14:paraId="7598C775">
      <w:pPr>
        <w:spacing w:after="0" w:line="240" w:lineRule="auto"/>
        <w:ind w:left="90"/>
        <w:jc w:val="both"/>
        <w:textAlignment w:val="baseline"/>
        <w:rPr>
          <w:rFonts w:ascii="Arial"/>
          <w:b/>
          <w:sz w:val="47"/>
        </w:rPr>
      </w:pPr>
    </w:p>
    <w:p w14:paraId="6D9FB0AA"/>
    <w:p w14:paraId="4F0272ED"/>
    <w:p w14:paraId="0FA3087B"/>
    <w:p w14:paraId="336B3522"/>
    <w:p w14:paraId="28434DF6"/>
    <w:p w14:paraId="1A021554"/>
    <w:p w14:paraId="5797BEB3"/>
    <w:p w14:paraId="6BD47CF5"/>
    <w:p w14:paraId="660F4F48"/>
    <w:p w14:paraId="57C8C9FC"/>
    <w:p w14:paraId="2283A2DC"/>
    <w:p w14:paraId="3D498E2B"/>
    <w:p w14:paraId="5FF71CA7">
      <w:pPr>
        <w:pStyle w:val="2"/>
      </w:pPr>
      <w:bookmarkStart w:id="0" w:name="_Toc211605235"/>
      <w:r>
        <w:t>Task 1</w:t>
      </w:r>
      <w:bookmarkEnd w:id="0"/>
      <w:r>
        <w:t xml:space="preserve"> </w:t>
      </w:r>
    </w:p>
    <w:p w14:paraId="293BFA5B"/>
    <w:p w14:paraId="5A210795">
      <w:r>
        <w:drawing>
          <wp:inline distT="0" distB="0" distL="114300" distR="114300">
            <wp:extent cx="5728970" cy="3167380"/>
            <wp:effectExtent l="0" t="0" r="1270" b="254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pic:cNvPicPr>
                  </pic:nvPicPr>
                  <pic:blipFill>
                    <a:blip r:embed="rId7"/>
                    <a:stretch>
                      <a:fillRect/>
                    </a:stretch>
                  </pic:blipFill>
                  <pic:spPr>
                    <a:xfrm>
                      <a:off x="0" y="0"/>
                      <a:ext cx="5728970" cy="3167380"/>
                    </a:xfrm>
                    <a:prstGeom prst="rect">
                      <a:avLst/>
                    </a:prstGeom>
                    <a:noFill/>
                    <a:ln>
                      <a:noFill/>
                    </a:ln>
                  </pic:spPr>
                </pic:pic>
              </a:graphicData>
            </a:graphic>
          </wp:inline>
        </w:drawing>
      </w:r>
      <w:r>
        <w:t xml:space="preserve"> </w:t>
      </w:r>
    </w:p>
    <w:p w14:paraId="7F18F2C5">
      <w:pPr>
        <w:rPr>
          <w:rFonts w:hint="default"/>
          <w:lang w:val="en-US"/>
        </w:rPr>
      </w:pPr>
      <w:r>
        <w:rPr>
          <w:rFonts w:hint="default"/>
          <w:lang w:val="en-US"/>
        </w:rPr>
        <w:t xml:space="preserve">In my first lectures I learn how to  send professional emails and manage tasks, also creating professional documents. Also found out about Microsoft Office 365. Now I know how to use a Outlook effciently and professional mange inbox using rules and folders and how to send emails to multiple people as group or even to send emails to group of people without them know I send it to other people. Know how to creat and mange calenedar event with reminders and invitations and how to accept a invitations or not accept a invitation. I know how to put my emails in folders so I know what type of emails in order as what is important and I need to reply soon as possible or what email can wait or save important emails. . Also found out what is ChatGPT is an advanced AI chatbot developed by openAI that can hold conversations, generate human like text, answer questions and help to explaining hard or confused topics also helps with task and emails. </w:t>
      </w:r>
    </w:p>
    <w:p w14:paraId="7543052A">
      <w:pPr>
        <w:rPr>
          <w:rFonts w:hint="default"/>
          <w:lang w:val="en-US"/>
        </w:rPr>
      </w:pPr>
      <w:r>
        <w:rPr>
          <w:rFonts w:hint="default"/>
          <w:lang w:val="en-US"/>
        </w:rPr>
        <w:t xml:space="preserve">Then in our lecture we was going through what is Data and why is important to proctec them. Data is raw, unprocessed facts, statistic or information such as numbers, words or images than can be collected store and aanalyzed. And why we protec Data the main pruporse of data protection is to protect individuals personal information from identity theft and discrimintion. One of other App I learrn about  is Microsoft Team is a great App it platform for workplaces and education for students and teachers. One of purpose of Microsoft Team is communication you can communication with your coworkers or team member through messaging, group chats, audio calls and also video conferences. Microsoft Team also provides that multiple people can collaborate on ducuments. Allows teams to be in groups for different projects or topics. Also Microsoft Team allow you to scheduling meetings for your teams or joining Microsoft team meetings and other tools of Microsoft Team are that you can change the back around of your video calls or you can record your full meetings call or video meetings.. Other platform of Office 365 is Microsoft Word platform that helps with creat documents, edit documents, formating documents and helps with creating CV and cover latters. There is many tools in Microsoft Word as formatting is powerful allowing you change fonts,sizes,clours and other features to make documents to stand out. Word also includes templates for many kind of documents saving your time and giving the work a professional look. Users can also add images, shapes, charts and other media elements into their documents. This feature is beneficial for adding visual professional look. Microsoft Word has tool to check spelling and grammar. It helps the person who use Microsoft Word find and fix mistakes in there. Before I start my studies the only digital skill I had was how to use only social media as  TikTok or Facebook. I never knew how to use outlook,Microsoft Team or Microsoft Word now I can say proudly that I can use them not maybe perfectly but I can. Also Digital Skills learn me how to writte professional emails how can I build my CV or make professional documents how to plan meetings and how to send them to the people I need to. Now I can say im more confident in my Digital Skills. </w:t>
      </w:r>
    </w:p>
    <w:p w14:paraId="5378C6FC">
      <w:r>
        <w:t>(5 references)</w:t>
      </w:r>
    </w:p>
    <w:p w14:paraId="229EB6CA">
      <w:pPr>
        <w:pStyle w:val="3"/>
      </w:pPr>
      <w:bookmarkStart w:id="1" w:name="_Toc211605237"/>
      <w:r>
        <w:t>References</w:t>
      </w:r>
      <w:bookmarkEnd w:id="1"/>
      <w:r>
        <w:t xml:space="preserve"> </w:t>
      </w:r>
    </w:p>
    <w:p w14:paraId="1DB786BF">
      <w:pPr>
        <w:rPr>
          <w:rFonts w:hint="default" w:ascii="Segoe UI" w:hAnsi="Segoe UI" w:eastAsia="Segoe UI" w:cs="Segoe UI"/>
          <w:i w:val="0"/>
          <w:iCs w:val="0"/>
          <w:caps w:val="0"/>
          <w:color w:val="E6E6E6"/>
          <w:spacing w:val="0"/>
          <w:sz w:val="19"/>
          <w:szCs w:val="19"/>
          <w:shd w:val="clear" w:fill="1A1A1A"/>
          <w:lang w:val="en-US"/>
        </w:rPr>
      </w:pPr>
      <w:r>
        <w:rPr>
          <w:rStyle w:val="19"/>
          <w:rFonts w:ascii="SimSun" w:hAnsi="SimSun" w:eastAsia="SimSun" w:cs="SimSun"/>
          <w:sz w:val="24"/>
          <w:szCs w:val="24"/>
        </w:rPr>
        <w:t>Dabbish, L. A., Kraut, R. E., Fussell, S. R., &amp; Kiesler, S. (2005).</w:t>
      </w:r>
      <w:r>
        <w:rPr>
          <w:rFonts w:ascii="SimSun" w:hAnsi="SimSun" w:eastAsia="SimSun" w:cs="SimSun"/>
          <w:sz w:val="24"/>
          <w:szCs w:val="24"/>
        </w:rPr>
        <w:br w:type="textWrapping"/>
      </w:r>
      <w:r>
        <w:rPr>
          <w:rStyle w:val="13"/>
          <w:rFonts w:ascii="SimSun" w:hAnsi="SimSun" w:eastAsia="SimSun" w:cs="SimSun"/>
          <w:sz w:val="24"/>
          <w:szCs w:val="24"/>
        </w:rPr>
        <w:t>Understanding email use: Predicting action on a message.</w:t>
      </w:r>
      <w:r>
        <w:rPr>
          <w:rFonts w:ascii="SimSun" w:hAnsi="SimSun" w:eastAsia="SimSun" w:cs="SimSun"/>
          <w:sz w:val="24"/>
          <w:szCs w:val="24"/>
        </w:rPr>
        <w:br w:type="textWrapping"/>
      </w:r>
      <w:r>
        <w:rPr>
          <w:rStyle w:val="13"/>
          <w:rFonts w:ascii="SimSun" w:hAnsi="SimSun" w:eastAsia="SimSun" w:cs="SimSun"/>
          <w:sz w:val="24"/>
          <w:szCs w:val="24"/>
        </w:rPr>
        <w:t>Proceedings of the SIGCHI Conference on Human Factors in Computing Systems (CHI)</w:t>
      </w:r>
      <w:r>
        <w:rPr>
          <w:rFonts w:ascii="SimSun" w:hAnsi="SimSun" w:eastAsia="SimSun" w:cs="SimSun"/>
          <w:sz w:val="24"/>
          <w:szCs w:val="24"/>
        </w:rPr>
        <w:t>, 691–700. ACM.</w:t>
      </w:r>
      <w:r>
        <w:rPr>
          <w:rFonts w:ascii="SimSun" w:hAnsi="SimSun" w:eastAsia="SimSun" w:cs="SimSun"/>
          <w:sz w:val="24"/>
          <w:szCs w:val="24"/>
        </w:rPr>
        <w:br w:type="textWrapping"/>
      </w:r>
      <w:r>
        <w:rPr>
          <w:rFonts w:ascii="SimSun" w:hAnsi="SimSun" w:eastAsia="SimSun" w:cs="SimSun"/>
          <w:sz w:val="24"/>
          <w:szCs w:val="24"/>
        </w:rPr>
        <w:t>→ An influential study examining how people manage work and tasks through email applications like Microsoft Outlook.</w:t>
      </w:r>
    </w:p>
    <w:p w14:paraId="771DAD9E">
      <w:pPr>
        <w:rPr>
          <w:rFonts w:hint="default"/>
          <w:lang w:val="en-US"/>
        </w:rPr>
      </w:pPr>
    </w:p>
    <w:p w14:paraId="71AFBB48">
      <w:pPr>
        <w:pStyle w:val="18"/>
        <w:keepNext w:val="0"/>
        <w:keepLines w:val="0"/>
        <w:widowControl/>
        <w:suppressLineNumbers w:val="0"/>
      </w:pPr>
      <w:r>
        <w:t xml:space="preserve">Ali, D., Fatemi, Y., Boskabadi, E., Nikfar, M., Ugwuoke, J., &amp; Ali, H. (2024). </w:t>
      </w:r>
      <w:r>
        <w:rPr>
          <w:rStyle w:val="13"/>
        </w:rPr>
        <w:t>ChatGPT in Teaching and Learning: A Systematic Review.</w:t>
      </w:r>
      <w:r>
        <w:t xml:space="preserve"> Education Sciences, 14(6), 643. https://doi.org/10.3390/educsci14060643 </w:t>
      </w:r>
      <w:r>
        <w:fldChar w:fldCharType="begin"/>
      </w:r>
      <w:r>
        <w:instrText xml:space="preserve"> HYPERLINK "https://www.mdpi.com/2227-7102/14/6/643?utm_source=chatgpt.com" \t "_blank" </w:instrText>
      </w:r>
      <w:r>
        <w:fldChar w:fldCharType="separate"/>
      </w:r>
      <w:r>
        <w:rPr>
          <w:rStyle w:val="17"/>
        </w:rPr>
        <w:t>MDPI</w:t>
      </w:r>
      <w:r>
        <w:fldChar w:fldCharType="end"/>
      </w:r>
    </w:p>
    <w:p w14:paraId="04A3F8E1">
      <w:pPr>
        <w:keepNext w:val="0"/>
        <w:keepLines w:val="0"/>
        <w:widowControl/>
        <w:numPr>
          <w:ilvl w:val="0"/>
          <w:numId w:val="1"/>
        </w:numPr>
        <w:suppressLineNumbers w:val="0"/>
        <w:spacing w:before="0" w:beforeAutospacing="1" w:after="0" w:afterAutospacing="1"/>
        <w:ind w:left="1440" w:hanging="360"/>
      </w:pPr>
    </w:p>
    <w:p w14:paraId="019CB068">
      <w:pPr>
        <w:pStyle w:val="18"/>
        <w:keepNext w:val="0"/>
        <w:keepLines w:val="0"/>
        <w:widowControl/>
        <w:suppressLineNumbers w:val="0"/>
        <w:ind w:left="720"/>
      </w:pPr>
      <w:r>
        <w:t>Explores how ChatGPT is being used in teaching &amp; learning, summarises empirical studies and highlights both opportunities and risks.</w:t>
      </w:r>
    </w:p>
    <w:p w14:paraId="15FE48E3">
      <w:pPr>
        <w:keepNext w:val="0"/>
        <w:keepLines w:val="0"/>
        <w:widowControl/>
        <w:numPr>
          <w:ilvl w:val="0"/>
          <w:numId w:val="1"/>
        </w:numPr>
        <w:suppressLineNumbers w:val="0"/>
        <w:spacing w:before="0" w:beforeAutospacing="1" w:after="0" w:afterAutospacing="1"/>
        <w:ind w:left="1440" w:hanging="360"/>
      </w:pPr>
    </w:p>
    <w:p w14:paraId="42A3E749">
      <w:pPr>
        <w:keepNext w:val="0"/>
        <w:keepLines w:val="0"/>
        <w:widowControl/>
        <w:numPr>
          <w:ilvl w:val="0"/>
          <w:numId w:val="1"/>
        </w:numPr>
        <w:suppressLineNumbers w:val="0"/>
        <w:spacing w:before="0" w:beforeAutospacing="1" w:after="0" w:afterAutospacing="1"/>
        <w:ind w:left="1440" w:hanging="360"/>
      </w:pPr>
    </w:p>
    <w:p w14:paraId="61905ACC">
      <w:pPr>
        <w:pStyle w:val="18"/>
        <w:keepNext w:val="0"/>
        <w:keepLines w:val="0"/>
        <w:widowControl/>
        <w:suppressLineNumbers w:val="0"/>
        <w:ind w:left="720"/>
      </w:pPr>
      <w:r>
        <w:t>Useful if you’re looking at pedagogical integration and the educational implications.</w:t>
      </w:r>
    </w:p>
    <w:p w14:paraId="1859050B">
      <w:pPr>
        <w:keepNext w:val="0"/>
        <w:keepLines w:val="0"/>
        <w:widowControl/>
        <w:numPr>
          <w:ilvl w:val="0"/>
          <w:numId w:val="1"/>
        </w:numPr>
        <w:suppressLineNumbers w:val="0"/>
        <w:spacing w:before="0" w:beforeAutospacing="1" w:after="0" w:afterAutospacing="1"/>
        <w:ind w:left="1440" w:hanging="360"/>
      </w:pPr>
    </w:p>
    <w:p w14:paraId="507B2B62">
      <w:pPr>
        <w:rPr>
          <w:rFonts w:hint="default"/>
          <w:lang w:val="en-US"/>
        </w:rPr>
      </w:pPr>
    </w:p>
    <w:p w14:paraId="1F0D8966">
      <w:pPr>
        <w:rPr>
          <w:rFonts w:ascii="SimSun" w:hAnsi="SimSun" w:eastAsia="SimSun" w:cs="SimSun"/>
          <w:sz w:val="24"/>
          <w:szCs w:val="24"/>
        </w:rPr>
      </w:pPr>
      <w:r>
        <w:rPr>
          <w:rStyle w:val="19"/>
          <w:rFonts w:ascii="SimSun" w:hAnsi="SimSun" w:eastAsia="SimSun" w:cs="SimSun"/>
          <w:sz w:val="24"/>
          <w:szCs w:val="24"/>
        </w:rPr>
        <w:t>Borgman, C. L. (2015).</w:t>
      </w:r>
      <w:r>
        <w:rPr>
          <w:rFonts w:ascii="SimSun" w:hAnsi="SimSun" w:eastAsia="SimSun" w:cs="SimSun"/>
          <w:sz w:val="24"/>
          <w:szCs w:val="24"/>
        </w:rPr>
        <w:t xml:space="preserve"> </w:t>
      </w:r>
      <w:r>
        <w:rPr>
          <w:rStyle w:val="13"/>
          <w:rFonts w:ascii="SimSun" w:hAnsi="SimSun" w:eastAsia="SimSun" w:cs="SimSun"/>
          <w:sz w:val="24"/>
          <w:szCs w:val="24"/>
        </w:rPr>
        <w:t>Big Data, Little Data, No Data: Scholarship in the Networked World.</w:t>
      </w:r>
      <w:r>
        <w:rPr>
          <w:rFonts w:ascii="SimSun" w:hAnsi="SimSun" w:eastAsia="SimSun" w:cs="SimSun"/>
          <w:sz w:val="24"/>
          <w:szCs w:val="24"/>
        </w:rPr>
        <w:t xml:space="preserve"> MIT Press.</w:t>
      </w:r>
      <w:r>
        <w:rPr>
          <w:rFonts w:ascii="SimSun" w:hAnsi="SimSun" w:eastAsia="SimSun" w:cs="SimSun"/>
          <w:sz w:val="24"/>
          <w:szCs w:val="24"/>
        </w:rPr>
        <w:br w:type="textWrapping"/>
      </w:r>
      <w:r>
        <w:rPr>
          <w:rFonts w:ascii="SimSun" w:hAnsi="SimSun" w:eastAsia="SimSun" w:cs="SimSun"/>
          <w:sz w:val="24"/>
          <w:szCs w:val="24"/>
        </w:rPr>
        <w:t>→ Explores how data are generated, managed, and shared across disciplines, and what counts as “data” in academic contexts.</w:t>
      </w:r>
    </w:p>
    <w:p w14:paraId="2A4AF420">
      <w:pPr>
        <w:rPr>
          <w:rFonts w:ascii="SimSun" w:hAnsi="SimSun" w:eastAsia="SimSun" w:cs="SimSun"/>
          <w:sz w:val="24"/>
          <w:szCs w:val="24"/>
        </w:rPr>
      </w:pPr>
    </w:p>
    <w:p w14:paraId="72C03ACD">
      <w:pPr>
        <w:pStyle w:val="18"/>
        <w:keepNext w:val="0"/>
        <w:keepLines w:val="0"/>
        <w:widowControl/>
        <w:suppressLineNumbers w:val="0"/>
      </w:pPr>
      <w:r>
        <w:rPr>
          <w:rFonts w:ascii="Symbol" w:hAnsi="Symbol" w:eastAsia="Symbol" w:cs="Symbol"/>
          <w:sz w:val="24"/>
        </w:rPr>
        <w:t>·</w:t>
      </w:r>
      <w:r>
        <w:rPr>
          <w:rFonts w:hint="eastAsia" w:ascii="SimSun" w:hAnsi="SimSun" w:eastAsia="SimSun" w:cs="SimSun"/>
          <w:sz w:val="24"/>
        </w:rPr>
        <w:t xml:space="preserve">  </w:t>
      </w:r>
      <w:r>
        <w:t xml:space="preserve">Heuristic Evaluation of Microsoft Teams as an Online Teaching Platform: An Educators’ Perspective (2022). </w:t>
      </w:r>
      <w:r>
        <w:rPr>
          <w:rStyle w:val="13"/>
        </w:rPr>
        <w:t>Computers</w:t>
      </w:r>
      <w:r>
        <w:t xml:space="preserve">, 11(12), 175. This paper uses usability heuristics, TAM and IS-based approaches to evaluate Microsoft Teams from the educators’ perspective, comparing it to other e-learning platforms. </w:t>
      </w:r>
      <w:r>
        <w:fldChar w:fldCharType="begin"/>
      </w:r>
      <w:r>
        <w:instrText xml:space="preserve"> HYPERLINK "https://www.mdpi.com/2073-431X/11/12/175?utm_source=chatgpt.com" \t "_blank" </w:instrText>
      </w:r>
      <w:r>
        <w:fldChar w:fldCharType="separate"/>
      </w:r>
      <w:r>
        <w:rPr>
          <w:rStyle w:val="17"/>
        </w:rPr>
        <w:t>MDPI</w:t>
      </w:r>
      <w:r>
        <w:fldChar w:fldCharType="end"/>
      </w:r>
    </w:p>
    <w:p w14:paraId="04BD9B3B"/>
    <w:p w14:paraId="53414195">
      <w:r>
        <w:rPr>
          <w:rFonts w:ascii="SimSun" w:hAnsi="SimSun" w:eastAsia="SimSun" w:cs="SimSun"/>
          <w:sz w:val="24"/>
          <w:szCs w:val="24"/>
        </w:rPr>
        <w:t xml:space="preserve">Loch, B., Lowe, T. W., &amp; Mestel, B. D. (2015). </w:t>
      </w:r>
      <w:r>
        <w:rPr>
          <w:rStyle w:val="13"/>
          <w:rFonts w:ascii="SimSun" w:hAnsi="SimSun" w:eastAsia="SimSun" w:cs="SimSun"/>
          <w:sz w:val="24"/>
          <w:szCs w:val="24"/>
        </w:rPr>
        <w:t>Master’s students’ perceptions of Microsoft Word for mathematical typesetting.</w:t>
      </w:r>
      <w:r>
        <w:rPr>
          <w:rFonts w:ascii="SimSun" w:hAnsi="SimSun" w:eastAsia="SimSun" w:cs="SimSun"/>
          <w:sz w:val="24"/>
          <w:szCs w:val="24"/>
        </w:rPr>
        <w:t xml:space="preserve"> Teaching Mathematics and its Applications, 34(2), 91-101. DOI:10.1093/teamat/hru020.</w:t>
      </w:r>
      <w:r>
        <w:rPr>
          <w:rFonts w:ascii="SimSun" w:hAnsi="SimSun" w:eastAsia="SimSun" w:cs="SimSun"/>
          <w:sz w:val="24"/>
          <w:szCs w:val="24"/>
        </w:rPr>
        <w:br w:type="textWrapping"/>
      </w:r>
      <w:r>
        <w:rPr>
          <w:rFonts w:ascii="SimSun" w:hAnsi="SimSun" w:eastAsia="SimSun" w:cs="SimSun"/>
          <w:sz w:val="24"/>
          <w:szCs w:val="24"/>
        </w:rPr>
        <w:t xml:space="preserve">→ Explores how postgraduate students perceive MS Word when dealing with mathematical typesetting (often compared with LaTeX). </w:t>
      </w:r>
      <w:r>
        <w:rPr>
          <w:rFonts w:ascii="SimSun" w:hAnsi="SimSun" w:eastAsia="SimSun" w:cs="SimSun"/>
          <w:sz w:val="24"/>
          <w:szCs w:val="24"/>
        </w:rPr>
        <w:fldChar w:fldCharType="begin"/>
      </w:r>
      <w:r>
        <w:rPr>
          <w:rFonts w:ascii="SimSun" w:hAnsi="SimSun" w:eastAsia="SimSun" w:cs="SimSun"/>
          <w:sz w:val="24"/>
          <w:szCs w:val="24"/>
        </w:rPr>
        <w:instrText xml:space="preserve"> HYPERLINK "https://oro.open.ac.uk/45271/?utm_source=chatgpt.com" \t "_blank" </w:instrText>
      </w:r>
      <w:r>
        <w:rPr>
          <w:rFonts w:ascii="SimSun" w:hAnsi="SimSun" w:eastAsia="SimSun" w:cs="SimSun"/>
          <w:sz w:val="24"/>
          <w:szCs w:val="24"/>
        </w:rPr>
        <w:fldChar w:fldCharType="separate"/>
      </w:r>
      <w:r>
        <w:rPr>
          <w:rStyle w:val="17"/>
          <w:rFonts w:ascii="SimSun" w:hAnsi="SimSun" w:eastAsia="SimSun" w:cs="SimSun"/>
          <w:sz w:val="24"/>
          <w:szCs w:val="24"/>
        </w:rPr>
        <w:t>Open University</w:t>
      </w:r>
      <w:r>
        <w:rPr>
          <w:rFonts w:ascii="SimSun" w:hAnsi="SimSun" w:eastAsia="SimSun" w:cs="SimSun"/>
          <w:sz w:val="24"/>
          <w:szCs w:val="24"/>
        </w:rPr>
        <w:fldChar w:fldCharType="end"/>
      </w:r>
    </w:p>
    <w:p w14:paraId="7A8C4CDB">
      <w:pPr>
        <w:pStyle w:val="2"/>
      </w:pPr>
      <w:r>
        <w:drawing>
          <wp:inline distT="0" distB="0" distL="114300" distR="114300">
            <wp:extent cx="5719445" cy="1647190"/>
            <wp:effectExtent l="0" t="0" r="10795" b="13970"/>
            <wp:docPr id="10" name="Picture 10" descr="Screenshot 2025-10-29 152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creenshot 2025-10-29 152653"/>
                    <pic:cNvPicPr>
                      <a:picLocks noChangeAspect="1"/>
                    </pic:cNvPicPr>
                  </pic:nvPicPr>
                  <pic:blipFill>
                    <a:blip r:embed="rId8"/>
                    <a:stretch>
                      <a:fillRect/>
                    </a:stretch>
                  </pic:blipFill>
                  <pic:spPr>
                    <a:xfrm>
                      <a:off x="0" y="0"/>
                      <a:ext cx="5719445" cy="1647190"/>
                    </a:xfrm>
                    <a:prstGeom prst="rect">
                      <a:avLst/>
                    </a:prstGeom>
                  </pic:spPr>
                </pic:pic>
              </a:graphicData>
            </a:graphic>
          </wp:inline>
        </w:drawing>
      </w:r>
      <w:r>
        <w:t xml:space="preserve"> </w:t>
      </w:r>
    </w:p>
    <w:p w14:paraId="46ECF222">
      <w:pPr>
        <w:pStyle w:val="2"/>
      </w:pPr>
      <w:bookmarkStart w:id="2" w:name="_Toc211605239"/>
      <w:r>
        <w:t>LinkedIn Learning Certificates for Office365</w:t>
      </w:r>
      <w:bookmarkEnd w:id="2"/>
    </w:p>
    <w:p w14:paraId="499FE69C">
      <w:r>
        <w:t>Add all the certificates from LinkedIn learning here</w:t>
      </w:r>
    </w:p>
    <w:p w14:paraId="6B17A105"/>
    <w:p w14:paraId="4F6728E3">
      <w:r>
        <w:rPr>
          <w:rFonts w:hint="default"/>
        </w:rPr>
        <w:t>https://m365.cloud.microsoft/apps?origindomain=Office&amp;refOrigin=Other&amp;auth=2</w:t>
      </w:r>
    </w:p>
    <w:p w14:paraId="6E181F36">
      <w:pPr>
        <w:pStyle w:val="2"/>
      </w:pPr>
      <w:bookmarkStart w:id="3" w:name="_Toc211605240"/>
    </w:p>
    <w:p w14:paraId="356AE92F">
      <w:pPr>
        <w:pStyle w:val="2"/>
      </w:pPr>
      <w:r>
        <w:t>Task 3</w:t>
      </w:r>
      <w:bookmarkEnd w:id="3"/>
      <w:r>
        <w:t xml:space="preserve"> </w:t>
      </w:r>
    </w:p>
    <w:p w14:paraId="4C4226A4">
      <w:pPr>
        <w:pStyle w:val="2"/>
      </w:pPr>
      <w:bookmarkStart w:id="4" w:name="_Toc211605241"/>
      <w:r>
        <w:t>Essay on Relevance of Excel in professional and personal life.</w:t>
      </w:r>
      <w:bookmarkEnd w:id="4"/>
    </w:p>
    <w:p w14:paraId="7C4A3255">
      <w:pPr>
        <w:pStyle w:val="18"/>
        <w:keepNext w:val="0"/>
        <w:keepLines w:val="0"/>
        <w:widowControl/>
        <w:suppressLineNumbers w:val="0"/>
        <w:rPr>
          <w:rFonts w:hint="default" w:asciiTheme="minorAscii" w:hAnsiTheme="minorAscii"/>
        </w:rPr>
      </w:pPr>
      <w:r>
        <w:rPr>
          <w:rFonts w:hint="default" w:asciiTheme="minorAscii" w:hAnsiTheme="minorAscii"/>
        </w:rPr>
        <w:t xml:space="preserve"> In the modern digital age, proficiency in technology is no longer optional; it is essential. Among the numerous software tools available today, Microsoft Excel stands out as one of the most widely used and versatile applications across various fields. From managing budgets and analyzing data to organizing personal schedules and recording information, Excel has proven to be an indispensable tool in both professional and personal contexts. Its ability to perform calculations, store large volumes of data, generate visual insights, and automate tasks has made it an integral component of everyday life. This essay explores the relevance of Excel in professional and personal settings, examining its functions, advantages, and the skills it fosters.</w:t>
      </w:r>
    </w:p>
    <w:p w14:paraId="2338B1D5">
      <w:pPr>
        <w:pStyle w:val="18"/>
        <w:keepNext w:val="0"/>
        <w:keepLines w:val="0"/>
        <w:widowControl/>
        <w:suppressLineNumbers w:val="0"/>
        <w:rPr>
          <w:rFonts w:hint="default" w:asciiTheme="minorAscii" w:hAnsiTheme="minorAscii"/>
        </w:rPr>
      </w:pPr>
      <w:r>
        <w:rPr>
          <w:rFonts w:hint="default" w:asciiTheme="minorAscii" w:hAnsiTheme="minorAscii"/>
        </w:rPr>
        <w:t>Excel’s influence in professional environments is vast and far-reaching. Almost every organization, regardless of size or industry, relies on Excel for data management and decision-making. It is a universal language of business analysis, financial planning, and operational efficienc</w:t>
      </w:r>
      <w:r>
        <w:rPr>
          <w:rFonts w:hint="default" w:asciiTheme="minorAscii" w:hAnsiTheme="minorAscii"/>
          <w:lang w:val="en-US"/>
        </w:rPr>
        <w:t xml:space="preserve">n. </w:t>
      </w:r>
      <w:r>
        <w:rPr>
          <w:rFonts w:hint="default" w:asciiTheme="minorAscii" w:hAnsiTheme="minorAscii"/>
        </w:rPr>
        <w:t xml:space="preserve">At its core, Excel functions as a powerful data management tool. Businesses generate large amounts of data daily — sales figures, employee records, inventory lists, and customer information, among others. Excel provides a structured format for storing, sorting, and filtering this information efficiently. Its grid system of rows and columns allows professionals to input data systematically, making retrieval and analysis convenient. For example, a human resources department may use Excel to maintain employee attendance records, while a retail company can track product sales and inventory levels.One of the most common uses of Excel in professional life is financial analysis. Accountants, analysts, and managers depend on Excel for budgeting, forecasting, and cost analysis. Through built-in formulas such as </w:t>
      </w:r>
      <w:r>
        <w:rPr>
          <w:rStyle w:val="19"/>
          <w:rFonts w:hint="default" w:asciiTheme="minorAscii" w:hAnsiTheme="minorAscii"/>
        </w:rPr>
        <w:t>SUM</w:t>
      </w:r>
      <w:r>
        <w:rPr>
          <w:rFonts w:hint="default" w:asciiTheme="minorAscii" w:hAnsiTheme="minorAscii"/>
        </w:rPr>
        <w:t xml:space="preserve">, </w:t>
      </w:r>
      <w:r>
        <w:rPr>
          <w:rStyle w:val="19"/>
          <w:rFonts w:hint="default" w:asciiTheme="minorAscii" w:hAnsiTheme="minorAscii"/>
        </w:rPr>
        <w:t>AVERAGE</w:t>
      </w:r>
      <w:r>
        <w:rPr>
          <w:rFonts w:hint="default" w:asciiTheme="minorAscii" w:hAnsiTheme="minorAscii"/>
        </w:rPr>
        <w:t xml:space="preserve">, </w:t>
      </w:r>
      <w:r>
        <w:rPr>
          <w:rStyle w:val="19"/>
          <w:rFonts w:hint="default" w:asciiTheme="minorAscii" w:hAnsiTheme="minorAscii"/>
        </w:rPr>
        <w:t>VLOOKUP</w:t>
      </w:r>
      <w:r>
        <w:rPr>
          <w:rFonts w:hint="default" w:asciiTheme="minorAscii" w:hAnsiTheme="minorAscii"/>
        </w:rPr>
        <w:t xml:space="preserve">, and </w:t>
      </w:r>
      <w:r>
        <w:rPr>
          <w:rStyle w:val="19"/>
          <w:rFonts w:hint="default" w:asciiTheme="minorAscii" w:hAnsiTheme="minorAscii"/>
        </w:rPr>
        <w:t>IF statements</w:t>
      </w:r>
      <w:r>
        <w:rPr>
          <w:rFonts w:hint="default" w:asciiTheme="minorAscii" w:hAnsiTheme="minorAscii"/>
        </w:rPr>
        <w:t xml:space="preserve">, professionals can perform complex financial calculations with accuracy and speed. Excel also allows the creation of balance sheets, income statements, and cash flow reports, which are critical for evaluating an organization’s financial performance. The ability to visualize this data through charts and graphs further enhances comprehension and supports strategic decision-making.Data visualization is a key component of modern business intelligence, and Excel offers a wide range of tools for transforming raw data into meaningful insights. Professionals can create bar charts, pie charts, line graphs, and pivot tables to represent data trends visually. This not only simplifies the interpretation of information but also aids in presenting data effectively during meetings or reports. Managers and team leaders often rely on Excel-generated dashboards to monitor performance metrics, track progress, and identify areas needing improvement.Project management is another area where Excel proves its value. Project managers can design </w:t>
      </w:r>
      <w:r>
        <w:rPr>
          <w:rStyle w:val="19"/>
          <w:rFonts w:hint="default" w:asciiTheme="minorAscii" w:hAnsiTheme="minorAscii"/>
        </w:rPr>
        <w:t>Gantt charts</w:t>
      </w:r>
      <w:r>
        <w:rPr>
          <w:rFonts w:hint="default" w:asciiTheme="minorAscii" w:hAnsiTheme="minorAscii"/>
        </w:rPr>
        <w:t xml:space="preserve"> to visualize timelines, allocate resources, and track milestones. Excel’s flexibility allows customization to suit various project types, whether in construction, marketing, or software development. Furthermore, conditional formatting can be used to highlight deadlines, risks, or task dependencies, helping teams stay organized and accountabl</w:t>
      </w:r>
      <w:r>
        <w:rPr>
          <w:rFonts w:hint="default" w:asciiTheme="minorAscii" w:hAnsiTheme="minorAscii"/>
          <w:lang w:val="en-US"/>
        </w:rPr>
        <w:t xml:space="preserve">. </w:t>
      </w:r>
      <w:r>
        <w:rPr>
          <w:rFonts w:hint="default" w:asciiTheme="minorAscii" w:hAnsiTheme="minorAscii"/>
        </w:rPr>
        <w:t xml:space="preserve">Excel’s analytical capabilities make it indispensable for professionals in data-driven roles. Using features like </w:t>
      </w:r>
      <w:r>
        <w:rPr>
          <w:rStyle w:val="19"/>
          <w:rFonts w:hint="default" w:asciiTheme="minorAscii" w:hAnsiTheme="minorAscii"/>
        </w:rPr>
        <w:t>PivotTables</w:t>
      </w:r>
      <w:r>
        <w:rPr>
          <w:rFonts w:hint="default" w:asciiTheme="minorAscii" w:hAnsiTheme="minorAscii"/>
        </w:rPr>
        <w:t xml:space="preserve">, </w:t>
      </w:r>
      <w:r>
        <w:rPr>
          <w:rStyle w:val="19"/>
          <w:rFonts w:hint="default" w:asciiTheme="minorAscii" w:hAnsiTheme="minorAscii"/>
        </w:rPr>
        <w:t>Power Query</w:t>
      </w:r>
      <w:r>
        <w:rPr>
          <w:rFonts w:hint="default" w:asciiTheme="minorAscii" w:hAnsiTheme="minorAscii"/>
        </w:rPr>
        <w:t xml:space="preserve">, and </w:t>
      </w:r>
      <w:r>
        <w:rPr>
          <w:rStyle w:val="19"/>
          <w:rFonts w:hint="default" w:asciiTheme="minorAscii" w:hAnsiTheme="minorAscii"/>
        </w:rPr>
        <w:t>What-If Analysis</w:t>
      </w:r>
      <w:r>
        <w:rPr>
          <w:rFonts w:hint="default" w:asciiTheme="minorAscii" w:hAnsiTheme="minorAscii"/>
        </w:rPr>
        <w:t xml:space="preserve">, professionals can uncover patterns and relationships within datasets. These tools help in forecasting trends, evaluating business strategies, and making evidence-based decisions. For instance, a marketing analyst might use Excel to measure the effectiveness of advertising campaigns or to analyze customer demographics and purchasing behaviorAnother major advantage of Excel is its capacity for automation through </w:t>
      </w:r>
      <w:r>
        <w:rPr>
          <w:rStyle w:val="19"/>
          <w:rFonts w:hint="default" w:asciiTheme="minorAscii" w:hAnsiTheme="minorAscii"/>
        </w:rPr>
        <w:t>macros</w:t>
      </w:r>
      <w:r>
        <w:rPr>
          <w:rFonts w:hint="default" w:asciiTheme="minorAscii" w:hAnsiTheme="minorAscii"/>
        </w:rPr>
        <w:t xml:space="preserve"> and </w:t>
      </w:r>
      <w:r>
        <w:rPr>
          <w:rStyle w:val="19"/>
          <w:rFonts w:hint="default" w:asciiTheme="minorAscii" w:hAnsiTheme="minorAscii"/>
        </w:rPr>
        <w:t>VBA (Visual Basic for Applications)</w:t>
      </w:r>
      <w:r>
        <w:rPr>
          <w:rFonts w:hint="default" w:asciiTheme="minorAscii" w:hAnsiTheme="minorAscii"/>
        </w:rPr>
        <w:t>. Routine tasks — such as formatting reports, cleaning data, or generating summaries — can be automated to save time and minimize human error. This not only improves productivity but also allows professionals to focus on more strategic activities. In essence, Excel acts as a bridge between data and decision-making, empowering professionals across all industries.</w:t>
      </w:r>
    </w:p>
    <w:p w14:paraId="46550A22">
      <w:pPr>
        <w:pStyle w:val="18"/>
        <w:keepNext w:val="0"/>
        <w:keepLines w:val="0"/>
        <w:widowControl/>
        <w:suppressLineNumbers w:val="0"/>
        <w:rPr>
          <w:rFonts w:hint="default" w:asciiTheme="minorAscii" w:hAnsiTheme="minorAscii"/>
        </w:rPr>
      </w:pPr>
      <w:r>
        <w:rPr>
          <w:rFonts w:hint="default" w:asciiTheme="minorAscii" w:hAnsiTheme="minorAscii"/>
        </w:rPr>
        <w:t>While Excel’s professional applications are widely recognized, its usefulness extends deeply into personal life as well. In an age where individuals manage complex financial, educational, and lifestyle responsibilities, Excel provides a simple yet powerful platform for personal organization and planning.</w:t>
      </w:r>
    </w:p>
    <w:p w14:paraId="13E9C5BB">
      <w:pPr>
        <w:pStyle w:val="18"/>
        <w:keepNext w:val="0"/>
        <w:keepLines w:val="0"/>
        <w:widowControl/>
        <w:suppressLineNumbers w:val="0"/>
        <w:rPr>
          <w:rFonts w:hint="default" w:asciiTheme="minorAscii" w:hAnsiTheme="minorAscii"/>
        </w:rPr>
      </w:pPr>
      <w:r>
        <w:rPr>
          <w:rFonts w:hint="default" w:asciiTheme="minorAscii" w:hAnsiTheme="minorAscii"/>
        </w:rPr>
        <w:t>Managing personal finances is one of the most common personal uses of Excel. It allows individuals to create detailed budgets, track expenses, and monitor savings goals. By listing income sources and categorizing expenditures, users can easily calculate balances and identify areas where they can save. Formulas and charts make it easy to visualize spending patterns over time. For example, a monthly household budget spreadsheet can include rent, utilities, groceries, and entertainment expenses, helping individuals plan for long-term financial stability.</w:t>
      </w:r>
    </w:p>
    <w:p w14:paraId="3869C612">
      <w:pPr>
        <w:pStyle w:val="18"/>
        <w:keepNext w:val="0"/>
        <w:keepLines w:val="0"/>
        <w:widowControl/>
        <w:suppressLineNumbers w:val="0"/>
        <w:rPr>
          <w:rFonts w:hint="default" w:asciiTheme="minorAscii" w:hAnsiTheme="minorAscii"/>
        </w:rPr>
      </w:pPr>
      <w:r>
        <w:rPr>
          <w:rFonts w:hint="default" w:asciiTheme="minorAscii" w:hAnsiTheme="minorAscii"/>
        </w:rPr>
        <w:t>Excel also serves as an excellent tool for goal setting. Whether tracking fitness progress, planning academic goals, or organizing a travel itinerary, Excel helps visualize progress and stay accountable. Conditional formatting can be used to mark milestones or highlight overdue tasks, providing a clear and motivating overview. This level of organization encourages discipline and productivity in personal pursuits.</w:t>
      </w:r>
    </w:p>
    <w:p w14:paraId="6243ED4A">
      <w:pPr>
        <w:pStyle w:val="18"/>
        <w:keepNext w:val="0"/>
        <w:keepLines w:val="0"/>
        <w:widowControl/>
        <w:suppressLineNumbers w:val="0"/>
        <w:rPr>
          <w:rFonts w:hint="default" w:asciiTheme="minorAscii" w:hAnsiTheme="minorAscii"/>
        </w:rPr>
      </w:pPr>
      <w:r>
        <w:rPr>
          <w:rFonts w:hint="default" w:asciiTheme="minorAscii" w:hAnsiTheme="minorAscii"/>
        </w:rPr>
        <w:t>In a fast-paced world, time management is crucial. Excel spreadsheets can function as planners, calendars, or to-do lists, allowing individuals to organize daily, weekly, or monthly schedules. Tasks can be prioritized, deadlines set, and reminders added to ensure efficiency. Students, for example, can use Excel to track assignments and exam dates, while working professionals can plan their weekly activities and appointments.</w:t>
      </w:r>
    </w:p>
    <w:p w14:paraId="3A2957E2">
      <w:pPr>
        <w:pStyle w:val="18"/>
        <w:keepNext w:val="0"/>
        <w:keepLines w:val="0"/>
        <w:widowControl/>
        <w:suppressLineNumbers w:val="0"/>
        <w:rPr>
          <w:rFonts w:hint="default" w:asciiTheme="minorAscii" w:hAnsiTheme="minorAscii"/>
        </w:rPr>
      </w:pPr>
      <w:r>
        <w:rPr>
          <w:rFonts w:hint="default" w:asciiTheme="minorAscii" w:hAnsiTheme="minorAscii"/>
        </w:rPr>
        <w:t>Excel can even assist in managing household responsibilities. Families can use spreadsheets to track grocery lists, maintenance schedules, or family budgets. It can also be used to plan events, manage travel itineraries, or record health and fitness data for each family member. The ability to customize templates means Excel can be adapted for nearly any home management purpose.Using Excel enhances several valuable skills that contribute to personal growth. Learning to use formulas, manage data, and design reports develops logical thinking, attention to detail, and analytical ability. These are transferable skills that can be applied in multiple aspects of life, from career advancement to academic research. In fact, familiarity with Excel is often considered a core digital literacy skill in the 21st century.Beyond its specific applications, Excel holds a broader significance as a symbol of digital competence. In today’s job market, Excel proficiency is a fundamental requirement for many positions. Employers view it as an indicator of analytical thinking and problem-solving ability. Moreover, Excel bridges the gap between technical and non-technical users by offering a user-friendly interface for performing sophisticated operations. Its adaptability has allowed it to remain relevant even as newer technologies emerge, integrating seamlessly with tools such as Power BI, Python, and cloud-based platforms.</w:t>
      </w:r>
    </w:p>
    <w:p w14:paraId="1B114888">
      <w:pPr>
        <w:pStyle w:val="18"/>
        <w:keepNext w:val="0"/>
        <w:keepLines w:val="0"/>
        <w:widowControl/>
        <w:suppressLineNumbers w:val="0"/>
        <w:rPr>
          <w:rFonts w:hint="default" w:asciiTheme="minorAscii" w:hAnsiTheme="minorAscii"/>
        </w:rPr>
      </w:pPr>
      <w:r>
        <w:rPr>
          <w:rFonts w:hint="default" w:asciiTheme="minorAscii" w:hAnsiTheme="minorAscii"/>
        </w:rPr>
        <w:t>Furthermore, Excel contributes to the democratization of data — enabling ordinary individuals, not just data scientists or IT professionals, to analyze and interpret information effectively. This empowerment promotes informed decision-making at every level of society, from personal finance to global business</w:t>
      </w:r>
      <w:r>
        <w:rPr>
          <w:rFonts w:hint="default" w:asciiTheme="minorAscii" w:hAnsiTheme="minorAscii"/>
          <w:lang w:val="en-US"/>
        </w:rPr>
        <w:t>.</w:t>
      </w:r>
      <w:r>
        <w:rPr>
          <w:rFonts w:hint="default" w:asciiTheme="minorAscii" w:hAnsiTheme="minorAscii"/>
        </w:rPr>
        <w:t>In conclusion, Microsoft Excel remains one of the most relevant and versatile tools in both professional and personal life. Its wide range of functions — from data management and analysis to visualization and automation — has made it indispensable in modern workplaces. Simultaneously, its accessibility and flexibility make it an equally valuable resource for managing personal finances, time, and goals. Excel’s enduring relevance lies in its ability to adapt to diverse needs, enhance productivity, and foster analytical thinking. As technology continues to evolve, Excel’s role as a foundational tool for organization, computation, and decision-making will undoubtedly continue to shape how people work, plan, and live in the digital era.</w:t>
      </w:r>
    </w:p>
    <w:p w14:paraId="58C99644"/>
    <w:p w14:paraId="350CAE54">
      <w:r>
        <w:t>8 references</w:t>
      </w:r>
    </w:p>
    <w:p w14:paraId="1FEB05CE">
      <w:pPr>
        <w:rPr>
          <w:rFonts w:ascii="SimSun" w:hAnsi="SimSun" w:eastAsia="SimSun" w:cs="SimSun"/>
          <w:sz w:val="24"/>
          <w:szCs w:val="24"/>
        </w:rPr>
      </w:pPr>
      <w:r>
        <w:rPr>
          <w:rFonts w:ascii="SimSun" w:hAnsi="SimSun" w:eastAsia="SimSun" w:cs="SimSun"/>
          <w:sz w:val="24"/>
          <w:szCs w:val="24"/>
        </w:rPr>
        <w:t xml:space="preserve">Microsoft Corporation (2019) </w:t>
      </w:r>
      <w:r>
        <w:rPr>
          <w:rStyle w:val="13"/>
          <w:rFonts w:ascii="SimSun" w:hAnsi="SimSun" w:eastAsia="SimSun" w:cs="SimSun"/>
          <w:sz w:val="24"/>
          <w:szCs w:val="24"/>
        </w:rPr>
        <w:t>Microsoft Excel</w:t>
      </w:r>
      <w:r>
        <w:rPr>
          <w:rFonts w:ascii="SimSun" w:hAnsi="SimSun" w:eastAsia="SimSun" w:cs="SimSun"/>
          <w:sz w:val="24"/>
          <w:szCs w:val="24"/>
        </w:rPr>
        <w:t xml:space="preserve"> (version 16.0) [software]. Available at: https://office.microsoft.com/excel (Accessed: 31 October 2025)</w:t>
      </w:r>
    </w:p>
    <w:p w14:paraId="48B2D858">
      <w:pPr>
        <w:rPr>
          <w:rFonts w:ascii="SimSun" w:hAnsi="SimSun" w:eastAsia="SimSun" w:cs="SimSun"/>
          <w:sz w:val="24"/>
          <w:szCs w:val="24"/>
        </w:rPr>
      </w:pPr>
    </w:p>
    <w:p w14:paraId="2668A468">
      <w:pPr>
        <w:rPr>
          <w:rFonts w:ascii="SimSun" w:hAnsi="SimSun" w:eastAsia="SimSun" w:cs="SimSun"/>
          <w:sz w:val="24"/>
          <w:szCs w:val="24"/>
        </w:rPr>
      </w:pPr>
      <w:r>
        <w:rPr>
          <w:rFonts w:ascii="SimSun" w:hAnsi="SimSun" w:eastAsia="SimSun" w:cs="SimSun"/>
          <w:sz w:val="24"/>
          <w:szCs w:val="24"/>
        </w:rPr>
        <w:t>Leahy, S., Nolan, A., &amp; O’ Connell, J., Kenny, R. A. (2012) ‘The Irish longitudinal study on ageing (TILDA)’ [dataset]. Available at: http://www.ucd.ie/issda/data/tilda/ (Accessed: December 2014).</w:t>
      </w:r>
    </w:p>
    <w:p w14:paraId="0CC66F00">
      <w:pPr>
        <w:rPr>
          <w:rFonts w:ascii="SimSun" w:hAnsi="SimSun" w:eastAsia="SimSun" w:cs="SimSun"/>
          <w:sz w:val="24"/>
          <w:szCs w:val="24"/>
        </w:rPr>
      </w:pPr>
      <w:r>
        <w:rPr>
          <w:rFonts w:ascii="SimSun" w:hAnsi="SimSun" w:eastAsia="SimSun" w:cs="SimSun"/>
          <w:sz w:val="24"/>
          <w:szCs w:val="24"/>
        </w:rPr>
        <w:t xml:space="preserve">University of Sheffield Library (2020) </w:t>
      </w:r>
      <w:r>
        <w:rPr>
          <w:rStyle w:val="13"/>
          <w:rFonts w:ascii="SimSun" w:hAnsi="SimSun" w:eastAsia="SimSun" w:cs="SimSun"/>
          <w:sz w:val="24"/>
          <w:szCs w:val="24"/>
        </w:rPr>
        <w:t>Harvard referencing style guide</w:t>
      </w:r>
      <w:r>
        <w:rPr>
          <w:rFonts w:ascii="SimSun" w:hAnsi="SimSun" w:eastAsia="SimSun" w:cs="SimSun"/>
          <w:sz w:val="24"/>
          <w:szCs w:val="24"/>
        </w:rPr>
        <w:t xml:space="preserve">. Sheffield: University of Sheffield. Available at: </w:t>
      </w:r>
      <w:r>
        <w:rPr>
          <w:rFonts w:ascii="SimSun" w:hAnsi="SimSun" w:eastAsia="SimSun" w:cs="SimSun"/>
          <w:sz w:val="24"/>
          <w:szCs w:val="24"/>
        </w:rPr>
        <w:fldChar w:fldCharType="begin"/>
      </w:r>
      <w:r>
        <w:rPr>
          <w:rFonts w:ascii="SimSun" w:hAnsi="SimSun" w:eastAsia="SimSun" w:cs="SimSun"/>
          <w:sz w:val="24"/>
          <w:szCs w:val="24"/>
        </w:rPr>
        <w:instrText xml:space="preserve"> HYPERLINK "https://librarydevelopment.group.shef.ac.uk/preentry/harvard.html?utm_source=chatgpt.com" \t "_new" </w:instrText>
      </w:r>
      <w:r>
        <w:rPr>
          <w:rFonts w:ascii="SimSun" w:hAnsi="SimSun" w:eastAsia="SimSun" w:cs="SimSun"/>
          <w:sz w:val="24"/>
          <w:szCs w:val="24"/>
        </w:rPr>
        <w:fldChar w:fldCharType="separate"/>
      </w:r>
      <w:r>
        <w:rPr>
          <w:rStyle w:val="17"/>
          <w:rFonts w:ascii="SimSun" w:hAnsi="SimSun" w:eastAsia="SimSun" w:cs="SimSun"/>
          <w:sz w:val="24"/>
          <w:szCs w:val="24"/>
        </w:rPr>
        <w:t>https://librarydevelopment.group.shef.ac.uk/preentry/harvard.html</w:t>
      </w:r>
      <w:r>
        <w:rPr>
          <w:rFonts w:ascii="SimSun" w:hAnsi="SimSun" w:eastAsia="SimSun" w:cs="SimSun"/>
          <w:sz w:val="24"/>
          <w:szCs w:val="24"/>
        </w:rPr>
        <w:fldChar w:fldCharType="end"/>
      </w:r>
      <w:r>
        <w:rPr>
          <w:rFonts w:ascii="SimSun" w:hAnsi="SimSun" w:eastAsia="SimSun" w:cs="SimSun"/>
          <w:sz w:val="24"/>
          <w:szCs w:val="24"/>
        </w:rPr>
        <w:t xml:space="preserve"> (Accessed: 31 October 2025).</w:t>
      </w:r>
    </w:p>
    <w:p w14:paraId="0462090B">
      <w:pPr>
        <w:rPr>
          <w:rFonts w:ascii="SimSun" w:hAnsi="SimSun" w:eastAsia="SimSun" w:cs="SimSun"/>
          <w:sz w:val="24"/>
          <w:szCs w:val="24"/>
        </w:rPr>
      </w:pPr>
    </w:p>
    <w:p w14:paraId="243C8B28">
      <w:pPr>
        <w:rPr>
          <w:rFonts w:ascii="SimSun" w:hAnsi="SimSun" w:eastAsia="SimSun" w:cs="SimSun"/>
          <w:sz w:val="24"/>
          <w:szCs w:val="24"/>
        </w:rPr>
      </w:pPr>
      <w:r>
        <w:rPr>
          <w:rFonts w:ascii="SimSun" w:hAnsi="SimSun" w:eastAsia="SimSun" w:cs="SimSun"/>
          <w:sz w:val="24"/>
          <w:szCs w:val="24"/>
        </w:rPr>
        <w:t xml:space="preserve">UCD Library (2025) ‘Graphs, tables, etc.’ </w:t>
      </w:r>
      <w:r>
        <w:rPr>
          <w:rStyle w:val="13"/>
          <w:rFonts w:ascii="SimSun" w:hAnsi="SimSun" w:eastAsia="SimSun" w:cs="SimSun"/>
          <w:sz w:val="24"/>
          <w:szCs w:val="24"/>
        </w:rPr>
        <w:t>Harvard Style Guide</w:t>
      </w:r>
      <w:r>
        <w:rPr>
          <w:rFonts w:ascii="SimSun" w:hAnsi="SimSun" w:eastAsia="SimSun" w:cs="SimSun"/>
          <w:sz w:val="24"/>
          <w:szCs w:val="24"/>
        </w:rPr>
        <w:t xml:space="preserve">. Available at: </w:t>
      </w:r>
      <w:r>
        <w:rPr>
          <w:rFonts w:ascii="SimSun" w:hAnsi="SimSun" w:eastAsia="SimSun" w:cs="SimSun"/>
          <w:sz w:val="24"/>
          <w:szCs w:val="24"/>
        </w:rPr>
        <w:fldChar w:fldCharType="begin"/>
      </w:r>
      <w:r>
        <w:rPr>
          <w:rFonts w:ascii="SimSun" w:hAnsi="SimSun" w:eastAsia="SimSun" w:cs="SimSun"/>
          <w:sz w:val="24"/>
          <w:szCs w:val="24"/>
        </w:rPr>
        <w:instrText xml:space="preserve"> HYPERLINK "https://libguides.ucd.ie/harvardstyle/harvardtables?utm_source=chatgpt.com" \t "_new" </w:instrText>
      </w:r>
      <w:r>
        <w:rPr>
          <w:rFonts w:ascii="SimSun" w:hAnsi="SimSun" w:eastAsia="SimSun" w:cs="SimSun"/>
          <w:sz w:val="24"/>
          <w:szCs w:val="24"/>
        </w:rPr>
        <w:fldChar w:fldCharType="separate"/>
      </w:r>
      <w:r>
        <w:rPr>
          <w:rStyle w:val="17"/>
          <w:rFonts w:ascii="SimSun" w:hAnsi="SimSun" w:eastAsia="SimSun" w:cs="SimSun"/>
          <w:sz w:val="24"/>
          <w:szCs w:val="24"/>
        </w:rPr>
        <w:t>https://libguides.ucd.ie/harvardstyle/harvardtables</w:t>
      </w:r>
      <w:r>
        <w:rPr>
          <w:rFonts w:ascii="SimSun" w:hAnsi="SimSun" w:eastAsia="SimSun" w:cs="SimSun"/>
          <w:sz w:val="24"/>
          <w:szCs w:val="24"/>
        </w:rPr>
        <w:fldChar w:fldCharType="end"/>
      </w:r>
      <w:r>
        <w:rPr>
          <w:rFonts w:ascii="SimSun" w:hAnsi="SimSun" w:eastAsia="SimSun" w:cs="SimSun"/>
          <w:sz w:val="24"/>
          <w:szCs w:val="24"/>
        </w:rPr>
        <w:t xml:space="preserve"> (Accessed: 31 October 2025).</w:t>
      </w:r>
    </w:p>
    <w:p w14:paraId="0D1A5E31">
      <w:pPr>
        <w:rPr>
          <w:rFonts w:ascii="SimSun" w:hAnsi="SimSun" w:eastAsia="SimSun" w:cs="SimSun"/>
          <w:sz w:val="24"/>
          <w:szCs w:val="24"/>
        </w:rPr>
      </w:pPr>
    </w:p>
    <w:p w14:paraId="59A9092C">
      <w:pPr>
        <w:rPr>
          <w:rFonts w:ascii="SimSun" w:hAnsi="SimSun" w:eastAsia="SimSun" w:cs="SimSun"/>
          <w:sz w:val="24"/>
          <w:szCs w:val="24"/>
        </w:rPr>
      </w:pPr>
      <w:r>
        <w:rPr>
          <w:rFonts w:ascii="SimSun" w:hAnsi="SimSun" w:eastAsia="SimSun" w:cs="SimSun"/>
          <w:sz w:val="24"/>
          <w:szCs w:val="24"/>
        </w:rPr>
        <w:t xml:space="preserve">Birmingham City University Library (2025) </w:t>
      </w:r>
      <w:r>
        <w:rPr>
          <w:rStyle w:val="13"/>
          <w:rFonts w:ascii="SimSun" w:hAnsi="SimSun" w:eastAsia="SimSun" w:cs="SimSun"/>
          <w:sz w:val="24"/>
          <w:szCs w:val="24"/>
        </w:rPr>
        <w:t>Harvard Referencing: Common Questions</w:t>
      </w:r>
      <w:r>
        <w:rPr>
          <w:rFonts w:ascii="SimSun" w:hAnsi="SimSun" w:eastAsia="SimSun" w:cs="SimSun"/>
          <w:sz w:val="24"/>
          <w:szCs w:val="24"/>
        </w:rPr>
        <w:t xml:space="preserve">. Available at: </w:t>
      </w:r>
      <w:r>
        <w:rPr>
          <w:rFonts w:ascii="SimSun" w:hAnsi="SimSun" w:eastAsia="SimSun" w:cs="SimSun"/>
          <w:sz w:val="24"/>
          <w:szCs w:val="24"/>
        </w:rPr>
        <w:fldChar w:fldCharType="begin"/>
      </w:r>
      <w:r>
        <w:rPr>
          <w:rFonts w:ascii="SimSun" w:hAnsi="SimSun" w:eastAsia="SimSun" w:cs="SimSun"/>
          <w:sz w:val="24"/>
          <w:szCs w:val="24"/>
        </w:rPr>
        <w:instrText xml:space="preserve"> HYPERLINK "https://www.bcu.ac.uk/library/services-and-support/referencing/harvard/common-questions?utm_source=chatgpt.com" \t "_new" </w:instrText>
      </w:r>
      <w:r>
        <w:rPr>
          <w:rFonts w:ascii="SimSun" w:hAnsi="SimSun" w:eastAsia="SimSun" w:cs="SimSun"/>
          <w:sz w:val="24"/>
          <w:szCs w:val="24"/>
        </w:rPr>
        <w:fldChar w:fldCharType="separate"/>
      </w:r>
      <w:r>
        <w:rPr>
          <w:rStyle w:val="17"/>
          <w:rFonts w:ascii="SimSun" w:hAnsi="SimSun" w:eastAsia="SimSun" w:cs="SimSun"/>
          <w:sz w:val="24"/>
          <w:szCs w:val="24"/>
        </w:rPr>
        <w:t>https://www.bcu.ac.uk/library/services-and-support/referencing/harvard/common-questions</w:t>
      </w:r>
      <w:r>
        <w:rPr>
          <w:rFonts w:ascii="SimSun" w:hAnsi="SimSun" w:eastAsia="SimSun" w:cs="SimSun"/>
          <w:sz w:val="24"/>
          <w:szCs w:val="24"/>
        </w:rPr>
        <w:fldChar w:fldCharType="end"/>
      </w:r>
      <w:r>
        <w:rPr>
          <w:rFonts w:ascii="SimSun" w:hAnsi="SimSun" w:eastAsia="SimSun" w:cs="SimSun"/>
          <w:sz w:val="24"/>
          <w:szCs w:val="24"/>
        </w:rPr>
        <w:t xml:space="preserve"> (Accessed: 31 October 2025)</w:t>
      </w:r>
    </w:p>
    <w:p w14:paraId="49D0C015">
      <w:pPr>
        <w:rPr>
          <w:rFonts w:ascii="SimSun" w:hAnsi="SimSun" w:eastAsia="SimSun" w:cs="SimSun"/>
          <w:sz w:val="24"/>
          <w:szCs w:val="24"/>
        </w:rPr>
      </w:pPr>
    </w:p>
    <w:p w14:paraId="04BFD4C7">
      <w:pPr>
        <w:rPr>
          <w:rFonts w:ascii="SimSun" w:hAnsi="SimSun" w:eastAsia="SimSun" w:cs="SimSun"/>
          <w:sz w:val="24"/>
          <w:szCs w:val="24"/>
        </w:rPr>
      </w:pPr>
      <w:r>
        <w:rPr>
          <w:rFonts w:ascii="SimSun" w:hAnsi="SimSun" w:eastAsia="SimSun" w:cs="SimSun"/>
          <w:sz w:val="24"/>
          <w:szCs w:val="24"/>
        </w:rPr>
        <w:t xml:space="preserve">Citebay (2020) ‘How to cite Microsoft Excel’. Available at: </w:t>
      </w:r>
      <w:r>
        <w:rPr>
          <w:rFonts w:ascii="SimSun" w:hAnsi="SimSun" w:eastAsia="SimSun" w:cs="SimSun"/>
          <w:sz w:val="24"/>
          <w:szCs w:val="24"/>
        </w:rPr>
        <w:fldChar w:fldCharType="begin"/>
      </w:r>
      <w:r>
        <w:rPr>
          <w:rFonts w:ascii="SimSun" w:hAnsi="SimSun" w:eastAsia="SimSun" w:cs="SimSun"/>
          <w:sz w:val="24"/>
          <w:szCs w:val="24"/>
        </w:rPr>
        <w:instrText xml:space="preserve"> HYPERLINK "https://citebay.com/how-to-cite/microsoft-excel/?utm_source=chatgpt.com" \t "_new" </w:instrText>
      </w:r>
      <w:r>
        <w:rPr>
          <w:rFonts w:ascii="SimSun" w:hAnsi="SimSun" w:eastAsia="SimSun" w:cs="SimSun"/>
          <w:sz w:val="24"/>
          <w:szCs w:val="24"/>
        </w:rPr>
        <w:fldChar w:fldCharType="separate"/>
      </w:r>
      <w:r>
        <w:rPr>
          <w:rStyle w:val="17"/>
          <w:rFonts w:ascii="SimSun" w:hAnsi="SimSun" w:eastAsia="SimSun" w:cs="SimSun"/>
          <w:sz w:val="24"/>
          <w:szCs w:val="24"/>
        </w:rPr>
        <w:t>https://citebay.com/how-to-cite/microsoft-excel/</w:t>
      </w:r>
      <w:r>
        <w:rPr>
          <w:rFonts w:ascii="SimSun" w:hAnsi="SimSun" w:eastAsia="SimSun" w:cs="SimSun"/>
          <w:sz w:val="24"/>
          <w:szCs w:val="24"/>
        </w:rPr>
        <w:fldChar w:fldCharType="end"/>
      </w:r>
      <w:r>
        <w:rPr>
          <w:rFonts w:ascii="SimSun" w:hAnsi="SimSun" w:eastAsia="SimSun" w:cs="SimSun"/>
          <w:sz w:val="24"/>
          <w:szCs w:val="24"/>
        </w:rPr>
        <w:t xml:space="preserve"> (Accessed: 31 October 2025).</w:t>
      </w:r>
    </w:p>
    <w:p w14:paraId="26B84E4D">
      <w:pPr>
        <w:rPr>
          <w:rFonts w:ascii="SimSun" w:hAnsi="SimSun" w:eastAsia="SimSun" w:cs="SimSun"/>
          <w:sz w:val="24"/>
          <w:szCs w:val="24"/>
        </w:rPr>
      </w:pPr>
    </w:p>
    <w:p w14:paraId="6EB7FAC5">
      <w:pPr>
        <w:rPr>
          <w:rFonts w:ascii="SimSun" w:hAnsi="SimSun" w:eastAsia="SimSun" w:cs="SimSun"/>
          <w:sz w:val="24"/>
          <w:szCs w:val="24"/>
        </w:rPr>
      </w:pPr>
      <w:r>
        <w:rPr>
          <w:rFonts w:ascii="SimSun" w:hAnsi="SimSun" w:eastAsia="SimSun" w:cs="SimSun"/>
          <w:sz w:val="24"/>
          <w:szCs w:val="24"/>
        </w:rPr>
        <w:t xml:space="preserve">UCL Library (2025) </w:t>
      </w:r>
      <w:r>
        <w:rPr>
          <w:rStyle w:val="13"/>
          <w:rFonts w:ascii="SimSun" w:hAnsi="SimSun" w:eastAsia="SimSun" w:cs="SimSun"/>
          <w:sz w:val="24"/>
          <w:szCs w:val="24"/>
        </w:rPr>
        <w:t>Harvard: Table</w:t>
      </w:r>
      <w:r>
        <w:rPr>
          <w:rFonts w:ascii="SimSun" w:hAnsi="SimSun" w:eastAsia="SimSun" w:cs="SimSun"/>
          <w:sz w:val="24"/>
          <w:szCs w:val="24"/>
        </w:rPr>
        <w:t xml:space="preserve">. Available at: </w:t>
      </w:r>
      <w:r>
        <w:rPr>
          <w:rFonts w:ascii="SimSun" w:hAnsi="SimSun" w:eastAsia="SimSun" w:cs="SimSun"/>
          <w:sz w:val="24"/>
          <w:szCs w:val="24"/>
        </w:rPr>
        <w:fldChar w:fldCharType="begin"/>
      </w:r>
      <w:r>
        <w:rPr>
          <w:rFonts w:ascii="SimSun" w:hAnsi="SimSun" w:eastAsia="SimSun" w:cs="SimSun"/>
          <w:sz w:val="24"/>
          <w:szCs w:val="24"/>
        </w:rPr>
        <w:instrText xml:space="preserve"> HYPERLINK "https://library-guides.ucl.ac.uk/harvard/table?utm_source=chatgpt.com" \t "_new" </w:instrText>
      </w:r>
      <w:r>
        <w:rPr>
          <w:rFonts w:ascii="SimSun" w:hAnsi="SimSun" w:eastAsia="SimSun" w:cs="SimSun"/>
          <w:sz w:val="24"/>
          <w:szCs w:val="24"/>
        </w:rPr>
        <w:fldChar w:fldCharType="separate"/>
      </w:r>
      <w:r>
        <w:rPr>
          <w:rStyle w:val="17"/>
          <w:rFonts w:ascii="SimSun" w:hAnsi="SimSun" w:eastAsia="SimSun" w:cs="SimSun"/>
          <w:sz w:val="24"/>
          <w:szCs w:val="24"/>
        </w:rPr>
        <w:t>https://library-guides.ucl.ac.uk/harvard/table</w:t>
      </w:r>
      <w:r>
        <w:rPr>
          <w:rFonts w:ascii="SimSun" w:hAnsi="SimSun" w:eastAsia="SimSun" w:cs="SimSun"/>
          <w:sz w:val="24"/>
          <w:szCs w:val="24"/>
        </w:rPr>
        <w:fldChar w:fldCharType="end"/>
      </w:r>
      <w:r>
        <w:rPr>
          <w:rFonts w:ascii="SimSun" w:hAnsi="SimSun" w:eastAsia="SimSun" w:cs="SimSun"/>
          <w:sz w:val="24"/>
          <w:szCs w:val="24"/>
        </w:rPr>
        <w:t xml:space="preserve"> (Accessed: 31 October 2025)</w:t>
      </w:r>
    </w:p>
    <w:p w14:paraId="42987623">
      <w:pPr>
        <w:rPr>
          <w:rFonts w:ascii="SimSun" w:hAnsi="SimSun" w:eastAsia="SimSun" w:cs="SimSun"/>
          <w:sz w:val="24"/>
          <w:szCs w:val="24"/>
        </w:rPr>
      </w:pPr>
    </w:p>
    <w:p w14:paraId="0F619713">
      <w:pPr>
        <w:rPr>
          <w:rFonts w:ascii="SimSun" w:hAnsi="SimSun" w:eastAsia="SimSun" w:cs="SimSun"/>
          <w:sz w:val="24"/>
          <w:szCs w:val="24"/>
        </w:rPr>
      </w:pPr>
      <w:r>
        <w:rPr>
          <w:rFonts w:ascii="SimSun" w:hAnsi="SimSun" w:eastAsia="SimSun" w:cs="SimSun"/>
          <w:sz w:val="24"/>
          <w:szCs w:val="24"/>
        </w:rPr>
        <w:t xml:space="preserve">Henley Business School (October 2022) </w:t>
      </w:r>
      <w:r>
        <w:rPr>
          <w:rStyle w:val="13"/>
          <w:rFonts w:ascii="SimSun" w:hAnsi="SimSun" w:eastAsia="SimSun" w:cs="SimSun"/>
          <w:sz w:val="24"/>
          <w:szCs w:val="24"/>
        </w:rPr>
        <w:t>Quick start guide to academic referencing</w:t>
      </w:r>
      <w:r>
        <w:rPr>
          <w:rFonts w:ascii="SimSun" w:hAnsi="SimSun" w:eastAsia="SimSun" w:cs="SimSun"/>
          <w:sz w:val="24"/>
          <w:szCs w:val="24"/>
        </w:rPr>
        <w:t xml:space="preserve">. Henley Business School. Available at: </w:t>
      </w:r>
      <w:r>
        <w:rPr>
          <w:rFonts w:ascii="SimSun" w:hAnsi="SimSun" w:eastAsia="SimSun" w:cs="SimSun"/>
          <w:sz w:val="24"/>
          <w:szCs w:val="24"/>
        </w:rPr>
        <w:fldChar w:fldCharType="begin"/>
      </w:r>
      <w:r>
        <w:rPr>
          <w:rFonts w:ascii="SimSun" w:hAnsi="SimSun" w:eastAsia="SimSun" w:cs="SimSun"/>
          <w:sz w:val="24"/>
          <w:szCs w:val="24"/>
        </w:rPr>
        <w:instrText xml:space="preserve"> HYPERLINK "https://assets.henley.ac.uk/v3/heroImages/Quick-start-guide-to-academic-referencing-October-2022-Accessibility-Update.pdf?utm_source=chatgpt.com" \t "_new" </w:instrText>
      </w:r>
      <w:r>
        <w:rPr>
          <w:rFonts w:ascii="SimSun" w:hAnsi="SimSun" w:eastAsia="SimSun" w:cs="SimSun"/>
          <w:sz w:val="24"/>
          <w:szCs w:val="24"/>
        </w:rPr>
        <w:fldChar w:fldCharType="separate"/>
      </w:r>
      <w:r>
        <w:rPr>
          <w:rStyle w:val="17"/>
          <w:rFonts w:ascii="SimSun" w:hAnsi="SimSun" w:eastAsia="SimSun" w:cs="SimSun"/>
          <w:sz w:val="24"/>
          <w:szCs w:val="24"/>
        </w:rPr>
        <w:t>https://assets.henley.ac.uk/v3/heroImages/Quick-start-guide-to-academic-referencing-October-2022-Accessibility-Update.pdf</w:t>
      </w:r>
      <w:r>
        <w:rPr>
          <w:rFonts w:ascii="SimSun" w:hAnsi="SimSun" w:eastAsia="SimSun" w:cs="SimSun"/>
          <w:sz w:val="24"/>
          <w:szCs w:val="24"/>
        </w:rPr>
        <w:fldChar w:fldCharType="end"/>
      </w:r>
      <w:r>
        <w:rPr>
          <w:rFonts w:ascii="SimSun" w:hAnsi="SimSun" w:eastAsia="SimSun" w:cs="SimSun"/>
          <w:sz w:val="24"/>
          <w:szCs w:val="24"/>
        </w:rPr>
        <w:t xml:space="preserve"> (Accessed: 31 October 2025).</w:t>
      </w:r>
    </w:p>
    <w:p w14:paraId="37EE5E87">
      <w:pPr>
        <w:rPr>
          <w:rFonts w:ascii="SimSun" w:hAnsi="SimSun" w:eastAsia="SimSun" w:cs="SimSun"/>
          <w:sz w:val="24"/>
          <w:szCs w:val="24"/>
        </w:rPr>
      </w:pPr>
    </w:p>
    <w:p w14:paraId="52AD1257">
      <w:pPr>
        <w:rPr>
          <w:rFonts w:ascii="SimSun" w:hAnsi="SimSun" w:eastAsia="SimSun" w:cs="SimSun"/>
          <w:sz w:val="24"/>
          <w:szCs w:val="24"/>
        </w:rPr>
      </w:pPr>
    </w:p>
    <w:p w14:paraId="39E0F2B4">
      <w:bookmarkStart w:id="5" w:name="_GoBack"/>
      <w:bookmarkEnd w:id="5"/>
      <w:r>
        <w:t xml:space="preserve"> </w:t>
      </w:r>
    </w:p>
    <w:p w14:paraId="12168524">
      <w:r>
        <w:object>
          <v:shape id="_x0000_i1025" o:spt="75" type="#_x0000_t75" style="height:49.2pt;width:76.2pt;" o:ole="t" filled="f" o:preferrelative="t" stroked="f" coordsize="21600,21600">
            <v:path/>
            <v:fill on="f" focussize="0,0"/>
            <v:stroke on="f" joinstyle="miter"/>
            <v:imagedata r:id="rId10" o:title=""/>
            <o:lock v:ext="edit" aspectratio="t"/>
            <w10:wrap type="none"/>
            <w10:anchorlock/>
          </v:shape>
          <o:OLEObject Type="Embed" ProgID="Excel.Sheet.12" ShapeID="_x0000_i1025" DrawAspect="Icon" ObjectID="_1468075725" r:id="rId9">
            <o:LockedField>false</o:LockedField>
          </o:OLEObject>
        </w:object>
      </w:r>
    </w:p>
    <w:p w14:paraId="576A10A1">
      <w:pPr>
        <w:pStyle w:val="3"/>
        <w:rPr>
          <w:rFonts w:hint="default"/>
          <w:lang w:val="en-US"/>
        </w:rPr>
      </w:pPr>
      <w:r>
        <w:rPr>
          <w:rFonts w:hint="default"/>
          <w:lang w:val="en-US"/>
        </w:rPr>
        <w:drawing>
          <wp:inline distT="0" distB="0" distL="114300" distR="114300">
            <wp:extent cx="5798820" cy="2422525"/>
            <wp:effectExtent l="0" t="0" r="7620" b="635"/>
            <wp:docPr id="6" name="Picture 6" descr="tabul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ulka"/>
                    <pic:cNvPicPr>
                      <a:picLocks noChangeAspect="1"/>
                    </pic:cNvPicPr>
                  </pic:nvPicPr>
                  <pic:blipFill>
                    <a:blip r:embed="rId11"/>
                    <a:stretch>
                      <a:fillRect/>
                    </a:stretch>
                  </pic:blipFill>
                  <pic:spPr>
                    <a:xfrm>
                      <a:off x="0" y="0"/>
                      <a:ext cx="5798820" cy="2422525"/>
                    </a:xfrm>
                    <a:prstGeom prst="rect">
                      <a:avLst/>
                    </a:prstGeom>
                  </pic:spPr>
                </pic:pic>
              </a:graphicData>
            </a:graphic>
          </wp:inline>
        </w:drawing>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p>
  </w:endnote>
  <w:endnote w:type="continuationSeparator" w:id="1">
    <w:p>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Symbol">
    <w:panose1 w:val="05050102010706020507"/>
    <w:charset w:val="00"/>
    <w:family w:val="auto"/>
    <w:pitch w:val="default"/>
    <w:sig w:usb0="00000000" w:usb1="00000000" w:usb2="00000000" w:usb3="00000000" w:csb0="80000000" w:csb1="00000000"/>
  </w:font>
  <w:font w:name="Apto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Unicode MS">
    <w:panose1 w:val="020B0604020202020204"/>
    <w:charset w:val="86"/>
    <w:family w:val="auto"/>
    <w:pitch w:val="default"/>
    <w:sig w:usb0="FFFFFFFF" w:usb1="E9FFFFFF" w:usb2="0000003F" w:usb3="00000000" w:csb0="603F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p>
  </w:footnote>
  <w:footnote w:type="continuationSeparator" w:id="1">
    <w:p>
      <w:pPr>
        <w:spacing w:before="0" w:after="0" w:line="278"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98D41F8"/>
    <w:multiLevelType w:val="multilevel"/>
    <w:tmpl w:val="D98D41F8"/>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0010"/>
    <w:rsid w:val="00022B69"/>
    <w:rsid w:val="00062E54"/>
    <w:rsid w:val="00063DE0"/>
    <w:rsid w:val="0009460F"/>
    <w:rsid w:val="000A2F53"/>
    <w:rsid w:val="000D5600"/>
    <w:rsid w:val="000E6648"/>
    <w:rsid w:val="00106110"/>
    <w:rsid w:val="00170E20"/>
    <w:rsid w:val="002069C8"/>
    <w:rsid w:val="00230066"/>
    <w:rsid w:val="002B3E14"/>
    <w:rsid w:val="002C5822"/>
    <w:rsid w:val="0032757A"/>
    <w:rsid w:val="00346D29"/>
    <w:rsid w:val="00365B7D"/>
    <w:rsid w:val="0037767A"/>
    <w:rsid w:val="003B1CCA"/>
    <w:rsid w:val="003F743F"/>
    <w:rsid w:val="004172D9"/>
    <w:rsid w:val="00495745"/>
    <w:rsid w:val="004B2EB4"/>
    <w:rsid w:val="004B5094"/>
    <w:rsid w:val="004C243A"/>
    <w:rsid w:val="00521B81"/>
    <w:rsid w:val="0052249A"/>
    <w:rsid w:val="005762AF"/>
    <w:rsid w:val="00592EF0"/>
    <w:rsid w:val="005D2291"/>
    <w:rsid w:val="00615DF9"/>
    <w:rsid w:val="0065112E"/>
    <w:rsid w:val="0065275D"/>
    <w:rsid w:val="00687315"/>
    <w:rsid w:val="00692160"/>
    <w:rsid w:val="006E3D2A"/>
    <w:rsid w:val="007067BA"/>
    <w:rsid w:val="0071484F"/>
    <w:rsid w:val="00746DC1"/>
    <w:rsid w:val="007C4A17"/>
    <w:rsid w:val="008C58DD"/>
    <w:rsid w:val="008E1873"/>
    <w:rsid w:val="009258AD"/>
    <w:rsid w:val="00933E14"/>
    <w:rsid w:val="009B2C40"/>
    <w:rsid w:val="009D3D7B"/>
    <w:rsid w:val="009D77F0"/>
    <w:rsid w:val="00A211A4"/>
    <w:rsid w:val="00A27472"/>
    <w:rsid w:val="00A33BC2"/>
    <w:rsid w:val="00AA3464"/>
    <w:rsid w:val="00AB0A7F"/>
    <w:rsid w:val="00AD11A2"/>
    <w:rsid w:val="00AE21AF"/>
    <w:rsid w:val="00BC16DA"/>
    <w:rsid w:val="00BE6EA5"/>
    <w:rsid w:val="00C20BD9"/>
    <w:rsid w:val="00C26DBD"/>
    <w:rsid w:val="00CD0191"/>
    <w:rsid w:val="00D62844"/>
    <w:rsid w:val="00D731C3"/>
    <w:rsid w:val="00D8531B"/>
    <w:rsid w:val="00D940FB"/>
    <w:rsid w:val="00DD389E"/>
    <w:rsid w:val="00DE7D43"/>
    <w:rsid w:val="00DF071C"/>
    <w:rsid w:val="00E71DB8"/>
    <w:rsid w:val="00EA54DD"/>
    <w:rsid w:val="00EA67B6"/>
    <w:rsid w:val="00F2018B"/>
    <w:rsid w:val="00F35D5D"/>
    <w:rsid w:val="00F85429"/>
    <w:rsid w:val="00FA0010"/>
    <w:rsid w:val="018A099C"/>
    <w:rsid w:val="23107EC8"/>
    <w:rsid w:val="5B821B7B"/>
    <w:rsid w:val="7A482B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qFormat="1"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26"/>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7"/>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8"/>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9"/>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30"/>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31"/>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2"/>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3"/>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4"/>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paragraph" w:styleId="14">
    <w:name w:val="footer"/>
    <w:basedOn w:val="1"/>
    <w:link w:val="45"/>
    <w:unhideWhenUsed/>
    <w:qFormat/>
    <w:uiPriority w:val="99"/>
    <w:pPr>
      <w:tabs>
        <w:tab w:val="center" w:pos="4513"/>
        <w:tab w:val="right" w:pos="9026"/>
      </w:tabs>
      <w:spacing w:after="0" w:line="240" w:lineRule="auto"/>
    </w:pPr>
  </w:style>
  <w:style w:type="paragraph" w:styleId="15">
    <w:name w:val="header"/>
    <w:basedOn w:val="1"/>
    <w:link w:val="44"/>
    <w:unhideWhenUsed/>
    <w:qFormat/>
    <w:uiPriority w:val="99"/>
    <w:pPr>
      <w:tabs>
        <w:tab w:val="center" w:pos="4513"/>
        <w:tab w:val="right" w:pos="9026"/>
      </w:tabs>
      <w:spacing w:after="0" w:line="240" w:lineRule="auto"/>
    </w:pPr>
  </w:style>
  <w:style w:type="character" w:styleId="16">
    <w:name w:val="HTML Code"/>
    <w:basedOn w:val="11"/>
    <w:semiHidden/>
    <w:unhideWhenUsed/>
    <w:qFormat/>
    <w:uiPriority w:val="99"/>
    <w:rPr>
      <w:rFonts w:ascii="Courier New" w:hAnsi="Courier New" w:cs="Courier New"/>
      <w:sz w:val="20"/>
      <w:szCs w:val="20"/>
    </w:rPr>
  </w:style>
  <w:style w:type="character" w:styleId="17">
    <w:name w:val="Hyperlink"/>
    <w:basedOn w:val="11"/>
    <w:unhideWhenUsed/>
    <w:qFormat/>
    <w:uiPriority w:val="99"/>
    <w:rPr>
      <w:color w:val="467886" w:themeColor="hyperlink"/>
      <w:u w:val="single"/>
      <w14:textFill>
        <w14:solidFill>
          <w14:schemeClr w14:val="hlink"/>
        </w14:solidFill>
      </w14:textFill>
    </w:rPr>
  </w:style>
  <w:style w:type="paragraph" w:styleId="18">
    <w:name w:val="Normal (Web)"/>
    <w:semiHidden/>
    <w:unhideWhenUsed/>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9">
    <w:name w:val="Strong"/>
    <w:basedOn w:val="11"/>
    <w:qFormat/>
    <w:uiPriority w:val="22"/>
    <w:rPr>
      <w:b/>
      <w:bCs/>
    </w:rPr>
  </w:style>
  <w:style w:type="paragraph" w:styleId="20">
    <w:name w:val="Subtitle"/>
    <w:basedOn w:val="1"/>
    <w:next w:val="1"/>
    <w:link w:val="3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1">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2">
    <w:name w:val="Title"/>
    <w:basedOn w:val="1"/>
    <w:next w:val="1"/>
    <w:link w:val="35"/>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3">
    <w:name w:val="toc 1"/>
    <w:basedOn w:val="1"/>
    <w:next w:val="1"/>
    <w:autoRedefine/>
    <w:unhideWhenUsed/>
    <w:uiPriority w:val="39"/>
    <w:pPr>
      <w:spacing w:after="100"/>
    </w:pPr>
  </w:style>
  <w:style w:type="paragraph" w:styleId="24">
    <w:name w:val="toc 2"/>
    <w:basedOn w:val="1"/>
    <w:next w:val="1"/>
    <w:autoRedefine/>
    <w:unhideWhenUsed/>
    <w:qFormat/>
    <w:uiPriority w:val="39"/>
    <w:pPr>
      <w:spacing w:after="100"/>
      <w:ind w:left="240"/>
    </w:pPr>
  </w:style>
  <w:style w:type="paragraph" w:styleId="25">
    <w:name w:val="toc 3"/>
    <w:basedOn w:val="1"/>
    <w:next w:val="1"/>
    <w:autoRedefine/>
    <w:unhideWhenUsed/>
    <w:qFormat/>
    <w:uiPriority w:val="39"/>
    <w:pPr>
      <w:spacing w:after="100"/>
      <w:ind w:left="480"/>
    </w:pPr>
  </w:style>
  <w:style w:type="character" w:customStyle="1" w:styleId="26">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7">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28">
    <w:name w:val="Heading 3 Char"/>
    <w:basedOn w:val="11"/>
    <w:link w:val="4"/>
    <w:qFormat/>
    <w:uiPriority w:val="9"/>
    <w:rPr>
      <w:rFonts w:eastAsiaTheme="majorEastAsia" w:cstheme="majorBidi"/>
      <w:color w:val="104862" w:themeColor="accent1" w:themeShade="BF"/>
      <w:sz w:val="28"/>
      <w:szCs w:val="28"/>
    </w:rPr>
  </w:style>
  <w:style w:type="character" w:customStyle="1" w:styleId="29">
    <w:name w:val="Heading 4 Char"/>
    <w:basedOn w:val="11"/>
    <w:link w:val="5"/>
    <w:qFormat/>
    <w:uiPriority w:val="9"/>
    <w:rPr>
      <w:rFonts w:eastAsiaTheme="majorEastAsia" w:cstheme="majorBidi"/>
      <w:i/>
      <w:iCs/>
      <w:color w:val="104862" w:themeColor="accent1" w:themeShade="BF"/>
    </w:rPr>
  </w:style>
  <w:style w:type="character" w:customStyle="1" w:styleId="30">
    <w:name w:val="Heading 5 Char"/>
    <w:basedOn w:val="11"/>
    <w:link w:val="6"/>
    <w:semiHidden/>
    <w:qFormat/>
    <w:uiPriority w:val="9"/>
    <w:rPr>
      <w:rFonts w:eastAsiaTheme="majorEastAsia" w:cstheme="majorBidi"/>
      <w:color w:val="104862" w:themeColor="accent1" w:themeShade="BF"/>
    </w:rPr>
  </w:style>
  <w:style w:type="character" w:customStyle="1" w:styleId="31">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2">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3">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4">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5">
    <w:name w:val="Title Char"/>
    <w:basedOn w:val="11"/>
    <w:link w:val="22"/>
    <w:qFormat/>
    <w:uiPriority w:val="10"/>
    <w:rPr>
      <w:rFonts w:asciiTheme="majorHAnsi" w:hAnsiTheme="majorHAnsi" w:eastAsiaTheme="majorEastAsia" w:cstheme="majorBidi"/>
      <w:spacing w:val="-10"/>
      <w:kern w:val="28"/>
      <w:sz w:val="56"/>
      <w:szCs w:val="56"/>
    </w:rPr>
  </w:style>
  <w:style w:type="character" w:customStyle="1" w:styleId="36">
    <w:name w:val="Subtitle Char"/>
    <w:basedOn w:val="11"/>
    <w:link w:val="20"/>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7">
    <w:name w:val="Quote"/>
    <w:basedOn w:val="1"/>
    <w:next w:val="1"/>
    <w:link w:val="38"/>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8">
    <w:name w:val="Quote Char"/>
    <w:basedOn w:val="11"/>
    <w:link w:val="37"/>
    <w:qFormat/>
    <w:uiPriority w:val="29"/>
    <w:rPr>
      <w:i/>
      <w:iCs/>
      <w:color w:val="404040" w:themeColor="text1" w:themeTint="BF"/>
      <w14:textFill>
        <w14:solidFill>
          <w14:schemeClr w14:val="tx1">
            <w14:lumMod w14:val="75000"/>
            <w14:lumOff w14:val="25000"/>
          </w14:schemeClr>
        </w14:solidFill>
      </w14:textFill>
    </w:rPr>
  </w:style>
  <w:style w:type="paragraph" w:styleId="39">
    <w:name w:val="List Paragraph"/>
    <w:basedOn w:val="1"/>
    <w:qFormat/>
    <w:uiPriority w:val="34"/>
    <w:pPr>
      <w:ind w:left="720"/>
      <w:contextualSpacing/>
    </w:pPr>
  </w:style>
  <w:style w:type="character" w:customStyle="1" w:styleId="40">
    <w:name w:val="Intense Emphasis"/>
    <w:basedOn w:val="11"/>
    <w:qFormat/>
    <w:uiPriority w:val="21"/>
    <w:rPr>
      <w:i/>
      <w:iCs/>
      <w:color w:val="104862" w:themeColor="accent1" w:themeShade="BF"/>
    </w:rPr>
  </w:style>
  <w:style w:type="paragraph" w:styleId="41">
    <w:name w:val="Intense Quote"/>
    <w:basedOn w:val="1"/>
    <w:next w:val="1"/>
    <w:link w:val="42"/>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2">
    <w:name w:val="Intense Quote Char"/>
    <w:basedOn w:val="11"/>
    <w:link w:val="41"/>
    <w:qFormat/>
    <w:uiPriority w:val="30"/>
    <w:rPr>
      <w:i/>
      <w:iCs/>
      <w:color w:val="104862" w:themeColor="accent1" w:themeShade="BF"/>
    </w:rPr>
  </w:style>
  <w:style w:type="character" w:customStyle="1" w:styleId="43">
    <w:name w:val="Intense Reference"/>
    <w:basedOn w:val="11"/>
    <w:qFormat/>
    <w:uiPriority w:val="32"/>
    <w:rPr>
      <w:b/>
      <w:bCs/>
      <w:smallCaps/>
      <w:color w:val="104862" w:themeColor="accent1" w:themeShade="BF"/>
      <w:spacing w:val="5"/>
    </w:rPr>
  </w:style>
  <w:style w:type="character" w:customStyle="1" w:styleId="44">
    <w:name w:val="Header Char"/>
    <w:basedOn w:val="11"/>
    <w:link w:val="15"/>
    <w:qFormat/>
    <w:uiPriority w:val="99"/>
  </w:style>
  <w:style w:type="character" w:customStyle="1" w:styleId="45">
    <w:name w:val="Footer Char"/>
    <w:basedOn w:val="11"/>
    <w:link w:val="14"/>
    <w:qFormat/>
    <w:uiPriority w:val="99"/>
  </w:style>
  <w:style w:type="paragraph" w:customStyle="1" w:styleId="46">
    <w:name w:val="TOC Heading"/>
    <w:basedOn w:val="2"/>
    <w:next w:val="1"/>
    <w:unhideWhenUsed/>
    <w:qFormat/>
    <w:uiPriority w:val="39"/>
    <w:pPr>
      <w:spacing w:before="240" w:after="0" w:line="259" w:lineRule="auto"/>
      <w:outlineLvl w:val="9"/>
    </w:pPr>
    <w:rPr>
      <w:kern w:val="0"/>
      <w:sz w:val="32"/>
      <w:szCs w:val="32"/>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1.bin"/><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numbering" Target="numbering.xml"/><Relationship Id="rId11" Type="http://schemas.openxmlformats.org/officeDocument/2006/relationships/image" Target="media/image5.png"/><Relationship Id="rId10" Type="http://schemas.openxmlformats.org/officeDocument/2006/relationships/image" Target="media/image4.emf"/><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datastoreItem>
</file>

<file path=docProps/app.xml><?xml version="1.0" encoding="utf-8"?>
<Properties xmlns="http://schemas.openxmlformats.org/officeDocument/2006/extended-properties" xmlns:vt="http://schemas.openxmlformats.org/officeDocument/2006/docPropsVTypes">
  <Template>Normal</Template>
  <Pages>13</Pages>
  <Words>401</Words>
  <Characters>2291</Characters>
  <Lines>19</Lines>
  <Paragraphs>5</Paragraphs>
  <TotalTime>81</TotalTime>
  <ScaleCrop>false</ScaleCrop>
  <LinksUpToDate>false</LinksUpToDate>
  <CharactersWithSpaces>2687</CharactersWithSpaces>
  <Application>WPS Office_12.2.0.23131_F1E327BC-269C-435d-A152-05C5408002CA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2025-10-17T14:55:00Z</dcterms:created>
  <dc:creator>Philippa Fitzgerald</dc:creator>
  <cp:lastModifiedBy>Denisa Nemeckova</cp:lastModifiedBy>
  <dcterms:modified xsi:type="dcterms:W3CDTF">2025-10-31T15:49:57Z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1033-12.2.0.23131</vt:lpwstr>
  </property>
  <property fmtid="{D5CDD505-2E9C-101B-9397-08002B2CF9AE}" pid="3" name="ICV">
    <vt:lpwstr>A251D04617FB4251A820E6D418D9C89D_12</vt:lpwstr>
  </property>
</Properties>
</file>