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90540" w14:textId="77777777" w:rsidR="00DC7EA4" w:rsidRPr="00BE7624" w:rsidRDefault="00DC7EA4" w:rsidP="00DC7EA4">
      <w:pPr>
        <w:jc w:val="center"/>
      </w:pPr>
      <w:bookmarkStart w:id="0" w:name="_Hlk195933868"/>
    </w:p>
    <w:p w14:paraId="0B5B100A" w14:textId="77777777" w:rsidR="00DC7EA4" w:rsidRPr="00BE7624" w:rsidRDefault="00DC7EA4" w:rsidP="00DC7EA4">
      <w:pPr>
        <w:jc w:val="center"/>
      </w:pPr>
      <w:r w:rsidRPr="00BE7624">
        <w:rPr>
          <w:noProof/>
        </w:rPr>
        <w:drawing>
          <wp:inline distT="0" distB="0" distL="114300" distR="114300" wp14:anchorId="47E302F2" wp14:editId="6AF4C88A">
            <wp:extent cx="2936875" cy="1311275"/>
            <wp:effectExtent l="0" t="0" r="4445" b="14605"/>
            <wp:docPr id="2"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文本&#10;&#10;AI 生成的内容可能不正确。"/>
                    <pic:cNvPicPr>
                      <a:picLocks noChangeAspect="1"/>
                    </pic:cNvPicPr>
                  </pic:nvPicPr>
                  <pic:blipFill>
                    <a:blip r:embed="rId8"/>
                    <a:srcRect l="1343"/>
                    <a:stretch>
                      <a:fillRect/>
                    </a:stretch>
                  </pic:blipFill>
                  <pic:spPr>
                    <a:xfrm>
                      <a:off x="0" y="0"/>
                      <a:ext cx="2936875" cy="1311275"/>
                    </a:xfrm>
                    <a:prstGeom prst="rect">
                      <a:avLst/>
                    </a:prstGeom>
                    <a:noFill/>
                    <a:ln>
                      <a:noFill/>
                    </a:ln>
                  </pic:spPr>
                </pic:pic>
              </a:graphicData>
            </a:graphic>
          </wp:inline>
        </w:drawing>
      </w:r>
    </w:p>
    <w:tbl>
      <w:tblPr>
        <w:tblW w:w="9540" w:type="dxa"/>
        <w:jc w:val="center"/>
        <w:tblBorders>
          <w:top w:val="single" w:sz="18" w:space="0" w:color="800000"/>
          <w:bottom w:val="single" w:sz="4" w:space="0" w:color="auto"/>
        </w:tblBorders>
        <w:tblLook w:val="04A0" w:firstRow="1" w:lastRow="0" w:firstColumn="1" w:lastColumn="0" w:noHBand="0" w:noVBand="1"/>
      </w:tblPr>
      <w:tblGrid>
        <w:gridCol w:w="3240"/>
        <w:gridCol w:w="6300"/>
      </w:tblGrid>
      <w:tr w:rsidR="00DC7EA4" w:rsidRPr="00BE7624" w14:paraId="4C6B369A" w14:textId="77777777">
        <w:trPr>
          <w:trHeight w:val="300"/>
          <w:jc w:val="center"/>
        </w:trPr>
        <w:tc>
          <w:tcPr>
            <w:tcW w:w="3240" w:type="dxa"/>
          </w:tcPr>
          <w:p w14:paraId="3F83146B" w14:textId="77777777" w:rsidR="00DC7EA4" w:rsidRPr="00BE7624" w:rsidRDefault="00DC7EA4">
            <w:pPr>
              <w:jc w:val="center"/>
            </w:pPr>
            <w:r w:rsidRPr="00BE7624">
              <w:rPr>
                <w:rFonts w:ascii="Arial" w:hAnsi="Arial" w:cs="Arial"/>
                <w:b/>
                <w:sz w:val="24"/>
              </w:rPr>
              <w:t>Module code:</w:t>
            </w:r>
            <w:r w:rsidRPr="00BE7624">
              <w:rPr>
                <w:rFonts w:ascii="Arial" w:hAnsi="Arial" w:cs="Arial"/>
                <w:b/>
                <w:color w:val="000000"/>
                <w:sz w:val="24"/>
              </w:rPr>
              <w:t xml:space="preserve"> </w:t>
            </w:r>
            <w:r w:rsidRPr="00BE7624">
              <w:rPr>
                <w:rFonts w:ascii="Arial" w:hAnsi="Arial" w:cs="Arial"/>
                <w:b/>
                <w:bCs/>
                <w:color w:val="000000"/>
                <w:sz w:val="24"/>
              </w:rPr>
              <w:t>BMBM6016</w:t>
            </w:r>
          </w:p>
        </w:tc>
        <w:tc>
          <w:tcPr>
            <w:tcW w:w="6300" w:type="dxa"/>
          </w:tcPr>
          <w:p w14:paraId="22B31CF9" w14:textId="77777777" w:rsidR="00DC7EA4" w:rsidRPr="00BE7624" w:rsidRDefault="00DC7EA4">
            <w:pPr>
              <w:ind w:firstLineChars="1100" w:firstLine="2650"/>
            </w:pPr>
            <w:r w:rsidRPr="00BE7624">
              <w:rPr>
                <w:rFonts w:ascii="Arial" w:hAnsi="Arial" w:cs="Arial"/>
                <w:b/>
                <w:sz w:val="24"/>
              </w:rPr>
              <w:t xml:space="preserve">Module: </w:t>
            </w:r>
            <w:r w:rsidRPr="00BE7624">
              <w:rPr>
                <w:rFonts w:ascii="Arial" w:hAnsi="Arial" w:cs="Arial"/>
                <w:b/>
                <w:bCs/>
                <w:sz w:val="24"/>
              </w:rPr>
              <w:t>Strategic Marketing</w:t>
            </w:r>
          </w:p>
        </w:tc>
      </w:tr>
    </w:tbl>
    <w:p w14:paraId="481A89FC" w14:textId="77777777" w:rsidR="00DC7EA4" w:rsidRPr="00BE7624" w:rsidRDefault="00DC7EA4" w:rsidP="00DC7EA4">
      <w:pPr>
        <w:jc w:val="center"/>
      </w:pPr>
    </w:p>
    <w:p w14:paraId="3D2C72CC" w14:textId="77777777" w:rsidR="00DC7EA4" w:rsidRPr="00BE7624" w:rsidRDefault="00DC7EA4" w:rsidP="00DC7EA4"/>
    <w:p w14:paraId="4F6A79A9" w14:textId="0D566575" w:rsidR="00DC7EA4" w:rsidRPr="00BE7624" w:rsidRDefault="00DC7EA4" w:rsidP="00961BBE">
      <w:pPr>
        <w:jc w:val="center"/>
        <w:rPr>
          <w:rFonts w:ascii="Arial" w:hAnsi="Arial" w:cs="Arial"/>
          <w:b/>
          <w:bCs/>
          <w:sz w:val="32"/>
          <w:szCs w:val="32"/>
        </w:rPr>
      </w:pPr>
      <w:r w:rsidRPr="00BE7624">
        <w:rPr>
          <w:rFonts w:ascii="Arial" w:hAnsi="Arial" w:cs="Arial"/>
          <w:b/>
          <w:bCs/>
          <w:sz w:val="32"/>
          <w:szCs w:val="32"/>
        </w:rPr>
        <w:t xml:space="preserve">Marketing </w:t>
      </w:r>
      <w:r w:rsidR="00961BBE" w:rsidRPr="00BE7624">
        <w:rPr>
          <w:rFonts w:ascii="Arial" w:hAnsi="Arial" w:cs="Arial" w:hint="eastAsia"/>
          <w:b/>
          <w:bCs/>
          <w:sz w:val="32"/>
          <w:szCs w:val="32"/>
        </w:rPr>
        <w:t>Planning</w:t>
      </w:r>
      <w:r w:rsidRPr="00BE7624">
        <w:rPr>
          <w:rFonts w:ascii="Arial" w:hAnsi="Arial" w:cs="Arial"/>
          <w:b/>
          <w:bCs/>
          <w:sz w:val="32"/>
          <w:szCs w:val="32"/>
        </w:rPr>
        <w:t xml:space="preserve"> of Domino's in The UK Market</w:t>
      </w:r>
    </w:p>
    <w:p w14:paraId="42CA1BF1" w14:textId="77777777" w:rsidR="00DC7EA4" w:rsidRPr="00BE7624" w:rsidRDefault="00DC7EA4" w:rsidP="00DC7EA4">
      <w:pPr>
        <w:jc w:val="center"/>
        <w:rPr>
          <w:rFonts w:ascii="Arial" w:hAnsi="Arial" w:cs="Arial"/>
          <w:b/>
          <w:bCs/>
          <w:sz w:val="36"/>
          <w:szCs w:val="36"/>
        </w:rPr>
      </w:pPr>
      <w:r w:rsidRPr="00BE7624">
        <w:rPr>
          <w:noProof/>
        </w:rPr>
        <w:drawing>
          <wp:inline distT="0" distB="0" distL="0" distR="0" wp14:anchorId="4BBE530A" wp14:editId="5F8478AD">
            <wp:extent cx="3138406" cy="1883044"/>
            <wp:effectExtent l="0" t="0" r="5080" b="3175"/>
            <wp:docPr id="2005758084" name="图片 1" descr="ヨーロッパのDomino's Pizzaでビーガンペペロニピザをリリースしました。 | プラントベースドミート｜代替肉｜PBM｜ザ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ヨーロッパのDomino's Pizzaでビーガンペペロニピザをリリースしました。 | プラントベースドミート｜代替肉｜PBM｜ザ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0909" cy="1890546"/>
                    </a:xfrm>
                    <a:prstGeom prst="rect">
                      <a:avLst/>
                    </a:prstGeom>
                    <a:noFill/>
                    <a:ln>
                      <a:noFill/>
                    </a:ln>
                  </pic:spPr>
                </pic:pic>
              </a:graphicData>
            </a:graphic>
          </wp:inline>
        </w:drawing>
      </w:r>
    </w:p>
    <w:p w14:paraId="5E9EB455" w14:textId="77777777" w:rsidR="00DC7EA4" w:rsidRPr="00BE7624" w:rsidRDefault="00DC7EA4" w:rsidP="00DC7EA4">
      <w:pPr>
        <w:jc w:val="center"/>
        <w:rPr>
          <w:rFonts w:ascii="Arial" w:eastAsia="宋体" w:hAnsi="Arial" w:cs="Arial"/>
        </w:rPr>
      </w:pPr>
      <w:r w:rsidRPr="00BE7624">
        <w:rPr>
          <w:rFonts w:ascii="Arial" w:eastAsia="宋体" w:hAnsi="Arial" w:cs="Arial"/>
        </w:rPr>
        <w:t>Name: Jian Huang</w:t>
      </w:r>
    </w:p>
    <w:p w14:paraId="0978FB2C" w14:textId="2156DD88" w:rsidR="00DC7EA4" w:rsidRPr="00BE7624" w:rsidRDefault="00DC7EA4" w:rsidP="00DC7EA4">
      <w:pPr>
        <w:jc w:val="center"/>
        <w:rPr>
          <w:rFonts w:ascii="Arial" w:eastAsia="宋体" w:hAnsi="Arial" w:cs="Arial"/>
        </w:rPr>
      </w:pPr>
      <w:r w:rsidRPr="00BE7624">
        <w:rPr>
          <w:rFonts w:ascii="Arial" w:eastAsia="宋体" w:hAnsi="Arial" w:cs="Arial"/>
        </w:rPr>
        <w:t xml:space="preserve">Student </w:t>
      </w:r>
      <w:r w:rsidR="00AC5CF6">
        <w:rPr>
          <w:rFonts w:ascii="Arial" w:eastAsia="宋体" w:hAnsi="Arial" w:cs="Arial" w:hint="eastAsia"/>
        </w:rPr>
        <w:t>N</w:t>
      </w:r>
      <w:r w:rsidRPr="00BE7624">
        <w:rPr>
          <w:rFonts w:ascii="Arial" w:eastAsia="宋体" w:hAnsi="Arial" w:cs="Arial"/>
        </w:rPr>
        <w:t>umber: 2400261</w:t>
      </w:r>
    </w:p>
    <w:p w14:paraId="014875BE" w14:textId="77777777" w:rsidR="00DC7EA4" w:rsidRPr="00BE7624" w:rsidRDefault="00DC7EA4" w:rsidP="00DC7EA4">
      <w:pPr>
        <w:jc w:val="center"/>
        <w:rPr>
          <w:rFonts w:ascii="Arial" w:eastAsia="宋体" w:hAnsi="Arial" w:cs="Arial"/>
        </w:rPr>
      </w:pPr>
      <w:r w:rsidRPr="00BE7624">
        <w:rPr>
          <w:rFonts w:ascii="Arial" w:eastAsia="宋体" w:hAnsi="Arial" w:cs="Arial"/>
        </w:rPr>
        <w:t>Lecturer: Gwyneth Jones</w:t>
      </w:r>
    </w:p>
    <w:p w14:paraId="53D9BAB0" w14:textId="383F35A7" w:rsidR="00DC7EA4" w:rsidRPr="00BE7624" w:rsidRDefault="00DC7EA4" w:rsidP="00DC7EA4">
      <w:pPr>
        <w:jc w:val="center"/>
        <w:rPr>
          <w:rFonts w:ascii="Arial" w:eastAsia="宋体" w:hAnsi="Arial" w:cs="Arial"/>
        </w:rPr>
      </w:pPr>
      <w:r w:rsidRPr="00BE7624">
        <w:rPr>
          <w:rFonts w:ascii="Arial" w:eastAsia="宋体" w:hAnsi="Arial" w:cs="Arial"/>
        </w:rPr>
        <w:t>Submission Date: 2025.0</w:t>
      </w:r>
      <w:r w:rsidR="00961BBE" w:rsidRPr="00BE7624">
        <w:rPr>
          <w:rFonts w:ascii="Arial" w:eastAsia="宋体" w:hAnsi="Arial" w:cs="Arial" w:hint="eastAsia"/>
        </w:rPr>
        <w:t>5</w:t>
      </w:r>
      <w:r w:rsidRPr="00BE7624">
        <w:rPr>
          <w:rFonts w:ascii="Arial" w:eastAsia="宋体" w:hAnsi="Arial" w:cs="Arial"/>
        </w:rPr>
        <w:t>.</w:t>
      </w:r>
      <w:r w:rsidR="00961BBE" w:rsidRPr="00BE7624">
        <w:rPr>
          <w:rFonts w:ascii="Arial" w:eastAsia="宋体" w:hAnsi="Arial" w:cs="Arial" w:hint="eastAsia"/>
        </w:rPr>
        <w:t>1</w:t>
      </w:r>
      <w:r w:rsidR="009C0806">
        <w:rPr>
          <w:rFonts w:ascii="Arial" w:eastAsia="宋体" w:hAnsi="Arial" w:cs="Arial" w:hint="eastAsia"/>
        </w:rPr>
        <w:t>6</w:t>
      </w:r>
    </w:p>
    <w:p w14:paraId="62DBC269" w14:textId="15171BFD" w:rsidR="00DC7EA4" w:rsidRPr="00BE7624" w:rsidRDefault="00DC7EA4" w:rsidP="00DC7EA4">
      <w:pPr>
        <w:jc w:val="center"/>
        <w:rPr>
          <w:rFonts w:ascii="Arial" w:eastAsia="宋体" w:hAnsi="Arial" w:cs="Arial"/>
        </w:rPr>
      </w:pPr>
      <w:r w:rsidRPr="00BE7624">
        <w:rPr>
          <w:rFonts w:ascii="Arial" w:eastAsia="宋体" w:hAnsi="Arial" w:cs="Arial"/>
        </w:rPr>
        <w:t>Word Count: 2,</w:t>
      </w:r>
      <w:r w:rsidR="00ED4A0F">
        <w:rPr>
          <w:rFonts w:ascii="Arial" w:eastAsia="宋体" w:hAnsi="Arial" w:cs="Arial" w:hint="eastAsia"/>
        </w:rPr>
        <w:t>6</w:t>
      </w:r>
      <w:r w:rsidR="0082077B">
        <w:rPr>
          <w:rFonts w:ascii="Arial" w:eastAsia="宋体" w:hAnsi="Arial" w:cs="Arial" w:hint="eastAsia"/>
        </w:rPr>
        <w:t>99</w:t>
      </w:r>
      <w:r w:rsidRPr="00BE7624">
        <w:rPr>
          <w:rFonts w:ascii="Arial" w:eastAsia="宋体" w:hAnsi="Arial" w:cs="Arial"/>
        </w:rPr>
        <w:t xml:space="preserve"> words</w:t>
      </w:r>
    </w:p>
    <w:p w14:paraId="23BE1E99" w14:textId="77777777" w:rsidR="00DC7EA4" w:rsidRPr="00BE7624" w:rsidRDefault="00DC7EA4" w:rsidP="00DC7EA4">
      <w:pPr>
        <w:rPr>
          <w:rFonts w:eastAsia="宋体"/>
        </w:rPr>
      </w:pPr>
    </w:p>
    <w:p w14:paraId="4FA88F00" w14:textId="77777777" w:rsidR="00DC7EA4" w:rsidRPr="00BE7624" w:rsidRDefault="00DC7EA4" w:rsidP="00DC7EA4">
      <w:pPr>
        <w:jc w:val="center"/>
        <w:rPr>
          <w:rFonts w:ascii="Arial" w:eastAsia="宋体" w:hAnsi="Arial" w:cs="Arial"/>
        </w:rPr>
      </w:pPr>
      <w:r w:rsidRPr="00BE7624">
        <w:rPr>
          <w:rFonts w:ascii="Arial" w:eastAsia="宋体" w:hAnsi="Arial" w:cs="Arial"/>
        </w:rPr>
        <w:t>University of Wales Trinity Saint David</w:t>
      </w:r>
    </w:p>
    <w:p w14:paraId="1082CE6A" w14:textId="77777777" w:rsidR="00DC7EA4" w:rsidRPr="00BE7624" w:rsidRDefault="00DC7EA4" w:rsidP="00DC7EA4">
      <w:pPr>
        <w:widowControl/>
        <w:jc w:val="left"/>
        <w:rPr>
          <w:b/>
          <w:bCs/>
          <w:sz w:val="32"/>
          <w:szCs w:val="32"/>
        </w:rPr>
      </w:pPr>
      <w:bookmarkStart w:id="1" w:name="_Hlk195933883"/>
      <w:bookmarkEnd w:id="0"/>
      <w:r w:rsidRPr="00BE7624">
        <w:rPr>
          <w:b/>
          <w:bCs/>
          <w:sz w:val="32"/>
          <w:szCs w:val="32"/>
        </w:rPr>
        <w:br w:type="page"/>
      </w:r>
    </w:p>
    <w:p w14:paraId="05358311" w14:textId="77777777" w:rsidR="00DC7EA4" w:rsidRPr="00BE7624" w:rsidRDefault="00DC7EA4" w:rsidP="00DC7EA4">
      <w:pPr>
        <w:widowControl/>
        <w:jc w:val="center"/>
        <w:rPr>
          <w:b/>
          <w:bCs/>
          <w:sz w:val="32"/>
          <w:szCs w:val="32"/>
        </w:rPr>
      </w:pPr>
      <w:r w:rsidRPr="00BE7624">
        <w:rPr>
          <w:b/>
          <w:bCs/>
          <w:sz w:val="32"/>
          <w:szCs w:val="32"/>
        </w:rPr>
        <w:lastRenderedPageBreak/>
        <w:t>Executive Summary</w:t>
      </w:r>
    </w:p>
    <w:p w14:paraId="00EEDB06" w14:textId="3DBBB053" w:rsidR="00961BBE" w:rsidRPr="00BE7624" w:rsidRDefault="00961BBE" w:rsidP="00961BBE">
      <w:bookmarkStart w:id="2" w:name="_Hlk195933898"/>
      <w:bookmarkEnd w:id="1"/>
      <w:r w:rsidRPr="00BE7624">
        <w:t>This strategic marketing report evaluates Domino's opportunity to establish a competitive position in the UK's growing health-conscious fast-food sector through the launch of a high-protein, low-carb pizza range. Targeting urban consumers aged 18-35 - a demographic demonstrating strong alignment between pizza consumption and fitness interests - the proposed strategy leverages Domino's existing distribution network and digital capabilities while addressing brand relevance challenges.</w:t>
      </w:r>
    </w:p>
    <w:p w14:paraId="12701838" w14:textId="77777777" w:rsidR="00961BBE" w:rsidRPr="00BE7624" w:rsidRDefault="00961BBE" w:rsidP="00961BBE"/>
    <w:p w14:paraId="66551D90" w14:textId="77777777" w:rsidR="00961BBE" w:rsidRDefault="00961BBE" w:rsidP="00961BBE">
      <w:r w:rsidRPr="00BE7624">
        <w:t>Key findings indicate a market gap for nutritious fast food, with competitors yet to develop specialised low-carb offerings. The strategy employs the Ansoff Matrix to justify product development as the optimal growth approach, supported by Porter's differentiation framework through premium ingredients like almond flour bases and high-quality proteins. STP analysis identifies health-conscious families and fitness enthusiasts as core segments, with geographic focus on high-gym-density areas like London and Manchester.</w:t>
      </w:r>
    </w:p>
    <w:p w14:paraId="1C8D424F" w14:textId="77777777" w:rsidR="00ED4A0F" w:rsidRDefault="00ED4A0F" w:rsidP="00961BBE"/>
    <w:p w14:paraId="70F1CC62" w14:textId="3E01C595" w:rsidR="00DC7EA4" w:rsidRPr="00ED4A0F" w:rsidRDefault="00ED4A0F" w:rsidP="00ED4A0F">
      <w:pPr>
        <w:rPr>
          <w:lang w:val="en-US"/>
        </w:rPr>
      </w:pPr>
      <w:r w:rsidRPr="00ED4A0F">
        <w:rPr>
          <w:lang w:val="en-US"/>
        </w:rPr>
        <w:t xml:space="preserve">Therefore, Domino's should launch a ‘Calorie-Smart’ digital marketing campaign to promote the healthy pizza series through interactive platforms (e.g., ‘Customised Fitness Pizza’ tool and fitness app linkage), and incorporate social media challenges to enhance user engagement; and set </w:t>
      </w:r>
      <w:r w:rsidRPr="00ED4A0F">
        <w:rPr>
          <w:lang w:val="en-US"/>
        </w:rPr>
        <w:lastRenderedPageBreak/>
        <w:t xml:space="preserve">up a ‘Fitness Kitchen’ certification program to provide low-sugar recipes and professional nutritional guidance and fitness partnership offers in stores around gyms to reinforce the commitment to healthy eating in physical stores. The ‘Fitness Kitchen’ certification program, which offers low-sugar recipes, professional nutritional guidance and fitness partnership offers in shops around gyms, reinforces the commitment to healthy eating in a brick-and-mortar format and appeals to the </w:t>
      </w:r>
      <w:r w:rsidR="00FF2137" w:rsidRPr="00ED4A0F">
        <w:rPr>
          <w:lang w:val="en-US"/>
        </w:rPr>
        <w:t>18–35-year-old</w:t>
      </w:r>
      <w:r w:rsidRPr="00ED4A0F">
        <w:rPr>
          <w:lang w:val="en-US"/>
        </w:rPr>
        <w:t xml:space="preserve"> healthy consumer segment. The two initiatives combine digital and offline resources, highlighting the advantages of the new product's high protein and almond flour base, and balancing fast food and health needs.</w:t>
      </w:r>
      <w:r w:rsidR="00DC7EA4" w:rsidRPr="00BE7624">
        <w:rPr>
          <w:b/>
          <w:bCs/>
        </w:rPr>
        <w:br w:type="page"/>
      </w:r>
    </w:p>
    <w:p w14:paraId="073AC810" w14:textId="77777777" w:rsidR="00DC7EA4" w:rsidRPr="00BE7624" w:rsidRDefault="00DC7EA4" w:rsidP="00DC7EA4">
      <w:pPr>
        <w:widowControl/>
        <w:jc w:val="center"/>
        <w:rPr>
          <w:b/>
          <w:bCs/>
        </w:rPr>
      </w:pPr>
      <w:r w:rsidRPr="00BE7624">
        <w:rPr>
          <w:b/>
          <w:bCs/>
        </w:rPr>
        <w:lastRenderedPageBreak/>
        <w:t>Table of Contents</w:t>
      </w:r>
    </w:p>
    <w:bookmarkStart w:id="3" w:name="_Hlk195933910"/>
    <w:bookmarkEnd w:id="2"/>
    <w:p w14:paraId="454E697A" w14:textId="56090BFC" w:rsidR="0082077B" w:rsidRDefault="00DC7EA4">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r w:rsidRPr="00BE7624">
        <w:rPr>
          <w:b/>
          <w:bCs/>
        </w:rPr>
        <w:fldChar w:fldCharType="begin"/>
      </w:r>
      <w:r w:rsidRPr="00BE7624">
        <w:rPr>
          <w:b/>
          <w:bCs/>
        </w:rPr>
        <w:instrText xml:space="preserve"> TOC \o "1-3" \h \z \u </w:instrText>
      </w:r>
      <w:r w:rsidRPr="00BE7624">
        <w:rPr>
          <w:b/>
          <w:bCs/>
        </w:rPr>
        <w:fldChar w:fldCharType="separate"/>
      </w:r>
      <w:hyperlink w:anchor="_Toc197647590" w:history="1">
        <w:r w:rsidR="0082077B" w:rsidRPr="002137BE">
          <w:rPr>
            <w:rStyle w:val="af2"/>
            <w:rFonts w:hint="eastAsia"/>
            <w:noProof/>
          </w:rPr>
          <w:t>1.0 Introduction</w:t>
        </w:r>
        <w:r w:rsidR="0082077B">
          <w:rPr>
            <w:rFonts w:hint="eastAsia"/>
            <w:noProof/>
            <w:webHidden/>
          </w:rPr>
          <w:tab/>
        </w:r>
        <w:r w:rsidR="0082077B">
          <w:rPr>
            <w:rFonts w:hint="eastAsia"/>
            <w:noProof/>
            <w:webHidden/>
          </w:rPr>
          <w:fldChar w:fldCharType="begin"/>
        </w:r>
        <w:r w:rsidR="0082077B">
          <w:rPr>
            <w:rFonts w:hint="eastAsia"/>
            <w:noProof/>
            <w:webHidden/>
          </w:rPr>
          <w:instrText xml:space="preserve"> </w:instrText>
        </w:r>
        <w:r w:rsidR="0082077B">
          <w:rPr>
            <w:noProof/>
            <w:webHidden/>
          </w:rPr>
          <w:instrText>PAGEREF _Toc197647590 \h</w:instrText>
        </w:r>
        <w:r w:rsidR="0082077B">
          <w:rPr>
            <w:rFonts w:hint="eastAsia"/>
            <w:noProof/>
            <w:webHidden/>
          </w:rPr>
          <w:instrText xml:space="preserve"> </w:instrText>
        </w:r>
        <w:r w:rsidR="0082077B">
          <w:rPr>
            <w:rFonts w:hint="eastAsia"/>
            <w:noProof/>
            <w:webHidden/>
          </w:rPr>
        </w:r>
        <w:r w:rsidR="0082077B">
          <w:rPr>
            <w:rFonts w:hint="eastAsia"/>
            <w:noProof/>
            <w:webHidden/>
          </w:rPr>
          <w:fldChar w:fldCharType="separate"/>
        </w:r>
        <w:r w:rsidR="0082077B">
          <w:rPr>
            <w:noProof/>
            <w:webHidden/>
          </w:rPr>
          <w:t>1</w:t>
        </w:r>
        <w:r w:rsidR="0082077B">
          <w:rPr>
            <w:rFonts w:hint="eastAsia"/>
            <w:noProof/>
            <w:webHidden/>
          </w:rPr>
          <w:fldChar w:fldCharType="end"/>
        </w:r>
      </w:hyperlink>
    </w:p>
    <w:p w14:paraId="6C3145CF" w14:textId="42403813" w:rsidR="0082077B" w:rsidRDefault="0082077B">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7647591" w:history="1">
        <w:r w:rsidRPr="002137BE">
          <w:rPr>
            <w:rStyle w:val="af2"/>
            <w:rFonts w:hint="eastAsia"/>
            <w:noProof/>
          </w:rPr>
          <w:t>2.0 SOSTAC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_Toc197647591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w:t>
        </w:r>
        <w:r>
          <w:rPr>
            <w:rFonts w:hint="eastAsia"/>
            <w:noProof/>
            <w:webHidden/>
          </w:rPr>
          <w:fldChar w:fldCharType="end"/>
        </w:r>
      </w:hyperlink>
    </w:p>
    <w:p w14:paraId="395003E5" w14:textId="2DC6833D" w:rsidR="0082077B" w:rsidRDefault="0082077B">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7647592" w:history="1">
        <w:r w:rsidRPr="002137BE">
          <w:rPr>
            <w:rStyle w:val="af2"/>
            <w:rFonts w:hint="eastAsia"/>
            <w:noProof/>
          </w:rPr>
          <w:t>2.1 Situational</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_Toc197647592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w:t>
        </w:r>
        <w:r>
          <w:rPr>
            <w:rFonts w:hint="eastAsia"/>
            <w:noProof/>
            <w:webHidden/>
          </w:rPr>
          <w:fldChar w:fldCharType="end"/>
        </w:r>
      </w:hyperlink>
    </w:p>
    <w:p w14:paraId="4DB23F08" w14:textId="17C9E4A8" w:rsidR="0082077B" w:rsidRDefault="0082077B">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7647593" w:history="1">
        <w:r w:rsidRPr="002137BE">
          <w:rPr>
            <w:rStyle w:val="af2"/>
            <w:rFonts w:hint="eastAsia"/>
            <w:noProof/>
          </w:rPr>
          <w:t>2.2 Objectives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_Toc197647593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w:t>
        </w:r>
        <w:r>
          <w:rPr>
            <w:rFonts w:hint="eastAsia"/>
            <w:noProof/>
            <w:webHidden/>
          </w:rPr>
          <w:fldChar w:fldCharType="end"/>
        </w:r>
      </w:hyperlink>
    </w:p>
    <w:p w14:paraId="4A2903C0" w14:textId="72951BB1" w:rsidR="0082077B" w:rsidRDefault="0082077B">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7647594" w:history="1">
        <w:r w:rsidRPr="002137BE">
          <w:rPr>
            <w:rStyle w:val="af2"/>
            <w:rFonts w:hint="eastAsia"/>
            <w:noProof/>
          </w:rPr>
          <w:t>2.3 Strategy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_Toc197647594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2281C188" w14:textId="3C155EA1" w:rsidR="0082077B" w:rsidRDefault="0082077B">
      <w:pPr>
        <w:pStyle w:val="TOC3"/>
        <w:tabs>
          <w:tab w:val="right" w:leader="dot" w:pos="8296"/>
        </w:tabs>
        <w:ind w:left="1120"/>
        <w:rPr>
          <w:rFonts w:asciiTheme="minorHAnsi" w:eastAsiaTheme="minorEastAsia" w:hAnsiTheme="minorHAnsi" w:cstheme="minorBidi" w:hint="eastAsia"/>
          <w:noProof/>
          <w:kern w:val="2"/>
          <w:sz w:val="22"/>
          <w:szCs w:val="24"/>
          <w:lang w:val="en-US"/>
          <w14:ligatures w14:val="standardContextual"/>
        </w:rPr>
      </w:pPr>
      <w:hyperlink w:anchor="_Toc197647595" w:history="1">
        <w:r w:rsidRPr="002137BE">
          <w:rPr>
            <w:rStyle w:val="af2"/>
            <w:rFonts w:hint="eastAsia"/>
            <w:noProof/>
          </w:rPr>
          <w:t>2.3.1 Ansoff Matrix</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_Toc197647595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66EA3DA5" w14:textId="6AE32AC0" w:rsidR="0082077B" w:rsidRDefault="0082077B">
      <w:pPr>
        <w:pStyle w:val="TOC3"/>
        <w:tabs>
          <w:tab w:val="right" w:leader="dot" w:pos="8296"/>
        </w:tabs>
        <w:ind w:left="1120"/>
        <w:rPr>
          <w:rFonts w:asciiTheme="minorHAnsi" w:eastAsiaTheme="minorEastAsia" w:hAnsiTheme="minorHAnsi" w:cstheme="minorBidi" w:hint="eastAsia"/>
          <w:noProof/>
          <w:kern w:val="2"/>
          <w:sz w:val="22"/>
          <w:szCs w:val="24"/>
          <w:lang w:val="en-US"/>
          <w14:ligatures w14:val="standardContextual"/>
        </w:rPr>
      </w:pPr>
      <w:hyperlink w:anchor="_Toc197647596" w:history="1">
        <w:r w:rsidRPr="002137BE">
          <w:rPr>
            <w:rStyle w:val="af2"/>
            <w:rFonts w:hint="eastAsia"/>
            <w:noProof/>
          </w:rPr>
          <w:t>2.3.2 Porter</w:t>
        </w:r>
        <w:r w:rsidRPr="002137BE">
          <w:rPr>
            <w:rStyle w:val="af2"/>
            <w:rFonts w:hint="eastAsia"/>
            <w:noProof/>
          </w:rPr>
          <w:t>’</w:t>
        </w:r>
        <w:r w:rsidRPr="002137BE">
          <w:rPr>
            <w:rStyle w:val="af2"/>
            <w:rFonts w:hint="eastAsia"/>
            <w:noProof/>
          </w:rPr>
          <w:t>s Strategy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_Toc197647596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434BC878" w14:textId="1B574218" w:rsidR="0082077B" w:rsidRDefault="0082077B">
      <w:pPr>
        <w:pStyle w:val="TOC3"/>
        <w:tabs>
          <w:tab w:val="right" w:leader="dot" w:pos="8296"/>
        </w:tabs>
        <w:ind w:left="1120"/>
        <w:rPr>
          <w:rFonts w:asciiTheme="minorHAnsi" w:eastAsiaTheme="minorEastAsia" w:hAnsiTheme="minorHAnsi" w:cstheme="minorBidi" w:hint="eastAsia"/>
          <w:noProof/>
          <w:kern w:val="2"/>
          <w:sz w:val="22"/>
          <w:szCs w:val="24"/>
          <w:lang w:val="en-US"/>
          <w14:ligatures w14:val="standardContextual"/>
        </w:rPr>
      </w:pPr>
      <w:hyperlink w:anchor="_Toc197647597" w:history="1">
        <w:r w:rsidRPr="002137BE">
          <w:rPr>
            <w:rStyle w:val="af2"/>
            <w:rFonts w:hint="eastAsia"/>
            <w:noProof/>
          </w:rPr>
          <w:t>2.3.3 STP Strategy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_Toc197647597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4D568227" w14:textId="2CFFDC4A" w:rsidR="0082077B" w:rsidRDefault="0082077B">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7647598" w:history="1">
        <w:r w:rsidRPr="002137BE">
          <w:rPr>
            <w:rStyle w:val="af2"/>
            <w:rFonts w:hint="eastAsia"/>
            <w:noProof/>
          </w:rPr>
          <w:t>2.4 Tactics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_Toc197647598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0ACBF4DA" w14:textId="69A124E3" w:rsidR="0082077B" w:rsidRDefault="0082077B">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7647599" w:history="1">
        <w:r w:rsidRPr="002137BE">
          <w:rPr>
            <w:rStyle w:val="af2"/>
            <w:rFonts w:hint="eastAsia"/>
            <w:noProof/>
          </w:rPr>
          <w:t>2.5 Action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_Toc197647599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13</w:t>
        </w:r>
        <w:r>
          <w:rPr>
            <w:rFonts w:hint="eastAsia"/>
            <w:noProof/>
            <w:webHidden/>
          </w:rPr>
          <w:fldChar w:fldCharType="end"/>
        </w:r>
      </w:hyperlink>
    </w:p>
    <w:p w14:paraId="4D7D0B23" w14:textId="6EF6E0DD" w:rsidR="0082077B" w:rsidRDefault="0082077B">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7647600" w:history="1">
        <w:r w:rsidRPr="002137BE">
          <w:rPr>
            <w:rStyle w:val="af2"/>
            <w:rFonts w:hint="eastAsia"/>
            <w:noProof/>
          </w:rPr>
          <w:t>2.6 Control</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_Toc197647600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14</w:t>
        </w:r>
        <w:r>
          <w:rPr>
            <w:rFonts w:hint="eastAsia"/>
            <w:noProof/>
            <w:webHidden/>
          </w:rPr>
          <w:fldChar w:fldCharType="end"/>
        </w:r>
      </w:hyperlink>
    </w:p>
    <w:p w14:paraId="5121238B" w14:textId="536C427F" w:rsidR="0082077B" w:rsidRDefault="0082077B">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7647601" w:history="1">
        <w:r w:rsidRPr="002137BE">
          <w:rPr>
            <w:rStyle w:val="af2"/>
            <w:rFonts w:hint="eastAsia"/>
            <w:noProof/>
          </w:rPr>
          <w:t>3.0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_Toc197647601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7F5D5F90" w14:textId="4B2A1045" w:rsidR="0082077B" w:rsidRDefault="0082077B">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7647602" w:history="1">
        <w:r w:rsidRPr="002137BE">
          <w:rPr>
            <w:rStyle w:val="af2"/>
            <w:rFonts w:hint="eastAsia"/>
            <w:noProof/>
          </w:rPr>
          <w:t>4.0 Recommendations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_Toc197647602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17</w:t>
        </w:r>
        <w:r>
          <w:rPr>
            <w:rFonts w:hint="eastAsia"/>
            <w:noProof/>
            <w:webHidden/>
          </w:rPr>
          <w:fldChar w:fldCharType="end"/>
        </w:r>
      </w:hyperlink>
    </w:p>
    <w:p w14:paraId="3C280FDF" w14:textId="06C73873" w:rsidR="0082077B" w:rsidRDefault="0082077B">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7647603" w:history="1">
        <w:r w:rsidRPr="002137BE">
          <w:rPr>
            <w:rStyle w:val="af2"/>
            <w:rFonts w:hint="eastAsia"/>
            <w:noProof/>
          </w:rPr>
          <w:t>4.1 Launch a "Calorie-Smart" Digital Campaign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_Toc197647603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17</w:t>
        </w:r>
        <w:r>
          <w:rPr>
            <w:rFonts w:hint="eastAsia"/>
            <w:noProof/>
            <w:webHidden/>
          </w:rPr>
          <w:fldChar w:fldCharType="end"/>
        </w:r>
      </w:hyperlink>
    </w:p>
    <w:p w14:paraId="67F5C1E4" w14:textId="133751FB" w:rsidR="0082077B" w:rsidRDefault="0082077B">
      <w:pPr>
        <w:pStyle w:val="TOC2"/>
        <w:tabs>
          <w:tab w:val="right" w:leader="dot" w:pos="8296"/>
        </w:tabs>
        <w:ind w:left="560"/>
        <w:rPr>
          <w:rFonts w:asciiTheme="minorHAnsi" w:eastAsiaTheme="minorEastAsia" w:hAnsiTheme="minorHAnsi" w:cstheme="minorBidi" w:hint="eastAsia"/>
          <w:noProof/>
          <w:kern w:val="2"/>
          <w:sz w:val="22"/>
          <w:szCs w:val="24"/>
          <w:lang w:val="en-US"/>
          <w14:ligatures w14:val="standardContextual"/>
        </w:rPr>
      </w:pPr>
      <w:hyperlink w:anchor="_Toc197647604" w:history="1">
        <w:r w:rsidRPr="002137BE">
          <w:rPr>
            <w:rStyle w:val="af2"/>
            <w:rFonts w:hint="eastAsia"/>
            <w:noProof/>
          </w:rPr>
          <w:t>4.2 Establish a "Fitness Kitchen" Certification Programme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_Toc197647604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17</w:t>
        </w:r>
        <w:r>
          <w:rPr>
            <w:rFonts w:hint="eastAsia"/>
            <w:noProof/>
            <w:webHidden/>
          </w:rPr>
          <w:fldChar w:fldCharType="end"/>
        </w:r>
      </w:hyperlink>
    </w:p>
    <w:p w14:paraId="5A1C2689" w14:textId="136B84D7" w:rsidR="0082077B" w:rsidRDefault="0082077B">
      <w:pPr>
        <w:pStyle w:val="TOC1"/>
        <w:tabs>
          <w:tab w:val="right" w:leader="dot" w:pos="8296"/>
        </w:tabs>
        <w:rPr>
          <w:rFonts w:asciiTheme="minorHAnsi" w:eastAsiaTheme="minorEastAsia" w:hAnsiTheme="minorHAnsi" w:cstheme="minorBidi" w:hint="eastAsia"/>
          <w:noProof/>
          <w:kern w:val="2"/>
          <w:sz w:val="22"/>
          <w:szCs w:val="24"/>
          <w:lang w:val="en-US"/>
          <w14:ligatures w14:val="standardContextual"/>
        </w:rPr>
      </w:pPr>
      <w:hyperlink w:anchor="_Toc197647605" w:history="1">
        <w:r w:rsidRPr="002137BE">
          <w:rPr>
            <w:rStyle w:val="af2"/>
            <w:rFonts w:hint="eastAsia"/>
            <w:noProof/>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_Toc197647605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7519B60C" w14:textId="04FF4664" w:rsidR="00DC7EA4" w:rsidRPr="00BE7624" w:rsidRDefault="00DC7EA4" w:rsidP="00DC7EA4">
      <w:pPr>
        <w:widowControl/>
        <w:jc w:val="left"/>
        <w:rPr>
          <w:b/>
          <w:bCs/>
        </w:rPr>
      </w:pPr>
      <w:r w:rsidRPr="00BE7624">
        <w:rPr>
          <w:b/>
          <w:bCs/>
        </w:rPr>
        <w:fldChar w:fldCharType="end"/>
      </w:r>
    </w:p>
    <w:p w14:paraId="7669D8F3" w14:textId="77777777" w:rsidR="00DC7EA4" w:rsidRPr="00BE7624" w:rsidRDefault="00DC7EA4" w:rsidP="00DC7EA4">
      <w:pPr>
        <w:widowControl/>
        <w:rPr>
          <w:b/>
          <w:bCs/>
        </w:rPr>
        <w:sectPr w:rsidR="00DC7EA4" w:rsidRPr="00BE7624" w:rsidSect="00DC7EA4">
          <w:footerReference w:type="default" r:id="rId10"/>
          <w:pgSz w:w="11906" w:h="16838"/>
          <w:pgMar w:top="1440" w:right="1800" w:bottom="1440" w:left="1800" w:header="851" w:footer="992" w:gutter="0"/>
          <w:pgNumType w:start="1"/>
          <w:cols w:space="0"/>
          <w:docGrid w:type="lines" w:linePitch="312"/>
        </w:sectPr>
      </w:pPr>
    </w:p>
    <w:p w14:paraId="09BB2532" w14:textId="75F21340" w:rsidR="00B62172" w:rsidRPr="00BE7624" w:rsidRDefault="00DC7EA4" w:rsidP="00B62172">
      <w:pPr>
        <w:pStyle w:val="1"/>
      </w:pPr>
      <w:bookmarkStart w:id="4" w:name="_Toc197647590"/>
      <w:bookmarkStart w:id="5" w:name="OLE_LINK1"/>
      <w:r w:rsidRPr="00BE7624">
        <w:lastRenderedPageBreak/>
        <w:t>1.0 Introduction</w:t>
      </w:r>
      <w:bookmarkEnd w:id="3"/>
      <w:bookmarkEnd w:id="4"/>
    </w:p>
    <w:p w14:paraId="6B8EAB54" w14:textId="371AE944" w:rsidR="00B62172" w:rsidRPr="00CE41DC" w:rsidRDefault="00B62172" w:rsidP="00B62172">
      <w:r w:rsidRPr="00BE7624">
        <w:t xml:space="preserve">This report examines Domino's opportunity to launch a health-focused pizza range in the UK market using key strategic frameworks. The analysis applies the Ansoff Matrix to justify product development as the optimal growth strategy, while Porter's model guides differentiation through premium ingredients and nutritional benefits. </w:t>
      </w:r>
      <w:r w:rsidR="00CE41DC">
        <w:t>M</w:t>
      </w:r>
      <w:r w:rsidR="00CE41DC">
        <w:rPr>
          <w:rFonts w:hint="eastAsia"/>
        </w:rPr>
        <w:t>eanwhile, the report will use SOSTAC as theoretical model to help Domino</w:t>
      </w:r>
      <w:r w:rsidR="00CE41DC">
        <w:t>’</w:t>
      </w:r>
      <w:r w:rsidR="00CE41DC">
        <w:rPr>
          <w:rFonts w:hint="eastAsia"/>
        </w:rPr>
        <w:t xml:space="preserve">s </w:t>
      </w:r>
      <w:r w:rsidR="001C40E6">
        <w:rPr>
          <w:rFonts w:hint="eastAsia"/>
        </w:rPr>
        <w:t>building</w:t>
      </w:r>
      <w:r w:rsidR="00CE41DC">
        <w:rPr>
          <w:rFonts w:hint="eastAsia"/>
        </w:rPr>
        <w:t xml:space="preserve"> </w:t>
      </w:r>
      <w:r w:rsidR="00CE41DC">
        <w:t>competitive</w:t>
      </w:r>
      <w:r w:rsidR="00CE41DC">
        <w:rPr>
          <w:rFonts w:hint="eastAsia"/>
        </w:rPr>
        <w:t xml:space="preserve"> advantage in the UK market.</w:t>
      </w:r>
    </w:p>
    <w:p w14:paraId="5B4FB03F" w14:textId="77777777" w:rsidR="00B62172" w:rsidRPr="00BE7624" w:rsidRDefault="00B62172" w:rsidP="00B62172"/>
    <w:p w14:paraId="37257D2D" w14:textId="30920773" w:rsidR="00B62172" w:rsidRDefault="00B62172" w:rsidP="00B62172">
      <w:r w:rsidRPr="00BE7624">
        <w:t xml:space="preserve">The STP framework identifies the core target market: health-conscious urban consumers aged 18-35, aligning with Domino's digital and distribution strengths. The marketing mix (7Ps) shapes tactical implementation, particularly product formulation and digital promotion.  </w:t>
      </w:r>
      <w:r w:rsidRPr="00BE7624">
        <w:rPr>
          <w:rFonts w:hint="eastAsia"/>
        </w:rPr>
        <w:t xml:space="preserve"> </w:t>
      </w:r>
      <w:r w:rsidRPr="00BE7624">
        <w:t>These models inform a structured rollout plan from research to national launch, addressing both market demand for healthy fast food and consumer perception challenges. The approach positions Domino's to capture the growing fitness food segment while enhancing brand relevance.</w:t>
      </w:r>
    </w:p>
    <w:p w14:paraId="04DEE489" w14:textId="77777777" w:rsidR="00B62172" w:rsidRPr="00BE7624" w:rsidRDefault="00B62172">
      <w:pPr>
        <w:widowControl/>
        <w:jc w:val="left"/>
        <w:rPr>
          <w:b/>
          <w:bCs/>
          <w:sz w:val="30"/>
        </w:rPr>
      </w:pPr>
      <w:r w:rsidRPr="00BE7624">
        <w:br w:type="page"/>
      </w:r>
    </w:p>
    <w:p w14:paraId="6258699C" w14:textId="55306A1F" w:rsidR="00CE41DC" w:rsidRDefault="00DC7EA4" w:rsidP="00DC7EA4">
      <w:pPr>
        <w:pStyle w:val="1"/>
      </w:pPr>
      <w:bookmarkStart w:id="6" w:name="_Toc197647591"/>
      <w:r w:rsidRPr="00BE7624">
        <w:lastRenderedPageBreak/>
        <w:t xml:space="preserve">2.0 </w:t>
      </w:r>
      <w:r w:rsidR="00CE41DC">
        <w:rPr>
          <w:rFonts w:hint="eastAsia"/>
        </w:rPr>
        <w:t>SOSTAC Analysis</w:t>
      </w:r>
      <w:bookmarkEnd w:id="6"/>
    </w:p>
    <w:p w14:paraId="17F6D3B5" w14:textId="7E39EB1D" w:rsidR="00DC7EA4" w:rsidRPr="00BE7624" w:rsidRDefault="00CE41DC" w:rsidP="00CE41DC">
      <w:pPr>
        <w:pStyle w:val="2"/>
      </w:pPr>
      <w:bookmarkStart w:id="7" w:name="_Toc197647592"/>
      <w:r>
        <w:rPr>
          <w:rFonts w:hint="eastAsia"/>
        </w:rPr>
        <w:t xml:space="preserve">2.1 </w:t>
      </w:r>
      <w:r w:rsidR="00DC7EA4" w:rsidRPr="00BE7624">
        <w:t>Situational</w:t>
      </w:r>
      <w:bookmarkEnd w:id="7"/>
    </w:p>
    <w:p w14:paraId="732490A1" w14:textId="0CA0696B" w:rsidR="00DC7EA4" w:rsidRPr="00BE7624" w:rsidRDefault="00DC7EA4" w:rsidP="00DC7EA4">
      <w:r w:rsidRPr="00BE7624">
        <w:t xml:space="preserve">The UK health food sector is expanding significantly, driven by demand for high-protein meals and a fitness population of 10.5 million </w:t>
      </w:r>
      <w:r w:rsidR="001C40E6" w:rsidRPr="001C40E6">
        <w:t>(Statista, 2025)</w:t>
      </w:r>
      <w:r w:rsidRPr="00BE7624">
        <w:t>. Plant-based alternatives show strong potential for dietary shift, though further research is needed on their nutritional value, environmental impact, and long-term adoption (Alae-Carew et al., 2022).</w:t>
      </w:r>
    </w:p>
    <w:p w14:paraId="5CCD7470" w14:textId="77777777" w:rsidR="00DC7EA4" w:rsidRPr="00BE7624" w:rsidRDefault="00DC7EA4" w:rsidP="00DC7EA4"/>
    <w:p w14:paraId="50F8C195" w14:textId="41A8DD73" w:rsidR="00DC7EA4" w:rsidRPr="00BE7624" w:rsidRDefault="00DC7EA4" w:rsidP="00DC7EA4">
      <w:r w:rsidRPr="00BE7624">
        <w:t xml:space="preserve">Domino’s has a unique opportunity as rivals like Pizza Hut and McDonald’s lack low-carb pizza offerings. While Domino’s benefits from a robust distribution network and digital infrastructure (People &amp; Global Business Association et al., 2022), its weak brand health relevance calls for innovation. Introducing low-carb pizza could be a </w:t>
      </w:r>
      <w:r w:rsidR="001C40E6">
        <w:rPr>
          <w:rFonts w:hint="eastAsia"/>
        </w:rPr>
        <w:t xml:space="preserve">next </w:t>
      </w:r>
      <w:r w:rsidRPr="00BE7624">
        <w:t>strategic mov</w:t>
      </w:r>
      <w:r w:rsidR="001C40E6">
        <w:rPr>
          <w:rFonts w:hint="eastAsia"/>
        </w:rPr>
        <w:t>ement</w:t>
      </w:r>
      <w:r w:rsidRPr="00BE7624">
        <w:t>.</w:t>
      </w:r>
    </w:p>
    <w:p w14:paraId="7227433F" w14:textId="77777777" w:rsidR="00DC7EA4" w:rsidRPr="001C40E6" w:rsidRDefault="00DC7EA4" w:rsidP="00DC7EA4"/>
    <w:p w14:paraId="674BCB16" w14:textId="1B8990B5" w:rsidR="00DC7EA4" w:rsidRPr="00BE7624" w:rsidRDefault="00CE41DC" w:rsidP="00CE41DC">
      <w:pPr>
        <w:pStyle w:val="2"/>
      </w:pPr>
      <w:bookmarkStart w:id="8" w:name="_Toc197647593"/>
      <w:r>
        <w:rPr>
          <w:rFonts w:hint="eastAsia"/>
        </w:rPr>
        <w:t xml:space="preserve">2.2 </w:t>
      </w:r>
      <w:r w:rsidR="00DC7EA4" w:rsidRPr="00BE7624">
        <w:t>Objectives</w:t>
      </w:r>
      <w:bookmarkEnd w:id="8"/>
    </w:p>
    <w:p w14:paraId="4453524B" w14:textId="7425900B" w:rsidR="00D874B8" w:rsidRDefault="00DC7EA4" w:rsidP="00DC7EA4">
      <w:r w:rsidRPr="00BE7624">
        <w:t xml:space="preserve">The next core strategic objective of Domino’s in the UK market, as determined by a market situation analysis, is to capture 15% of the fitness fast food market by August 2026 by specifically targeting fitness enthusiasts (18–35 years old) and health-conscious family segments. This is primarily because </w:t>
      </w:r>
      <w:r w:rsidR="00524B76" w:rsidRPr="00BE7624">
        <w:t>most</w:t>
      </w:r>
      <w:r w:rsidRPr="00BE7624">
        <w:t xml:space="preserve"> Domino’s customers are between the ages of 15 and 40 (Keegan Edwards, 2024), and the consumption of this age group is </w:t>
      </w:r>
      <w:r w:rsidRPr="00BE7624">
        <w:lastRenderedPageBreak/>
        <w:t xml:space="preserve">strategically important to Domino’s growth. </w:t>
      </w:r>
    </w:p>
    <w:p w14:paraId="5FC7DCCA" w14:textId="77777777" w:rsidR="00D874B8" w:rsidRDefault="00D874B8" w:rsidP="00DC7EA4"/>
    <w:p w14:paraId="61BAE6ED" w14:textId="4B88F265" w:rsidR="00DC7EA4" w:rsidRPr="00BE7624" w:rsidRDefault="00DC7EA4" w:rsidP="00DC7EA4">
      <w:r w:rsidRPr="00BE7624">
        <w:t>According to Duca (2021), the goal was created to adhere closely to the SMART principle, which can ease the burden on project managers by facilitating ongoing monitoring and data collecting for management reviews and external audits. Nevertheless, there are also disadvantages to using SMART, such as the possibility of bias brought on by subjective weighting assignments, the simplicity of difficult decision-making issues, and the possible lack of complexity when handling a lot of criteria (Taherdoost and Mohebi, 2024).</w:t>
      </w:r>
    </w:p>
    <w:p w14:paraId="5A3A0D6E" w14:textId="77777777" w:rsidR="00DC7EA4" w:rsidRPr="00BE7624" w:rsidRDefault="00DC7EA4" w:rsidP="00DC7EA4"/>
    <w:p w14:paraId="00220E0E" w14:textId="77777777" w:rsidR="00DC7EA4" w:rsidRPr="00BE7624" w:rsidRDefault="00DC7EA4" w:rsidP="00DC7EA4">
      <w:r w:rsidRPr="00BE7624">
        <w:t xml:space="preserve">Measurability is demonstrated by the dynamic monitoring of quantitative indicators like monthly sales growth and APP orders, which account for 30% of the total; achievability depends on the current, mature supply chain system and digital platforms to ensure that the development cycle of new products can be controlled in six months; relevance, the target is highly in line with the brand's diversification strategy; and specificity is demonstrated by focussing on the needs of the segmented population. Relevance-wise, the target aligns well with the brand's diversification strategy, which aims to expand the market penetration rate of healthy segments and push the boundaries of traditional fast food. The timeframe is explicitly stated as a 12-month execution cycle, with a quarterly review </w:t>
      </w:r>
      <w:r w:rsidRPr="00BE7624">
        <w:lastRenderedPageBreak/>
        <w:t>mechanism to make sure the progress is manageable.</w:t>
      </w:r>
    </w:p>
    <w:p w14:paraId="3581E170" w14:textId="77777777" w:rsidR="00DC7EA4" w:rsidRPr="00BE7624" w:rsidRDefault="00DC7EA4" w:rsidP="00DC7EA4"/>
    <w:p w14:paraId="52B261ED" w14:textId="11D1CFBB" w:rsidR="00DC7EA4" w:rsidRDefault="00CE41DC" w:rsidP="00CE41DC">
      <w:pPr>
        <w:pStyle w:val="2"/>
      </w:pPr>
      <w:bookmarkStart w:id="9" w:name="_Toc197647594"/>
      <w:r>
        <w:rPr>
          <w:rFonts w:hint="eastAsia"/>
        </w:rPr>
        <w:t>2.3</w:t>
      </w:r>
      <w:r w:rsidR="00DC7EA4" w:rsidRPr="00BE7624">
        <w:t xml:space="preserve"> Strategy</w:t>
      </w:r>
      <w:bookmarkEnd w:id="9"/>
    </w:p>
    <w:p w14:paraId="25A50CFE" w14:textId="5A2998DB" w:rsidR="00ED4A0F" w:rsidRDefault="00ED4A0F" w:rsidP="00ED4A0F">
      <w:r>
        <w:t>T</w:t>
      </w:r>
      <w:r>
        <w:rPr>
          <w:rFonts w:hint="eastAsia"/>
        </w:rPr>
        <w:t>his part will use Ansoff Matrix, Porter</w:t>
      </w:r>
      <w:r>
        <w:t>’</w:t>
      </w:r>
      <w:r>
        <w:rPr>
          <w:rFonts w:hint="eastAsia"/>
        </w:rPr>
        <w:t>s Strategy and STP Strategy to help Domino</w:t>
      </w:r>
      <w:r>
        <w:t>’</w:t>
      </w:r>
      <w:r>
        <w:rPr>
          <w:rFonts w:hint="eastAsia"/>
        </w:rPr>
        <w:t>s attain marketing objectives</w:t>
      </w:r>
      <w:r w:rsidR="00E11899">
        <w:rPr>
          <w:rFonts w:hint="eastAsia"/>
        </w:rPr>
        <w:t>, constructing competitive advantage</w:t>
      </w:r>
      <w:r>
        <w:rPr>
          <w:rFonts w:hint="eastAsia"/>
        </w:rPr>
        <w:t>.</w:t>
      </w:r>
    </w:p>
    <w:p w14:paraId="2B0C652F" w14:textId="77777777" w:rsidR="00E11899" w:rsidRPr="00ED4A0F" w:rsidRDefault="00E11899" w:rsidP="00ED4A0F"/>
    <w:p w14:paraId="206399F7" w14:textId="347737E6" w:rsidR="00DC7EA4" w:rsidRPr="00BE7624" w:rsidRDefault="00CE41DC" w:rsidP="00CE41DC">
      <w:pPr>
        <w:pStyle w:val="3"/>
      </w:pPr>
      <w:bookmarkStart w:id="10" w:name="_Toc197647595"/>
      <w:r>
        <w:rPr>
          <w:rFonts w:hint="eastAsia"/>
        </w:rPr>
        <w:t>2.3.1</w:t>
      </w:r>
      <w:r w:rsidR="00DC7EA4" w:rsidRPr="00BE7624">
        <w:t xml:space="preserve"> Ansoff Matrix</w:t>
      </w:r>
      <w:bookmarkEnd w:id="10"/>
    </w:p>
    <w:p w14:paraId="28165C8B" w14:textId="77777777" w:rsidR="00DC7EA4" w:rsidRPr="00BE7624" w:rsidRDefault="00DC7EA4" w:rsidP="00DC7EA4">
      <w:r w:rsidRPr="00BE7624">
        <w:t xml:space="preserve">The Ansoff Matrix outlines four growth strategies—market penetration, development, product development, and diversification—helping firms analyse expansion opportunities (Zugay &amp; Zakaria, 2023). Product development, particularly differentiation through innovation (e.g., functionality or design), can create competitive advantages and capture market share (Pereira et al., 2024). This framework enables businesses to assess market dynamics and tailor strategies to enhance value and meet consumer demands.  </w:t>
      </w:r>
    </w:p>
    <w:p w14:paraId="7CE902BB" w14:textId="77777777" w:rsidR="00DC7EA4" w:rsidRPr="00BE7624" w:rsidRDefault="00DC7EA4" w:rsidP="00DC7EA4"/>
    <w:p w14:paraId="121AAFA8" w14:textId="5743B0FF" w:rsidR="00DC7EA4" w:rsidRPr="00BE7624" w:rsidRDefault="00DC7EA4" w:rsidP="00DC7EA4">
      <w:r w:rsidRPr="00BE7624">
        <w:t xml:space="preserve">Domino's could adopt a product development strategy by launching a high-protein, low-sugar pizza for the UK market, capitalising on the current gap in competitors' offerings. This approach would mitigate market entry risks while establishing competitive advantage. Research shows consumer demand for healthy options is driven primarily by health consciousness and food safety concerns (Tan et al., 2022), though gender disparities, </w:t>
      </w:r>
      <w:r w:rsidR="007D2DAE" w:rsidRPr="007D2DAE">
        <w:t xml:space="preserve">Body </w:t>
      </w:r>
      <w:r w:rsidR="007D2DAE" w:rsidRPr="007D2DAE">
        <w:lastRenderedPageBreak/>
        <w:t>Mass Index</w:t>
      </w:r>
      <w:r w:rsidR="007D2DAE">
        <w:rPr>
          <w:rFonts w:hint="eastAsia"/>
        </w:rPr>
        <w:t xml:space="preserve"> </w:t>
      </w:r>
      <w:r w:rsidRPr="00BE7624">
        <w:t xml:space="preserve">and policy factors also influence purchasing decisions (Grujić &amp; Grujčić, 2023). </w:t>
      </w:r>
    </w:p>
    <w:p w14:paraId="24D16CEA" w14:textId="77777777" w:rsidR="00DC7EA4" w:rsidRPr="00BE7624" w:rsidRDefault="00DC7EA4" w:rsidP="00DC7EA4"/>
    <w:p w14:paraId="114C1F48" w14:textId="77777777" w:rsidR="00DC7EA4" w:rsidRPr="00BE7624" w:rsidRDefault="00DC7EA4" w:rsidP="00DC7EA4">
      <w:r w:rsidRPr="00BE7624">
        <w:t xml:space="preserve">UK consumers show strong interest in healthy, sustainable eating (Statista, 2025), reducing barriers to new product adoption. However, conflicting nutritional information creates consumer uncertainty, potentially hindering green diet uptake (Vijaykumar et al., 2021). Addressing this requires coordinated efforts to reduce misinformation through education and reliable channels. Domino's strategy aligns with both market trends and its growth objectives.  </w:t>
      </w:r>
    </w:p>
    <w:p w14:paraId="3058D191" w14:textId="77777777" w:rsidR="00DC7EA4" w:rsidRPr="00BE7624" w:rsidRDefault="00DC7EA4" w:rsidP="00DC7EA4"/>
    <w:p w14:paraId="5A6C7B4B" w14:textId="1BDEC824" w:rsidR="00DC7EA4" w:rsidRPr="00CE41DC" w:rsidRDefault="00CE41DC" w:rsidP="00CE41DC">
      <w:pPr>
        <w:pStyle w:val="3"/>
      </w:pPr>
      <w:bookmarkStart w:id="11" w:name="_Toc197647596"/>
      <w:r w:rsidRPr="00CE41DC">
        <w:rPr>
          <w:rFonts w:hint="eastAsia"/>
        </w:rPr>
        <w:t>2.3.2</w:t>
      </w:r>
      <w:r w:rsidR="00DC7EA4" w:rsidRPr="00CE41DC">
        <w:t xml:space="preserve"> Porter’s Strategy</w:t>
      </w:r>
      <w:bookmarkEnd w:id="11"/>
    </w:p>
    <w:p w14:paraId="0EC2E15D" w14:textId="77777777" w:rsidR="00DC7EA4" w:rsidRPr="00BE7624" w:rsidRDefault="00DC7EA4" w:rsidP="00DC7EA4">
      <w:r w:rsidRPr="00BE7624">
        <w:t>Cost Leadership, Differentiation, and Focus are the three main components of Michael Porter's Strategy, a classic theoretical framework for businesses looking to gain a competitive edge. The differentiation strategy is focused on setting a company apart in the market by providing a distinctive good or service that will draw customers and foster brand loyalty (Alnoor et al., 2022). Differentiation techniques do have disadvantages, though, as demonstrated by their high resource requirements, dependence on volatile markets, and susceptibility to shifting market conditions (Lee, Hoehn-Weiss, and Karim, 2021).</w:t>
      </w:r>
    </w:p>
    <w:p w14:paraId="654C5C96" w14:textId="77777777" w:rsidR="00DC7EA4" w:rsidRPr="00BE7624" w:rsidRDefault="00DC7EA4" w:rsidP="00DC7EA4"/>
    <w:p w14:paraId="3D88E259" w14:textId="77777777" w:rsidR="00DC7EA4" w:rsidRPr="00BE7624" w:rsidRDefault="00DC7EA4" w:rsidP="00DC7EA4">
      <w:r w:rsidRPr="00BE7624">
        <w:lastRenderedPageBreak/>
        <w:t>By differentiating its products, Domino’s can create a distinct competitive edge. Pizza bases made with almond meal, a low-carb ingredient, give fitness enthusiasts healthier options. Supplementing with almonds can dramatically improve body weight and body composition, especially in non-obese people, especially if they consume more than 50 grammes daily for more than 12 weeks (Chahibakhsh et al., 2024). The stability of the results, however, might have been impacted by the small sample size of several of the studies in this author's experiment.</w:t>
      </w:r>
    </w:p>
    <w:p w14:paraId="476053D6" w14:textId="77777777" w:rsidR="00DC7EA4" w:rsidRPr="00BE7624" w:rsidRDefault="00DC7EA4" w:rsidP="00DC7EA4"/>
    <w:p w14:paraId="557D1AF9" w14:textId="77777777" w:rsidR="00DC7EA4" w:rsidRPr="00BE7624" w:rsidRDefault="00DC7EA4" w:rsidP="00DC7EA4">
      <w:r w:rsidRPr="00BE7624">
        <w:t>Additionally, almonds improve blood glucose, particularly in diabetic individuals, and when used properly, they can control blood glucose levels (Raha et al., 2024). Due to its high energy-dense calorie content, almond flour should be used in moderation even though it helps with glycaemic control. Additionally, excessive consumption might result in weight gain, which can negatively impact the effectiveness of glycaemic control (Gotama, Sadek, and Tedjakusuma, 2024). Fitness consumers are therefore more likely to be interested in using almonds as a food raw material, but it's crucial to pay attention to the dosage.</w:t>
      </w:r>
    </w:p>
    <w:p w14:paraId="3B80A151" w14:textId="77777777" w:rsidR="00DC7EA4" w:rsidRPr="00BE7624" w:rsidRDefault="00DC7EA4" w:rsidP="00DC7EA4">
      <w:pPr>
        <w:rPr>
          <w:b/>
          <w:bCs/>
        </w:rPr>
      </w:pPr>
    </w:p>
    <w:p w14:paraId="50B9789E" w14:textId="1CCD0F1F" w:rsidR="00DC7EA4" w:rsidRDefault="00CE41DC" w:rsidP="00E11899">
      <w:pPr>
        <w:pStyle w:val="3"/>
      </w:pPr>
      <w:bookmarkStart w:id="12" w:name="_Toc197647597"/>
      <w:r w:rsidRPr="00E11899">
        <w:rPr>
          <w:rFonts w:hint="eastAsia"/>
        </w:rPr>
        <w:t>2.3.3</w:t>
      </w:r>
      <w:r w:rsidR="00DC7EA4" w:rsidRPr="00E11899">
        <w:rPr>
          <w:rFonts w:hint="eastAsia"/>
        </w:rPr>
        <w:t xml:space="preserve"> </w:t>
      </w:r>
      <w:r w:rsidR="00DC7EA4" w:rsidRPr="00E11899">
        <w:t>STP Strategy</w:t>
      </w:r>
      <w:bookmarkEnd w:id="12"/>
    </w:p>
    <w:p w14:paraId="3972C8E9" w14:textId="1AF855E4" w:rsidR="00A75407" w:rsidRPr="00A75407" w:rsidRDefault="00A75407" w:rsidP="00A75407">
      <w:pPr>
        <w:rPr>
          <w:lang w:val="en-US"/>
        </w:rPr>
      </w:pPr>
      <w:r w:rsidRPr="00A75407">
        <w:rPr>
          <w:lang w:val="en-US"/>
        </w:rPr>
        <w:t xml:space="preserve">STP (Segmentation, Targeting, Positioning) is a strategic marketing approach where businesses first divide markets into distinct customer </w:t>
      </w:r>
      <w:r w:rsidRPr="00A75407">
        <w:rPr>
          <w:lang w:val="en-US"/>
        </w:rPr>
        <w:lastRenderedPageBreak/>
        <w:t>groups (segmentation), then focus on the most valuable segments (targeting), and finally differentiate their brand to stand out (positioning). This method optimises marketing efforts and enhances competitive advantage</w:t>
      </w:r>
      <w:r w:rsidRPr="00A75407">
        <w:t>(Ningrum and Hasmarini, 2024)</w:t>
      </w:r>
      <w:r w:rsidRPr="00A75407">
        <w:rPr>
          <w:lang w:val="en-US"/>
        </w:rPr>
        <w:t>.</w:t>
      </w:r>
    </w:p>
    <w:p w14:paraId="35AEC224" w14:textId="77777777" w:rsidR="00A75407" w:rsidRPr="00A75407" w:rsidRDefault="00A75407" w:rsidP="00A75407"/>
    <w:p w14:paraId="76551738" w14:textId="6D22BBF5" w:rsidR="00DC7EA4" w:rsidRPr="00CE41DC" w:rsidRDefault="00CE41DC" w:rsidP="00CE41DC">
      <w:pPr>
        <w:rPr>
          <w:b/>
          <w:bCs/>
        </w:rPr>
      </w:pPr>
      <w:r w:rsidRPr="00CE41DC">
        <w:rPr>
          <w:rFonts w:hint="eastAsia"/>
          <w:b/>
          <w:bCs/>
        </w:rPr>
        <w:t>1.</w:t>
      </w:r>
      <w:r w:rsidR="00DC7EA4" w:rsidRPr="00CE41DC">
        <w:rPr>
          <w:b/>
          <w:bCs/>
        </w:rPr>
        <w:t>Segmentation</w:t>
      </w:r>
    </w:p>
    <w:p w14:paraId="3968A6AC" w14:textId="77777777" w:rsidR="00DC7EA4" w:rsidRPr="00BE7624" w:rsidRDefault="00DC7EA4" w:rsidP="00DC7EA4">
      <w:r w:rsidRPr="00BE7624">
        <w:t>Domino’s can divide its customer base into three groups: low-carbon diet practitioners, health-conscious families, and fitness aficionados. These customers are more open to fitness low-fat goods and are more conscious of the importance of eating healthily (Duarte and Teixeira, 2021). Additionally, geographically, the products can be positioned in locations with a high gym density, like Manchester and London. Due to the COVID-19 pandemic, the UK's fitness industry has seen a transition from the public sector to private health clubs (Algar, 2021). Additionally, there is a substantial opportunity for profitability in London and Manchester, which have the most gyms in the UK (BoldData, 2025). It significantly improves the way Domino’s plan is being implemented. Therefore, Domino’s can segment the market both by consumers and geographies.</w:t>
      </w:r>
    </w:p>
    <w:p w14:paraId="7ECEDA8A" w14:textId="77777777" w:rsidR="00DC7EA4" w:rsidRPr="00BE7624" w:rsidRDefault="00DC7EA4" w:rsidP="00DC7EA4"/>
    <w:p w14:paraId="60A2D9F7" w14:textId="57227076" w:rsidR="00DC7EA4" w:rsidRPr="00CE41DC" w:rsidRDefault="00CE41DC" w:rsidP="00CE41DC">
      <w:pPr>
        <w:rPr>
          <w:b/>
          <w:bCs/>
        </w:rPr>
      </w:pPr>
      <w:r w:rsidRPr="00CE41DC">
        <w:rPr>
          <w:rFonts w:hint="eastAsia"/>
          <w:b/>
          <w:bCs/>
        </w:rPr>
        <w:t>2.</w:t>
      </w:r>
      <w:r w:rsidR="00DC7EA4" w:rsidRPr="00CE41DC">
        <w:rPr>
          <w:b/>
          <w:bCs/>
        </w:rPr>
        <w:t>Targeting</w:t>
      </w:r>
    </w:p>
    <w:p w14:paraId="6290C00E" w14:textId="77777777" w:rsidR="00DC7EA4" w:rsidRPr="00BE7624" w:rsidRDefault="00DC7EA4" w:rsidP="00DC7EA4">
      <w:r w:rsidRPr="00BE7624">
        <w:t xml:space="preserve">The core target market comprises urban consumers aged 18-35, who predominantly choose convenient fast food like pizza (Okumus, 2021). </w:t>
      </w:r>
      <w:r w:rsidRPr="00BE7624">
        <w:lastRenderedPageBreak/>
        <w:t>This demographic also shows growing fitness interest to counter digital fatigue (Tao et al., 2022) - though UK-specific validation is needed as current data derives from Chinese research. This age group demonstrates both pizza consumption habits and health awareness, aligning perfectly with Domino's strategy for healthier offerings.</w:t>
      </w:r>
    </w:p>
    <w:p w14:paraId="6624C56E" w14:textId="77777777" w:rsidR="00DC7EA4" w:rsidRPr="00BE7624" w:rsidRDefault="00DC7EA4" w:rsidP="00DC7EA4"/>
    <w:p w14:paraId="2BB6FFD4" w14:textId="5717A73E" w:rsidR="00DC7EA4" w:rsidRPr="00CE41DC" w:rsidRDefault="00CE41DC" w:rsidP="00CE41DC">
      <w:pPr>
        <w:rPr>
          <w:b/>
          <w:bCs/>
        </w:rPr>
      </w:pPr>
      <w:r w:rsidRPr="00CE41DC">
        <w:rPr>
          <w:rFonts w:hint="eastAsia"/>
          <w:b/>
          <w:bCs/>
        </w:rPr>
        <w:t>3.</w:t>
      </w:r>
      <w:r w:rsidR="00DC7EA4" w:rsidRPr="00CE41DC">
        <w:rPr>
          <w:b/>
          <w:bCs/>
        </w:rPr>
        <w:t>Positioning</w:t>
      </w:r>
    </w:p>
    <w:p w14:paraId="26812CF4" w14:textId="77777777" w:rsidR="00DC7EA4" w:rsidRPr="00BE7624" w:rsidRDefault="00DC7EA4" w:rsidP="00DC7EA4">
      <w:r w:rsidRPr="00BE7624">
        <w:t>Domino’s can use the slogan "Pizza can also help your fitness goals" to emphasise the mix of "health" and "convenience" in their brand positioning. By using premium ingredients like almond flour base, low-fat mozzarella cheese, and high-protein chicken and beef that are easier for the digestive tract to absorb and transform into the energy the body needs, Domino’s can dispel the myth that traditional pizza is a high-calorie meal (Ross et al., 2024). By using scientific principles to develop a low-burden dietary combination, the fitness community can also enjoy the time of fat loss and muscle growth with peace of mind.</w:t>
      </w:r>
    </w:p>
    <w:p w14:paraId="44A64450" w14:textId="77777777" w:rsidR="00DC7EA4" w:rsidRPr="00BE7624" w:rsidRDefault="00DC7EA4" w:rsidP="00DC7EA4"/>
    <w:p w14:paraId="39978954" w14:textId="77777777" w:rsidR="00DC7EA4" w:rsidRPr="00BE7624" w:rsidRDefault="00DC7EA4" w:rsidP="00DC7EA4">
      <w:r w:rsidRPr="00BE7624">
        <w:t xml:space="preserve">The innovative "Calorie Transparency" menu enables precise dietary management by clearly displaying nutritional content. Fitness-conscious consumers particularly monitor calorie intake to align with their exercise regimes (Dorokhova et al., 2024). This positions Domino's healthy pizza as an attractive fitness-friendly option, facilitating successful business </w:t>
      </w:r>
      <w:r w:rsidRPr="00BE7624">
        <w:lastRenderedPageBreak/>
        <w:t>strategy implementation.</w:t>
      </w:r>
    </w:p>
    <w:p w14:paraId="057C344F" w14:textId="77777777" w:rsidR="00DC7EA4" w:rsidRPr="00BE7624" w:rsidRDefault="00DC7EA4" w:rsidP="00DC7EA4"/>
    <w:p w14:paraId="08EF778B" w14:textId="295E7BC0" w:rsidR="00DC7EA4" w:rsidRPr="00BE7624" w:rsidRDefault="00CE41DC" w:rsidP="00CE41DC">
      <w:pPr>
        <w:pStyle w:val="2"/>
      </w:pPr>
      <w:bookmarkStart w:id="13" w:name="_Toc197647598"/>
      <w:r>
        <w:rPr>
          <w:rFonts w:hint="eastAsia"/>
        </w:rPr>
        <w:t>2.4</w:t>
      </w:r>
      <w:r w:rsidR="00DC7EA4" w:rsidRPr="00BE7624">
        <w:t xml:space="preserve"> Tactics</w:t>
      </w:r>
      <w:bookmarkEnd w:id="13"/>
    </w:p>
    <w:p w14:paraId="65C9D5DA" w14:textId="3DC23646" w:rsidR="00DC7EA4" w:rsidRPr="00BE7624" w:rsidRDefault="00DC7EA4" w:rsidP="00DC7EA4">
      <w:r w:rsidRPr="00BE7624">
        <w:t xml:space="preserve">The goal of Domino’s next product phase is to create a 12-inch pizza with an almond flour base (net carb &lt;10g/slice) that includes high-protein components including quinoa, kale, chicken breast, and optional vegan cheese. This is mostly because protein supplements aid in building strength and muscular growth (Aly, Ghobashy, and Aborhyem, 2023). </w:t>
      </w:r>
      <w:r w:rsidR="00681885" w:rsidRPr="00BE7624">
        <w:t>To</w:t>
      </w:r>
      <w:r w:rsidRPr="00BE7624">
        <w:t xml:space="preserve"> prevent allergies in certain customers after consumption, it is crucial to concentrate on labelling the product packaging design during the selling process and to label the food raw materials of the new products while keeping the original environmentally friendly material packaging (Knudsen, 2024).</w:t>
      </w:r>
    </w:p>
    <w:p w14:paraId="0B1DFB8B" w14:textId="77777777" w:rsidR="00DC7EA4" w:rsidRPr="00BE7624" w:rsidRDefault="00DC7EA4" w:rsidP="00DC7EA4"/>
    <w:p w14:paraId="1847B3D4" w14:textId="77777777" w:rsidR="00DC7EA4" w:rsidRPr="00BE7624" w:rsidRDefault="00DC7EA4" w:rsidP="00DC7EA4">
      <w:r w:rsidRPr="00BE7624">
        <w:t>Given that the unit price enables a 20% premium to the business and aligns with the psychology of healthy consumption, Domino’s might opt for premium pricing for its products, with a single serving costing £14.99 (Chiaraluce et al., 2024). Price-sensitive users are not included in the pricing, which is likely to appeal to middle-class and upper-class consumers. Membership levels, like student discounts, should prevent market narrowing; otherwise, long-term growth would suffer (Cao, 2021).</w:t>
      </w:r>
    </w:p>
    <w:p w14:paraId="11CA8590" w14:textId="77777777" w:rsidR="00DC7EA4" w:rsidRPr="00BE7624" w:rsidRDefault="00DC7EA4" w:rsidP="00DC7EA4">
      <w:pPr>
        <w:rPr>
          <w:b/>
          <w:bCs/>
        </w:rPr>
      </w:pPr>
    </w:p>
    <w:p w14:paraId="2172ABF9" w14:textId="77777777" w:rsidR="00DC7EA4" w:rsidRPr="00BE7624" w:rsidRDefault="00DC7EA4" w:rsidP="00DC7EA4">
      <w:r w:rsidRPr="00BE7624">
        <w:t xml:space="preserve">To increase digital user stickiness, Domino’s might implement an exclusive </w:t>
      </w:r>
      <w:r w:rsidRPr="00BE7624">
        <w:lastRenderedPageBreak/>
        <w:t>pre-sale for the channel that is exclusive to APP subscriptions for the first three months. Short-term user engagement and stickiness can be efficiently increased by APP pre-sale behaviour, limited-time discounts, and social fission methods. However, an over-reliance on pricing incentives may result in shallow customer loyalty, which will reduce the long-term gains. To move from "traffic harvesting" to "sustainable stickiness," businesses must strike a balance between promotional efforts and user experience. Some strategies to achieve this include improving product certainty, optimising return and exchange policies, and integrating pre-sale data with user behaviour analysis (Pei et al., 2021).</w:t>
      </w:r>
    </w:p>
    <w:p w14:paraId="473C2DF2" w14:textId="77777777" w:rsidR="00DC7EA4" w:rsidRPr="00BE7624" w:rsidRDefault="00DC7EA4" w:rsidP="00DC7EA4">
      <w:pPr>
        <w:rPr>
          <w:b/>
          <w:bCs/>
        </w:rPr>
      </w:pPr>
    </w:p>
    <w:p w14:paraId="6ABB897C" w14:textId="2A336759" w:rsidR="00DC7EA4" w:rsidRPr="00BE7624" w:rsidRDefault="00DC7EA4" w:rsidP="00DC7EA4">
      <w:r w:rsidRPr="00BE7624">
        <w:t xml:space="preserve">In terms of promotional strategies, a "buy one get one free" discount can be adopted for orders placed through the APP in the first month. While "buy one get one free" (B1G1) promotions are widely used to drive short-term sales and clear inventory by leveraging perceived value, their effectiveness is context-dependent—often failing to foster long-term brand loyalty, disproportionately attracting price-sensitive consumers who may not convert to repeat buyers, and potentially eroding profit margins if overused, as evidenced by the study's insignificant impact (p &gt; 0.05) on sustained consumer buying </w:t>
      </w:r>
      <w:r w:rsidR="00681885" w:rsidRPr="00BE7624">
        <w:t>behaviour</w:t>
      </w:r>
      <w:r w:rsidRPr="00BE7624">
        <w:t xml:space="preserve"> in Pakistan's FMCG sector, highlighting the need for strategic balance with other tools like free samples or targeted discounts(Ali and Muhammad, 2021).</w:t>
      </w:r>
    </w:p>
    <w:p w14:paraId="37963B74" w14:textId="77777777" w:rsidR="00DC7EA4" w:rsidRPr="00BE7624" w:rsidRDefault="00DC7EA4" w:rsidP="00DC7EA4">
      <w:pPr>
        <w:rPr>
          <w:b/>
          <w:bCs/>
        </w:rPr>
      </w:pPr>
    </w:p>
    <w:p w14:paraId="1973B014" w14:textId="77777777" w:rsidR="00DC7EA4" w:rsidRPr="00BE7624" w:rsidRDefault="00DC7EA4" w:rsidP="00DC7EA4">
      <w:r w:rsidRPr="00BE7624">
        <w:t xml:space="preserve">Domino's should enhance staff training to improve nutritional knowledge, enabling employees to effectively promote products to fitness-conscious customers. Research shows that workforce training boosts operational efficiency, competitiveness, and long-term organisational sustainability (Ismael et al., 2021). Additionally, introducing an in-app "Nutrition Advisor" feature could optimise customer service. However, careful resource allocation is crucial to ensure cost-effectiveness and avoid HR inefficiencies (Anagnostopoulou &amp; Avgoustaki, 2023).  </w:t>
      </w:r>
    </w:p>
    <w:p w14:paraId="0636A811" w14:textId="77777777" w:rsidR="00DC7EA4" w:rsidRPr="00BE7624" w:rsidRDefault="00DC7EA4" w:rsidP="00DC7EA4"/>
    <w:p w14:paraId="79DA3B83" w14:textId="5ADFF33C" w:rsidR="00DC7EA4" w:rsidRPr="00BE7624" w:rsidRDefault="00DC7EA4" w:rsidP="00DC7EA4">
      <w:r w:rsidRPr="00BE7624">
        <w:t>Regarding employees, Domino’s can improve training so that store employees are knowledgeable about the product's nutrition and can actively suggest it to fitness customers. The primary reason is that improving staff training is a key tactic used by organisations to attain effective operations, sustain competitiveness, and foster sustainable development; it provides long-term economic and social advantages to the organisation in addition to enhancing employees' individual capabilities (Ismael et al., 2021). Second, incorporating a "Nutrition Advisor" online consultation feature onto the app would improve customer service optimisation. Companies must, however, think about whether adding this consulting role would guarantee that the organi</w:t>
      </w:r>
      <w:r w:rsidR="007D2DAE">
        <w:rPr>
          <w:rFonts w:hint="eastAsia"/>
        </w:rPr>
        <w:t>s</w:t>
      </w:r>
      <w:r w:rsidRPr="00BE7624">
        <w:t xml:space="preserve">ation's limited resources are used effectively and prevent human resource waste (Anagnostopoulou </w:t>
      </w:r>
      <w:r w:rsidRPr="00BE7624">
        <w:lastRenderedPageBreak/>
        <w:t>and Avgoustaki, 2023).</w:t>
      </w:r>
    </w:p>
    <w:p w14:paraId="4429F84A" w14:textId="77777777" w:rsidR="00DC7EA4" w:rsidRPr="00BE7624" w:rsidRDefault="00DC7EA4" w:rsidP="00DC7EA4">
      <w:pPr>
        <w:rPr>
          <w:b/>
          <w:bCs/>
        </w:rPr>
      </w:pPr>
    </w:p>
    <w:p w14:paraId="192717B6" w14:textId="2C13159E" w:rsidR="00DC7EA4" w:rsidRPr="00BE7624" w:rsidRDefault="00DC7EA4" w:rsidP="00DC7EA4">
      <w:r w:rsidRPr="00BE7624">
        <w:t>Physical Evidence: By incorporating a "Fitness Achievement Wall" into the program, where users can earn exclusive badges by accruing orders, Domino’s may improve the digital experience for customers. This tactic can ameliorate the unfavourable health labels of fast food by expanding the company's brand image and communicating the idea of a "balanced diet" through "fitness achievement." However, there are certain implementation risks since if the badge rewards don</w:t>
      </w:r>
      <w:r w:rsidR="007D2DAE">
        <w:rPr>
          <w:rFonts w:hint="eastAsia"/>
        </w:rPr>
        <w:t xml:space="preserve"> </w:t>
      </w:r>
      <w:r w:rsidR="00681885">
        <w:t>does not offer</w:t>
      </w:r>
      <w:r w:rsidRPr="00BE7624">
        <w:t xml:space="preserve"> genuine benefits like discounts and privileges, user engagement might be minimal (Suchánek and Činčalová, 2024).</w:t>
      </w:r>
    </w:p>
    <w:p w14:paraId="0BC55904" w14:textId="77777777" w:rsidR="00DC7EA4" w:rsidRPr="00BE7624" w:rsidRDefault="00DC7EA4" w:rsidP="00DC7EA4"/>
    <w:p w14:paraId="2CF4B543" w14:textId="60F03A45" w:rsidR="00DC7EA4" w:rsidRPr="00BE7624" w:rsidRDefault="00CE41DC" w:rsidP="00CE41DC">
      <w:pPr>
        <w:pStyle w:val="2"/>
      </w:pPr>
      <w:bookmarkStart w:id="14" w:name="_Toc197647599"/>
      <w:r>
        <w:rPr>
          <w:rFonts w:hint="eastAsia"/>
        </w:rPr>
        <w:lastRenderedPageBreak/>
        <w:t>2.5</w:t>
      </w:r>
      <w:r w:rsidR="00DC7EA4" w:rsidRPr="00BE7624">
        <w:t xml:space="preserve"> Action</w:t>
      </w:r>
      <w:bookmarkEnd w:id="14"/>
    </w:p>
    <w:p w14:paraId="3A26CB97" w14:textId="77777777" w:rsidR="007D2DAE" w:rsidRDefault="00DC7EA4" w:rsidP="00DC7EA4">
      <w:r w:rsidRPr="00BE7624">
        <w:rPr>
          <w:noProof/>
        </w:rPr>
        <w:drawing>
          <wp:inline distT="0" distB="0" distL="0" distR="0" wp14:anchorId="78168113" wp14:editId="4B09D3D5">
            <wp:extent cx="5575965" cy="4688282"/>
            <wp:effectExtent l="0" t="0" r="5715" b="0"/>
            <wp:docPr id="476982139" name="图片 1" descr="图表, 日程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82139" name="图片 1" descr="图表, 日程表&#10;&#10;AI 生成的内容可能不正确。"/>
                    <pic:cNvPicPr/>
                  </pic:nvPicPr>
                  <pic:blipFill>
                    <a:blip r:embed="rId11"/>
                    <a:stretch>
                      <a:fillRect/>
                    </a:stretch>
                  </pic:blipFill>
                  <pic:spPr>
                    <a:xfrm>
                      <a:off x="0" y="0"/>
                      <a:ext cx="5612541" cy="4719036"/>
                    </a:xfrm>
                    <a:prstGeom prst="rect">
                      <a:avLst/>
                    </a:prstGeom>
                  </pic:spPr>
                </pic:pic>
              </a:graphicData>
            </a:graphic>
          </wp:inline>
        </w:drawing>
      </w:r>
    </w:p>
    <w:p w14:paraId="42DA97C4" w14:textId="041F94E5" w:rsidR="00DC7EA4" w:rsidRPr="00BE7624" w:rsidRDefault="00DC7EA4" w:rsidP="00DC7EA4">
      <w:r w:rsidRPr="00BE7624">
        <w:t>The 52-week Gantt chart outlines five key phases for Domino's healthy pizza development: (1) Market Research - analysing consumer behaviour, competitor ingredients</w:t>
      </w:r>
      <w:r w:rsidR="007D2DAE">
        <w:rPr>
          <w:rFonts w:hint="eastAsia"/>
        </w:rPr>
        <w:t xml:space="preserve"> or </w:t>
      </w:r>
      <w:r w:rsidRPr="00BE7624">
        <w:t xml:space="preserve">pricing, and establishing nutritional criteria with experts; (2) Product Development - supply chain negotiations, recipe formulation (high-protein, low-carb), and three taste-test iterations; (3) Brand Marketing - packaging design, influencer partnerships and social media strategy; (4) Operational Readiness - staff health training, takeaway platform labelling technology, and pilot city selection; (5) National Rollout - UK market launch, gym collaborations and sales performance </w:t>
      </w:r>
      <w:r w:rsidRPr="00BE7624">
        <w:lastRenderedPageBreak/>
        <w:t xml:space="preserve">optimisation. </w:t>
      </w:r>
    </w:p>
    <w:p w14:paraId="56FD1E88" w14:textId="77777777" w:rsidR="00DC7EA4" w:rsidRPr="00BE7624" w:rsidRDefault="00DC7EA4" w:rsidP="00DC7EA4"/>
    <w:p w14:paraId="47892990" w14:textId="17ECC04F" w:rsidR="00DC7EA4" w:rsidRPr="00BE7624" w:rsidRDefault="00CE41DC" w:rsidP="00CE41DC">
      <w:pPr>
        <w:pStyle w:val="2"/>
      </w:pPr>
      <w:bookmarkStart w:id="15" w:name="_Toc197647600"/>
      <w:r>
        <w:rPr>
          <w:rFonts w:hint="eastAsia"/>
        </w:rPr>
        <w:t>2.6</w:t>
      </w:r>
      <w:r w:rsidR="00DC7EA4" w:rsidRPr="00BE7624">
        <w:t xml:space="preserve"> Control</w:t>
      </w:r>
      <w:bookmarkEnd w:id="15"/>
    </w:p>
    <w:p w14:paraId="17941434" w14:textId="1C3D0D56" w:rsidR="00DC7EA4" w:rsidRPr="00BE7624" w:rsidRDefault="00DC7EA4" w:rsidP="00DC7EA4">
      <w:r w:rsidRPr="00BE7624">
        <w:t>Through customer retention rates, Domino’s strategic goals can be coordinated and managed in terms of key performance indicators.</w:t>
      </w:r>
      <w:r w:rsidR="00A75407">
        <w:rPr>
          <w:rFonts w:hint="eastAsia"/>
        </w:rPr>
        <w:t xml:space="preserve"> </w:t>
      </w:r>
      <w:r w:rsidR="00A75407" w:rsidRPr="00A75407">
        <w:t>Customer retention rate measures the percentage of existing customers a business retains over a specific period, reflecting loyalty and satisfaction with the product (Majka, 2024)</w:t>
      </w:r>
      <w:r w:rsidR="00A75407">
        <w:rPr>
          <w:rFonts w:hint="eastAsia"/>
        </w:rPr>
        <w:t>.</w:t>
      </w:r>
      <w:r w:rsidRPr="00BE7624">
        <w:t xml:space="preserve"> A qualifying condition is a user retention rate of at least 40%. As a primary measure of client loyalty and a major force behind long-term growth, the consumer retention rate has a significant influence on how the business implements its strategic goals. According to Majka (2024), a high retention rate can raise the lifetime value of clients, drastically lower the cost of acquiring new ones, and create a steady stream of income through repeat business. However, companies need to be wary of the potential risk of relying too heavily on existing customers and neglecting market expansion, e.g. a healthy pizza programme that focuses on fitness enthusiasts may miss out on a wider consumer base.</w:t>
      </w:r>
    </w:p>
    <w:p w14:paraId="0951323F" w14:textId="77777777" w:rsidR="006B29F7" w:rsidRPr="00BE7624" w:rsidRDefault="006B29F7" w:rsidP="006B29F7"/>
    <w:p w14:paraId="10BC178A" w14:textId="7F6A7ACA" w:rsidR="006B29F7" w:rsidRPr="00BE7624" w:rsidRDefault="00DC7EA4" w:rsidP="006B29F7">
      <w:r w:rsidRPr="00BE7624">
        <w:t xml:space="preserve">Domino's can make real-time adjustments to its strategic goals through data monitoring, </w:t>
      </w:r>
      <w:r w:rsidR="007D2DAE" w:rsidRPr="00BE7624">
        <w:t>analyse</w:t>
      </w:r>
      <w:r w:rsidRPr="00BE7624">
        <w:t xml:space="preserve"> sales data and social media interaction volumes weekly, and identify high-demand areas. While the study demonstrates the </w:t>
      </w:r>
      <w:r w:rsidRPr="00BE7624">
        <w:lastRenderedPageBreak/>
        <w:t xml:space="preserve">value of sentiment analysis in optimizing pizza brands' social media strategies, its reliance on 2018 Facebook data and a narrow focus on comment ratios (without deeper context like review content or competitor actions) may limit actionable insights—highlighting the need for real-time, multi-platform analysis to address evolving consumer </w:t>
      </w:r>
      <w:r w:rsidR="006B29F7" w:rsidRPr="00BE7624">
        <w:t>behaviour</w:t>
      </w:r>
      <w:r w:rsidRPr="00BE7624">
        <w:t xml:space="preserve"> and market dynamics(Nasir, Rehmat and Ahmad, 2023).</w:t>
      </w:r>
    </w:p>
    <w:p w14:paraId="3A42825C" w14:textId="77777777" w:rsidR="00CE41DC" w:rsidRDefault="00CE41DC" w:rsidP="00CE41DC">
      <w:pPr>
        <w:widowControl/>
        <w:jc w:val="left"/>
      </w:pPr>
    </w:p>
    <w:p w14:paraId="6F1BF642" w14:textId="77777777" w:rsidR="00ED4A0F" w:rsidRDefault="00ED4A0F">
      <w:pPr>
        <w:widowControl/>
        <w:jc w:val="left"/>
        <w:rPr>
          <w:b/>
          <w:bCs/>
          <w:sz w:val="30"/>
        </w:rPr>
      </w:pPr>
      <w:r>
        <w:br w:type="page"/>
      </w:r>
    </w:p>
    <w:p w14:paraId="4FC37F18" w14:textId="78C3157B" w:rsidR="002315AE" w:rsidRPr="00CE41DC" w:rsidRDefault="00CE41DC" w:rsidP="00CE41DC">
      <w:pPr>
        <w:pStyle w:val="1"/>
      </w:pPr>
      <w:bookmarkStart w:id="16" w:name="_Toc197647601"/>
      <w:r>
        <w:rPr>
          <w:rFonts w:hint="eastAsia"/>
        </w:rPr>
        <w:lastRenderedPageBreak/>
        <w:t>3</w:t>
      </w:r>
      <w:r w:rsidR="00DC7EA4" w:rsidRPr="00BE7624">
        <w:rPr>
          <w:rFonts w:hint="eastAsia"/>
        </w:rPr>
        <w:t>.0 Conclusion</w:t>
      </w:r>
      <w:bookmarkEnd w:id="16"/>
    </w:p>
    <w:p w14:paraId="24604242" w14:textId="41E60671" w:rsidR="006B29F7" w:rsidRPr="00BE7624" w:rsidRDefault="006B29F7" w:rsidP="006B29F7">
      <w:r w:rsidRPr="00BE7624">
        <w:t xml:space="preserve">Domino's can capitalise on growing demand for healthier fast food by launching a high-protein, low-carb pizza range targeting fitness-focused </w:t>
      </w:r>
      <w:r w:rsidR="00ED4A0F" w:rsidRPr="00BE7624">
        <w:t>18–35-year-olds</w:t>
      </w:r>
      <w:r w:rsidRPr="00BE7624">
        <w:t>. Leveraging existing distribution and digital strengths, the strategy combines product innovation with nutritional transparency and targeted marketing.</w:t>
      </w:r>
    </w:p>
    <w:p w14:paraId="1E603BC0" w14:textId="77777777" w:rsidR="006B29F7" w:rsidRPr="00BE7624" w:rsidRDefault="006B29F7" w:rsidP="006B29F7"/>
    <w:p w14:paraId="1BDA92F4" w14:textId="77777777" w:rsidR="006B29F7" w:rsidRPr="00BE7624" w:rsidRDefault="006B29F7" w:rsidP="006B29F7">
      <w:r w:rsidRPr="00BE7624">
        <w:t>A structured 12-month rollout plan addresses key challenges while maintaining measurable KPIs. Despite potential hurdles regarding fast food perceptions, the balanced approach through quality ingredients, staff training and strategic partnerships positions Domino's to strengthen its market position in the evolving UK foodservice sector.</w:t>
      </w:r>
    </w:p>
    <w:p w14:paraId="4C24097E" w14:textId="77777777" w:rsidR="00DC7EA4" w:rsidRPr="00BE7624" w:rsidRDefault="00DC7EA4" w:rsidP="00DC7EA4"/>
    <w:p w14:paraId="6ABD3C66" w14:textId="77777777" w:rsidR="00ED4A0F" w:rsidRDefault="00ED4A0F">
      <w:pPr>
        <w:widowControl/>
        <w:jc w:val="left"/>
        <w:rPr>
          <w:b/>
          <w:bCs/>
          <w:sz w:val="30"/>
        </w:rPr>
      </w:pPr>
      <w:r>
        <w:br w:type="page"/>
      </w:r>
    </w:p>
    <w:p w14:paraId="2C25E689" w14:textId="3BCE0C5E" w:rsidR="00B62172" w:rsidRPr="00BE7624" w:rsidRDefault="00CE41DC" w:rsidP="00CE41DC">
      <w:pPr>
        <w:pStyle w:val="1"/>
      </w:pPr>
      <w:bookmarkStart w:id="17" w:name="_Toc197647602"/>
      <w:r>
        <w:rPr>
          <w:rFonts w:hint="eastAsia"/>
        </w:rPr>
        <w:lastRenderedPageBreak/>
        <w:t>4</w:t>
      </w:r>
      <w:r w:rsidR="00DC7EA4" w:rsidRPr="00BE7624">
        <w:rPr>
          <w:rFonts w:hint="eastAsia"/>
        </w:rPr>
        <w:t>.0 Recommendations</w:t>
      </w:r>
      <w:bookmarkEnd w:id="17"/>
    </w:p>
    <w:p w14:paraId="592F475B" w14:textId="1085836B" w:rsidR="00B62172" w:rsidRPr="00BE7624" w:rsidRDefault="00CE41DC" w:rsidP="00B62172">
      <w:pPr>
        <w:pStyle w:val="2"/>
      </w:pPr>
      <w:bookmarkStart w:id="18" w:name="_Toc197647603"/>
      <w:r>
        <w:rPr>
          <w:rFonts w:hint="eastAsia"/>
        </w:rPr>
        <w:t>4</w:t>
      </w:r>
      <w:r w:rsidR="00B62172" w:rsidRPr="00BE7624">
        <w:t>.1 Launch a "Calorie-Smart" Digital Campaign</w:t>
      </w:r>
      <w:bookmarkEnd w:id="18"/>
    </w:p>
    <w:p w14:paraId="69E01CDA" w14:textId="0458654C" w:rsidR="00B62172" w:rsidRPr="00BE7624" w:rsidRDefault="00B62172" w:rsidP="00B62172">
      <w:r w:rsidRPr="00BE7624">
        <w:t xml:space="preserve">Domino's should develop an interactive digital platform showcasing the nutritional benefits of its new health-conscious pizza range. This would feature a "Build Your Fitness Pizza" tool allowing customers to customise meals while tracking macronutrients in real-time. The platform should integrate with popular fitness apps to help users align pizza choices with their dietary goals. To drive engagement, Domino's could introduce weekly challenges where customers share their healthy pizza creations on social media for rewards. This digital-first approach capitalises on the brand's strong app infrastructure while educating consumers about balanced </w:t>
      </w:r>
      <w:r w:rsidR="0082077B" w:rsidRPr="00BE7624">
        <w:t>fast-food</w:t>
      </w:r>
      <w:r w:rsidRPr="00BE7624">
        <w:t xml:space="preserve"> options. The campaign should highlight how the almond flour base and premium proteins support fitness regimes, directly addressing the health-conscious 18-35 demographic.</w:t>
      </w:r>
    </w:p>
    <w:p w14:paraId="3716EB02" w14:textId="77777777" w:rsidR="00B62172" w:rsidRPr="00BE7624" w:rsidRDefault="00B62172" w:rsidP="00B62172"/>
    <w:p w14:paraId="3352D1E1" w14:textId="0310EB93" w:rsidR="00B62172" w:rsidRPr="00BE7624" w:rsidRDefault="00CE41DC" w:rsidP="00B62172">
      <w:pPr>
        <w:pStyle w:val="2"/>
      </w:pPr>
      <w:bookmarkStart w:id="19" w:name="_Toc197647604"/>
      <w:r>
        <w:rPr>
          <w:rFonts w:hint="eastAsia"/>
        </w:rPr>
        <w:t>4</w:t>
      </w:r>
      <w:r w:rsidR="00B62172" w:rsidRPr="00BE7624">
        <w:rPr>
          <w:rFonts w:hint="eastAsia"/>
        </w:rPr>
        <w:t xml:space="preserve">.2 </w:t>
      </w:r>
      <w:r w:rsidR="00B62172" w:rsidRPr="00BE7624">
        <w:t>Establish a "Fitness Kitchen" Certification Programme</w:t>
      </w:r>
      <w:bookmarkEnd w:id="19"/>
    </w:p>
    <w:p w14:paraId="50EA0AB2" w14:textId="1BDF3B72" w:rsidR="00DC7EA4" w:rsidRPr="00BE7624" w:rsidRDefault="00B62172" w:rsidP="00B62172">
      <w:r w:rsidRPr="00BE7624">
        <w:t xml:space="preserve">Domino's should implement a certification system for selected stores located near gyms and fitness centres. These "Fitness Kitchen" outlets would feature dedicated preparation areas for health-focused pizzas, staff trained in sports nutrition, and partnership offers with nearby fitness facilities. The certification would </w:t>
      </w:r>
      <w:r w:rsidR="006B29F7" w:rsidRPr="00BE7624">
        <w:t>guarantee</w:t>
      </w:r>
      <w:r w:rsidRPr="00BE7624">
        <w:t xml:space="preserve"> standardi</w:t>
      </w:r>
      <w:r w:rsidR="006B29F7" w:rsidRPr="00BE7624">
        <w:rPr>
          <w:rFonts w:hint="eastAsia"/>
        </w:rPr>
        <w:t>s</w:t>
      </w:r>
      <w:r w:rsidRPr="00BE7624">
        <w:t xml:space="preserve">ed low-carb </w:t>
      </w:r>
      <w:r w:rsidRPr="00BE7624">
        <w:lastRenderedPageBreak/>
        <w:t>preparation methods, premium ingredient sourcing, and nutritionist-approved recipes. Stores could host monthly "Fit Food" workshops demonstrating how to incorporate the pizzas into meal plans. This targeted store concept creates a physical manifestation of Domino's health commitment while leveraging the geographical segmentation strategy identified in the report. The certification badge would become a mark of quality assurance for discerning customers.</w:t>
      </w:r>
      <w:bookmarkEnd w:id="5"/>
      <w:r w:rsidR="00DC7EA4" w:rsidRPr="00BE7624">
        <w:br w:type="page"/>
      </w:r>
    </w:p>
    <w:p w14:paraId="26C5A95E" w14:textId="7F5E8874" w:rsidR="00DC7EA4" w:rsidRPr="00BE7624" w:rsidRDefault="00DC7EA4" w:rsidP="00DC7EA4">
      <w:pPr>
        <w:pStyle w:val="1"/>
        <w:jc w:val="center"/>
      </w:pPr>
      <w:bookmarkStart w:id="20" w:name="_Toc197647605"/>
      <w:r w:rsidRPr="00BE7624">
        <w:lastRenderedPageBreak/>
        <w:t>R</w:t>
      </w:r>
      <w:r w:rsidRPr="00BE7624">
        <w:rPr>
          <w:rFonts w:hint="eastAsia"/>
        </w:rPr>
        <w:t>eferences</w:t>
      </w:r>
      <w:bookmarkEnd w:id="20"/>
    </w:p>
    <w:p w14:paraId="6BFE9023" w14:textId="77777777" w:rsidR="0082077B" w:rsidRDefault="0082077B" w:rsidP="0082077B">
      <w:pPr>
        <w:rPr>
          <w:sz w:val="24"/>
          <w:szCs w:val="24"/>
          <w:lang w:val="en-US"/>
        </w:rPr>
      </w:pPr>
      <w:r w:rsidRPr="0082077B">
        <w:rPr>
          <w:sz w:val="24"/>
          <w:szCs w:val="24"/>
          <w:lang w:val="en-US"/>
        </w:rPr>
        <w:t xml:space="preserve">Alae-Carew, C. </w:t>
      </w:r>
      <w:r w:rsidRPr="0082077B">
        <w:rPr>
          <w:i/>
          <w:iCs/>
          <w:sz w:val="24"/>
          <w:szCs w:val="24"/>
          <w:lang w:val="en-US"/>
        </w:rPr>
        <w:t>et al.</w:t>
      </w:r>
      <w:r w:rsidRPr="0082077B">
        <w:rPr>
          <w:sz w:val="24"/>
          <w:szCs w:val="24"/>
          <w:lang w:val="en-US"/>
        </w:rPr>
        <w:t xml:space="preserve"> (2022) ‘The role of plant-based alternative foods in sustainable and healthy food systems: Consumption trends in the UK’, </w:t>
      </w:r>
      <w:r w:rsidRPr="0082077B">
        <w:rPr>
          <w:i/>
          <w:iCs/>
          <w:sz w:val="24"/>
          <w:szCs w:val="24"/>
          <w:lang w:val="en-US"/>
        </w:rPr>
        <w:t>Science of The Total Environment</w:t>
      </w:r>
      <w:r w:rsidRPr="0082077B">
        <w:rPr>
          <w:sz w:val="24"/>
          <w:szCs w:val="24"/>
          <w:lang w:val="en-US"/>
        </w:rPr>
        <w:t xml:space="preserve">, 807, p. 151041. Available at: </w:t>
      </w:r>
      <w:hyperlink r:id="rId12" w:history="1">
        <w:r w:rsidRPr="0082077B">
          <w:rPr>
            <w:rStyle w:val="af2"/>
            <w:sz w:val="24"/>
            <w:szCs w:val="24"/>
            <w:lang w:val="en-US"/>
          </w:rPr>
          <w:t>https://doi.org/10.1016/j.scitotenv.2021.151041</w:t>
        </w:r>
      </w:hyperlink>
      <w:r w:rsidRPr="0082077B">
        <w:rPr>
          <w:sz w:val="24"/>
          <w:szCs w:val="24"/>
          <w:lang w:val="en-US"/>
        </w:rPr>
        <w:t>.</w:t>
      </w:r>
    </w:p>
    <w:p w14:paraId="274653E5" w14:textId="77777777" w:rsidR="0082077B" w:rsidRDefault="0082077B" w:rsidP="0082077B">
      <w:pPr>
        <w:rPr>
          <w:sz w:val="24"/>
          <w:szCs w:val="24"/>
          <w:lang w:val="en-US"/>
        </w:rPr>
      </w:pPr>
    </w:p>
    <w:p w14:paraId="018FAF90" w14:textId="77777777" w:rsidR="0082077B" w:rsidRDefault="0082077B" w:rsidP="0082077B">
      <w:pPr>
        <w:rPr>
          <w:sz w:val="24"/>
          <w:szCs w:val="24"/>
          <w:lang w:val="en-US"/>
        </w:rPr>
      </w:pPr>
      <w:r w:rsidRPr="0082077B">
        <w:rPr>
          <w:sz w:val="24"/>
          <w:szCs w:val="24"/>
          <w:lang w:val="en-US"/>
        </w:rPr>
        <w:t xml:space="preserve">Algar, R. (2021) ‘The Fitness Industry in the United Kingdom’, in J. García-Fernández and P. Gálvez-Ruiz (eds) </w:t>
      </w:r>
      <w:r w:rsidRPr="0082077B">
        <w:rPr>
          <w:i/>
          <w:iCs/>
          <w:sz w:val="24"/>
          <w:szCs w:val="24"/>
          <w:lang w:val="en-US"/>
        </w:rPr>
        <w:t>The Global Private Health &amp; Fitness Business: A Marketing Perspective</w:t>
      </w:r>
      <w:r w:rsidRPr="0082077B">
        <w:rPr>
          <w:sz w:val="24"/>
          <w:szCs w:val="24"/>
          <w:lang w:val="en-US"/>
        </w:rPr>
        <w:t xml:space="preserve">. Emerald Publishing Limited, pp. 5–14. Available at: </w:t>
      </w:r>
      <w:hyperlink r:id="rId13" w:history="1">
        <w:r w:rsidRPr="0082077B">
          <w:rPr>
            <w:rStyle w:val="af2"/>
            <w:sz w:val="24"/>
            <w:szCs w:val="24"/>
            <w:lang w:val="en-US"/>
          </w:rPr>
          <w:t>https://doi.org/10.1108/978-1-80043-850-720211002</w:t>
        </w:r>
      </w:hyperlink>
      <w:r w:rsidRPr="0082077B">
        <w:rPr>
          <w:sz w:val="24"/>
          <w:szCs w:val="24"/>
          <w:lang w:val="en-US"/>
        </w:rPr>
        <w:t>.</w:t>
      </w:r>
    </w:p>
    <w:p w14:paraId="2528A7AE" w14:textId="77777777" w:rsidR="0082077B" w:rsidRDefault="0082077B" w:rsidP="0082077B">
      <w:pPr>
        <w:rPr>
          <w:sz w:val="24"/>
          <w:szCs w:val="24"/>
          <w:lang w:val="en-US"/>
        </w:rPr>
      </w:pPr>
    </w:p>
    <w:p w14:paraId="004ED64C" w14:textId="77777777" w:rsidR="0082077B" w:rsidRDefault="0082077B" w:rsidP="0082077B">
      <w:pPr>
        <w:rPr>
          <w:sz w:val="24"/>
          <w:szCs w:val="24"/>
          <w:lang w:val="en-US"/>
        </w:rPr>
      </w:pPr>
      <w:r w:rsidRPr="0082077B">
        <w:rPr>
          <w:sz w:val="24"/>
          <w:szCs w:val="24"/>
          <w:lang w:val="en-US"/>
        </w:rPr>
        <w:t>Ali, A. and Muhammad, K. (2021) ‘IMPACT OF PROMOTIONAL TOOLS ON CONSUMER BUYING BEHAVIOR: A CASE OF FMCG INDUSTRY’, 3(1).</w:t>
      </w:r>
    </w:p>
    <w:p w14:paraId="4914EFAF" w14:textId="77777777" w:rsidR="0082077B" w:rsidRDefault="0082077B" w:rsidP="0082077B">
      <w:pPr>
        <w:rPr>
          <w:sz w:val="24"/>
          <w:szCs w:val="24"/>
          <w:lang w:val="en-US"/>
        </w:rPr>
      </w:pPr>
    </w:p>
    <w:p w14:paraId="6B7FD0D0" w14:textId="77777777" w:rsidR="0082077B" w:rsidRDefault="0082077B" w:rsidP="0082077B">
      <w:pPr>
        <w:rPr>
          <w:sz w:val="24"/>
          <w:szCs w:val="24"/>
          <w:lang w:val="en-US"/>
        </w:rPr>
      </w:pPr>
      <w:r w:rsidRPr="0082077B">
        <w:rPr>
          <w:sz w:val="24"/>
          <w:szCs w:val="24"/>
          <w:lang w:val="en-US"/>
        </w:rPr>
        <w:t xml:space="preserve">Alnoor, A. </w:t>
      </w:r>
      <w:r w:rsidRPr="0082077B">
        <w:rPr>
          <w:i/>
          <w:iCs/>
          <w:sz w:val="24"/>
          <w:szCs w:val="24"/>
          <w:lang w:val="en-US"/>
        </w:rPr>
        <w:t>et al.</w:t>
      </w:r>
      <w:r w:rsidRPr="0082077B">
        <w:rPr>
          <w:sz w:val="24"/>
          <w:szCs w:val="24"/>
          <w:lang w:val="en-US"/>
        </w:rPr>
        <w:t xml:space="preserve"> (2022) ‘The hybrid strategy on the basis of Miles and Snow and Porter’s strategies: An overview of the current state-of-the-art of research’, </w:t>
      </w:r>
      <w:r w:rsidRPr="0082077B">
        <w:rPr>
          <w:i/>
          <w:iCs/>
          <w:sz w:val="24"/>
          <w:szCs w:val="24"/>
          <w:lang w:val="en-US"/>
        </w:rPr>
        <w:t>International Journal of Engineering Business Management</w:t>
      </w:r>
      <w:r w:rsidRPr="0082077B">
        <w:rPr>
          <w:sz w:val="24"/>
          <w:szCs w:val="24"/>
          <w:lang w:val="en-US"/>
        </w:rPr>
        <w:t xml:space="preserve">, 14, p. 18479790221080214. Available at: </w:t>
      </w:r>
      <w:hyperlink r:id="rId14" w:history="1">
        <w:r w:rsidRPr="0082077B">
          <w:rPr>
            <w:rStyle w:val="af2"/>
            <w:sz w:val="24"/>
            <w:szCs w:val="24"/>
            <w:lang w:val="en-US"/>
          </w:rPr>
          <w:t>https://doi.org/10.1177/18479790221080214</w:t>
        </w:r>
      </w:hyperlink>
      <w:r w:rsidRPr="0082077B">
        <w:rPr>
          <w:sz w:val="24"/>
          <w:szCs w:val="24"/>
          <w:lang w:val="en-US"/>
        </w:rPr>
        <w:t>.</w:t>
      </w:r>
    </w:p>
    <w:p w14:paraId="65A9311A" w14:textId="77777777" w:rsidR="0082077B" w:rsidRDefault="0082077B" w:rsidP="0082077B">
      <w:pPr>
        <w:rPr>
          <w:sz w:val="24"/>
          <w:szCs w:val="24"/>
          <w:lang w:val="en-US"/>
        </w:rPr>
      </w:pPr>
    </w:p>
    <w:p w14:paraId="217AB18A" w14:textId="77777777" w:rsidR="0082077B" w:rsidRDefault="0082077B" w:rsidP="0082077B">
      <w:pPr>
        <w:rPr>
          <w:sz w:val="24"/>
          <w:szCs w:val="24"/>
          <w:lang w:val="en-US"/>
        </w:rPr>
      </w:pPr>
      <w:r w:rsidRPr="0082077B">
        <w:rPr>
          <w:sz w:val="24"/>
          <w:szCs w:val="24"/>
          <w:lang w:val="en-US"/>
        </w:rPr>
        <w:t xml:space="preserve">Aly, M.O., Ghobashy, S.M. and Aborhyem, S.M. (2023) ‘Authentication of protein, fat, carbohydrates, and total energy in commercialized high protein sports foods with their labeling data’, </w:t>
      </w:r>
      <w:r w:rsidRPr="0082077B">
        <w:rPr>
          <w:i/>
          <w:iCs/>
          <w:sz w:val="24"/>
          <w:szCs w:val="24"/>
          <w:lang w:val="en-US"/>
        </w:rPr>
        <w:t>Scientific Reports</w:t>
      </w:r>
      <w:r w:rsidRPr="0082077B">
        <w:rPr>
          <w:sz w:val="24"/>
          <w:szCs w:val="24"/>
          <w:lang w:val="en-US"/>
        </w:rPr>
        <w:t xml:space="preserve">, 13(1), p. 15359. Available at: </w:t>
      </w:r>
      <w:hyperlink r:id="rId15" w:history="1">
        <w:r w:rsidRPr="0082077B">
          <w:rPr>
            <w:rStyle w:val="af2"/>
            <w:sz w:val="24"/>
            <w:szCs w:val="24"/>
            <w:lang w:val="en-US"/>
          </w:rPr>
          <w:t>https://doi.org/10.1038/s41598-023-42084-3</w:t>
        </w:r>
      </w:hyperlink>
      <w:r w:rsidRPr="0082077B">
        <w:rPr>
          <w:sz w:val="24"/>
          <w:szCs w:val="24"/>
          <w:lang w:val="en-US"/>
        </w:rPr>
        <w:t>.</w:t>
      </w:r>
    </w:p>
    <w:p w14:paraId="26E9410B" w14:textId="77777777" w:rsidR="0082077B" w:rsidRDefault="0082077B" w:rsidP="0082077B">
      <w:pPr>
        <w:rPr>
          <w:sz w:val="24"/>
          <w:szCs w:val="24"/>
          <w:lang w:val="en-US"/>
        </w:rPr>
      </w:pPr>
    </w:p>
    <w:p w14:paraId="7AF9AD68" w14:textId="77777777" w:rsidR="0082077B" w:rsidRDefault="0082077B" w:rsidP="0082077B">
      <w:pPr>
        <w:rPr>
          <w:sz w:val="24"/>
          <w:szCs w:val="24"/>
          <w:lang w:val="en-US"/>
        </w:rPr>
      </w:pPr>
      <w:r w:rsidRPr="0082077B">
        <w:rPr>
          <w:sz w:val="24"/>
          <w:szCs w:val="24"/>
          <w:lang w:val="en-US"/>
        </w:rPr>
        <w:t xml:space="preserve">Anagnostopoulou, S.C. and Avgoustaki, A. (2023) ‘The impact of human resource practices on corporate investment efficiency’, </w:t>
      </w:r>
      <w:r w:rsidRPr="0082077B">
        <w:rPr>
          <w:i/>
          <w:iCs/>
          <w:sz w:val="24"/>
          <w:szCs w:val="24"/>
          <w:lang w:val="en-US"/>
        </w:rPr>
        <w:t>International Review of Financial Analysis</w:t>
      </w:r>
      <w:r w:rsidRPr="0082077B">
        <w:rPr>
          <w:sz w:val="24"/>
          <w:szCs w:val="24"/>
          <w:lang w:val="en-US"/>
        </w:rPr>
        <w:t xml:space="preserve">, 87, p. 102609. Available at: </w:t>
      </w:r>
      <w:hyperlink r:id="rId16" w:history="1">
        <w:r w:rsidRPr="0082077B">
          <w:rPr>
            <w:rStyle w:val="af2"/>
            <w:sz w:val="24"/>
            <w:szCs w:val="24"/>
            <w:lang w:val="en-US"/>
          </w:rPr>
          <w:t>https://doi.org/10.1016/j.irfa.2023.102609</w:t>
        </w:r>
      </w:hyperlink>
      <w:r w:rsidRPr="0082077B">
        <w:rPr>
          <w:sz w:val="24"/>
          <w:szCs w:val="24"/>
          <w:lang w:val="en-US"/>
        </w:rPr>
        <w:t>.</w:t>
      </w:r>
    </w:p>
    <w:p w14:paraId="1199D30F" w14:textId="77777777" w:rsidR="0082077B" w:rsidRDefault="0082077B" w:rsidP="0082077B">
      <w:pPr>
        <w:rPr>
          <w:sz w:val="24"/>
          <w:szCs w:val="24"/>
          <w:lang w:val="en-US"/>
        </w:rPr>
      </w:pPr>
    </w:p>
    <w:p w14:paraId="577E6A69" w14:textId="77777777" w:rsidR="0082077B" w:rsidRDefault="0082077B" w:rsidP="0082077B">
      <w:pPr>
        <w:rPr>
          <w:sz w:val="24"/>
          <w:szCs w:val="24"/>
          <w:lang w:val="en-US"/>
        </w:rPr>
      </w:pPr>
      <w:r w:rsidRPr="0082077B">
        <w:rPr>
          <w:sz w:val="24"/>
          <w:szCs w:val="24"/>
          <w:lang w:val="en-US"/>
        </w:rPr>
        <w:t xml:space="preserve">BoldData (2025) </w:t>
      </w:r>
      <w:r w:rsidRPr="0082077B">
        <w:rPr>
          <w:i/>
          <w:iCs/>
          <w:sz w:val="24"/>
          <w:szCs w:val="24"/>
          <w:lang w:val="en-US"/>
        </w:rPr>
        <w:t>List of Top 50 largest Gyms UK • BoldData • Company Data</w:t>
      </w:r>
      <w:r w:rsidRPr="0082077B">
        <w:rPr>
          <w:sz w:val="24"/>
          <w:szCs w:val="24"/>
          <w:lang w:val="en-US"/>
        </w:rPr>
        <w:t xml:space="preserve">. Available at: </w:t>
      </w:r>
      <w:hyperlink r:id="rId17" w:history="1">
        <w:r w:rsidRPr="0082077B">
          <w:rPr>
            <w:rStyle w:val="af2"/>
            <w:sz w:val="24"/>
            <w:szCs w:val="24"/>
            <w:lang w:val="en-US"/>
          </w:rPr>
          <w:t>https://bolddata.nl/en/companies/uk/gyms/</w:t>
        </w:r>
      </w:hyperlink>
      <w:r w:rsidRPr="0082077B">
        <w:rPr>
          <w:sz w:val="24"/>
          <w:szCs w:val="24"/>
          <w:lang w:val="en-US"/>
        </w:rPr>
        <w:t xml:space="preserve"> (Accessed: 14 April 2025).</w:t>
      </w:r>
    </w:p>
    <w:p w14:paraId="2C4B98C7" w14:textId="77777777" w:rsidR="0082077B" w:rsidRDefault="0082077B" w:rsidP="0082077B">
      <w:pPr>
        <w:rPr>
          <w:sz w:val="24"/>
          <w:szCs w:val="24"/>
          <w:lang w:val="en-US"/>
        </w:rPr>
      </w:pPr>
    </w:p>
    <w:p w14:paraId="27C53342" w14:textId="77777777" w:rsidR="0082077B" w:rsidRDefault="0082077B" w:rsidP="0082077B">
      <w:pPr>
        <w:rPr>
          <w:sz w:val="24"/>
          <w:szCs w:val="24"/>
          <w:lang w:val="fr-FR"/>
        </w:rPr>
      </w:pPr>
      <w:r w:rsidRPr="0082077B">
        <w:rPr>
          <w:sz w:val="24"/>
          <w:szCs w:val="24"/>
          <w:lang w:val="en-US"/>
        </w:rPr>
        <w:t xml:space="preserve">Cao, Z. (2021) ‘The impact of social visibility of VIP services on satisfaction’, </w:t>
      </w:r>
      <w:r w:rsidRPr="0082077B">
        <w:rPr>
          <w:i/>
          <w:iCs/>
          <w:sz w:val="24"/>
          <w:szCs w:val="24"/>
          <w:lang w:val="en-US"/>
        </w:rPr>
        <w:t>Journal of Services Marketing</w:t>
      </w:r>
      <w:r w:rsidRPr="0082077B">
        <w:rPr>
          <w:sz w:val="24"/>
          <w:szCs w:val="24"/>
          <w:lang w:val="en-US"/>
        </w:rPr>
        <w:t xml:space="preserve">, 35(5), pp. 647–656. </w:t>
      </w:r>
      <w:r w:rsidRPr="0082077B">
        <w:rPr>
          <w:sz w:val="24"/>
          <w:szCs w:val="24"/>
          <w:lang w:val="fr-FR"/>
        </w:rPr>
        <w:t xml:space="preserve">Available at: </w:t>
      </w:r>
      <w:hyperlink r:id="rId18" w:history="1">
        <w:r w:rsidRPr="0082077B">
          <w:rPr>
            <w:rStyle w:val="af2"/>
            <w:sz w:val="24"/>
            <w:szCs w:val="24"/>
            <w:lang w:val="fr-FR"/>
          </w:rPr>
          <w:t>https://doi.org/10.1108/JSM-08-2020-0340</w:t>
        </w:r>
      </w:hyperlink>
      <w:r w:rsidRPr="0082077B">
        <w:rPr>
          <w:sz w:val="24"/>
          <w:szCs w:val="24"/>
          <w:lang w:val="fr-FR"/>
        </w:rPr>
        <w:t>.</w:t>
      </w:r>
    </w:p>
    <w:p w14:paraId="4A899975" w14:textId="77777777" w:rsidR="0082077B" w:rsidRDefault="0082077B" w:rsidP="0082077B">
      <w:pPr>
        <w:rPr>
          <w:sz w:val="24"/>
          <w:szCs w:val="24"/>
          <w:lang w:val="fr-FR"/>
        </w:rPr>
      </w:pPr>
    </w:p>
    <w:p w14:paraId="534C4125" w14:textId="77777777" w:rsidR="0082077B" w:rsidRDefault="0082077B" w:rsidP="0082077B">
      <w:pPr>
        <w:rPr>
          <w:sz w:val="24"/>
          <w:szCs w:val="24"/>
          <w:lang w:val="fr-FR"/>
        </w:rPr>
      </w:pPr>
      <w:r w:rsidRPr="0082077B">
        <w:rPr>
          <w:sz w:val="24"/>
          <w:szCs w:val="24"/>
          <w:lang w:val="fr-FR"/>
        </w:rPr>
        <w:t xml:space="preserve">Chahibakhsh, N. </w:t>
      </w:r>
      <w:r w:rsidRPr="0082077B">
        <w:rPr>
          <w:i/>
          <w:iCs/>
          <w:sz w:val="24"/>
          <w:szCs w:val="24"/>
          <w:lang w:val="fr-FR"/>
        </w:rPr>
        <w:t>et al.</w:t>
      </w:r>
      <w:r w:rsidRPr="0082077B">
        <w:rPr>
          <w:sz w:val="24"/>
          <w:szCs w:val="24"/>
          <w:lang w:val="fr-FR"/>
        </w:rPr>
        <w:t xml:space="preserve"> </w:t>
      </w:r>
      <w:r w:rsidRPr="0082077B">
        <w:rPr>
          <w:sz w:val="24"/>
          <w:szCs w:val="24"/>
          <w:lang w:val="en-US"/>
        </w:rPr>
        <w:t xml:space="preserve">(2024) ‘Almond supplementation on appetite measures, body weight, and body composition in adults: A systematic review and dose-response meta-analysis of 37 randomized controlled trials’, </w:t>
      </w:r>
      <w:r w:rsidRPr="0082077B">
        <w:rPr>
          <w:i/>
          <w:iCs/>
          <w:sz w:val="24"/>
          <w:szCs w:val="24"/>
          <w:lang w:val="en-US"/>
        </w:rPr>
        <w:t>Obesity Reviews</w:t>
      </w:r>
      <w:r w:rsidRPr="0082077B">
        <w:rPr>
          <w:sz w:val="24"/>
          <w:szCs w:val="24"/>
          <w:lang w:val="en-US"/>
        </w:rPr>
        <w:t xml:space="preserve">, 25(5), p. e13711. </w:t>
      </w:r>
      <w:r w:rsidRPr="0082077B">
        <w:rPr>
          <w:sz w:val="24"/>
          <w:szCs w:val="24"/>
          <w:lang w:val="fr-FR"/>
        </w:rPr>
        <w:t xml:space="preserve">Available at: </w:t>
      </w:r>
      <w:hyperlink r:id="rId19" w:history="1">
        <w:r w:rsidRPr="0082077B">
          <w:rPr>
            <w:rStyle w:val="af2"/>
            <w:sz w:val="24"/>
            <w:szCs w:val="24"/>
            <w:lang w:val="fr-FR"/>
          </w:rPr>
          <w:t>https://doi.org/10.1111/obr.13711</w:t>
        </w:r>
      </w:hyperlink>
      <w:r w:rsidRPr="0082077B">
        <w:rPr>
          <w:sz w:val="24"/>
          <w:szCs w:val="24"/>
          <w:lang w:val="fr-FR"/>
        </w:rPr>
        <w:t>.</w:t>
      </w:r>
    </w:p>
    <w:p w14:paraId="534DA776" w14:textId="77777777" w:rsidR="0082077B" w:rsidRDefault="0082077B" w:rsidP="0082077B">
      <w:pPr>
        <w:rPr>
          <w:sz w:val="24"/>
          <w:szCs w:val="24"/>
          <w:lang w:val="fr-FR"/>
        </w:rPr>
      </w:pPr>
    </w:p>
    <w:p w14:paraId="2F6BFDF0" w14:textId="77777777" w:rsidR="0082077B" w:rsidRDefault="0082077B" w:rsidP="0082077B">
      <w:pPr>
        <w:rPr>
          <w:sz w:val="24"/>
          <w:szCs w:val="24"/>
          <w:lang w:val="fr-FR"/>
        </w:rPr>
      </w:pPr>
      <w:r w:rsidRPr="0082077B">
        <w:rPr>
          <w:sz w:val="24"/>
          <w:szCs w:val="24"/>
          <w:lang w:val="fr-FR"/>
        </w:rPr>
        <w:t xml:space="preserve">Chiaraluce, G. </w:t>
      </w:r>
      <w:r w:rsidRPr="0082077B">
        <w:rPr>
          <w:i/>
          <w:iCs/>
          <w:sz w:val="24"/>
          <w:szCs w:val="24"/>
          <w:lang w:val="fr-FR"/>
        </w:rPr>
        <w:t>et al.</w:t>
      </w:r>
      <w:r w:rsidRPr="0082077B">
        <w:rPr>
          <w:sz w:val="24"/>
          <w:szCs w:val="24"/>
          <w:lang w:val="fr-FR"/>
        </w:rPr>
        <w:t xml:space="preserve"> </w:t>
      </w:r>
      <w:r w:rsidRPr="0082077B">
        <w:rPr>
          <w:sz w:val="24"/>
          <w:szCs w:val="24"/>
          <w:lang w:val="en-US"/>
        </w:rPr>
        <w:t xml:space="preserve">(2024) ‘The second life of food by-products: Consumers’ intention to purchase and willingness to pay for an upcycled pizza’, </w:t>
      </w:r>
      <w:r w:rsidRPr="0082077B">
        <w:rPr>
          <w:i/>
          <w:iCs/>
          <w:sz w:val="24"/>
          <w:szCs w:val="24"/>
          <w:lang w:val="en-US"/>
        </w:rPr>
        <w:t>Cleaner and Responsible Consumption</w:t>
      </w:r>
      <w:r w:rsidRPr="0082077B">
        <w:rPr>
          <w:sz w:val="24"/>
          <w:szCs w:val="24"/>
          <w:lang w:val="en-US"/>
        </w:rPr>
        <w:t xml:space="preserve">, 14, p. 100198. </w:t>
      </w:r>
      <w:r w:rsidRPr="0082077B">
        <w:rPr>
          <w:sz w:val="24"/>
          <w:szCs w:val="24"/>
          <w:lang w:val="fr-FR"/>
        </w:rPr>
        <w:t xml:space="preserve">Available at: </w:t>
      </w:r>
      <w:hyperlink r:id="rId20" w:history="1">
        <w:r w:rsidRPr="0082077B">
          <w:rPr>
            <w:rStyle w:val="af2"/>
            <w:sz w:val="24"/>
            <w:szCs w:val="24"/>
            <w:lang w:val="fr-FR"/>
          </w:rPr>
          <w:t>https://doi.org/10.1016/j.clrc.2024.100198</w:t>
        </w:r>
      </w:hyperlink>
      <w:r w:rsidRPr="0082077B">
        <w:rPr>
          <w:sz w:val="24"/>
          <w:szCs w:val="24"/>
          <w:lang w:val="fr-FR"/>
        </w:rPr>
        <w:t>.</w:t>
      </w:r>
    </w:p>
    <w:p w14:paraId="5727C25B" w14:textId="77777777" w:rsidR="0082077B" w:rsidRDefault="0082077B" w:rsidP="0082077B">
      <w:pPr>
        <w:rPr>
          <w:sz w:val="24"/>
          <w:szCs w:val="24"/>
          <w:lang w:val="fr-FR"/>
        </w:rPr>
      </w:pPr>
    </w:p>
    <w:p w14:paraId="5CF99D54" w14:textId="77777777" w:rsidR="0082077B" w:rsidRDefault="0082077B" w:rsidP="0082077B">
      <w:pPr>
        <w:rPr>
          <w:sz w:val="24"/>
          <w:szCs w:val="24"/>
          <w:lang w:val="en-US"/>
        </w:rPr>
      </w:pPr>
      <w:r w:rsidRPr="0082077B">
        <w:rPr>
          <w:sz w:val="24"/>
          <w:szCs w:val="24"/>
          <w:lang w:val="fr-FR"/>
        </w:rPr>
        <w:t xml:space="preserve">Dorokhova, L. </w:t>
      </w:r>
      <w:r w:rsidRPr="0082077B">
        <w:rPr>
          <w:i/>
          <w:iCs/>
          <w:sz w:val="24"/>
          <w:szCs w:val="24"/>
          <w:lang w:val="fr-FR"/>
        </w:rPr>
        <w:t>et al.</w:t>
      </w:r>
      <w:r w:rsidRPr="0082077B">
        <w:rPr>
          <w:sz w:val="24"/>
          <w:szCs w:val="24"/>
          <w:lang w:val="fr-FR"/>
        </w:rPr>
        <w:t xml:space="preserve"> </w:t>
      </w:r>
      <w:r w:rsidRPr="0082077B">
        <w:rPr>
          <w:sz w:val="24"/>
          <w:szCs w:val="24"/>
          <w:lang w:val="en-US"/>
        </w:rPr>
        <w:t xml:space="preserve">(2024) ‘Consumer behavior in the self-tracking style, preferences, and perceptions of fitness gadgets’, </w:t>
      </w:r>
      <w:r w:rsidRPr="0082077B">
        <w:rPr>
          <w:i/>
          <w:iCs/>
          <w:sz w:val="24"/>
          <w:szCs w:val="24"/>
          <w:lang w:val="en-US"/>
        </w:rPr>
        <w:t>Access Journal - Access to Science, Business, Innovation in the digital economy</w:t>
      </w:r>
      <w:r w:rsidRPr="0082077B">
        <w:rPr>
          <w:sz w:val="24"/>
          <w:szCs w:val="24"/>
          <w:lang w:val="en-US"/>
        </w:rPr>
        <w:t xml:space="preserve">, 6(1), pp. 46–66. Available at: </w:t>
      </w:r>
      <w:hyperlink r:id="rId21" w:history="1">
        <w:r w:rsidRPr="0082077B">
          <w:rPr>
            <w:rStyle w:val="af2"/>
            <w:sz w:val="24"/>
            <w:szCs w:val="24"/>
            <w:lang w:val="en-US"/>
          </w:rPr>
          <w:t>https://doi.org/10.46656/access.2025.6.1(3)</w:t>
        </w:r>
      </w:hyperlink>
      <w:r w:rsidRPr="0082077B">
        <w:rPr>
          <w:sz w:val="24"/>
          <w:szCs w:val="24"/>
          <w:lang w:val="en-US"/>
        </w:rPr>
        <w:t>.</w:t>
      </w:r>
    </w:p>
    <w:p w14:paraId="58C5914D" w14:textId="77777777" w:rsidR="0082077B" w:rsidRDefault="0082077B" w:rsidP="0082077B">
      <w:pPr>
        <w:rPr>
          <w:sz w:val="24"/>
          <w:szCs w:val="24"/>
          <w:lang w:val="en-US"/>
        </w:rPr>
      </w:pPr>
    </w:p>
    <w:p w14:paraId="6F1581BE" w14:textId="77777777" w:rsidR="0082077B" w:rsidRDefault="0082077B" w:rsidP="0082077B">
      <w:pPr>
        <w:rPr>
          <w:sz w:val="24"/>
          <w:szCs w:val="24"/>
          <w:lang w:val="en-US"/>
        </w:rPr>
      </w:pPr>
      <w:r w:rsidRPr="0082077B">
        <w:rPr>
          <w:sz w:val="24"/>
          <w:szCs w:val="24"/>
          <w:lang w:val="en-US"/>
        </w:rPr>
        <w:t xml:space="preserve">Duarte, P. and Teixeira, M. (2021) ‘Healthy eating as a trend: consumers’ perceptions towards products with nutrition and health claims’, </w:t>
      </w:r>
      <w:r w:rsidRPr="0082077B">
        <w:rPr>
          <w:i/>
          <w:iCs/>
          <w:sz w:val="24"/>
          <w:szCs w:val="24"/>
          <w:lang w:val="en-US"/>
        </w:rPr>
        <w:t>Revista brasileira de gestão de negócios</w:t>
      </w:r>
      <w:r w:rsidRPr="0082077B">
        <w:rPr>
          <w:sz w:val="24"/>
          <w:szCs w:val="24"/>
          <w:lang w:val="en-US"/>
        </w:rPr>
        <w:t>, 23, pp. 405–421.</w:t>
      </w:r>
    </w:p>
    <w:p w14:paraId="5D667A10" w14:textId="77777777" w:rsidR="0082077B" w:rsidRDefault="0082077B" w:rsidP="0082077B">
      <w:pPr>
        <w:rPr>
          <w:sz w:val="24"/>
          <w:szCs w:val="24"/>
          <w:lang w:val="en-US"/>
        </w:rPr>
      </w:pPr>
    </w:p>
    <w:p w14:paraId="271F5B3F" w14:textId="77777777" w:rsidR="0082077B" w:rsidRDefault="0082077B" w:rsidP="0082077B">
      <w:pPr>
        <w:rPr>
          <w:sz w:val="24"/>
          <w:szCs w:val="24"/>
          <w:lang w:val="en-US"/>
        </w:rPr>
      </w:pPr>
      <w:r w:rsidRPr="0082077B">
        <w:rPr>
          <w:sz w:val="24"/>
          <w:szCs w:val="24"/>
          <w:lang w:val="en-US"/>
        </w:rPr>
        <w:t xml:space="preserve">Duca, G. (2021) ‘Design of the Smart Objectives System in the Management of a Research Project’, in J. Xu et al. (eds) </w:t>
      </w:r>
      <w:r w:rsidRPr="0082077B">
        <w:rPr>
          <w:i/>
          <w:iCs/>
          <w:sz w:val="24"/>
          <w:szCs w:val="24"/>
          <w:lang w:val="en-US"/>
        </w:rPr>
        <w:t>Proceedings of the Fifteenth International Conference on Management Science and Engineering Management</w:t>
      </w:r>
      <w:r w:rsidRPr="0082077B">
        <w:rPr>
          <w:sz w:val="24"/>
          <w:szCs w:val="24"/>
          <w:lang w:val="en-US"/>
        </w:rPr>
        <w:t xml:space="preserve">. Cham: Springer International Publishing, pp. 452–462. Available at: </w:t>
      </w:r>
      <w:hyperlink r:id="rId22" w:history="1">
        <w:r w:rsidRPr="0082077B">
          <w:rPr>
            <w:rStyle w:val="af2"/>
            <w:sz w:val="24"/>
            <w:szCs w:val="24"/>
            <w:lang w:val="en-US"/>
          </w:rPr>
          <w:t>https://doi.org/10.1007/978-3-030-79206-0_34</w:t>
        </w:r>
      </w:hyperlink>
      <w:r w:rsidRPr="0082077B">
        <w:rPr>
          <w:sz w:val="24"/>
          <w:szCs w:val="24"/>
          <w:lang w:val="en-US"/>
        </w:rPr>
        <w:t>.</w:t>
      </w:r>
    </w:p>
    <w:p w14:paraId="6016E854" w14:textId="77777777" w:rsidR="0082077B" w:rsidRDefault="0082077B" w:rsidP="0082077B">
      <w:pPr>
        <w:rPr>
          <w:sz w:val="24"/>
          <w:szCs w:val="24"/>
          <w:lang w:val="en-US"/>
        </w:rPr>
      </w:pPr>
    </w:p>
    <w:p w14:paraId="78FC5839" w14:textId="77777777" w:rsidR="0082077B" w:rsidRDefault="0082077B" w:rsidP="0082077B">
      <w:pPr>
        <w:rPr>
          <w:sz w:val="24"/>
          <w:szCs w:val="24"/>
          <w:lang w:val="en-US"/>
        </w:rPr>
      </w:pPr>
      <w:r w:rsidRPr="0082077B">
        <w:rPr>
          <w:sz w:val="24"/>
          <w:szCs w:val="24"/>
          <w:lang w:val="en-US"/>
        </w:rPr>
        <w:t xml:space="preserve">Gotama, G., Sadek, N.F. and Tedjakusuma, F. (2024) ‘Almond flour and its potential in diabetes management: A short review’, </w:t>
      </w:r>
      <w:r w:rsidRPr="0082077B">
        <w:rPr>
          <w:i/>
          <w:iCs/>
          <w:sz w:val="24"/>
          <w:szCs w:val="24"/>
          <w:lang w:val="en-US"/>
        </w:rPr>
        <w:t>IOP Conference Series: Earth and Environmental Science</w:t>
      </w:r>
      <w:r w:rsidRPr="0082077B">
        <w:rPr>
          <w:sz w:val="24"/>
          <w:szCs w:val="24"/>
          <w:lang w:val="en-US"/>
        </w:rPr>
        <w:t xml:space="preserve">, 1352(1), p. 012091. Available at: </w:t>
      </w:r>
      <w:hyperlink r:id="rId23" w:history="1">
        <w:r w:rsidRPr="0082077B">
          <w:rPr>
            <w:rStyle w:val="af2"/>
            <w:sz w:val="24"/>
            <w:szCs w:val="24"/>
            <w:lang w:val="en-US"/>
          </w:rPr>
          <w:t>https://doi.org/10.1088/1755-1315/1352/1/012091</w:t>
        </w:r>
      </w:hyperlink>
      <w:r w:rsidRPr="0082077B">
        <w:rPr>
          <w:sz w:val="24"/>
          <w:szCs w:val="24"/>
          <w:lang w:val="en-US"/>
        </w:rPr>
        <w:t>.</w:t>
      </w:r>
    </w:p>
    <w:p w14:paraId="65CB1BEA" w14:textId="77777777" w:rsidR="0082077B" w:rsidRDefault="0082077B" w:rsidP="0082077B">
      <w:pPr>
        <w:rPr>
          <w:sz w:val="24"/>
          <w:szCs w:val="24"/>
          <w:lang w:val="en-US"/>
        </w:rPr>
      </w:pPr>
    </w:p>
    <w:p w14:paraId="03D188D5" w14:textId="77777777" w:rsidR="0082077B" w:rsidRDefault="0082077B" w:rsidP="0082077B">
      <w:pPr>
        <w:rPr>
          <w:sz w:val="24"/>
          <w:szCs w:val="24"/>
          <w:lang w:val="en-US"/>
        </w:rPr>
      </w:pPr>
      <w:r w:rsidRPr="0082077B">
        <w:rPr>
          <w:sz w:val="24"/>
          <w:szCs w:val="24"/>
          <w:lang w:val="en-US"/>
        </w:rPr>
        <w:t xml:space="preserve">Grujić, S. and Grujčić, M. (2023) ‘Factors affecting consumer preference for healthy diet and functional foods’, </w:t>
      </w:r>
      <w:r w:rsidRPr="0082077B">
        <w:rPr>
          <w:i/>
          <w:iCs/>
          <w:sz w:val="24"/>
          <w:szCs w:val="24"/>
          <w:lang w:val="en-US"/>
        </w:rPr>
        <w:t>Foods and Raw Materials</w:t>
      </w:r>
      <w:r w:rsidRPr="0082077B">
        <w:rPr>
          <w:sz w:val="24"/>
          <w:szCs w:val="24"/>
          <w:lang w:val="en-US"/>
        </w:rPr>
        <w:t xml:space="preserve">, pp. 259–271. Available at: </w:t>
      </w:r>
      <w:hyperlink r:id="rId24" w:history="1">
        <w:r w:rsidRPr="0082077B">
          <w:rPr>
            <w:rStyle w:val="af2"/>
            <w:sz w:val="24"/>
            <w:szCs w:val="24"/>
            <w:lang w:val="en-US"/>
          </w:rPr>
          <w:t>https://doi.org/10.21603/2308-4057-2023-2-576</w:t>
        </w:r>
      </w:hyperlink>
      <w:r w:rsidRPr="0082077B">
        <w:rPr>
          <w:sz w:val="24"/>
          <w:szCs w:val="24"/>
          <w:lang w:val="en-US"/>
        </w:rPr>
        <w:t>.</w:t>
      </w:r>
    </w:p>
    <w:p w14:paraId="413B7B2E" w14:textId="77777777" w:rsidR="0082077B" w:rsidRDefault="0082077B" w:rsidP="0082077B">
      <w:pPr>
        <w:rPr>
          <w:sz w:val="24"/>
          <w:szCs w:val="24"/>
          <w:lang w:val="en-US"/>
        </w:rPr>
      </w:pPr>
    </w:p>
    <w:p w14:paraId="187B0C41" w14:textId="77777777" w:rsidR="0082077B" w:rsidRDefault="0082077B" w:rsidP="0082077B">
      <w:pPr>
        <w:rPr>
          <w:sz w:val="24"/>
          <w:szCs w:val="24"/>
          <w:lang w:val="en-US"/>
        </w:rPr>
      </w:pPr>
      <w:r w:rsidRPr="0082077B">
        <w:rPr>
          <w:sz w:val="24"/>
          <w:szCs w:val="24"/>
          <w:lang w:val="en-US"/>
        </w:rPr>
        <w:t xml:space="preserve">Hasrudding, H. (2023) ‘Effect of Product Diversity, Price and Location on Consumer Satisfaction’, </w:t>
      </w:r>
      <w:r w:rsidRPr="0082077B">
        <w:rPr>
          <w:i/>
          <w:iCs/>
          <w:sz w:val="24"/>
          <w:szCs w:val="24"/>
          <w:lang w:val="en-US"/>
        </w:rPr>
        <w:t>Journal La Bisecoman</w:t>
      </w:r>
      <w:r w:rsidRPr="0082077B">
        <w:rPr>
          <w:sz w:val="24"/>
          <w:szCs w:val="24"/>
          <w:lang w:val="en-US"/>
        </w:rPr>
        <w:t xml:space="preserve">, 3(6), pp. 262–270. Available at: </w:t>
      </w:r>
      <w:hyperlink r:id="rId25" w:history="1">
        <w:r w:rsidRPr="0082077B">
          <w:rPr>
            <w:rStyle w:val="af2"/>
            <w:sz w:val="24"/>
            <w:szCs w:val="24"/>
            <w:lang w:val="en-US"/>
          </w:rPr>
          <w:t>https://doi.org/10.37899/journallabisecoman.v3i6.832</w:t>
        </w:r>
      </w:hyperlink>
      <w:r w:rsidRPr="0082077B">
        <w:rPr>
          <w:sz w:val="24"/>
          <w:szCs w:val="24"/>
          <w:lang w:val="en-US"/>
        </w:rPr>
        <w:t>.</w:t>
      </w:r>
    </w:p>
    <w:p w14:paraId="022BCA26" w14:textId="77777777" w:rsidR="0082077B" w:rsidRDefault="0082077B" w:rsidP="0082077B">
      <w:pPr>
        <w:rPr>
          <w:sz w:val="24"/>
          <w:szCs w:val="24"/>
          <w:lang w:val="en-US"/>
        </w:rPr>
      </w:pPr>
    </w:p>
    <w:p w14:paraId="4391C7EB" w14:textId="77777777" w:rsidR="0082077B" w:rsidRDefault="0082077B" w:rsidP="0082077B">
      <w:pPr>
        <w:rPr>
          <w:sz w:val="24"/>
          <w:szCs w:val="24"/>
          <w:lang w:val="en-US"/>
        </w:rPr>
      </w:pPr>
      <w:r w:rsidRPr="009C0806">
        <w:rPr>
          <w:sz w:val="24"/>
          <w:szCs w:val="24"/>
          <w:lang w:val="en-US"/>
        </w:rPr>
        <w:t xml:space="preserve">Ismael, N.B. </w:t>
      </w:r>
      <w:r w:rsidRPr="009C0806">
        <w:rPr>
          <w:i/>
          <w:iCs/>
          <w:sz w:val="24"/>
          <w:szCs w:val="24"/>
          <w:lang w:val="en-US"/>
        </w:rPr>
        <w:t>et al.</w:t>
      </w:r>
      <w:r w:rsidRPr="009C0806">
        <w:rPr>
          <w:sz w:val="24"/>
          <w:szCs w:val="24"/>
          <w:lang w:val="en-US"/>
        </w:rPr>
        <w:t xml:space="preserve"> </w:t>
      </w:r>
      <w:r w:rsidRPr="0082077B">
        <w:rPr>
          <w:sz w:val="24"/>
          <w:szCs w:val="24"/>
          <w:lang w:val="en-US"/>
        </w:rPr>
        <w:t xml:space="preserve">(2021) ‘The Role of Training and Development on Organizational effectiveness’, </w:t>
      </w:r>
      <w:r w:rsidRPr="0082077B">
        <w:rPr>
          <w:i/>
          <w:iCs/>
          <w:sz w:val="24"/>
          <w:szCs w:val="24"/>
          <w:lang w:val="en-US"/>
        </w:rPr>
        <w:t>International Journal of Engineering, Business and Management</w:t>
      </w:r>
      <w:r w:rsidRPr="0082077B">
        <w:rPr>
          <w:sz w:val="24"/>
          <w:szCs w:val="24"/>
          <w:lang w:val="en-US"/>
        </w:rPr>
        <w:t xml:space="preserve">, 5(3), pp. 15–24. Available at: </w:t>
      </w:r>
      <w:hyperlink r:id="rId26" w:history="1">
        <w:r w:rsidRPr="0082077B">
          <w:rPr>
            <w:rStyle w:val="af2"/>
            <w:sz w:val="24"/>
            <w:szCs w:val="24"/>
            <w:lang w:val="en-US"/>
          </w:rPr>
          <w:t>https://doi.org/10.22161/ijebm.5.3.3</w:t>
        </w:r>
      </w:hyperlink>
      <w:r w:rsidRPr="0082077B">
        <w:rPr>
          <w:sz w:val="24"/>
          <w:szCs w:val="24"/>
          <w:lang w:val="en-US"/>
        </w:rPr>
        <w:t>.</w:t>
      </w:r>
    </w:p>
    <w:p w14:paraId="1451C92F" w14:textId="77777777" w:rsidR="0082077B" w:rsidRDefault="0082077B" w:rsidP="0082077B">
      <w:pPr>
        <w:rPr>
          <w:sz w:val="24"/>
          <w:szCs w:val="24"/>
          <w:lang w:val="en-US"/>
        </w:rPr>
      </w:pPr>
    </w:p>
    <w:p w14:paraId="4AAF65F3" w14:textId="77777777" w:rsidR="0082077B" w:rsidRDefault="0082077B" w:rsidP="0082077B">
      <w:pPr>
        <w:rPr>
          <w:sz w:val="24"/>
          <w:szCs w:val="24"/>
          <w:lang w:val="en-US"/>
        </w:rPr>
      </w:pPr>
      <w:r w:rsidRPr="0082077B">
        <w:rPr>
          <w:sz w:val="24"/>
          <w:szCs w:val="24"/>
          <w:lang w:val="en-US"/>
        </w:rPr>
        <w:t xml:space="preserve">Keegan Edwards (2024) </w:t>
      </w:r>
      <w:r w:rsidRPr="0082077B">
        <w:rPr>
          <w:i/>
          <w:iCs/>
          <w:sz w:val="24"/>
          <w:szCs w:val="24"/>
          <w:lang w:val="en-US"/>
        </w:rPr>
        <w:t>Understanding Domino’s Target Market: Demographics and Preferences - Keegan Edwards</w:t>
      </w:r>
      <w:r w:rsidRPr="0082077B">
        <w:rPr>
          <w:sz w:val="24"/>
          <w:szCs w:val="24"/>
          <w:lang w:val="en-US"/>
        </w:rPr>
        <w:t xml:space="preserve">. Available at: </w:t>
      </w:r>
      <w:hyperlink r:id="rId27" w:history="1">
        <w:r w:rsidRPr="0082077B">
          <w:rPr>
            <w:rStyle w:val="af2"/>
            <w:sz w:val="24"/>
            <w:szCs w:val="24"/>
            <w:lang w:val="en-US"/>
          </w:rPr>
          <w:t>https://keeganedwards.com/understanding-dominos-target-market-demographics-and-preferences/</w:t>
        </w:r>
      </w:hyperlink>
      <w:r w:rsidRPr="0082077B">
        <w:rPr>
          <w:sz w:val="24"/>
          <w:szCs w:val="24"/>
          <w:lang w:val="en-US"/>
        </w:rPr>
        <w:t xml:space="preserve"> (Accessed: 14 March 2025).</w:t>
      </w:r>
    </w:p>
    <w:p w14:paraId="7FCC447D" w14:textId="77777777" w:rsidR="0082077B" w:rsidRDefault="0082077B" w:rsidP="0082077B">
      <w:pPr>
        <w:rPr>
          <w:sz w:val="24"/>
          <w:szCs w:val="24"/>
          <w:lang w:val="en-US"/>
        </w:rPr>
      </w:pPr>
    </w:p>
    <w:p w14:paraId="45E7047A" w14:textId="77777777" w:rsidR="0082077B" w:rsidRDefault="0082077B" w:rsidP="0082077B">
      <w:pPr>
        <w:rPr>
          <w:sz w:val="24"/>
          <w:szCs w:val="24"/>
          <w:lang w:val="en-US"/>
        </w:rPr>
      </w:pPr>
      <w:r w:rsidRPr="0082077B">
        <w:rPr>
          <w:sz w:val="24"/>
          <w:szCs w:val="24"/>
          <w:lang w:val="en-US"/>
        </w:rPr>
        <w:t>Knudsen, N.B. (2024) ‘Comparison of dairy mozzarella and plant-based alternatives under pizza baking conditions, with focus on sensorial-, nutritional-, and rheological properties’.</w:t>
      </w:r>
    </w:p>
    <w:p w14:paraId="22DB5B5F" w14:textId="77777777" w:rsidR="0082077B" w:rsidRDefault="0082077B" w:rsidP="0082077B">
      <w:pPr>
        <w:rPr>
          <w:sz w:val="24"/>
          <w:szCs w:val="24"/>
          <w:lang w:val="en-US"/>
        </w:rPr>
      </w:pPr>
    </w:p>
    <w:p w14:paraId="4AA3970F" w14:textId="77777777" w:rsidR="0082077B" w:rsidRDefault="0082077B" w:rsidP="0082077B">
      <w:pPr>
        <w:rPr>
          <w:sz w:val="24"/>
          <w:szCs w:val="24"/>
          <w:lang w:val="en-US"/>
        </w:rPr>
      </w:pPr>
      <w:r w:rsidRPr="0082077B">
        <w:rPr>
          <w:sz w:val="24"/>
          <w:szCs w:val="24"/>
          <w:lang w:val="en-US"/>
        </w:rPr>
        <w:t xml:space="preserve">Lee, C., Hoehn‐Weiss, M.N. and Karim, S. (2021) ‘Competing both ways: How combining Porter’s low‐cost and focus strategies hurts firm performance’, </w:t>
      </w:r>
      <w:r w:rsidRPr="0082077B">
        <w:rPr>
          <w:i/>
          <w:iCs/>
          <w:sz w:val="24"/>
          <w:szCs w:val="24"/>
          <w:lang w:val="en-US"/>
        </w:rPr>
        <w:t xml:space="preserve">Strategic </w:t>
      </w:r>
      <w:r w:rsidRPr="0082077B">
        <w:rPr>
          <w:i/>
          <w:iCs/>
          <w:sz w:val="24"/>
          <w:szCs w:val="24"/>
          <w:lang w:val="en-US"/>
        </w:rPr>
        <w:lastRenderedPageBreak/>
        <w:t>Management Journal</w:t>
      </w:r>
      <w:r w:rsidRPr="0082077B">
        <w:rPr>
          <w:sz w:val="24"/>
          <w:szCs w:val="24"/>
          <w:lang w:val="en-US"/>
        </w:rPr>
        <w:t xml:space="preserve">, 42(12), pp. 2218–2244. Available at: </w:t>
      </w:r>
      <w:hyperlink r:id="rId28" w:history="1">
        <w:r w:rsidRPr="0082077B">
          <w:rPr>
            <w:rStyle w:val="af2"/>
            <w:sz w:val="24"/>
            <w:szCs w:val="24"/>
            <w:lang w:val="en-US"/>
          </w:rPr>
          <w:t>https://doi.org/10.1002/smj.3279</w:t>
        </w:r>
      </w:hyperlink>
      <w:r w:rsidRPr="0082077B">
        <w:rPr>
          <w:sz w:val="24"/>
          <w:szCs w:val="24"/>
          <w:lang w:val="en-US"/>
        </w:rPr>
        <w:t>.</w:t>
      </w:r>
    </w:p>
    <w:p w14:paraId="7DDE46EF" w14:textId="77777777" w:rsidR="0082077B" w:rsidRDefault="0082077B" w:rsidP="0082077B">
      <w:pPr>
        <w:rPr>
          <w:sz w:val="24"/>
          <w:szCs w:val="24"/>
          <w:lang w:val="en-US"/>
        </w:rPr>
      </w:pPr>
    </w:p>
    <w:p w14:paraId="00E6F305" w14:textId="77777777" w:rsidR="0082077B" w:rsidRDefault="0082077B" w:rsidP="0082077B">
      <w:pPr>
        <w:rPr>
          <w:sz w:val="24"/>
          <w:szCs w:val="24"/>
          <w:lang w:val="en-US"/>
        </w:rPr>
      </w:pPr>
      <w:r w:rsidRPr="0082077B">
        <w:rPr>
          <w:sz w:val="24"/>
          <w:szCs w:val="24"/>
          <w:lang w:val="en-US"/>
        </w:rPr>
        <w:t>Majka, M. (2024a) ‘Understanding Customer Retention Rate’.</w:t>
      </w:r>
    </w:p>
    <w:p w14:paraId="617C2D19" w14:textId="77777777" w:rsidR="0082077B" w:rsidRDefault="0082077B" w:rsidP="0082077B">
      <w:pPr>
        <w:rPr>
          <w:sz w:val="24"/>
          <w:szCs w:val="24"/>
          <w:lang w:val="en-US"/>
        </w:rPr>
      </w:pPr>
    </w:p>
    <w:p w14:paraId="3705AEC1" w14:textId="77777777" w:rsidR="0082077B" w:rsidRDefault="0082077B" w:rsidP="0082077B">
      <w:pPr>
        <w:rPr>
          <w:sz w:val="24"/>
          <w:szCs w:val="24"/>
          <w:lang w:val="en-US"/>
        </w:rPr>
      </w:pPr>
      <w:r w:rsidRPr="0082077B">
        <w:rPr>
          <w:sz w:val="24"/>
          <w:szCs w:val="24"/>
          <w:lang w:val="en-US"/>
        </w:rPr>
        <w:t xml:space="preserve">Majka, M. (2024b) ‘Understanding Customer Retention Rate’. Available at: </w:t>
      </w:r>
      <w:hyperlink r:id="rId29" w:history="1">
        <w:r w:rsidRPr="0082077B">
          <w:rPr>
            <w:rStyle w:val="af2"/>
            <w:sz w:val="24"/>
            <w:szCs w:val="24"/>
            <w:lang w:val="en-US"/>
          </w:rPr>
          <w:t>https://www.researchgate.net/profile/Marcin-Majka-2/publication/381402246_Understanding_Customer_Retention_Rate/links/666b579da54c5f0b9464a0d6/Understanding-Customer-Retention-Rate.pdf</w:t>
        </w:r>
      </w:hyperlink>
      <w:r w:rsidRPr="0082077B">
        <w:rPr>
          <w:sz w:val="24"/>
          <w:szCs w:val="24"/>
          <w:lang w:val="en-US"/>
        </w:rPr>
        <w:t xml:space="preserve"> (Accessed: 9 May 2025).</w:t>
      </w:r>
    </w:p>
    <w:p w14:paraId="33303B17" w14:textId="77777777" w:rsidR="0082077B" w:rsidRDefault="0082077B" w:rsidP="0082077B">
      <w:pPr>
        <w:rPr>
          <w:sz w:val="24"/>
          <w:szCs w:val="24"/>
          <w:lang w:val="en-US"/>
        </w:rPr>
      </w:pPr>
    </w:p>
    <w:p w14:paraId="700DF4D5" w14:textId="77777777" w:rsidR="0082077B" w:rsidRDefault="0082077B" w:rsidP="0082077B">
      <w:pPr>
        <w:rPr>
          <w:sz w:val="24"/>
          <w:szCs w:val="24"/>
          <w:lang w:val="en-US"/>
        </w:rPr>
      </w:pPr>
      <w:r w:rsidRPr="0082077B">
        <w:rPr>
          <w:sz w:val="24"/>
          <w:szCs w:val="24"/>
          <w:lang w:val="en-US"/>
        </w:rPr>
        <w:t xml:space="preserve">Nasir, M.U., Rehmat, U. and Ahmad, I. (2023) ‘Social Media Analysis of Customer Emotions in Pizza Industry’, </w:t>
      </w:r>
      <w:r w:rsidRPr="0082077B">
        <w:rPr>
          <w:i/>
          <w:iCs/>
          <w:sz w:val="24"/>
          <w:szCs w:val="24"/>
          <w:lang w:val="en-US"/>
        </w:rPr>
        <w:t>The Computer Journal</w:t>
      </w:r>
      <w:r w:rsidRPr="0082077B">
        <w:rPr>
          <w:sz w:val="24"/>
          <w:szCs w:val="24"/>
          <w:lang w:val="en-US"/>
        </w:rPr>
        <w:t xml:space="preserve">, 66(7), pp. 1777–1783. Available at: </w:t>
      </w:r>
      <w:hyperlink r:id="rId30" w:history="1">
        <w:r w:rsidRPr="0082077B">
          <w:rPr>
            <w:rStyle w:val="af2"/>
            <w:sz w:val="24"/>
            <w:szCs w:val="24"/>
            <w:lang w:val="en-US"/>
          </w:rPr>
          <w:t>https://doi.org/10.1093/comjnl/bxac042</w:t>
        </w:r>
      </w:hyperlink>
      <w:r w:rsidRPr="0082077B">
        <w:rPr>
          <w:sz w:val="24"/>
          <w:szCs w:val="24"/>
          <w:lang w:val="en-US"/>
        </w:rPr>
        <w:t>.</w:t>
      </w:r>
    </w:p>
    <w:p w14:paraId="16F17B9E" w14:textId="77777777" w:rsidR="0082077B" w:rsidRDefault="0082077B" w:rsidP="0082077B">
      <w:pPr>
        <w:rPr>
          <w:sz w:val="24"/>
          <w:szCs w:val="24"/>
          <w:lang w:val="en-US"/>
        </w:rPr>
      </w:pPr>
    </w:p>
    <w:p w14:paraId="62768910" w14:textId="77777777" w:rsidR="0082077B" w:rsidRDefault="0082077B" w:rsidP="0082077B">
      <w:pPr>
        <w:rPr>
          <w:sz w:val="24"/>
          <w:szCs w:val="24"/>
          <w:lang w:val="en-US"/>
        </w:rPr>
      </w:pPr>
      <w:r w:rsidRPr="0082077B">
        <w:rPr>
          <w:sz w:val="24"/>
          <w:szCs w:val="24"/>
          <w:lang w:val="en-US"/>
        </w:rPr>
        <w:t xml:space="preserve">Ningrum, H.K. and Hasmarini, M.I. (2024) ‘Marketing Strategy Analysis Using STP Strategy (Segmentation, Targeting, Positioning) at PT. Berkah Ridho Cinta Indonesia’, </w:t>
      </w:r>
      <w:r w:rsidRPr="0082077B">
        <w:rPr>
          <w:i/>
          <w:iCs/>
          <w:sz w:val="24"/>
          <w:szCs w:val="24"/>
          <w:lang w:val="en-US"/>
        </w:rPr>
        <w:t>Income Journal of Economics Development</w:t>
      </w:r>
      <w:r w:rsidRPr="0082077B">
        <w:rPr>
          <w:sz w:val="24"/>
          <w:szCs w:val="24"/>
          <w:lang w:val="en-US"/>
        </w:rPr>
        <w:t>, 4(1), pp. 15–19.</w:t>
      </w:r>
    </w:p>
    <w:p w14:paraId="1DA84322" w14:textId="77777777" w:rsidR="0082077B" w:rsidRDefault="0082077B" w:rsidP="0082077B">
      <w:pPr>
        <w:rPr>
          <w:sz w:val="24"/>
          <w:szCs w:val="24"/>
          <w:lang w:val="en-US"/>
        </w:rPr>
      </w:pPr>
    </w:p>
    <w:p w14:paraId="7875040D" w14:textId="77777777" w:rsidR="0082077B" w:rsidRDefault="0082077B" w:rsidP="0082077B">
      <w:pPr>
        <w:rPr>
          <w:sz w:val="24"/>
          <w:szCs w:val="24"/>
          <w:lang w:val="en-US"/>
        </w:rPr>
      </w:pPr>
      <w:r w:rsidRPr="0082077B">
        <w:rPr>
          <w:sz w:val="24"/>
          <w:szCs w:val="24"/>
          <w:lang w:val="en-US"/>
        </w:rPr>
        <w:t xml:space="preserve">Okumus, B. (2021) ‘A qualitative investigation of Millennials’ healthy eating behavior, food choices, and restaurant selection’, </w:t>
      </w:r>
      <w:r w:rsidRPr="0082077B">
        <w:rPr>
          <w:i/>
          <w:iCs/>
          <w:sz w:val="24"/>
          <w:szCs w:val="24"/>
          <w:lang w:val="en-US"/>
        </w:rPr>
        <w:t>Food, Culture &amp; Society</w:t>
      </w:r>
      <w:r w:rsidRPr="0082077B">
        <w:rPr>
          <w:sz w:val="24"/>
          <w:szCs w:val="24"/>
          <w:lang w:val="en-US"/>
        </w:rPr>
        <w:t xml:space="preserve">, 24(4), pp. 509–524. Available at: </w:t>
      </w:r>
      <w:hyperlink r:id="rId31" w:history="1">
        <w:r w:rsidRPr="0082077B">
          <w:rPr>
            <w:rStyle w:val="af2"/>
            <w:sz w:val="24"/>
            <w:szCs w:val="24"/>
            <w:lang w:val="en-US"/>
          </w:rPr>
          <w:t>https://doi.org/10.1080/15528014.2021.1882168</w:t>
        </w:r>
      </w:hyperlink>
      <w:r w:rsidRPr="0082077B">
        <w:rPr>
          <w:sz w:val="24"/>
          <w:szCs w:val="24"/>
          <w:lang w:val="en-US"/>
        </w:rPr>
        <w:t>.</w:t>
      </w:r>
    </w:p>
    <w:p w14:paraId="30F14B0D" w14:textId="77777777" w:rsidR="0082077B" w:rsidRDefault="0082077B" w:rsidP="0082077B">
      <w:pPr>
        <w:rPr>
          <w:sz w:val="24"/>
          <w:szCs w:val="24"/>
          <w:lang w:val="en-US"/>
        </w:rPr>
      </w:pPr>
    </w:p>
    <w:p w14:paraId="3C294D60" w14:textId="77777777" w:rsidR="0082077B" w:rsidRDefault="0082077B" w:rsidP="0082077B">
      <w:pPr>
        <w:rPr>
          <w:sz w:val="24"/>
          <w:szCs w:val="24"/>
          <w:lang w:val="en-US"/>
        </w:rPr>
      </w:pPr>
      <w:r w:rsidRPr="0082077B">
        <w:rPr>
          <w:sz w:val="24"/>
          <w:szCs w:val="24"/>
          <w:lang w:val="en-US"/>
        </w:rPr>
        <w:t xml:space="preserve">Pei, Y. </w:t>
      </w:r>
      <w:r w:rsidRPr="0082077B">
        <w:rPr>
          <w:i/>
          <w:iCs/>
          <w:sz w:val="24"/>
          <w:szCs w:val="24"/>
          <w:lang w:val="en-US"/>
        </w:rPr>
        <w:t>et al.</w:t>
      </w:r>
      <w:r w:rsidRPr="0082077B">
        <w:rPr>
          <w:sz w:val="24"/>
          <w:szCs w:val="24"/>
          <w:lang w:val="en-US"/>
        </w:rPr>
        <w:t xml:space="preserve"> (2021) ‘Effect of Consumer Strategic Behavior on Online Presale Strategy’, </w:t>
      </w:r>
      <w:r w:rsidRPr="0082077B">
        <w:rPr>
          <w:i/>
          <w:iCs/>
          <w:sz w:val="24"/>
          <w:szCs w:val="24"/>
          <w:lang w:val="en-US"/>
        </w:rPr>
        <w:t>Sustainability</w:t>
      </w:r>
      <w:r w:rsidRPr="0082077B">
        <w:rPr>
          <w:sz w:val="24"/>
          <w:szCs w:val="24"/>
          <w:lang w:val="en-US"/>
        </w:rPr>
        <w:t xml:space="preserve">, 13(19), p. 10936. Available at: </w:t>
      </w:r>
      <w:hyperlink r:id="rId32" w:history="1">
        <w:r w:rsidRPr="0082077B">
          <w:rPr>
            <w:rStyle w:val="af2"/>
            <w:sz w:val="24"/>
            <w:szCs w:val="24"/>
            <w:lang w:val="en-US"/>
          </w:rPr>
          <w:t>https://doi.org/10.3390/su131910936</w:t>
        </w:r>
      </w:hyperlink>
      <w:r w:rsidRPr="0082077B">
        <w:rPr>
          <w:sz w:val="24"/>
          <w:szCs w:val="24"/>
          <w:lang w:val="en-US"/>
        </w:rPr>
        <w:t>.</w:t>
      </w:r>
    </w:p>
    <w:p w14:paraId="5D087479" w14:textId="77777777" w:rsidR="0082077B" w:rsidRDefault="0082077B" w:rsidP="0082077B">
      <w:pPr>
        <w:rPr>
          <w:sz w:val="24"/>
          <w:szCs w:val="24"/>
          <w:lang w:val="en-US"/>
        </w:rPr>
      </w:pPr>
    </w:p>
    <w:p w14:paraId="178A3006" w14:textId="77777777" w:rsidR="0082077B" w:rsidRDefault="0082077B" w:rsidP="0082077B">
      <w:pPr>
        <w:rPr>
          <w:sz w:val="24"/>
          <w:szCs w:val="24"/>
          <w:lang w:val="en-US"/>
        </w:rPr>
      </w:pPr>
      <w:r w:rsidRPr="0082077B">
        <w:rPr>
          <w:sz w:val="24"/>
          <w:szCs w:val="24"/>
          <w:lang w:val="en-US"/>
        </w:rPr>
        <w:t xml:space="preserve">People&amp;Global Business Association </w:t>
      </w:r>
      <w:r w:rsidRPr="0082077B">
        <w:rPr>
          <w:i/>
          <w:iCs/>
          <w:sz w:val="24"/>
          <w:szCs w:val="24"/>
          <w:lang w:val="en-US"/>
        </w:rPr>
        <w:t>et al.</w:t>
      </w:r>
      <w:r w:rsidRPr="0082077B">
        <w:rPr>
          <w:sz w:val="24"/>
          <w:szCs w:val="24"/>
          <w:lang w:val="en-US"/>
        </w:rPr>
        <w:t xml:space="preserve"> (2022) ‘Integrating Digital Transformation and Servitization into Digital Servitization: A Case Study on Domino’s’, </w:t>
      </w:r>
      <w:r w:rsidRPr="0082077B">
        <w:rPr>
          <w:i/>
          <w:iCs/>
          <w:sz w:val="24"/>
          <w:szCs w:val="24"/>
          <w:lang w:val="en-US"/>
        </w:rPr>
        <w:t>GLOBAL BUSINESS FINANCE REVIEW</w:t>
      </w:r>
      <w:r w:rsidRPr="0082077B">
        <w:rPr>
          <w:sz w:val="24"/>
          <w:szCs w:val="24"/>
          <w:lang w:val="en-US"/>
        </w:rPr>
        <w:t xml:space="preserve">, 27(5), pp. 1–16. Available at: </w:t>
      </w:r>
      <w:hyperlink r:id="rId33" w:history="1">
        <w:r w:rsidRPr="0082077B">
          <w:rPr>
            <w:rStyle w:val="af2"/>
            <w:sz w:val="24"/>
            <w:szCs w:val="24"/>
            <w:lang w:val="en-US"/>
          </w:rPr>
          <w:t>https://doi.org/10.17549/gbfr.2022.27.5.1</w:t>
        </w:r>
      </w:hyperlink>
      <w:r w:rsidRPr="0082077B">
        <w:rPr>
          <w:sz w:val="24"/>
          <w:szCs w:val="24"/>
          <w:lang w:val="en-US"/>
        </w:rPr>
        <w:t>.</w:t>
      </w:r>
    </w:p>
    <w:p w14:paraId="76F7ECBF" w14:textId="77777777" w:rsidR="0082077B" w:rsidRDefault="0082077B" w:rsidP="0082077B">
      <w:pPr>
        <w:rPr>
          <w:sz w:val="24"/>
          <w:szCs w:val="24"/>
          <w:lang w:val="en-US"/>
        </w:rPr>
      </w:pPr>
    </w:p>
    <w:p w14:paraId="2B6108FC" w14:textId="77777777" w:rsidR="0082077B" w:rsidRDefault="0082077B" w:rsidP="0082077B">
      <w:pPr>
        <w:rPr>
          <w:sz w:val="24"/>
          <w:szCs w:val="24"/>
          <w:lang w:val="fr-FR"/>
        </w:rPr>
      </w:pPr>
      <w:r w:rsidRPr="0082077B">
        <w:rPr>
          <w:sz w:val="24"/>
          <w:szCs w:val="24"/>
          <w:lang w:val="en-US"/>
        </w:rPr>
        <w:t xml:space="preserve">Pereira Ferraz Soares Ferreira, A.P. and Maria Beatriz Pinto De Sá Moscoso, M. (2024) ‘The importance of the Ansoff matrix for the study of the information services market’, </w:t>
      </w:r>
      <w:r w:rsidRPr="0082077B">
        <w:rPr>
          <w:i/>
          <w:iCs/>
          <w:sz w:val="24"/>
          <w:szCs w:val="24"/>
          <w:lang w:val="en-US"/>
        </w:rPr>
        <w:t>The Canadian Journal of Information and Library Science</w:t>
      </w:r>
      <w:r w:rsidRPr="0082077B">
        <w:rPr>
          <w:sz w:val="24"/>
          <w:szCs w:val="24"/>
          <w:lang w:val="en-US"/>
        </w:rPr>
        <w:t xml:space="preserve">, 47(2), pp. 78–84. </w:t>
      </w:r>
      <w:r w:rsidRPr="0082077B">
        <w:rPr>
          <w:sz w:val="24"/>
          <w:szCs w:val="24"/>
          <w:lang w:val="fr-FR"/>
        </w:rPr>
        <w:t xml:space="preserve">Available at: </w:t>
      </w:r>
      <w:hyperlink r:id="rId34" w:history="1">
        <w:r w:rsidRPr="0082077B">
          <w:rPr>
            <w:rStyle w:val="af2"/>
            <w:sz w:val="24"/>
            <w:szCs w:val="24"/>
            <w:lang w:val="fr-FR"/>
          </w:rPr>
          <w:t>https://doi.org/10.5206/cjils-rcsib.v47i2.17432</w:t>
        </w:r>
      </w:hyperlink>
      <w:r w:rsidRPr="0082077B">
        <w:rPr>
          <w:sz w:val="24"/>
          <w:szCs w:val="24"/>
          <w:lang w:val="fr-FR"/>
        </w:rPr>
        <w:t>.</w:t>
      </w:r>
    </w:p>
    <w:p w14:paraId="60DFB3D0" w14:textId="77777777" w:rsidR="0082077B" w:rsidRDefault="0082077B" w:rsidP="0082077B">
      <w:pPr>
        <w:rPr>
          <w:sz w:val="24"/>
          <w:szCs w:val="24"/>
          <w:lang w:val="fr-FR"/>
        </w:rPr>
      </w:pPr>
    </w:p>
    <w:p w14:paraId="44A264DE" w14:textId="77777777" w:rsidR="0082077B" w:rsidRDefault="0082077B" w:rsidP="0082077B">
      <w:pPr>
        <w:rPr>
          <w:sz w:val="24"/>
          <w:szCs w:val="24"/>
          <w:lang w:val="en-US"/>
        </w:rPr>
      </w:pPr>
      <w:r w:rsidRPr="0082077B">
        <w:rPr>
          <w:sz w:val="24"/>
          <w:szCs w:val="24"/>
          <w:lang w:val="fr-FR"/>
        </w:rPr>
        <w:t xml:space="preserve">Raha, A. </w:t>
      </w:r>
      <w:r w:rsidRPr="0082077B">
        <w:rPr>
          <w:i/>
          <w:iCs/>
          <w:sz w:val="24"/>
          <w:szCs w:val="24"/>
          <w:lang w:val="fr-FR"/>
        </w:rPr>
        <w:t>et al.</w:t>
      </w:r>
      <w:r w:rsidRPr="0082077B">
        <w:rPr>
          <w:sz w:val="24"/>
          <w:szCs w:val="24"/>
          <w:lang w:val="fr-FR"/>
        </w:rPr>
        <w:t xml:space="preserve"> </w:t>
      </w:r>
      <w:r w:rsidRPr="0082077B">
        <w:rPr>
          <w:sz w:val="24"/>
          <w:szCs w:val="24"/>
          <w:lang w:val="en-US"/>
        </w:rPr>
        <w:t>(2024) ‘PRE-MEAL ALMOND INTAKE AND GLYCEMIC CONTROL (PPBS)’, 3.</w:t>
      </w:r>
    </w:p>
    <w:p w14:paraId="7C9B5BA9" w14:textId="77777777" w:rsidR="0082077B" w:rsidRDefault="0082077B" w:rsidP="0082077B">
      <w:pPr>
        <w:rPr>
          <w:sz w:val="24"/>
          <w:szCs w:val="24"/>
          <w:lang w:val="en-US"/>
        </w:rPr>
      </w:pPr>
    </w:p>
    <w:p w14:paraId="250470C4" w14:textId="77777777" w:rsidR="0082077B" w:rsidRDefault="0082077B" w:rsidP="0082077B">
      <w:pPr>
        <w:rPr>
          <w:sz w:val="24"/>
          <w:szCs w:val="24"/>
          <w:lang w:val="en-US"/>
        </w:rPr>
      </w:pPr>
      <w:r w:rsidRPr="0082077B">
        <w:rPr>
          <w:sz w:val="24"/>
          <w:szCs w:val="24"/>
          <w:lang w:val="fr-FR"/>
        </w:rPr>
        <w:t xml:space="preserve">Ross, F.C. </w:t>
      </w:r>
      <w:r w:rsidRPr="0082077B">
        <w:rPr>
          <w:i/>
          <w:iCs/>
          <w:sz w:val="24"/>
          <w:szCs w:val="24"/>
          <w:lang w:val="fr-FR"/>
        </w:rPr>
        <w:t>et al.</w:t>
      </w:r>
      <w:r w:rsidRPr="0082077B">
        <w:rPr>
          <w:sz w:val="24"/>
          <w:szCs w:val="24"/>
          <w:lang w:val="fr-FR"/>
        </w:rPr>
        <w:t xml:space="preserve"> </w:t>
      </w:r>
      <w:r w:rsidRPr="0082077B">
        <w:rPr>
          <w:sz w:val="24"/>
          <w:szCs w:val="24"/>
          <w:lang w:val="en-US"/>
        </w:rPr>
        <w:t xml:space="preserve">(2024) ‘The interplay between diet and the gut microbiome: implications for health and disease’, </w:t>
      </w:r>
      <w:r w:rsidRPr="0082077B">
        <w:rPr>
          <w:i/>
          <w:iCs/>
          <w:sz w:val="24"/>
          <w:szCs w:val="24"/>
          <w:lang w:val="en-US"/>
        </w:rPr>
        <w:t>Nature Reviews Microbiology</w:t>
      </w:r>
      <w:r w:rsidRPr="0082077B">
        <w:rPr>
          <w:sz w:val="24"/>
          <w:szCs w:val="24"/>
          <w:lang w:val="en-US"/>
        </w:rPr>
        <w:t xml:space="preserve">, 22(11), pp. 671–686. Available at: </w:t>
      </w:r>
      <w:hyperlink r:id="rId35" w:history="1">
        <w:r w:rsidRPr="0082077B">
          <w:rPr>
            <w:rStyle w:val="af2"/>
            <w:sz w:val="24"/>
            <w:szCs w:val="24"/>
            <w:lang w:val="en-US"/>
          </w:rPr>
          <w:t>https://doi.org/10.1038/s41579-024-01068-4</w:t>
        </w:r>
      </w:hyperlink>
      <w:r w:rsidRPr="0082077B">
        <w:rPr>
          <w:sz w:val="24"/>
          <w:szCs w:val="24"/>
          <w:lang w:val="en-US"/>
        </w:rPr>
        <w:t>.</w:t>
      </w:r>
    </w:p>
    <w:p w14:paraId="04B8C2B2" w14:textId="77777777" w:rsidR="0082077B" w:rsidRDefault="0082077B" w:rsidP="0082077B">
      <w:pPr>
        <w:rPr>
          <w:sz w:val="24"/>
          <w:szCs w:val="24"/>
          <w:lang w:val="en-US"/>
        </w:rPr>
      </w:pPr>
    </w:p>
    <w:p w14:paraId="3666DA0F" w14:textId="77777777" w:rsidR="0082077B" w:rsidRDefault="0082077B" w:rsidP="0082077B">
      <w:pPr>
        <w:rPr>
          <w:sz w:val="24"/>
          <w:szCs w:val="24"/>
          <w:lang w:val="en-US"/>
        </w:rPr>
      </w:pPr>
      <w:r w:rsidRPr="0082077B">
        <w:rPr>
          <w:sz w:val="24"/>
          <w:szCs w:val="24"/>
          <w:lang w:val="en-US"/>
        </w:rPr>
        <w:t xml:space="preserve">Statista (2025a) </w:t>
      </w:r>
      <w:r w:rsidRPr="0082077B">
        <w:rPr>
          <w:i/>
          <w:iCs/>
          <w:sz w:val="24"/>
          <w:szCs w:val="24"/>
          <w:lang w:val="en-US"/>
        </w:rPr>
        <w:t>Diets and nutrition in the UK 2024</w:t>
      </w:r>
      <w:r w:rsidRPr="0082077B">
        <w:rPr>
          <w:sz w:val="24"/>
          <w:szCs w:val="24"/>
          <w:lang w:val="en-US"/>
        </w:rPr>
        <w:t xml:space="preserve">. Available at: </w:t>
      </w:r>
      <w:hyperlink r:id="rId36" w:history="1">
        <w:r w:rsidRPr="0082077B">
          <w:rPr>
            <w:rStyle w:val="af2"/>
            <w:sz w:val="24"/>
            <w:szCs w:val="24"/>
            <w:lang w:val="en-US"/>
          </w:rPr>
          <w:t>https://www.statista.com/forecasts/997894/diets-and-nutrition-in-the-uk</w:t>
        </w:r>
      </w:hyperlink>
      <w:r w:rsidRPr="0082077B">
        <w:rPr>
          <w:sz w:val="24"/>
          <w:szCs w:val="24"/>
          <w:lang w:val="en-US"/>
        </w:rPr>
        <w:t xml:space="preserve"> (Accessed: 12 April 2025).</w:t>
      </w:r>
    </w:p>
    <w:p w14:paraId="332C63AF" w14:textId="77777777" w:rsidR="0082077B" w:rsidRDefault="0082077B" w:rsidP="0082077B">
      <w:pPr>
        <w:rPr>
          <w:sz w:val="24"/>
          <w:szCs w:val="24"/>
          <w:lang w:val="en-US"/>
        </w:rPr>
      </w:pPr>
    </w:p>
    <w:p w14:paraId="22C83689" w14:textId="77777777" w:rsidR="0082077B" w:rsidRDefault="0082077B" w:rsidP="0082077B">
      <w:pPr>
        <w:rPr>
          <w:sz w:val="24"/>
          <w:szCs w:val="24"/>
          <w:lang w:val="en-US"/>
        </w:rPr>
      </w:pPr>
      <w:r w:rsidRPr="0082077B">
        <w:rPr>
          <w:sz w:val="24"/>
          <w:szCs w:val="24"/>
          <w:lang w:val="en-US"/>
        </w:rPr>
        <w:t xml:space="preserve">Statista (2025b) </w:t>
      </w:r>
      <w:r w:rsidRPr="0082077B">
        <w:rPr>
          <w:i/>
          <w:iCs/>
          <w:sz w:val="24"/>
          <w:szCs w:val="24"/>
          <w:lang w:val="en-US"/>
        </w:rPr>
        <w:t>Fitness industry in the United Kingdom - statistics &amp; facts</w:t>
      </w:r>
      <w:r w:rsidRPr="0082077B">
        <w:rPr>
          <w:sz w:val="24"/>
          <w:szCs w:val="24"/>
          <w:lang w:val="en-US"/>
        </w:rPr>
        <w:t xml:space="preserve">. Available at: </w:t>
      </w:r>
      <w:hyperlink r:id="rId37" w:history="1">
        <w:r w:rsidRPr="0082077B">
          <w:rPr>
            <w:rStyle w:val="af2"/>
            <w:sz w:val="24"/>
            <w:szCs w:val="24"/>
            <w:lang w:val="en-US"/>
          </w:rPr>
          <w:t>https://www.statista.com/topics/3411/fitness-industry-in-the-united-kingdom-uk/</w:t>
        </w:r>
      </w:hyperlink>
      <w:r w:rsidRPr="0082077B">
        <w:rPr>
          <w:sz w:val="24"/>
          <w:szCs w:val="24"/>
          <w:lang w:val="en-US"/>
        </w:rPr>
        <w:t xml:space="preserve"> (Accessed: 9 April 2025).</w:t>
      </w:r>
    </w:p>
    <w:p w14:paraId="286C95C7" w14:textId="77777777" w:rsidR="0082077B" w:rsidRDefault="0082077B" w:rsidP="0082077B">
      <w:pPr>
        <w:rPr>
          <w:sz w:val="24"/>
          <w:szCs w:val="24"/>
          <w:lang w:val="en-US"/>
        </w:rPr>
      </w:pPr>
    </w:p>
    <w:p w14:paraId="75E0EB60" w14:textId="77777777" w:rsidR="0082077B" w:rsidRDefault="0082077B" w:rsidP="0082077B">
      <w:pPr>
        <w:rPr>
          <w:sz w:val="24"/>
          <w:szCs w:val="24"/>
          <w:lang w:val="en-US"/>
        </w:rPr>
      </w:pPr>
      <w:r w:rsidRPr="0082077B">
        <w:rPr>
          <w:sz w:val="24"/>
          <w:szCs w:val="24"/>
          <w:lang w:val="en-US"/>
        </w:rPr>
        <w:t xml:space="preserve">Suchánek, P. and Činčalová, S. (2024) ‘The relationship of consumer psychology and consumer experience to consumer satisfaction and organisational performance: literature review’, </w:t>
      </w:r>
      <w:r w:rsidRPr="0082077B">
        <w:rPr>
          <w:i/>
          <w:iCs/>
          <w:sz w:val="24"/>
          <w:szCs w:val="24"/>
          <w:lang w:val="en-US"/>
        </w:rPr>
        <w:t>Cogent Business &amp; Management</w:t>
      </w:r>
      <w:r w:rsidRPr="0082077B">
        <w:rPr>
          <w:sz w:val="24"/>
          <w:szCs w:val="24"/>
          <w:lang w:val="en-US"/>
        </w:rPr>
        <w:t xml:space="preserve">, 11(1), p. 2365991. Available at: </w:t>
      </w:r>
      <w:hyperlink r:id="rId38" w:history="1">
        <w:r w:rsidRPr="0082077B">
          <w:rPr>
            <w:rStyle w:val="af2"/>
            <w:sz w:val="24"/>
            <w:szCs w:val="24"/>
            <w:lang w:val="en-US"/>
          </w:rPr>
          <w:t>https://doi.org/10.1080/23311975.2024.2365991</w:t>
        </w:r>
      </w:hyperlink>
      <w:r w:rsidRPr="0082077B">
        <w:rPr>
          <w:sz w:val="24"/>
          <w:szCs w:val="24"/>
          <w:lang w:val="en-US"/>
        </w:rPr>
        <w:t>.</w:t>
      </w:r>
    </w:p>
    <w:p w14:paraId="3293F1F4" w14:textId="77777777" w:rsidR="0082077B" w:rsidRDefault="0082077B" w:rsidP="0082077B">
      <w:pPr>
        <w:rPr>
          <w:sz w:val="24"/>
          <w:szCs w:val="24"/>
          <w:lang w:val="en-US"/>
        </w:rPr>
      </w:pPr>
    </w:p>
    <w:p w14:paraId="50B2B843" w14:textId="77777777" w:rsidR="0082077B" w:rsidRDefault="0082077B" w:rsidP="0082077B">
      <w:pPr>
        <w:rPr>
          <w:sz w:val="24"/>
          <w:szCs w:val="24"/>
          <w:lang w:val="en-US"/>
        </w:rPr>
      </w:pPr>
      <w:r w:rsidRPr="0082077B">
        <w:rPr>
          <w:sz w:val="24"/>
          <w:szCs w:val="24"/>
          <w:lang w:val="en-US"/>
        </w:rPr>
        <w:t xml:space="preserve">Taherdoost, H. and Mohebi, A. (2024) ‘Using SMART Method for Multi-criteria Decision Making: Applications, Advantages, and Limitations’, </w:t>
      </w:r>
      <w:r w:rsidRPr="0082077B">
        <w:rPr>
          <w:i/>
          <w:iCs/>
          <w:sz w:val="24"/>
          <w:szCs w:val="24"/>
          <w:lang w:val="en-US"/>
        </w:rPr>
        <w:t>Archives of Advanced Engineering Science</w:t>
      </w:r>
      <w:r w:rsidRPr="0082077B">
        <w:rPr>
          <w:sz w:val="24"/>
          <w:szCs w:val="24"/>
          <w:lang w:val="en-US"/>
        </w:rPr>
        <w:t xml:space="preserve">, 2(4), pp. 190–197. Available at: </w:t>
      </w:r>
      <w:hyperlink r:id="rId39" w:history="1">
        <w:r w:rsidRPr="0082077B">
          <w:rPr>
            <w:rStyle w:val="af2"/>
            <w:sz w:val="24"/>
            <w:szCs w:val="24"/>
            <w:lang w:val="en-US"/>
          </w:rPr>
          <w:t>https://doi.org/10.47852/bonviewAAES42022765</w:t>
        </w:r>
      </w:hyperlink>
      <w:r w:rsidRPr="0082077B">
        <w:rPr>
          <w:sz w:val="24"/>
          <w:szCs w:val="24"/>
          <w:lang w:val="en-US"/>
        </w:rPr>
        <w:t>.</w:t>
      </w:r>
    </w:p>
    <w:p w14:paraId="1889475C" w14:textId="77777777" w:rsidR="0082077B" w:rsidRDefault="0082077B" w:rsidP="0082077B">
      <w:pPr>
        <w:rPr>
          <w:sz w:val="24"/>
          <w:szCs w:val="24"/>
          <w:lang w:val="en-US"/>
        </w:rPr>
      </w:pPr>
    </w:p>
    <w:p w14:paraId="7353BBE0" w14:textId="77777777" w:rsidR="0082077B" w:rsidRDefault="0082077B" w:rsidP="0082077B">
      <w:pPr>
        <w:rPr>
          <w:sz w:val="24"/>
          <w:szCs w:val="24"/>
          <w:lang w:val="fr-FR"/>
        </w:rPr>
      </w:pPr>
      <w:r w:rsidRPr="0082077B">
        <w:rPr>
          <w:sz w:val="24"/>
          <w:szCs w:val="24"/>
          <w:lang w:val="en-US"/>
        </w:rPr>
        <w:t xml:space="preserve">Tan, B.C. </w:t>
      </w:r>
      <w:r w:rsidRPr="0082077B">
        <w:rPr>
          <w:i/>
          <w:iCs/>
          <w:sz w:val="24"/>
          <w:szCs w:val="24"/>
          <w:lang w:val="en-US"/>
        </w:rPr>
        <w:t>et al.</w:t>
      </w:r>
      <w:r w:rsidRPr="0082077B">
        <w:rPr>
          <w:sz w:val="24"/>
          <w:szCs w:val="24"/>
          <w:lang w:val="en-US"/>
        </w:rPr>
        <w:t xml:space="preserve"> (2022) ‘The effects of consumer consciousness, food safety concern and healthy lifestyle on attitudes toward eating “green”’, </w:t>
      </w:r>
      <w:r w:rsidRPr="0082077B">
        <w:rPr>
          <w:i/>
          <w:iCs/>
          <w:sz w:val="24"/>
          <w:szCs w:val="24"/>
          <w:lang w:val="en-US"/>
        </w:rPr>
        <w:t>British Food Journal</w:t>
      </w:r>
      <w:r w:rsidRPr="0082077B">
        <w:rPr>
          <w:sz w:val="24"/>
          <w:szCs w:val="24"/>
          <w:lang w:val="en-US"/>
        </w:rPr>
        <w:t xml:space="preserve">, 124(4), pp. 1187–1203. </w:t>
      </w:r>
      <w:r w:rsidRPr="0082077B">
        <w:rPr>
          <w:sz w:val="24"/>
          <w:szCs w:val="24"/>
          <w:lang w:val="fr-FR"/>
        </w:rPr>
        <w:t xml:space="preserve">Available at: </w:t>
      </w:r>
      <w:hyperlink r:id="rId40" w:history="1">
        <w:r w:rsidRPr="0082077B">
          <w:rPr>
            <w:rStyle w:val="af2"/>
            <w:sz w:val="24"/>
            <w:szCs w:val="24"/>
            <w:lang w:val="fr-FR"/>
          </w:rPr>
          <w:t>https://doi.org/10.1108/BFJ-01-2021-0005</w:t>
        </w:r>
      </w:hyperlink>
      <w:r w:rsidRPr="0082077B">
        <w:rPr>
          <w:sz w:val="24"/>
          <w:szCs w:val="24"/>
          <w:lang w:val="fr-FR"/>
        </w:rPr>
        <w:t>.</w:t>
      </w:r>
    </w:p>
    <w:p w14:paraId="35B9BCF4" w14:textId="77777777" w:rsidR="0082077B" w:rsidRDefault="0082077B" w:rsidP="0082077B">
      <w:pPr>
        <w:rPr>
          <w:sz w:val="24"/>
          <w:szCs w:val="24"/>
          <w:lang w:val="fr-FR"/>
        </w:rPr>
      </w:pPr>
    </w:p>
    <w:p w14:paraId="6E5B82E6" w14:textId="77777777" w:rsidR="0082077B" w:rsidRDefault="0082077B" w:rsidP="0082077B">
      <w:pPr>
        <w:rPr>
          <w:sz w:val="24"/>
          <w:szCs w:val="24"/>
          <w:lang w:val="en-US"/>
        </w:rPr>
      </w:pPr>
      <w:r w:rsidRPr="0082077B">
        <w:rPr>
          <w:sz w:val="24"/>
          <w:szCs w:val="24"/>
          <w:lang w:val="fr-FR"/>
        </w:rPr>
        <w:t xml:space="preserve">Tao, B. </w:t>
      </w:r>
      <w:r w:rsidRPr="0082077B">
        <w:rPr>
          <w:i/>
          <w:iCs/>
          <w:sz w:val="24"/>
          <w:szCs w:val="24"/>
          <w:lang w:val="fr-FR"/>
        </w:rPr>
        <w:t>et al.</w:t>
      </w:r>
      <w:r w:rsidRPr="0082077B">
        <w:rPr>
          <w:sz w:val="24"/>
          <w:szCs w:val="24"/>
          <w:lang w:val="fr-FR"/>
        </w:rPr>
        <w:t xml:space="preserve"> </w:t>
      </w:r>
      <w:r w:rsidRPr="0082077B">
        <w:rPr>
          <w:sz w:val="24"/>
          <w:szCs w:val="24"/>
          <w:lang w:val="en-US"/>
        </w:rPr>
        <w:t xml:space="preserve">(2022) ‘The Effect of Physical Exercise and Internet Use on Youth Subjective Well-Being—The Mediating Role of Life Satisfaction and the Moderating Effect of Social Mentality’, </w:t>
      </w:r>
      <w:r w:rsidRPr="0082077B">
        <w:rPr>
          <w:i/>
          <w:iCs/>
          <w:sz w:val="24"/>
          <w:szCs w:val="24"/>
          <w:lang w:val="en-US"/>
        </w:rPr>
        <w:t>International Journal of Environmental Research and Public Health</w:t>
      </w:r>
      <w:r w:rsidRPr="0082077B">
        <w:rPr>
          <w:sz w:val="24"/>
          <w:szCs w:val="24"/>
          <w:lang w:val="en-US"/>
        </w:rPr>
        <w:t xml:space="preserve">, 19(18), p. 11201. Available at: </w:t>
      </w:r>
      <w:hyperlink r:id="rId41" w:history="1">
        <w:r w:rsidRPr="0082077B">
          <w:rPr>
            <w:rStyle w:val="af2"/>
            <w:sz w:val="24"/>
            <w:szCs w:val="24"/>
            <w:lang w:val="en-US"/>
          </w:rPr>
          <w:t>https://doi.org/10.3390/ijerph191811201</w:t>
        </w:r>
      </w:hyperlink>
      <w:r w:rsidRPr="0082077B">
        <w:rPr>
          <w:sz w:val="24"/>
          <w:szCs w:val="24"/>
          <w:lang w:val="en-US"/>
        </w:rPr>
        <w:t>.</w:t>
      </w:r>
    </w:p>
    <w:p w14:paraId="52E89DD1" w14:textId="77777777" w:rsidR="0082077B" w:rsidRDefault="0082077B" w:rsidP="0082077B">
      <w:pPr>
        <w:rPr>
          <w:sz w:val="24"/>
          <w:szCs w:val="24"/>
          <w:lang w:val="en-US"/>
        </w:rPr>
      </w:pPr>
    </w:p>
    <w:p w14:paraId="47B99B94" w14:textId="77777777" w:rsidR="0082077B" w:rsidRDefault="0082077B" w:rsidP="0082077B">
      <w:pPr>
        <w:rPr>
          <w:sz w:val="24"/>
          <w:szCs w:val="24"/>
          <w:lang w:val="en-US"/>
        </w:rPr>
      </w:pPr>
      <w:r w:rsidRPr="0082077B">
        <w:rPr>
          <w:sz w:val="24"/>
          <w:szCs w:val="24"/>
          <w:lang w:val="en-US"/>
        </w:rPr>
        <w:t xml:space="preserve">Vijaykumar, S., McNeill, A. and Simpson, J. (2021) ‘Associations between conflicting nutrition information, nutrition confusion and backlash among consumers in the UK’, </w:t>
      </w:r>
      <w:r w:rsidRPr="0082077B">
        <w:rPr>
          <w:i/>
          <w:iCs/>
          <w:sz w:val="24"/>
          <w:szCs w:val="24"/>
          <w:lang w:val="en-US"/>
        </w:rPr>
        <w:t>Public Health Nutrition</w:t>
      </w:r>
      <w:r w:rsidRPr="0082077B">
        <w:rPr>
          <w:sz w:val="24"/>
          <w:szCs w:val="24"/>
          <w:lang w:val="en-US"/>
        </w:rPr>
        <w:t xml:space="preserve">, 24(5), pp. 914–923. Available at: </w:t>
      </w:r>
      <w:hyperlink r:id="rId42" w:history="1">
        <w:r w:rsidRPr="0082077B">
          <w:rPr>
            <w:rStyle w:val="af2"/>
            <w:sz w:val="24"/>
            <w:szCs w:val="24"/>
            <w:lang w:val="en-US"/>
          </w:rPr>
          <w:t>https://doi.org/10.1017/S1368980021000124</w:t>
        </w:r>
      </w:hyperlink>
      <w:r w:rsidRPr="0082077B">
        <w:rPr>
          <w:sz w:val="24"/>
          <w:szCs w:val="24"/>
          <w:lang w:val="en-US"/>
        </w:rPr>
        <w:t>.</w:t>
      </w:r>
    </w:p>
    <w:p w14:paraId="5C5368EC" w14:textId="236ADA7F" w:rsidR="0082077B" w:rsidRDefault="0082077B" w:rsidP="0082077B">
      <w:pPr>
        <w:rPr>
          <w:sz w:val="24"/>
          <w:szCs w:val="24"/>
          <w:lang w:val="en-US"/>
        </w:rPr>
      </w:pPr>
    </w:p>
    <w:p w14:paraId="36925781" w14:textId="77777777" w:rsidR="006F7080" w:rsidRPr="0082077B" w:rsidRDefault="0082077B" w:rsidP="0082077B">
      <w:pPr>
        <w:rPr>
          <w:sz w:val="24"/>
          <w:szCs w:val="24"/>
          <w:lang w:val="en-US"/>
        </w:rPr>
      </w:pPr>
      <w:r w:rsidRPr="0082077B">
        <w:rPr>
          <w:sz w:val="24"/>
          <w:szCs w:val="24"/>
          <w:lang w:val="en-US"/>
        </w:rPr>
        <w:t xml:space="preserve">Zugay, B. and Zakaria, R. (2023) </w:t>
      </w:r>
      <w:r w:rsidRPr="0082077B">
        <w:rPr>
          <w:i/>
          <w:iCs/>
          <w:sz w:val="24"/>
          <w:szCs w:val="24"/>
          <w:lang w:val="en-US"/>
        </w:rPr>
        <w:t>Ansoff Matrix</w:t>
      </w:r>
      <w:r w:rsidRPr="0082077B">
        <w:rPr>
          <w:sz w:val="24"/>
          <w:szCs w:val="24"/>
          <w:lang w:val="en-US"/>
        </w:rPr>
        <w:t xml:space="preserve">. Thousand Oaks, California: SAGE Publications, Inc. Available at: </w:t>
      </w:r>
      <w:hyperlink r:id="rId43" w:history="1">
        <w:r w:rsidRPr="0082077B">
          <w:rPr>
            <w:rStyle w:val="af2"/>
            <w:sz w:val="24"/>
            <w:szCs w:val="24"/>
            <w:lang w:val="en-US"/>
          </w:rPr>
          <w:t>https://doi.org/10.4135/9781071924136</w:t>
        </w:r>
      </w:hyperlink>
      <w:r w:rsidRPr="0082077B">
        <w:rPr>
          <w:sz w:val="24"/>
          <w:szCs w:val="24"/>
          <w:lang w:val="en-US"/>
        </w:rPr>
        <w:t>.</w:t>
      </w:r>
    </w:p>
    <w:sectPr w:rsidR="006F7080" w:rsidRPr="0082077B" w:rsidSect="00DC7EA4">
      <w:footerReference w:type="default" r:id="rId44"/>
      <w:pgSz w:w="11906" w:h="16838"/>
      <w:pgMar w:top="1440" w:right="1800" w:bottom="1440" w:left="1800" w:header="851" w:footer="992" w:gutter="0"/>
      <w:pgNumType w:start="1"/>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C64EB" w14:textId="77777777" w:rsidR="00E13396" w:rsidRPr="00BE7624" w:rsidRDefault="00E13396" w:rsidP="00DC7EA4">
      <w:r w:rsidRPr="00BE7624">
        <w:separator/>
      </w:r>
    </w:p>
  </w:endnote>
  <w:endnote w:type="continuationSeparator" w:id="0">
    <w:p w14:paraId="384B2E94" w14:textId="77777777" w:rsidR="00E13396" w:rsidRPr="00BE7624" w:rsidRDefault="00E13396" w:rsidP="00DC7EA4">
      <w:r w:rsidRPr="00BE76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CB0F3" w14:textId="77777777" w:rsidR="00DC7EA4" w:rsidRPr="00BE7624" w:rsidRDefault="00DC7EA4">
    <w:pPr>
      <w:pStyle w:val="af0"/>
      <w:jc w:val="center"/>
    </w:pPr>
  </w:p>
  <w:p w14:paraId="5D7D41FA" w14:textId="77777777" w:rsidR="00DC7EA4" w:rsidRPr="00BE7624" w:rsidRDefault="00DC7EA4">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2745462"/>
      <w:docPartObj>
        <w:docPartGallery w:val="Page Numbers (Bottom of Page)"/>
        <w:docPartUnique/>
      </w:docPartObj>
    </w:sdtPr>
    <w:sdtContent>
      <w:p w14:paraId="55E12433" w14:textId="77777777" w:rsidR="00B256BF" w:rsidRPr="00BE7624" w:rsidRDefault="00000000">
        <w:pPr>
          <w:pStyle w:val="af0"/>
          <w:jc w:val="center"/>
        </w:pPr>
        <w:r w:rsidRPr="00BE7624">
          <w:fldChar w:fldCharType="begin"/>
        </w:r>
        <w:r w:rsidRPr="00BE7624">
          <w:instrText>PAGE   \* MERGEFORMAT</w:instrText>
        </w:r>
        <w:r w:rsidRPr="00BE7624">
          <w:fldChar w:fldCharType="separate"/>
        </w:r>
        <w:r w:rsidRPr="00BE7624">
          <w:t>2</w:t>
        </w:r>
        <w:r w:rsidRPr="00BE7624">
          <w:fldChar w:fldCharType="end"/>
        </w:r>
      </w:p>
    </w:sdtContent>
  </w:sdt>
  <w:p w14:paraId="3936A5B3" w14:textId="77777777" w:rsidR="00B256BF" w:rsidRPr="00BE7624" w:rsidRDefault="00B256BF">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4DC28" w14:textId="77777777" w:rsidR="00E13396" w:rsidRPr="00BE7624" w:rsidRDefault="00E13396" w:rsidP="00DC7EA4">
      <w:r w:rsidRPr="00BE7624">
        <w:separator/>
      </w:r>
    </w:p>
  </w:footnote>
  <w:footnote w:type="continuationSeparator" w:id="0">
    <w:p w14:paraId="1A44ADE6" w14:textId="77777777" w:rsidR="00E13396" w:rsidRPr="00BE7624" w:rsidRDefault="00E13396" w:rsidP="00DC7EA4">
      <w:r w:rsidRPr="00BE762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F78DE"/>
    <w:multiLevelType w:val="multilevel"/>
    <w:tmpl w:val="76BED820"/>
    <w:lvl w:ilvl="0">
      <w:start w:val="4"/>
      <w:numFmt w:val="decimal"/>
      <w:lvlText w:val="%1"/>
      <w:lvlJc w:val="left"/>
      <w:pPr>
        <w:ind w:left="375" w:hanging="375"/>
      </w:pPr>
      <w:rPr>
        <w:rFonts w:hint="default"/>
        <w:b/>
      </w:rPr>
    </w:lvl>
    <w:lvl w:ilvl="1">
      <w:start w:val="3"/>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2007633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A57"/>
    <w:rsid w:val="000A1CF6"/>
    <w:rsid w:val="000E1025"/>
    <w:rsid w:val="00126FBF"/>
    <w:rsid w:val="00146DC3"/>
    <w:rsid w:val="001C40E6"/>
    <w:rsid w:val="001F16CA"/>
    <w:rsid w:val="002315AE"/>
    <w:rsid w:val="00264C5D"/>
    <w:rsid w:val="00274AA1"/>
    <w:rsid w:val="002E1BFA"/>
    <w:rsid w:val="00342388"/>
    <w:rsid w:val="003466C1"/>
    <w:rsid w:val="00361140"/>
    <w:rsid w:val="003C10EF"/>
    <w:rsid w:val="004115C8"/>
    <w:rsid w:val="004335AC"/>
    <w:rsid w:val="00434E25"/>
    <w:rsid w:val="00453FDE"/>
    <w:rsid w:val="00524B76"/>
    <w:rsid w:val="00534201"/>
    <w:rsid w:val="00567D52"/>
    <w:rsid w:val="00570494"/>
    <w:rsid w:val="005F3C12"/>
    <w:rsid w:val="0063689B"/>
    <w:rsid w:val="00681885"/>
    <w:rsid w:val="00687187"/>
    <w:rsid w:val="006B29F7"/>
    <w:rsid w:val="006C192C"/>
    <w:rsid w:val="006F7080"/>
    <w:rsid w:val="00744E2B"/>
    <w:rsid w:val="007530F6"/>
    <w:rsid w:val="00780D7E"/>
    <w:rsid w:val="00782BD4"/>
    <w:rsid w:val="007C5214"/>
    <w:rsid w:val="007C6BAD"/>
    <w:rsid w:val="007D2662"/>
    <w:rsid w:val="007D2DAE"/>
    <w:rsid w:val="00800A08"/>
    <w:rsid w:val="0082077B"/>
    <w:rsid w:val="00826E02"/>
    <w:rsid w:val="00831BED"/>
    <w:rsid w:val="00890D44"/>
    <w:rsid w:val="008D0787"/>
    <w:rsid w:val="00961BBE"/>
    <w:rsid w:val="009B04B8"/>
    <w:rsid w:val="009B4B1B"/>
    <w:rsid w:val="009C0806"/>
    <w:rsid w:val="009C52C3"/>
    <w:rsid w:val="009C6F9D"/>
    <w:rsid w:val="009E02AA"/>
    <w:rsid w:val="00A1144D"/>
    <w:rsid w:val="00A153B0"/>
    <w:rsid w:val="00A70CFE"/>
    <w:rsid w:val="00A75407"/>
    <w:rsid w:val="00AA6812"/>
    <w:rsid w:val="00AC5CF6"/>
    <w:rsid w:val="00AD2547"/>
    <w:rsid w:val="00AF27C0"/>
    <w:rsid w:val="00B256BF"/>
    <w:rsid w:val="00B454C9"/>
    <w:rsid w:val="00B62172"/>
    <w:rsid w:val="00B65494"/>
    <w:rsid w:val="00BC7331"/>
    <w:rsid w:val="00BE7624"/>
    <w:rsid w:val="00C43350"/>
    <w:rsid w:val="00C6382B"/>
    <w:rsid w:val="00C746E8"/>
    <w:rsid w:val="00CA6D75"/>
    <w:rsid w:val="00CB5629"/>
    <w:rsid w:val="00CC6D7A"/>
    <w:rsid w:val="00CD4696"/>
    <w:rsid w:val="00CD77B5"/>
    <w:rsid w:val="00CE41DC"/>
    <w:rsid w:val="00CF1A42"/>
    <w:rsid w:val="00D22B59"/>
    <w:rsid w:val="00D67DAB"/>
    <w:rsid w:val="00D76F27"/>
    <w:rsid w:val="00D874B8"/>
    <w:rsid w:val="00DC613E"/>
    <w:rsid w:val="00DC7EA4"/>
    <w:rsid w:val="00DD3947"/>
    <w:rsid w:val="00E11899"/>
    <w:rsid w:val="00E13396"/>
    <w:rsid w:val="00E4212A"/>
    <w:rsid w:val="00E90371"/>
    <w:rsid w:val="00E952DC"/>
    <w:rsid w:val="00ED4A0F"/>
    <w:rsid w:val="00EF1A57"/>
    <w:rsid w:val="00EF554C"/>
    <w:rsid w:val="00FE5F3D"/>
    <w:rsid w:val="00FE6294"/>
    <w:rsid w:val="00FF21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5719D"/>
  <w15:chartTrackingRefBased/>
  <w15:docId w15:val="{E28C178E-8C71-4134-95BE-10858D3A1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楷体" w:hAnsi="Times New Roman" w:cstheme="minorBidi"/>
        <w:kern w:val="2"/>
        <w:sz w:val="28"/>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7EA4"/>
    <w:pPr>
      <w:widowControl w:val="0"/>
      <w:jc w:val="both"/>
    </w:pPr>
    <w:rPr>
      <w:rFonts w:cs="Times New Roman"/>
      <w:kern w:val="21"/>
      <w:szCs w:val="28"/>
      <w:u w:color="FF0000"/>
      <w:lang w:val="en-GB"/>
    </w:rPr>
  </w:style>
  <w:style w:type="paragraph" w:styleId="1">
    <w:name w:val="heading 1"/>
    <w:aliases w:val="Report 标题1"/>
    <w:basedOn w:val="a"/>
    <w:next w:val="a"/>
    <w:link w:val="10"/>
    <w:autoRedefine/>
    <w:qFormat/>
    <w:rsid w:val="009B04B8"/>
    <w:pPr>
      <w:jc w:val="left"/>
      <w:outlineLvl w:val="0"/>
    </w:pPr>
    <w:rPr>
      <w:b/>
      <w:bCs/>
      <w:sz w:val="30"/>
    </w:rPr>
  </w:style>
  <w:style w:type="paragraph" w:styleId="2">
    <w:name w:val="heading 2"/>
    <w:aliases w:val="Report 标题 2"/>
    <w:basedOn w:val="a"/>
    <w:next w:val="a"/>
    <w:link w:val="20"/>
    <w:autoRedefine/>
    <w:uiPriority w:val="9"/>
    <w:unhideWhenUsed/>
    <w:qFormat/>
    <w:rsid w:val="00CE41DC"/>
    <w:pPr>
      <w:keepNext/>
      <w:keepLines/>
      <w:spacing w:before="160" w:after="80"/>
      <w:jc w:val="left"/>
      <w:outlineLvl w:val="1"/>
    </w:pPr>
    <w:rPr>
      <w:rFonts w:cstheme="majorBidi"/>
      <w:b/>
      <w:szCs w:val="40"/>
    </w:rPr>
  </w:style>
  <w:style w:type="paragraph" w:styleId="3">
    <w:name w:val="heading 3"/>
    <w:aliases w:val="Report 标题 3"/>
    <w:basedOn w:val="a"/>
    <w:next w:val="a"/>
    <w:link w:val="30"/>
    <w:autoRedefine/>
    <w:uiPriority w:val="9"/>
    <w:unhideWhenUsed/>
    <w:qFormat/>
    <w:rsid w:val="00E11899"/>
    <w:pPr>
      <w:keepNext/>
      <w:keepLines/>
      <w:spacing w:before="160" w:after="80"/>
      <w:jc w:val="left"/>
      <w:outlineLvl w:val="2"/>
    </w:pPr>
    <w:rPr>
      <w:rFonts w:cstheme="majorBidi"/>
      <w:b/>
      <w:sz w:val="24"/>
      <w:szCs w:val="32"/>
    </w:rPr>
  </w:style>
  <w:style w:type="paragraph" w:styleId="4">
    <w:name w:val="heading 4"/>
    <w:basedOn w:val="a"/>
    <w:next w:val="a"/>
    <w:link w:val="40"/>
    <w:uiPriority w:val="9"/>
    <w:semiHidden/>
    <w:unhideWhenUsed/>
    <w:qFormat/>
    <w:rsid w:val="00EF1A57"/>
    <w:pPr>
      <w:keepNext/>
      <w:keepLines/>
      <w:spacing w:before="80" w:after="40"/>
      <w:outlineLvl w:val="3"/>
    </w:pPr>
    <w:rPr>
      <w:rFonts w:asciiTheme="minorHAnsi" w:eastAsiaTheme="minorEastAsia" w:hAnsiTheme="minorHAnsi" w:cstheme="majorBidi"/>
      <w:color w:val="0F4761" w:themeColor="accent1" w:themeShade="BF"/>
    </w:rPr>
  </w:style>
  <w:style w:type="paragraph" w:styleId="5">
    <w:name w:val="heading 5"/>
    <w:basedOn w:val="a"/>
    <w:next w:val="a"/>
    <w:link w:val="50"/>
    <w:uiPriority w:val="9"/>
    <w:semiHidden/>
    <w:unhideWhenUsed/>
    <w:qFormat/>
    <w:rsid w:val="00EF1A57"/>
    <w:pPr>
      <w:keepNext/>
      <w:keepLines/>
      <w:spacing w:before="80" w:after="40"/>
      <w:outlineLvl w:val="4"/>
    </w:pPr>
    <w:rPr>
      <w:rFonts w:asciiTheme="minorHAnsi" w:eastAsiaTheme="minorEastAsia" w:hAnsiTheme="minorHAnsi" w:cstheme="majorBidi"/>
      <w:color w:val="0F4761" w:themeColor="accent1" w:themeShade="BF"/>
      <w:sz w:val="24"/>
      <w:szCs w:val="24"/>
    </w:rPr>
  </w:style>
  <w:style w:type="paragraph" w:styleId="6">
    <w:name w:val="heading 6"/>
    <w:basedOn w:val="a"/>
    <w:next w:val="a"/>
    <w:link w:val="60"/>
    <w:uiPriority w:val="9"/>
    <w:semiHidden/>
    <w:unhideWhenUsed/>
    <w:qFormat/>
    <w:rsid w:val="00EF1A57"/>
    <w:pPr>
      <w:keepNext/>
      <w:keepLines/>
      <w:spacing w:before="40"/>
      <w:outlineLvl w:val="5"/>
    </w:pPr>
    <w:rPr>
      <w:rFonts w:asciiTheme="minorHAnsi" w:eastAsiaTheme="minorEastAsia" w:hAnsiTheme="minorHAnsi" w:cstheme="majorBidi"/>
      <w:b/>
      <w:bCs/>
      <w:color w:val="0F4761" w:themeColor="accent1" w:themeShade="BF"/>
    </w:rPr>
  </w:style>
  <w:style w:type="paragraph" w:styleId="7">
    <w:name w:val="heading 7"/>
    <w:basedOn w:val="a"/>
    <w:next w:val="a"/>
    <w:link w:val="70"/>
    <w:uiPriority w:val="9"/>
    <w:semiHidden/>
    <w:unhideWhenUsed/>
    <w:qFormat/>
    <w:rsid w:val="00EF1A57"/>
    <w:pPr>
      <w:keepNext/>
      <w:keepLines/>
      <w:spacing w:before="4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semiHidden/>
    <w:unhideWhenUsed/>
    <w:qFormat/>
    <w:rsid w:val="00EF1A57"/>
    <w:pPr>
      <w:keepNext/>
      <w:keepLines/>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semiHidden/>
    <w:unhideWhenUsed/>
    <w:qFormat/>
    <w:rsid w:val="00EF1A57"/>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Report 标题1 字符"/>
    <w:basedOn w:val="a0"/>
    <w:link w:val="1"/>
    <w:rsid w:val="009B04B8"/>
    <w:rPr>
      <w:rFonts w:cs="Times New Roman"/>
      <w:b/>
      <w:bCs/>
      <w:kern w:val="21"/>
      <w:sz w:val="30"/>
      <w:szCs w:val="28"/>
      <w:u w:color="FF0000"/>
    </w:rPr>
  </w:style>
  <w:style w:type="character" w:customStyle="1" w:styleId="20">
    <w:name w:val="标题 2 字符"/>
    <w:aliases w:val="Report 标题 2 字符"/>
    <w:basedOn w:val="a0"/>
    <w:link w:val="2"/>
    <w:uiPriority w:val="9"/>
    <w:rsid w:val="00CE41DC"/>
    <w:rPr>
      <w:rFonts w:cstheme="majorBidi"/>
      <w:b/>
      <w:kern w:val="21"/>
      <w:szCs w:val="40"/>
      <w:u w:color="FF0000"/>
      <w:lang w:val="en-GB"/>
    </w:rPr>
  </w:style>
  <w:style w:type="character" w:customStyle="1" w:styleId="30">
    <w:name w:val="标题 3 字符"/>
    <w:aliases w:val="Report 标题 3 字符"/>
    <w:basedOn w:val="a0"/>
    <w:link w:val="3"/>
    <w:uiPriority w:val="9"/>
    <w:rsid w:val="00E11899"/>
    <w:rPr>
      <w:rFonts w:cstheme="majorBidi"/>
      <w:b/>
      <w:kern w:val="21"/>
      <w:sz w:val="24"/>
      <w:szCs w:val="32"/>
      <w:u w:color="FF0000"/>
      <w:lang w:val="en-GB"/>
    </w:rPr>
  </w:style>
  <w:style w:type="paragraph" w:customStyle="1" w:styleId="11">
    <w:name w:val="标题1"/>
    <w:basedOn w:val="a"/>
    <w:link w:val="12"/>
    <w:autoRedefine/>
    <w:qFormat/>
    <w:rsid w:val="00782BD4"/>
    <w:pPr>
      <w:jc w:val="left"/>
    </w:pPr>
    <w:rPr>
      <w:b/>
      <w:sz w:val="30"/>
    </w:rPr>
  </w:style>
  <w:style w:type="character" w:customStyle="1" w:styleId="12">
    <w:name w:val="标题1 字符"/>
    <w:basedOn w:val="a0"/>
    <w:link w:val="11"/>
    <w:rsid w:val="00782BD4"/>
    <w:rPr>
      <w:b/>
      <w:sz w:val="30"/>
    </w:rPr>
  </w:style>
  <w:style w:type="paragraph" w:customStyle="1" w:styleId="21">
    <w:name w:val="标题2"/>
    <w:basedOn w:val="11"/>
    <w:link w:val="22"/>
    <w:autoRedefine/>
    <w:qFormat/>
    <w:rsid w:val="00782BD4"/>
  </w:style>
  <w:style w:type="character" w:customStyle="1" w:styleId="22">
    <w:name w:val="标题2 字符"/>
    <w:basedOn w:val="12"/>
    <w:link w:val="21"/>
    <w:rsid w:val="00782BD4"/>
    <w:rPr>
      <w:b/>
      <w:sz w:val="30"/>
    </w:rPr>
  </w:style>
  <w:style w:type="paragraph" w:customStyle="1" w:styleId="31">
    <w:name w:val="标题3"/>
    <w:basedOn w:val="21"/>
    <w:link w:val="32"/>
    <w:autoRedefine/>
    <w:qFormat/>
    <w:rsid w:val="00782BD4"/>
    <w:rPr>
      <w:sz w:val="24"/>
    </w:rPr>
  </w:style>
  <w:style w:type="character" w:customStyle="1" w:styleId="32">
    <w:name w:val="标题3 字符"/>
    <w:basedOn w:val="22"/>
    <w:link w:val="31"/>
    <w:rsid w:val="00782BD4"/>
    <w:rPr>
      <w:b/>
      <w:sz w:val="24"/>
    </w:rPr>
  </w:style>
  <w:style w:type="character" w:customStyle="1" w:styleId="40">
    <w:name w:val="标题 4 字符"/>
    <w:basedOn w:val="a0"/>
    <w:link w:val="4"/>
    <w:uiPriority w:val="9"/>
    <w:semiHidden/>
    <w:rsid w:val="00EF1A57"/>
    <w:rPr>
      <w:rFonts w:asciiTheme="minorHAnsi" w:eastAsiaTheme="minorEastAsia" w:hAnsiTheme="minorHAnsi" w:cstheme="majorBidi"/>
      <w:color w:val="0F4761" w:themeColor="accent1" w:themeShade="BF"/>
      <w:szCs w:val="28"/>
      <w:lang w:val="en-GB"/>
    </w:rPr>
  </w:style>
  <w:style w:type="character" w:customStyle="1" w:styleId="50">
    <w:name w:val="标题 5 字符"/>
    <w:basedOn w:val="a0"/>
    <w:link w:val="5"/>
    <w:uiPriority w:val="9"/>
    <w:semiHidden/>
    <w:rsid w:val="00EF1A57"/>
    <w:rPr>
      <w:rFonts w:asciiTheme="minorHAnsi" w:eastAsiaTheme="minorEastAsia" w:hAnsiTheme="minorHAnsi" w:cstheme="majorBidi"/>
      <w:color w:val="0F4761" w:themeColor="accent1" w:themeShade="BF"/>
      <w:sz w:val="24"/>
      <w:szCs w:val="24"/>
      <w:lang w:val="en-GB"/>
    </w:rPr>
  </w:style>
  <w:style w:type="character" w:customStyle="1" w:styleId="60">
    <w:name w:val="标题 6 字符"/>
    <w:basedOn w:val="a0"/>
    <w:link w:val="6"/>
    <w:uiPriority w:val="9"/>
    <w:semiHidden/>
    <w:rsid w:val="00EF1A57"/>
    <w:rPr>
      <w:rFonts w:asciiTheme="minorHAnsi" w:eastAsiaTheme="minorEastAsia" w:hAnsiTheme="minorHAnsi" w:cstheme="majorBidi"/>
      <w:b/>
      <w:bCs/>
      <w:color w:val="0F4761" w:themeColor="accent1" w:themeShade="BF"/>
      <w:lang w:val="en-GB"/>
    </w:rPr>
  </w:style>
  <w:style w:type="character" w:customStyle="1" w:styleId="70">
    <w:name w:val="标题 7 字符"/>
    <w:basedOn w:val="a0"/>
    <w:link w:val="7"/>
    <w:uiPriority w:val="9"/>
    <w:semiHidden/>
    <w:rsid w:val="00EF1A57"/>
    <w:rPr>
      <w:rFonts w:asciiTheme="minorHAnsi" w:eastAsiaTheme="minorEastAsia" w:hAnsiTheme="minorHAnsi" w:cstheme="majorBidi"/>
      <w:b/>
      <w:bCs/>
      <w:color w:val="595959" w:themeColor="text1" w:themeTint="A6"/>
      <w:lang w:val="en-GB"/>
    </w:rPr>
  </w:style>
  <w:style w:type="character" w:customStyle="1" w:styleId="80">
    <w:name w:val="标题 8 字符"/>
    <w:basedOn w:val="a0"/>
    <w:link w:val="8"/>
    <w:uiPriority w:val="9"/>
    <w:semiHidden/>
    <w:rsid w:val="00EF1A57"/>
    <w:rPr>
      <w:rFonts w:asciiTheme="minorHAnsi" w:eastAsiaTheme="minorEastAsia" w:hAnsiTheme="minorHAnsi" w:cstheme="majorBidi"/>
      <w:color w:val="595959" w:themeColor="text1" w:themeTint="A6"/>
      <w:lang w:val="en-GB"/>
    </w:rPr>
  </w:style>
  <w:style w:type="character" w:customStyle="1" w:styleId="90">
    <w:name w:val="标题 9 字符"/>
    <w:basedOn w:val="a0"/>
    <w:link w:val="9"/>
    <w:uiPriority w:val="9"/>
    <w:semiHidden/>
    <w:rsid w:val="00EF1A57"/>
    <w:rPr>
      <w:rFonts w:asciiTheme="minorHAnsi" w:eastAsiaTheme="majorEastAsia" w:hAnsiTheme="minorHAnsi" w:cstheme="majorBidi"/>
      <w:color w:val="595959" w:themeColor="text1" w:themeTint="A6"/>
      <w:lang w:val="en-GB"/>
    </w:rPr>
  </w:style>
  <w:style w:type="paragraph" w:styleId="a3">
    <w:name w:val="Title"/>
    <w:basedOn w:val="a"/>
    <w:next w:val="a"/>
    <w:link w:val="a4"/>
    <w:uiPriority w:val="10"/>
    <w:qFormat/>
    <w:rsid w:val="00EF1A5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F1A57"/>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EF1A57"/>
    <w:pPr>
      <w:numPr>
        <w:ilvl w:val="1"/>
      </w:numPr>
      <w:spacing w:after="160"/>
      <w:jc w:val="center"/>
    </w:pPr>
    <w:rPr>
      <w:rFonts w:asciiTheme="majorHAnsi" w:eastAsiaTheme="majorEastAsia" w:hAnsiTheme="majorHAnsi" w:cstheme="majorBidi"/>
      <w:color w:val="595959" w:themeColor="text1" w:themeTint="A6"/>
      <w:spacing w:val="15"/>
    </w:rPr>
  </w:style>
  <w:style w:type="character" w:customStyle="1" w:styleId="a6">
    <w:name w:val="副标题 字符"/>
    <w:basedOn w:val="a0"/>
    <w:link w:val="a5"/>
    <w:uiPriority w:val="11"/>
    <w:rsid w:val="00EF1A57"/>
    <w:rPr>
      <w:rFonts w:asciiTheme="majorHAnsi" w:eastAsiaTheme="majorEastAsia" w:hAnsiTheme="majorHAnsi" w:cstheme="majorBidi"/>
      <w:color w:val="595959" w:themeColor="text1" w:themeTint="A6"/>
      <w:spacing w:val="15"/>
      <w:szCs w:val="28"/>
      <w:lang w:val="en-GB"/>
    </w:rPr>
  </w:style>
  <w:style w:type="paragraph" w:styleId="a7">
    <w:name w:val="Quote"/>
    <w:basedOn w:val="a"/>
    <w:next w:val="a"/>
    <w:link w:val="a8"/>
    <w:uiPriority w:val="29"/>
    <w:qFormat/>
    <w:rsid w:val="00EF1A57"/>
    <w:pPr>
      <w:spacing w:before="160" w:after="160"/>
      <w:jc w:val="center"/>
    </w:pPr>
    <w:rPr>
      <w:i/>
      <w:iCs/>
      <w:color w:val="404040" w:themeColor="text1" w:themeTint="BF"/>
    </w:rPr>
  </w:style>
  <w:style w:type="character" w:customStyle="1" w:styleId="a8">
    <w:name w:val="引用 字符"/>
    <w:basedOn w:val="a0"/>
    <w:link w:val="a7"/>
    <w:uiPriority w:val="29"/>
    <w:rsid w:val="00EF1A57"/>
    <w:rPr>
      <w:i/>
      <w:iCs/>
      <w:color w:val="404040" w:themeColor="text1" w:themeTint="BF"/>
      <w:lang w:val="en-GB"/>
    </w:rPr>
  </w:style>
  <w:style w:type="paragraph" w:styleId="a9">
    <w:name w:val="List Paragraph"/>
    <w:basedOn w:val="a"/>
    <w:uiPriority w:val="34"/>
    <w:qFormat/>
    <w:rsid w:val="00EF1A57"/>
    <w:pPr>
      <w:ind w:left="720"/>
      <w:contextualSpacing/>
    </w:pPr>
  </w:style>
  <w:style w:type="character" w:styleId="aa">
    <w:name w:val="Intense Emphasis"/>
    <w:basedOn w:val="a0"/>
    <w:uiPriority w:val="21"/>
    <w:qFormat/>
    <w:rsid w:val="00EF1A57"/>
    <w:rPr>
      <w:i/>
      <w:iCs/>
      <w:color w:val="0F4761" w:themeColor="accent1" w:themeShade="BF"/>
    </w:rPr>
  </w:style>
  <w:style w:type="paragraph" w:styleId="ab">
    <w:name w:val="Intense Quote"/>
    <w:basedOn w:val="a"/>
    <w:next w:val="a"/>
    <w:link w:val="ac"/>
    <w:uiPriority w:val="30"/>
    <w:qFormat/>
    <w:rsid w:val="00EF1A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F1A57"/>
    <w:rPr>
      <w:i/>
      <w:iCs/>
      <w:color w:val="0F4761" w:themeColor="accent1" w:themeShade="BF"/>
      <w:lang w:val="en-GB"/>
    </w:rPr>
  </w:style>
  <w:style w:type="character" w:styleId="ad">
    <w:name w:val="Intense Reference"/>
    <w:basedOn w:val="a0"/>
    <w:uiPriority w:val="32"/>
    <w:qFormat/>
    <w:rsid w:val="00EF1A57"/>
    <w:rPr>
      <w:b/>
      <w:bCs/>
      <w:smallCaps/>
      <w:color w:val="0F4761" w:themeColor="accent1" w:themeShade="BF"/>
      <w:spacing w:val="5"/>
    </w:rPr>
  </w:style>
  <w:style w:type="paragraph" w:styleId="ae">
    <w:name w:val="header"/>
    <w:basedOn w:val="a"/>
    <w:link w:val="af"/>
    <w:uiPriority w:val="99"/>
    <w:unhideWhenUsed/>
    <w:rsid w:val="00DC7EA4"/>
    <w:pPr>
      <w:tabs>
        <w:tab w:val="center" w:pos="4153"/>
        <w:tab w:val="right" w:pos="8306"/>
      </w:tabs>
      <w:snapToGrid w:val="0"/>
      <w:jc w:val="center"/>
    </w:pPr>
    <w:rPr>
      <w:sz w:val="18"/>
      <w:szCs w:val="18"/>
    </w:rPr>
  </w:style>
  <w:style w:type="character" w:customStyle="1" w:styleId="af">
    <w:name w:val="页眉 字符"/>
    <w:basedOn w:val="a0"/>
    <w:link w:val="ae"/>
    <w:uiPriority w:val="99"/>
    <w:rsid w:val="00DC7EA4"/>
    <w:rPr>
      <w:sz w:val="18"/>
      <w:szCs w:val="18"/>
      <w:lang w:val="en-GB"/>
    </w:rPr>
  </w:style>
  <w:style w:type="paragraph" w:styleId="af0">
    <w:name w:val="footer"/>
    <w:basedOn w:val="a"/>
    <w:link w:val="af1"/>
    <w:uiPriority w:val="99"/>
    <w:unhideWhenUsed/>
    <w:qFormat/>
    <w:rsid w:val="00DC7EA4"/>
    <w:pPr>
      <w:tabs>
        <w:tab w:val="center" w:pos="4153"/>
        <w:tab w:val="right" w:pos="8306"/>
      </w:tabs>
      <w:snapToGrid w:val="0"/>
      <w:jc w:val="left"/>
    </w:pPr>
    <w:rPr>
      <w:sz w:val="18"/>
      <w:szCs w:val="18"/>
    </w:rPr>
  </w:style>
  <w:style w:type="character" w:customStyle="1" w:styleId="af1">
    <w:name w:val="页脚 字符"/>
    <w:basedOn w:val="a0"/>
    <w:link w:val="af0"/>
    <w:uiPriority w:val="99"/>
    <w:rsid w:val="00DC7EA4"/>
    <w:rPr>
      <w:sz w:val="18"/>
      <w:szCs w:val="18"/>
      <w:lang w:val="en-GB"/>
    </w:rPr>
  </w:style>
  <w:style w:type="paragraph" w:styleId="TOC1">
    <w:name w:val="toc 1"/>
    <w:basedOn w:val="a"/>
    <w:next w:val="a"/>
    <w:autoRedefine/>
    <w:uiPriority w:val="39"/>
    <w:unhideWhenUsed/>
    <w:rsid w:val="00DC7EA4"/>
  </w:style>
  <w:style w:type="paragraph" w:styleId="TOC2">
    <w:name w:val="toc 2"/>
    <w:basedOn w:val="a"/>
    <w:next w:val="a"/>
    <w:autoRedefine/>
    <w:uiPriority w:val="39"/>
    <w:unhideWhenUsed/>
    <w:rsid w:val="00DC7EA4"/>
    <w:pPr>
      <w:ind w:leftChars="200" w:left="420"/>
    </w:pPr>
  </w:style>
  <w:style w:type="paragraph" w:styleId="TOC3">
    <w:name w:val="toc 3"/>
    <w:basedOn w:val="a"/>
    <w:next w:val="a"/>
    <w:autoRedefine/>
    <w:uiPriority w:val="39"/>
    <w:unhideWhenUsed/>
    <w:rsid w:val="00DC7EA4"/>
    <w:pPr>
      <w:ind w:leftChars="400" w:left="840"/>
    </w:pPr>
  </w:style>
  <w:style w:type="character" w:styleId="af2">
    <w:name w:val="Hyperlink"/>
    <w:basedOn w:val="a0"/>
    <w:uiPriority w:val="99"/>
    <w:unhideWhenUsed/>
    <w:rsid w:val="00DC7EA4"/>
    <w:rPr>
      <w:color w:val="467886" w:themeColor="hyperlink"/>
      <w:u w:val="single"/>
    </w:rPr>
  </w:style>
  <w:style w:type="character" w:styleId="af3">
    <w:name w:val="Unresolved Mention"/>
    <w:basedOn w:val="a0"/>
    <w:uiPriority w:val="99"/>
    <w:semiHidden/>
    <w:unhideWhenUsed/>
    <w:rsid w:val="006F7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765470">
      <w:bodyDiv w:val="1"/>
      <w:marLeft w:val="0"/>
      <w:marRight w:val="0"/>
      <w:marTop w:val="0"/>
      <w:marBottom w:val="0"/>
      <w:divBdr>
        <w:top w:val="none" w:sz="0" w:space="0" w:color="auto"/>
        <w:left w:val="none" w:sz="0" w:space="0" w:color="auto"/>
        <w:bottom w:val="none" w:sz="0" w:space="0" w:color="auto"/>
        <w:right w:val="none" w:sz="0" w:space="0" w:color="auto"/>
      </w:divBdr>
    </w:div>
    <w:div w:id="413236819">
      <w:bodyDiv w:val="1"/>
      <w:marLeft w:val="0"/>
      <w:marRight w:val="0"/>
      <w:marTop w:val="0"/>
      <w:marBottom w:val="0"/>
      <w:divBdr>
        <w:top w:val="none" w:sz="0" w:space="0" w:color="auto"/>
        <w:left w:val="none" w:sz="0" w:space="0" w:color="auto"/>
        <w:bottom w:val="none" w:sz="0" w:space="0" w:color="auto"/>
        <w:right w:val="none" w:sz="0" w:space="0" w:color="auto"/>
      </w:divBdr>
      <w:divsChild>
        <w:div w:id="1585340677">
          <w:marLeft w:val="0"/>
          <w:marRight w:val="0"/>
          <w:marTop w:val="0"/>
          <w:marBottom w:val="0"/>
          <w:divBdr>
            <w:top w:val="none" w:sz="0" w:space="0" w:color="auto"/>
            <w:left w:val="none" w:sz="0" w:space="0" w:color="auto"/>
            <w:bottom w:val="none" w:sz="0" w:space="0" w:color="auto"/>
            <w:right w:val="none" w:sz="0" w:space="0" w:color="auto"/>
          </w:divBdr>
          <w:divsChild>
            <w:div w:id="1688558244">
              <w:marLeft w:val="0"/>
              <w:marRight w:val="0"/>
              <w:marTop w:val="0"/>
              <w:marBottom w:val="240"/>
              <w:divBdr>
                <w:top w:val="none" w:sz="0" w:space="0" w:color="auto"/>
                <w:left w:val="none" w:sz="0" w:space="0" w:color="auto"/>
                <w:bottom w:val="none" w:sz="0" w:space="0" w:color="auto"/>
                <w:right w:val="none" w:sz="0" w:space="0" w:color="auto"/>
              </w:divBdr>
            </w:div>
            <w:div w:id="1551071371">
              <w:marLeft w:val="0"/>
              <w:marRight w:val="0"/>
              <w:marTop w:val="0"/>
              <w:marBottom w:val="240"/>
              <w:divBdr>
                <w:top w:val="none" w:sz="0" w:space="0" w:color="auto"/>
                <w:left w:val="none" w:sz="0" w:space="0" w:color="auto"/>
                <w:bottom w:val="none" w:sz="0" w:space="0" w:color="auto"/>
                <w:right w:val="none" w:sz="0" w:space="0" w:color="auto"/>
              </w:divBdr>
            </w:div>
            <w:div w:id="535972939">
              <w:marLeft w:val="0"/>
              <w:marRight w:val="0"/>
              <w:marTop w:val="0"/>
              <w:marBottom w:val="240"/>
              <w:divBdr>
                <w:top w:val="none" w:sz="0" w:space="0" w:color="auto"/>
                <w:left w:val="none" w:sz="0" w:space="0" w:color="auto"/>
                <w:bottom w:val="none" w:sz="0" w:space="0" w:color="auto"/>
                <w:right w:val="none" w:sz="0" w:space="0" w:color="auto"/>
              </w:divBdr>
            </w:div>
            <w:div w:id="136187606">
              <w:marLeft w:val="0"/>
              <w:marRight w:val="0"/>
              <w:marTop w:val="0"/>
              <w:marBottom w:val="240"/>
              <w:divBdr>
                <w:top w:val="none" w:sz="0" w:space="0" w:color="auto"/>
                <w:left w:val="none" w:sz="0" w:space="0" w:color="auto"/>
                <w:bottom w:val="none" w:sz="0" w:space="0" w:color="auto"/>
                <w:right w:val="none" w:sz="0" w:space="0" w:color="auto"/>
              </w:divBdr>
            </w:div>
            <w:div w:id="771704594">
              <w:marLeft w:val="0"/>
              <w:marRight w:val="0"/>
              <w:marTop w:val="0"/>
              <w:marBottom w:val="240"/>
              <w:divBdr>
                <w:top w:val="none" w:sz="0" w:space="0" w:color="auto"/>
                <w:left w:val="none" w:sz="0" w:space="0" w:color="auto"/>
                <w:bottom w:val="none" w:sz="0" w:space="0" w:color="auto"/>
                <w:right w:val="none" w:sz="0" w:space="0" w:color="auto"/>
              </w:divBdr>
            </w:div>
            <w:div w:id="676347828">
              <w:marLeft w:val="0"/>
              <w:marRight w:val="0"/>
              <w:marTop w:val="0"/>
              <w:marBottom w:val="240"/>
              <w:divBdr>
                <w:top w:val="none" w:sz="0" w:space="0" w:color="auto"/>
                <w:left w:val="none" w:sz="0" w:space="0" w:color="auto"/>
                <w:bottom w:val="none" w:sz="0" w:space="0" w:color="auto"/>
                <w:right w:val="none" w:sz="0" w:space="0" w:color="auto"/>
              </w:divBdr>
            </w:div>
            <w:div w:id="1801419496">
              <w:marLeft w:val="0"/>
              <w:marRight w:val="0"/>
              <w:marTop w:val="0"/>
              <w:marBottom w:val="240"/>
              <w:divBdr>
                <w:top w:val="none" w:sz="0" w:space="0" w:color="auto"/>
                <w:left w:val="none" w:sz="0" w:space="0" w:color="auto"/>
                <w:bottom w:val="none" w:sz="0" w:space="0" w:color="auto"/>
                <w:right w:val="none" w:sz="0" w:space="0" w:color="auto"/>
              </w:divBdr>
            </w:div>
            <w:div w:id="981153307">
              <w:marLeft w:val="0"/>
              <w:marRight w:val="0"/>
              <w:marTop w:val="0"/>
              <w:marBottom w:val="240"/>
              <w:divBdr>
                <w:top w:val="none" w:sz="0" w:space="0" w:color="auto"/>
                <w:left w:val="none" w:sz="0" w:space="0" w:color="auto"/>
                <w:bottom w:val="none" w:sz="0" w:space="0" w:color="auto"/>
                <w:right w:val="none" w:sz="0" w:space="0" w:color="auto"/>
              </w:divBdr>
            </w:div>
            <w:div w:id="1248996367">
              <w:marLeft w:val="0"/>
              <w:marRight w:val="0"/>
              <w:marTop w:val="0"/>
              <w:marBottom w:val="240"/>
              <w:divBdr>
                <w:top w:val="none" w:sz="0" w:space="0" w:color="auto"/>
                <w:left w:val="none" w:sz="0" w:space="0" w:color="auto"/>
                <w:bottom w:val="none" w:sz="0" w:space="0" w:color="auto"/>
                <w:right w:val="none" w:sz="0" w:space="0" w:color="auto"/>
              </w:divBdr>
            </w:div>
            <w:div w:id="1073507810">
              <w:marLeft w:val="0"/>
              <w:marRight w:val="0"/>
              <w:marTop w:val="0"/>
              <w:marBottom w:val="240"/>
              <w:divBdr>
                <w:top w:val="none" w:sz="0" w:space="0" w:color="auto"/>
                <w:left w:val="none" w:sz="0" w:space="0" w:color="auto"/>
                <w:bottom w:val="none" w:sz="0" w:space="0" w:color="auto"/>
                <w:right w:val="none" w:sz="0" w:space="0" w:color="auto"/>
              </w:divBdr>
            </w:div>
            <w:div w:id="389770043">
              <w:marLeft w:val="0"/>
              <w:marRight w:val="0"/>
              <w:marTop w:val="0"/>
              <w:marBottom w:val="240"/>
              <w:divBdr>
                <w:top w:val="none" w:sz="0" w:space="0" w:color="auto"/>
                <w:left w:val="none" w:sz="0" w:space="0" w:color="auto"/>
                <w:bottom w:val="none" w:sz="0" w:space="0" w:color="auto"/>
                <w:right w:val="none" w:sz="0" w:space="0" w:color="auto"/>
              </w:divBdr>
            </w:div>
            <w:div w:id="1435401274">
              <w:marLeft w:val="0"/>
              <w:marRight w:val="0"/>
              <w:marTop w:val="0"/>
              <w:marBottom w:val="240"/>
              <w:divBdr>
                <w:top w:val="none" w:sz="0" w:space="0" w:color="auto"/>
                <w:left w:val="none" w:sz="0" w:space="0" w:color="auto"/>
                <w:bottom w:val="none" w:sz="0" w:space="0" w:color="auto"/>
                <w:right w:val="none" w:sz="0" w:space="0" w:color="auto"/>
              </w:divBdr>
            </w:div>
            <w:div w:id="1932270751">
              <w:marLeft w:val="0"/>
              <w:marRight w:val="0"/>
              <w:marTop w:val="0"/>
              <w:marBottom w:val="240"/>
              <w:divBdr>
                <w:top w:val="none" w:sz="0" w:space="0" w:color="auto"/>
                <w:left w:val="none" w:sz="0" w:space="0" w:color="auto"/>
                <w:bottom w:val="none" w:sz="0" w:space="0" w:color="auto"/>
                <w:right w:val="none" w:sz="0" w:space="0" w:color="auto"/>
              </w:divBdr>
            </w:div>
            <w:div w:id="555897249">
              <w:marLeft w:val="0"/>
              <w:marRight w:val="0"/>
              <w:marTop w:val="0"/>
              <w:marBottom w:val="240"/>
              <w:divBdr>
                <w:top w:val="none" w:sz="0" w:space="0" w:color="auto"/>
                <w:left w:val="none" w:sz="0" w:space="0" w:color="auto"/>
                <w:bottom w:val="none" w:sz="0" w:space="0" w:color="auto"/>
                <w:right w:val="none" w:sz="0" w:space="0" w:color="auto"/>
              </w:divBdr>
            </w:div>
            <w:div w:id="974529657">
              <w:marLeft w:val="0"/>
              <w:marRight w:val="0"/>
              <w:marTop w:val="0"/>
              <w:marBottom w:val="240"/>
              <w:divBdr>
                <w:top w:val="none" w:sz="0" w:space="0" w:color="auto"/>
                <w:left w:val="none" w:sz="0" w:space="0" w:color="auto"/>
                <w:bottom w:val="none" w:sz="0" w:space="0" w:color="auto"/>
                <w:right w:val="none" w:sz="0" w:space="0" w:color="auto"/>
              </w:divBdr>
            </w:div>
            <w:div w:id="1512180296">
              <w:marLeft w:val="0"/>
              <w:marRight w:val="0"/>
              <w:marTop w:val="0"/>
              <w:marBottom w:val="240"/>
              <w:divBdr>
                <w:top w:val="none" w:sz="0" w:space="0" w:color="auto"/>
                <w:left w:val="none" w:sz="0" w:space="0" w:color="auto"/>
                <w:bottom w:val="none" w:sz="0" w:space="0" w:color="auto"/>
                <w:right w:val="none" w:sz="0" w:space="0" w:color="auto"/>
              </w:divBdr>
            </w:div>
            <w:div w:id="1964996647">
              <w:marLeft w:val="0"/>
              <w:marRight w:val="0"/>
              <w:marTop w:val="0"/>
              <w:marBottom w:val="240"/>
              <w:divBdr>
                <w:top w:val="none" w:sz="0" w:space="0" w:color="auto"/>
                <w:left w:val="none" w:sz="0" w:space="0" w:color="auto"/>
                <w:bottom w:val="none" w:sz="0" w:space="0" w:color="auto"/>
                <w:right w:val="none" w:sz="0" w:space="0" w:color="auto"/>
              </w:divBdr>
            </w:div>
            <w:div w:id="673341289">
              <w:marLeft w:val="0"/>
              <w:marRight w:val="0"/>
              <w:marTop w:val="0"/>
              <w:marBottom w:val="240"/>
              <w:divBdr>
                <w:top w:val="none" w:sz="0" w:space="0" w:color="auto"/>
                <w:left w:val="none" w:sz="0" w:space="0" w:color="auto"/>
                <w:bottom w:val="none" w:sz="0" w:space="0" w:color="auto"/>
                <w:right w:val="none" w:sz="0" w:space="0" w:color="auto"/>
              </w:divBdr>
            </w:div>
            <w:div w:id="1626278059">
              <w:marLeft w:val="0"/>
              <w:marRight w:val="0"/>
              <w:marTop w:val="0"/>
              <w:marBottom w:val="240"/>
              <w:divBdr>
                <w:top w:val="none" w:sz="0" w:space="0" w:color="auto"/>
                <w:left w:val="none" w:sz="0" w:space="0" w:color="auto"/>
                <w:bottom w:val="none" w:sz="0" w:space="0" w:color="auto"/>
                <w:right w:val="none" w:sz="0" w:space="0" w:color="auto"/>
              </w:divBdr>
            </w:div>
            <w:div w:id="371809276">
              <w:marLeft w:val="0"/>
              <w:marRight w:val="0"/>
              <w:marTop w:val="0"/>
              <w:marBottom w:val="240"/>
              <w:divBdr>
                <w:top w:val="none" w:sz="0" w:space="0" w:color="auto"/>
                <w:left w:val="none" w:sz="0" w:space="0" w:color="auto"/>
                <w:bottom w:val="none" w:sz="0" w:space="0" w:color="auto"/>
                <w:right w:val="none" w:sz="0" w:space="0" w:color="auto"/>
              </w:divBdr>
            </w:div>
            <w:div w:id="2113285398">
              <w:marLeft w:val="0"/>
              <w:marRight w:val="0"/>
              <w:marTop w:val="0"/>
              <w:marBottom w:val="240"/>
              <w:divBdr>
                <w:top w:val="none" w:sz="0" w:space="0" w:color="auto"/>
                <w:left w:val="none" w:sz="0" w:space="0" w:color="auto"/>
                <w:bottom w:val="none" w:sz="0" w:space="0" w:color="auto"/>
                <w:right w:val="none" w:sz="0" w:space="0" w:color="auto"/>
              </w:divBdr>
            </w:div>
            <w:div w:id="842204572">
              <w:marLeft w:val="0"/>
              <w:marRight w:val="0"/>
              <w:marTop w:val="0"/>
              <w:marBottom w:val="240"/>
              <w:divBdr>
                <w:top w:val="none" w:sz="0" w:space="0" w:color="auto"/>
                <w:left w:val="none" w:sz="0" w:space="0" w:color="auto"/>
                <w:bottom w:val="none" w:sz="0" w:space="0" w:color="auto"/>
                <w:right w:val="none" w:sz="0" w:space="0" w:color="auto"/>
              </w:divBdr>
            </w:div>
            <w:div w:id="984159707">
              <w:marLeft w:val="0"/>
              <w:marRight w:val="0"/>
              <w:marTop w:val="0"/>
              <w:marBottom w:val="240"/>
              <w:divBdr>
                <w:top w:val="none" w:sz="0" w:space="0" w:color="auto"/>
                <w:left w:val="none" w:sz="0" w:space="0" w:color="auto"/>
                <w:bottom w:val="none" w:sz="0" w:space="0" w:color="auto"/>
                <w:right w:val="none" w:sz="0" w:space="0" w:color="auto"/>
              </w:divBdr>
            </w:div>
            <w:div w:id="4331591">
              <w:marLeft w:val="0"/>
              <w:marRight w:val="0"/>
              <w:marTop w:val="0"/>
              <w:marBottom w:val="240"/>
              <w:divBdr>
                <w:top w:val="none" w:sz="0" w:space="0" w:color="auto"/>
                <w:left w:val="none" w:sz="0" w:space="0" w:color="auto"/>
                <w:bottom w:val="none" w:sz="0" w:space="0" w:color="auto"/>
                <w:right w:val="none" w:sz="0" w:space="0" w:color="auto"/>
              </w:divBdr>
            </w:div>
            <w:div w:id="1787120872">
              <w:marLeft w:val="0"/>
              <w:marRight w:val="0"/>
              <w:marTop w:val="0"/>
              <w:marBottom w:val="240"/>
              <w:divBdr>
                <w:top w:val="none" w:sz="0" w:space="0" w:color="auto"/>
                <w:left w:val="none" w:sz="0" w:space="0" w:color="auto"/>
                <w:bottom w:val="none" w:sz="0" w:space="0" w:color="auto"/>
                <w:right w:val="none" w:sz="0" w:space="0" w:color="auto"/>
              </w:divBdr>
            </w:div>
            <w:div w:id="1898935639">
              <w:marLeft w:val="0"/>
              <w:marRight w:val="0"/>
              <w:marTop w:val="0"/>
              <w:marBottom w:val="240"/>
              <w:divBdr>
                <w:top w:val="none" w:sz="0" w:space="0" w:color="auto"/>
                <w:left w:val="none" w:sz="0" w:space="0" w:color="auto"/>
                <w:bottom w:val="none" w:sz="0" w:space="0" w:color="auto"/>
                <w:right w:val="none" w:sz="0" w:space="0" w:color="auto"/>
              </w:divBdr>
            </w:div>
            <w:div w:id="1207448950">
              <w:marLeft w:val="0"/>
              <w:marRight w:val="0"/>
              <w:marTop w:val="0"/>
              <w:marBottom w:val="240"/>
              <w:divBdr>
                <w:top w:val="none" w:sz="0" w:space="0" w:color="auto"/>
                <w:left w:val="none" w:sz="0" w:space="0" w:color="auto"/>
                <w:bottom w:val="none" w:sz="0" w:space="0" w:color="auto"/>
                <w:right w:val="none" w:sz="0" w:space="0" w:color="auto"/>
              </w:divBdr>
            </w:div>
            <w:div w:id="2035494667">
              <w:marLeft w:val="0"/>
              <w:marRight w:val="0"/>
              <w:marTop w:val="0"/>
              <w:marBottom w:val="240"/>
              <w:divBdr>
                <w:top w:val="none" w:sz="0" w:space="0" w:color="auto"/>
                <w:left w:val="none" w:sz="0" w:space="0" w:color="auto"/>
                <w:bottom w:val="none" w:sz="0" w:space="0" w:color="auto"/>
                <w:right w:val="none" w:sz="0" w:space="0" w:color="auto"/>
              </w:divBdr>
            </w:div>
            <w:div w:id="1579552661">
              <w:marLeft w:val="0"/>
              <w:marRight w:val="0"/>
              <w:marTop w:val="0"/>
              <w:marBottom w:val="240"/>
              <w:divBdr>
                <w:top w:val="none" w:sz="0" w:space="0" w:color="auto"/>
                <w:left w:val="none" w:sz="0" w:space="0" w:color="auto"/>
                <w:bottom w:val="none" w:sz="0" w:space="0" w:color="auto"/>
                <w:right w:val="none" w:sz="0" w:space="0" w:color="auto"/>
              </w:divBdr>
            </w:div>
            <w:div w:id="1258826757">
              <w:marLeft w:val="0"/>
              <w:marRight w:val="0"/>
              <w:marTop w:val="0"/>
              <w:marBottom w:val="240"/>
              <w:divBdr>
                <w:top w:val="none" w:sz="0" w:space="0" w:color="auto"/>
                <w:left w:val="none" w:sz="0" w:space="0" w:color="auto"/>
                <w:bottom w:val="none" w:sz="0" w:space="0" w:color="auto"/>
                <w:right w:val="none" w:sz="0" w:space="0" w:color="auto"/>
              </w:divBdr>
            </w:div>
            <w:div w:id="1273049872">
              <w:marLeft w:val="0"/>
              <w:marRight w:val="0"/>
              <w:marTop w:val="0"/>
              <w:marBottom w:val="240"/>
              <w:divBdr>
                <w:top w:val="none" w:sz="0" w:space="0" w:color="auto"/>
                <w:left w:val="none" w:sz="0" w:space="0" w:color="auto"/>
                <w:bottom w:val="none" w:sz="0" w:space="0" w:color="auto"/>
                <w:right w:val="none" w:sz="0" w:space="0" w:color="auto"/>
              </w:divBdr>
            </w:div>
            <w:div w:id="351150430">
              <w:marLeft w:val="0"/>
              <w:marRight w:val="0"/>
              <w:marTop w:val="0"/>
              <w:marBottom w:val="240"/>
              <w:divBdr>
                <w:top w:val="none" w:sz="0" w:space="0" w:color="auto"/>
                <w:left w:val="none" w:sz="0" w:space="0" w:color="auto"/>
                <w:bottom w:val="none" w:sz="0" w:space="0" w:color="auto"/>
                <w:right w:val="none" w:sz="0" w:space="0" w:color="auto"/>
              </w:divBdr>
            </w:div>
            <w:div w:id="669062535">
              <w:marLeft w:val="0"/>
              <w:marRight w:val="0"/>
              <w:marTop w:val="0"/>
              <w:marBottom w:val="240"/>
              <w:divBdr>
                <w:top w:val="none" w:sz="0" w:space="0" w:color="auto"/>
                <w:left w:val="none" w:sz="0" w:space="0" w:color="auto"/>
                <w:bottom w:val="none" w:sz="0" w:space="0" w:color="auto"/>
                <w:right w:val="none" w:sz="0" w:space="0" w:color="auto"/>
              </w:divBdr>
            </w:div>
            <w:div w:id="1808354749">
              <w:marLeft w:val="0"/>
              <w:marRight w:val="0"/>
              <w:marTop w:val="0"/>
              <w:marBottom w:val="240"/>
              <w:divBdr>
                <w:top w:val="none" w:sz="0" w:space="0" w:color="auto"/>
                <w:left w:val="none" w:sz="0" w:space="0" w:color="auto"/>
                <w:bottom w:val="none" w:sz="0" w:space="0" w:color="auto"/>
                <w:right w:val="none" w:sz="0" w:space="0" w:color="auto"/>
              </w:divBdr>
            </w:div>
            <w:div w:id="1883861928">
              <w:marLeft w:val="0"/>
              <w:marRight w:val="0"/>
              <w:marTop w:val="0"/>
              <w:marBottom w:val="240"/>
              <w:divBdr>
                <w:top w:val="none" w:sz="0" w:space="0" w:color="auto"/>
                <w:left w:val="none" w:sz="0" w:space="0" w:color="auto"/>
                <w:bottom w:val="none" w:sz="0" w:space="0" w:color="auto"/>
                <w:right w:val="none" w:sz="0" w:space="0" w:color="auto"/>
              </w:divBdr>
            </w:div>
            <w:div w:id="687373424">
              <w:marLeft w:val="0"/>
              <w:marRight w:val="0"/>
              <w:marTop w:val="0"/>
              <w:marBottom w:val="240"/>
              <w:divBdr>
                <w:top w:val="none" w:sz="0" w:space="0" w:color="auto"/>
                <w:left w:val="none" w:sz="0" w:space="0" w:color="auto"/>
                <w:bottom w:val="none" w:sz="0" w:space="0" w:color="auto"/>
                <w:right w:val="none" w:sz="0" w:space="0" w:color="auto"/>
              </w:divBdr>
            </w:div>
            <w:div w:id="251280947">
              <w:marLeft w:val="0"/>
              <w:marRight w:val="0"/>
              <w:marTop w:val="0"/>
              <w:marBottom w:val="240"/>
              <w:divBdr>
                <w:top w:val="none" w:sz="0" w:space="0" w:color="auto"/>
                <w:left w:val="none" w:sz="0" w:space="0" w:color="auto"/>
                <w:bottom w:val="none" w:sz="0" w:space="0" w:color="auto"/>
                <w:right w:val="none" w:sz="0" w:space="0" w:color="auto"/>
              </w:divBdr>
            </w:div>
            <w:div w:id="145641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10133">
      <w:bodyDiv w:val="1"/>
      <w:marLeft w:val="0"/>
      <w:marRight w:val="0"/>
      <w:marTop w:val="0"/>
      <w:marBottom w:val="0"/>
      <w:divBdr>
        <w:top w:val="none" w:sz="0" w:space="0" w:color="auto"/>
        <w:left w:val="none" w:sz="0" w:space="0" w:color="auto"/>
        <w:bottom w:val="none" w:sz="0" w:space="0" w:color="auto"/>
        <w:right w:val="none" w:sz="0" w:space="0" w:color="auto"/>
      </w:divBdr>
    </w:div>
    <w:div w:id="570581442">
      <w:bodyDiv w:val="1"/>
      <w:marLeft w:val="0"/>
      <w:marRight w:val="0"/>
      <w:marTop w:val="0"/>
      <w:marBottom w:val="0"/>
      <w:divBdr>
        <w:top w:val="none" w:sz="0" w:space="0" w:color="auto"/>
        <w:left w:val="none" w:sz="0" w:space="0" w:color="auto"/>
        <w:bottom w:val="none" w:sz="0" w:space="0" w:color="auto"/>
        <w:right w:val="none" w:sz="0" w:space="0" w:color="auto"/>
      </w:divBdr>
      <w:divsChild>
        <w:div w:id="788353818">
          <w:marLeft w:val="0"/>
          <w:marRight w:val="0"/>
          <w:marTop w:val="0"/>
          <w:marBottom w:val="0"/>
          <w:divBdr>
            <w:top w:val="none" w:sz="0" w:space="0" w:color="auto"/>
            <w:left w:val="none" w:sz="0" w:space="0" w:color="auto"/>
            <w:bottom w:val="none" w:sz="0" w:space="0" w:color="auto"/>
            <w:right w:val="none" w:sz="0" w:space="0" w:color="auto"/>
          </w:divBdr>
          <w:divsChild>
            <w:div w:id="1223130412">
              <w:marLeft w:val="0"/>
              <w:marRight w:val="0"/>
              <w:marTop w:val="0"/>
              <w:marBottom w:val="240"/>
              <w:divBdr>
                <w:top w:val="none" w:sz="0" w:space="0" w:color="auto"/>
                <w:left w:val="none" w:sz="0" w:space="0" w:color="auto"/>
                <w:bottom w:val="none" w:sz="0" w:space="0" w:color="auto"/>
                <w:right w:val="none" w:sz="0" w:space="0" w:color="auto"/>
              </w:divBdr>
            </w:div>
            <w:div w:id="806239516">
              <w:marLeft w:val="0"/>
              <w:marRight w:val="0"/>
              <w:marTop w:val="0"/>
              <w:marBottom w:val="240"/>
              <w:divBdr>
                <w:top w:val="none" w:sz="0" w:space="0" w:color="auto"/>
                <w:left w:val="none" w:sz="0" w:space="0" w:color="auto"/>
                <w:bottom w:val="none" w:sz="0" w:space="0" w:color="auto"/>
                <w:right w:val="none" w:sz="0" w:space="0" w:color="auto"/>
              </w:divBdr>
            </w:div>
            <w:div w:id="1670405277">
              <w:marLeft w:val="0"/>
              <w:marRight w:val="0"/>
              <w:marTop w:val="0"/>
              <w:marBottom w:val="240"/>
              <w:divBdr>
                <w:top w:val="none" w:sz="0" w:space="0" w:color="auto"/>
                <w:left w:val="none" w:sz="0" w:space="0" w:color="auto"/>
                <w:bottom w:val="none" w:sz="0" w:space="0" w:color="auto"/>
                <w:right w:val="none" w:sz="0" w:space="0" w:color="auto"/>
              </w:divBdr>
            </w:div>
            <w:div w:id="317851277">
              <w:marLeft w:val="0"/>
              <w:marRight w:val="0"/>
              <w:marTop w:val="0"/>
              <w:marBottom w:val="240"/>
              <w:divBdr>
                <w:top w:val="none" w:sz="0" w:space="0" w:color="auto"/>
                <w:left w:val="none" w:sz="0" w:space="0" w:color="auto"/>
                <w:bottom w:val="none" w:sz="0" w:space="0" w:color="auto"/>
                <w:right w:val="none" w:sz="0" w:space="0" w:color="auto"/>
              </w:divBdr>
            </w:div>
            <w:div w:id="1634018287">
              <w:marLeft w:val="0"/>
              <w:marRight w:val="0"/>
              <w:marTop w:val="0"/>
              <w:marBottom w:val="240"/>
              <w:divBdr>
                <w:top w:val="none" w:sz="0" w:space="0" w:color="auto"/>
                <w:left w:val="none" w:sz="0" w:space="0" w:color="auto"/>
                <w:bottom w:val="none" w:sz="0" w:space="0" w:color="auto"/>
                <w:right w:val="none" w:sz="0" w:space="0" w:color="auto"/>
              </w:divBdr>
            </w:div>
            <w:div w:id="148791579">
              <w:marLeft w:val="0"/>
              <w:marRight w:val="0"/>
              <w:marTop w:val="0"/>
              <w:marBottom w:val="240"/>
              <w:divBdr>
                <w:top w:val="none" w:sz="0" w:space="0" w:color="auto"/>
                <w:left w:val="none" w:sz="0" w:space="0" w:color="auto"/>
                <w:bottom w:val="none" w:sz="0" w:space="0" w:color="auto"/>
                <w:right w:val="none" w:sz="0" w:space="0" w:color="auto"/>
              </w:divBdr>
            </w:div>
            <w:div w:id="1850099920">
              <w:marLeft w:val="0"/>
              <w:marRight w:val="0"/>
              <w:marTop w:val="0"/>
              <w:marBottom w:val="240"/>
              <w:divBdr>
                <w:top w:val="none" w:sz="0" w:space="0" w:color="auto"/>
                <w:left w:val="none" w:sz="0" w:space="0" w:color="auto"/>
                <w:bottom w:val="none" w:sz="0" w:space="0" w:color="auto"/>
                <w:right w:val="none" w:sz="0" w:space="0" w:color="auto"/>
              </w:divBdr>
            </w:div>
            <w:div w:id="2087340781">
              <w:marLeft w:val="0"/>
              <w:marRight w:val="0"/>
              <w:marTop w:val="0"/>
              <w:marBottom w:val="240"/>
              <w:divBdr>
                <w:top w:val="none" w:sz="0" w:space="0" w:color="auto"/>
                <w:left w:val="none" w:sz="0" w:space="0" w:color="auto"/>
                <w:bottom w:val="none" w:sz="0" w:space="0" w:color="auto"/>
                <w:right w:val="none" w:sz="0" w:space="0" w:color="auto"/>
              </w:divBdr>
            </w:div>
            <w:div w:id="167599741">
              <w:marLeft w:val="0"/>
              <w:marRight w:val="0"/>
              <w:marTop w:val="0"/>
              <w:marBottom w:val="240"/>
              <w:divBdr>
                <w:top w:val="none" w:sz="0" w:space="0" w:color="auto"/>
                <w:left w:val="none" w:sz="0" w:space="0" w:color="auto"/>
                <w:bottom w:val="none" w:sz="0" w:space="0" w:color="auto"/>
                <w:right w:val="none" w:sz="0" w:space="0" w:color="auto"/>
              </w:divBdr>
            </w:div>
            <w:div w:id="1934822761">
              <w:marLeft w:val="0"/>
              <w:marRight w:val="0"/>
              <w:marTop w:val="0"/>
              <w:marBottom w:val="240"/>
              <w:divBdr>
                <w:top w:val="none" w:sz="0" w:space="0" w:color="auto"/>
                <w:left w:val="none" w:sz="0" w:space="0" w:color="auto"/>
                <w:bottom w:val="none" w:sz="0" w:space="0" w:color="auto"/>
                <w:right w:val="none" w:sz="0" w:space="0" w:color="auto"/>
              </w:divBdr>
            </w:div>
            <w:div w:id="144395624">
              <w:marLeft w:val="0"/>
              <w:marRight w:val="0"/>
              <w:marTop w:val="0"/>
              <w:marBottom w:val="240"/>
              <w:divBdr>
                <w:top w:val="none" w:sz="0" w:space="0" w:color="auto"/>
                <w:left w:val="none" w:sz="0" w:space="0" w:color="auto"/>
                <w:bottom w:val="none" w:sz="0" w:space="0" w:color="auto"/>
                <w:right w:val="none" w:sz="0" w:space="0" w:color="auto"/>
              </w:divBdr>
            </w:div>
            <w:div w:id="701705244">
              <w:marLeft w:val="0"/>
              <w:marRight w:val="0"/>
              <w:marTop w:val="0"/>
              <w:marBottom w:val="240"/>
              <w:divBdr>
                <w:top w:val="none" w:sz="0" w:space="0" w:color="auto"/>
                <w:left w:val="none" w:sz="0" w:space="0" w:color="auto"/>
                <w:bottom w:val="none" w:sz="0" w:space="0" w:color="auto"/>
                <w:right w:val="none" w:sz="0" w:space="0" w:color="auto"/>
              </w:divBdr>
            </w:div>
            <w:div w:id="1042905723">
              <w:marLeft w:val="0"/>
              <w:marRight w:val="0"/>
              <w:marTop w:val="0"/>
              <w:marBottom w:val="240"/>
              <w:divBdr>
                <w:top w:val="none" w:sz="0" w:space="0" w:color="auto"/>
                <w:left w:val="none" w:sz="0" w:space="0" w:color="auto"/>
                <w:bottom w:val="none" w:sz="0" w:space="0" w:color="auto"/>
                <w:right w:val="none" w:sz="0" w:space="0" w:color="auto"/>
              </w:divBdr>
            </w:div>
            <w:div w:id="1711488333">
              <w:marLeft w:val="0"/>
              <w:marRight w:val="0"/>
              <w:marTop w:val="0"/>
              <w:marBottom w:val="240"/>
              <w:divBdr>
                <w:top w:val="none" w:sz="0" w:space="0" w:color="auto"/>
                <w:left w:val="none" w:sz="0" w:space="0" w:color="auto"/>
                <w:bottom w:val="none" w:sz="0" w:space="0" w:color="auto"/>
                <w:right w:val="none" w:sz="0" w:space="0" w:color="auto"/>
              </w:divBdr>
            </w:div>
            <w:div w:id="1165826119">
              <w:marLeft w:val="0"/>
              <w:marRight w:val="0"/>
              <w:marTop w:val="0"/>
              <w:marBottom w:val="240"/>
              <w:divBdr>
                <w:top w:val="none" w:sz="0" w:space="0" w:color="auto"/>
                <w:left w:val="none" w:sz="0" w:space="0" w:color="auto"/>
                <w:bottom w:val="none" w:sz="0" w:space="0" w:color="auto"/>
                <w:right w:val="none" w:sz="0" w:space="0" w:color="auto"/>
              </w:divBdr>
            </w:div>
            <w:div w:id="1730809075">
              <w:marLeft w:val="0"/>
              <w:marRight w:val="0"/>
              <w:marTop w:val="0"/>
              <w:marBottom w:val="240"/>
              <w:divBdr>
                <w:top w:val="none" w:sz="0" w:space="0" w:color="auto"/>
                <w:left w:val="none" w:sz="0" w:space="0" w:color="auto"/>
                <w:bottom w:val="none" w:sz="0" w:space="0" w:color="auto"/>
                <w:right w:val="none" w:sz="0" w:space="0" w:color="auto"/>
              </w:divBdr>
            </w:div>
            <w:div w:id="1439643229">
              <w:marLeft w:val="0"/>
              <w:marRight w:val="0"/>
              <w:marTop w:val="0"/>
              <w:marBottom w:val="240"/>
              <w:divBdr>
                <w:top w:val="none" w:sz="0" w:space="0" w:color="auto"/>
                <w:left w:val="none" w:sz="0" w:space="0" w:color="auto"/>
                <w:bottom w:val="none" w:sz="0" w:space="0" w:color="auto"/>
                <w:right w:val="none" w:sz="0" w:space="0" w:color="auto"/>
              </w:divBdr>
            </w:div>
            <w:div w:id="400949612">
              <w:marLeft w:val="0"/>
              <w:marRight w:val="0"/>
              <w:marTop w:val="0"/>
              <w:marBottom w:val="240"/>
              <w:divBdr>
                <w:top w:val="none" w:sz="0" w:space="0" w:color="auto"/>
                <w:left w:val="none" w:sz="0" w:space="0" w:color="auto"/>
                <w:bottom w:val="none" w:sz="0" w:space="0" w:color="auto"/>
                <w:right w:val="none" w:sz="0" w:space="0" w:color="auto"/>
              </w:divBdr>
            </w:div>
            <w:div w:id="505940753">
              <w:marLeft w:val="0"/>
              <w:marRight w:val="0"/>
              <w:marTop w:val="0"/>
              <w:marBottom w:val="240"/>
              <w:divBdr>
                <w:top w:val="none" w:sz="0" w:space="0" w:color="auto"/>
                <w:left w:val="none" w:sz="0" w:space="0" w:color="auto"/>
                <w:bottom w:val="none" w:sz="0" w:space="0" w:color="auto"/>
                <w:right w:val="none" w:sz="0" w:space="0" w:color="auto"/>
              </w:divBdr>
            </w:div>
            <w:div w:id="398214205">
              <w:marLeft w:val="0"/>
              <w:marRight w:val="0"/>
              <w:marTop w:val="0"/>
              <w:marBottom w:val="240"/>
              <w:divBdr>
                <w:top w:val="none" w:sz="0" w:space="0" w:color="auto"/>
                <w:left w:val="none" w:sz="0" w:space="0" w:color="auto"/>
                <w:bottom w:val="none" w:sz="0" w:space="0" w:color="auto"/>
                <w:right w:val="none" w:sz="0" w:space="0" w:color="auto"/>
              </w:divBdr>
            </w:div>
            <w:div w:id="86736769">
              <w:marLeft w:val="0"/>
              <w:marRight w:val="0"/>
              <w:marTop w:val="0"/>
              <w:marBottom w:val="240"/>
              <w:divBdr>
                <w:top w:val="none" w:sz="0" w:space="0" w:color="auto"/>
                <w:left w:val="none" w:sz="0" w:space="0" w:color="auto"/>
                <w:bottom w:val="none" w:sz="0" w:space="0" w:color="auto"/>
                <w:right w:val="none" w:sz="0" w:space="0" w:color="auto"/>
              </w:divBdr>
            </w:div>
            <w:div w:id="882059298">
              <w:marLeft w:val="0"/>
              <w:marRight w:val="0"/>
              <w:marTop w:val="0"/>
              <w:marBottom w:val="240"/>
              <w:divBdr>
                <w:top w:val="none" w:sz="0" w:space="0" w:color="auto"/>
                <w:left w:val="none" w:sz="0" w:space="0" w:color="auto"/>
                <w:bottom w:val="none" w:sz="0" w:space="0" w:color="auto"/>
                <w:right w:val="none" w:sz="0" w:space="0" w:color="auto"/>
              </w:divBdr>
            </w:div>
            <w:div w:id="961964524">
              <w:marLeft w:val="0"/>
              <w:marRight w:val="0"/>
              <w:marTop w:val="0"/>
              <w:marBottom w:val="240"/>
              <w:divBdr>
                <w:top w:val="none" w:sz="0" w:space="0" w:color="auto"/>
                <w:left w:val="none" w:sz="0" w:space="0" w:color="auto"/>
                <w:bottom w:val="none" w:sz="0" w:space="0" w:color="auto"/>
                <w:right w:val="none" w:sz="0" w:space="0" w:color="auto"/>
              </w:divBdr>
            </w:div>
            <w:div w:id="552230006">
              <w:marLeft w:val="0"/>
              <w:marRight w:val="0"/>
              <w:marTop w:val="0"/>
              <w:marBottom w:val="240"/>
              <w:divBdr>
                <w:top w:val="none" w:sz="0" w:space="0" w:color="auto"/>
                <w:left w:val="none" w:sz="0" w:space="0" w:color="auto"/>
                <w:bottom w:val="none" w:sz="0" w:space="0" w:color="auto"/>
                <w:right w:val="none" w:sz="0" w:space="0" w:color="auto"/>
              </w:divBdr>
            </w:div>
            <w:div w:id="890191829">
              <w:marLeft w:val="0"/>
              <w:marRight w:val="0"/>
              <w:marTop w:val="0"/>
              <w:marBottom w:val="240"/>
              <w:divBdr>
                <w:top w:val="none" w:sz="0" w:space="0" w:color="auto"/>
                <w:left w:val="none" w:sz="0" w:space="0" w:color="auto"/>
                <w:bottom w:val="none" w:sz="0" w:space="0" w:color="auto"/>
                <w:right w:val="none" w:sz="0" w:space="0" w:color="auto"/>
              </w:divBdr>
            </w:div>
            <w:div w:id="1815219964">
              <w:marLeft w:val="0"/>
              <w:marRight w:val="0"/>
              <w:marTop w:val="0"/>
              <w:marBottom w:val="240"/>
              <w:divBdr>
                <w:top w:val="none" w:sz="0" w:space="0" w:color="auto"/>
                <w:left w:val="none" w:sz="0" w:space="0" w:color="auto"/>
                <w:bottom w:val="none" w:sz="0" w:space="0" w:color="auto"/>
                <w:right w:val="none" w:sz="0" w:space="0" w:color="auto"/>
              </w:divBdr>
            </w:div>
            <w:div w:id="1398868265">
              <w:marLeft w:val="0"/>
              <w:marRight w:val="0"/>
              <w:marTop w:val="0"/>
              <w:marBottom w:val="240"/>
              <w:divBdr>
                <w:top w:val="none" w:sz="0" w:space="0" w:color="auto"/>
                <w:left w:val="none" w:sz="0" w:space="0" w:color="auto"/>
                <w:bottom w:val="none" w:sz="0" w:space="0" w:color="auto"/>
                <w:right w:val="none" w:sz="0" w:space="0" w:color="auto"/>
              </w:divBdr>
            </w:div>
            <w:div w:id="1872255008">
              <w:marLeft w:val="0"/>
              <w:marRight w:val="0"/>
              <w:marTop w:val="0"/>
              <w:marBottom w:val="240"/>
              <w:divBdr>
                <w:top w:val="none" w:sz="0" w:space="0" w:color="auto"/>
                <w:left w:val="none" w:sz="0" w:space="0" w:color="auto"/>
                <w:bottom w:val="none" w:sz="0" w:space="0" w:color="auto"/>
                <w:right w:val="none" w:sz="0" w:space="0" w:color="auto"/>
              </w:divBdr>
            </w:div>
            <w:div w:id="1482231417">
              <w:marLeft w:val="0"/>
              <w:marRight w:val="0"/>
              <w:marTop w:val="0"/>
              <w:marBottom w:val="240"/>
              <w:divBdr>
                <w:top w:val="none" w:sz="0" w:space="0" w:color="auto"/>
                <w:left w:val="none" w:sz="0" w:space="0" w:color="auto"/>
                <w:bottom w:val="none" w:sz="0" w:space="0" w:color="auto"/>
                <w:right w:val="none" w:sz="0" w:space="0" w:color="auto"/>
              </w:divBdr>
            </w:div>
            <w:div w:id="1429035431">
              <w:marLeft w:val="0"/>
              <w:marRight w:val="0"/>
              <w:marTop w:val="0"/>
              <w:marBottom w:val="240"/>
              <w:divBdr>
                <w:top w:val="none" w:sz="0" w:space="0" w:color="auto"/>
                <w:left w:val="none" w:sz="0" w:space="0" w:color="auto"/>
                <w:bottom w:val="none" w:sz="0" w:space="0" w:color="auto"/>
                <w:right w:val="none" w:sz="0" w:space="0" w:color="auto"/>
              </w:divBdr>
            </w:div>
            <w:div w:id="2010594832">
              <w:marLeft w:val="0"/>
              <w:marRight w:val="0"/>
              <w:marTop w:val="0"/>
              <w:marBottom w:val="240"/>
              <w:divBdr>
                <w:top w:val="none" w:sz="0" w:space="0" w:color="auto"/>
                <w:left w:val="none" w:sz="0" w:space="0" w:color="auto"/>
                <w:bottom w:val="none" w:sz="0" w:space="0" w:color="auto"/>
                <w:right w:val="none" w:sz="0" w:space="0" w:color="auto"/>
              </w:divBdr>
            </w:div>
            <w:div w:id="2003123930">
              <w:marLeft w:val="0"/>
              <w:marRight w:val="0"/>
              <w:marTop w:val="0"/>
              <w:marBottom w:val="240"/>
              <w:divBdr>
                <w:top w:val="none" w:sz="0" w:space="0" w:color="auto"/>
                <w:left w:val="none" w:sz="0" w:space="0" w:color="auto"/>
                <w:bottom w:val="none" w:sz="0" w:space="0" w:color="auto"/>
                <w:right w:val="none" w:sz="0" w:space="0" w:color="auto"/>
              </w:divBdr>
            </w:div>
            <w:div w:id="1536580005">
              <w:marLeft w:val="0"/>
              <w:marRight w:val="0"/>
              <w:marTop w:val="0"/>
              <w:marBottom w:val="240"/>
              <w:divBdr>
                <w:top w:val="none" w:sz="0" w:space="0" w:color="auto"/>
                <w:left w:val="none" w:sz="0" w:space="0" w:color="auto"/>
                <w:bottom w:val="none" w:sz="0" w:space="0" w:color="auto"/>
                <w:right w:val="none" w:sz="0" w:space="0" w:color="auto"/>
              </w:divBdr>
            </w:div>
            <w:div w:id="537282514">
              <w:marLeft w:val="0"/>
              <w:marRight w:val="0"/>
              <w:marTop w:val="0"/>
              <w:marBottom w:val="240"/>
              <w:divBdr>
                <w:top w:val="none" w:sz="0" w:space="0" w:color="auto"/>
                <w:left w:val="none" w:sz="0" w:space="0" w:color="auto"/>
                <w:bottom w:val="none" w:sz="0" w:space="0" w:color="auto"/>
                <w:right w:val="none" w:sz="0" w:space="0" w:color="auto"/>
              </w:divBdr>
            </w:div>
            <w:div w:id="1496922247">
              <w:marLeft w:val="0"/>
              <w:marRight w:val="0"/>
              <w:marTop w:val="0"/>
              <w:marBottom w:val="240"/>
              <w:divBdr>
                <w:top w:val="none" w:sz="0" w:space="0" w:color="auto"/>
                <w:left w:val="none" w:sz="0" w:space="0" w:color="auto"/>
                <w:bottom w:val="none" w:sz="0" w:space="0" w:color="auto"/>
                <w:right w:val="none" w:sz="0" w:space="0" w:color="auto"/>
              </w:divBdr>
            </w:div>
            <w:div w:id="700983640">
              <w:marLeft w:val="0"/>
              <w:marRight w:val="0"/>
              <w:marTop w:val="0"/>
              <w:marBottom w:val="240"/>
              <w:divBdr>
                <w:top w:val="none" w:sz="0" w:space="0" w:color="auto"/>
                <w:left w:val="none" w:sz="0" w:space="0" w:color="auto"/>
                <w:bottom w:val="none" w:sz="0" w:space="0" w:color="auto"/>
                <w:right w:val="none" w:sz="0" w:space="0" w:color="auto"/>
              </w:divBdr>
            </w:div>
            <w:div w:id="595484987">
              <w:marLeft w:val="0"/>
              <w:marRight w:val="0"/>
              <w:marTop w:val="0"/>
              <w:marBottom w:val="240"/>
              <w:divBdr>
                <w:top w:val="none" w:sz="0" w:space="0" w:color="auto"/>
                <w:left w:val="none" w:sz="0" w:space="0" w:color="auto"/>
                <w:bottom w:val="none" w:sz="0" w:space="0" w:color="auto"/>
                <w:right w:val="none" w:sz="0" w:space="0" w:color="auto"/>
              </w:divBdr>
            </w:div>
            <w:div w:id="101345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789457">
      <w:bodyDiv w:val="1"/>
      <w:marLeft w:val="0"/>
      <w:marRight w:val="0"/>
      <w:marTop w:val="0"/>
      <w:marBottom w:val="0"/>
      <w:divBdr>
        <w:top w:val="none" w:sz="0" w:space="0" w:color="auto"/>
        <w:left w:val="none" w:sz="0" w:space="0" w:color="auto"/>
        <w:bottom w:val="none" w:sz="0" w:space="0" w:color="auto"/>
        <w:right w:val="none" w:sz="0" w:space="0" w:color="auto"/>
      </w:divBdr>
      <w:divsChild>
        <w:div w:id="320620046">
          <w:marLeft w:val="0"/>
          <w:marRight w:val="0"/>
          <w:marTop w:val="0"/>
          <w:marBottom w:val="0"/>
          <w:divBdr>
            <w:top w:val="none" w:sz="0" w:space="0" w:color="auto"/>
            <w:left w:val="none" w:sz="0" w:space="0" w:color="auto"/>
            <w:bottom w:val="none" w:sz="0" w:space="0" w:color="auto"/>
            <w:right w:val="none" w:sz="0" w:space="0" w:color="auto"/>
          </w:divBdr>
          <w:divsChild>
            <w:div w:id="162937148">
              <w:marLeft w:val="0"/>
              <w:marRight w:val="0"/>
              <w:marTop w:val="0"/>
              <w:marBottom w:val="240"/>
              <w:divBdr>
                <w:top w:val="none" w:sz="0" w:space="0" w:color="auto"/>
                <w:left w:val="none" w:sz="0" w:space="0" w:color="auto"/>
                <w:bottom w:val="none" w:sz="0" w:space="0" w:color="auto"/>
                <w:right w:val="none" w:sz="0" w:space="0" w:color="auto"/>
              </w:divBdr>
            </w:div>
            <w:div w:id="185868863">
              <w:marLeft w:val="0"/>
              <w:marRight w:val="0"/>
              <w:marTop w:val="0"/>
              <w:marBottom w:val="240"/>
              <w:divBdr>
                <w:top w:val="none" w:sz="0" w:space="0" w:color="auto"/>
                <w:left w:val="none" w:sz="0" w:space="0" w:color="auto"/>
                <w:bottom w:val="none" w:sz="0" w:space="0" w:color="auto"/>
                <w:right w:val="none" w:sz="0" w:space="0" w:color="auto"/>
              </w:divBdr>
            </w:div>
            <w:div w:id="373233091">
              <w:marLeft w:val="0"/>
              <w:marRight w:val="0"/>
              <w:marTop w:val="0"/>
              <w:marBottom w:val="240"/>
              <w:divBdr>
                <w:top w:val="none" w:sz="0" w:space="0" w:color="auto"/>
                <w:left w:val="none" w:sz="0" w:space="0" w:color="auto"/>
                <w:bottom w:val="none" w:sz="0" w:space="0" w:color="auto"/>
                <w:right w:val="none" w:sz="0" w:space="0" w:color="auto"/>
              </w:divBdr>
            </w:div>
            <w:div w:id="393092255">
              <w:marLeft w:val="0"/>
              <w:marRight w:val="0"/>
              <w:marTop w:val="0"/>
              <w:marBottom w:val="240"/>
              <w:divBdr>
                <w:top w:val="none" w:sz="0" w:space="0" w:color="auto"/>
                <w:left w:val="none" w:sz="0" w:space="0" w:color="auto"/>
                <w:bottom w:val="none" w:sz="0" w:space="0" w:color="auto"/>
                <w:right w:val="none" w:sz="0" w:space="0" w:color="auto"/>
              </w:divBdr>
            </w:div>
            <w:div w:id="436101193">
              <w:marLeft w:val="0"/>
              <w:marRight w:val="0"/>
              <w:marTop w:val="0"/>
              <w:marBottom w:val="240"/>
              <w:divBdr>
                <w:top w:val="none" w:sz="0" w:space="0" w:color="auto"/>
                <w:left w:val="none" w:sz="0" w:space="0" w:color="auto"/>
                <w:bottom w:val="none" w:sz="0" w:space="0" w:color="auto"/>
                <w:right w:val="none" w:sz="0" w:space="0" w:color="auto"/>
              </w:divBdr>
            </w:div>
            <w:div w:id="443231459">
              <w:marLeft w:val="0"/>
              <w:marRight w:val="0"/>
              <w:marTop w:val="0"/>
              <w:marBottom w:val="240"/>
              <w:divBdr>
                <w:top w:val="none" w:sz="0" w:space="0" w:color="auto"/>
                <w:left w:val="none" w:sz="0" w:space="0" w:color="auto"/>
                <w:bottom w:val="none" w:sz="0" w:space="0" w:color="auto"/>
                <w:right w:val="none" w:sz="0" w:space="0" w:color="auto"/>
              </w:divBdr>
            </w:div>
            <w:div w:id="561452860">
              <w:marLeft w:val="0"/>
              <w:marRight w:val="0"/>
              <w:marTop w:val="0"/>
              <w:marBottom w:val="240"/>
              <w:divBdr>
                <w:top w:val="none" w:sz="0" w:space="0" w:color="auto"/>
                <w:left w:val="none" w:sz="0" w:space="0" w:color="auto"/>
                <w:bottom w:val="none" w:sz="0" w:space="0" w:color="auto"/>
                <w:right w:val="none" w:sz="0" w:space="0" w:color="auto"/>
              </w:divBdr>
            </w:div>
            <w:div w:id="591551020">
              <w:marLeft w:val="0"/>
              <w:marRight w:val="0"/>
              <w:marTop w:val="0"/>
              <w:marBottom w:val="240"/>
              <w:divBdr>
                <w:top w:val="none" w:sz="0" w:space="0" w:color="auto"/>
                <w:left w:val="none" w:sz="0" w:space="0" w:color="auto"/>
                <w:bottom w:val="none" w:sz="0" w:space="0" w:color="auto"/>
                <w:right w:val="none" w:sz="0" w:space="0" w:color="auto"/>
              </w:divBdr>
            </w:div>
            <w:div w:id="621424301">
              <w:marLeft w:val="0"/>
              <w:marRight w:val="0"/>
              <w:marTop w:val="0"/>
              <w:marBottom w:val="240"/>
              <w:divBdr>
                <w:top w:val="none" w:sz="0" w:space="0" w:color="auto"/>
                <w:left w:val="none" w:sz="0" w:space="0" w:color="auto"/>
                <w:bottom w:val="none" w:sz="0" w:space="0" w:color="auto"/>
                <w:right w:val="none" w:sz="0" w:space="0" w:color="auto"/>
              </w:divBdr>
            </w:div>
            <w:div w:id="704715934">
              <w:marLeft w:val="0"/>
              <w:marRight w:val="0"/>
              <w:marTop w:val="0"/>
              <w:marBottom w:val="240"/>
              <w:divBdr>
                <w:top w:val="none" w:sz="0" w:space="0" w:color="auto"/>
                <w:left w:val="none" w:sz="0" w:space="0" w:color="auto"/>
                <w:bottom w:val="none" w:sz="0" w:space="0" w:color="auto"/>
                <w:right w:val="none" w:sz="0" w:space="0" w:color="auto"/>
              </w:divBdr>
            </w:div>
            <w:div w:id="715398199">
              <w:marLeft w:val="0"/>
              <w:marRight w:val="0"/>
              <w:marTop w:val="0"/>
              <w:marBottom w:val="240"/>
              <w:divBdr>
                <w:top w:val="none" w:sz="0" w:space="0" w:color="auto"/>
                <w:left w:val="none" w:sz="0" w:space="0" w:color="auto"/>
                <w:bottom w:val="none" w:sz="0" w:space="0" w:color="auto"/>
                <w:right w:val="none" w:sz="0" w:space="0" w:color="auto"/>
              </w:divBdr>
            </w:div>
            <w:div w:id="869758731">
              <w:marLeft w:val="0"/>
              <w:marRight w:val="0"/>
              <w:marTop w:val="0"/>
              <w:marBottom w:val="0"/>
              <w:divBdr>
                <w:top w:val="none" w:sz="0" w:space="0" w:color="auto"/>
                <w:left w:val="none" w:sz="0" w:space="0" w:color="auto"/>
                <w:bottom w:val="none" w:sz="0" w:space="0" w:color="auto"/>
                <w:right w:val="none" w:sz="0" w:space="0" w:color="auto"/>
              </w:divBdr>
            </w:div>
            <w:div w:id="870801750">
              <w:marLeft w:val="0"/>
              <w:marRight w:val="0"/>
              <w:marTop w:val="0"/>
              <w:marBottom w:val="240"/>
              <w:divBdr>
                <w:top w:val="none" w:sz="0" w:space="0" w:color="auto"/>
                <w:left w:val="none" w:sz="0" w:space="0" w:color="auto"/>
                <w:bottom w:val="none" w:sz="0" w:space="0" w:color="auto"/>
                <w:right w:val="none" w:sz="0" w:space="0" w:color="auto"/>
              </w:divBdr>
            </w:div>
            <w:div w:id="1012143168">
              <w:marLeft w:val="0"/>
              <w:marRight w:val="0"/>
              <w:marTop w:val="0"/>
              <w:marBottom w:val="240"/>
              <w:divBdr>
                <w:top w:val="none" w:sz="0" w:space="0" w:color="auto"/>
                <w:left w:val="none" w:sz="0" w:space="0" w:color="auto"/>
                <w:bottom w:val="none" w:sz="0" w:space="0" w:color="auto"/>
                <w:right w:val="none" w:sz="0" w:space="0" w:color="auto"/>
              </w:divBdr>
            </w:div>
            <w:div w:id="1082988068">
              <w:marLeft w:val="0"/>
              <w:marRight w:val="0"/>
              <w:marTop w:val="0"/>
              <w:marBottom w:val="240"/>
              <w:divBdr>
                <w:top w:val="none" w:sz="0" w:space="0" w:color="auto"/>
                <w:left w:val="none" w:sz="0" w:space="0" w:color="auto"/>
                <w:bottom w:val="none" w:sz="0" w:space="0" w:color="auto"/>
                <w:right w:val="none" w:sz="0" w:space="0" w:color="auto"/>
              </w:divBdr>
            </w:div>
            <w:div w:id="1122574327">
              <w:marLeft w:val="0"/>
              <w:marRight w:val="0"/>
              <w:marTop w:val="0"/>
              <w:marBottom w:val="240"/>
              <w:divBdr>
                <w:top w:val="none" w:sz="0" w:space="0" w:color="auto"/>
                <w:left w:val="none" w:sz="0" w:space="0" w:color="auto"/>
                <w:bottom w:val="none" w:sz="0" w:space="0" w:color="auto"/>
                <w:right w:val="none" w:sz="0" w:space="0" w:color="auto"/>
              </w:divBdr>
            </w:div>
            <w:div w:id="1193035647">
              <w:marLeft w:val="0"/>
              <w:marRight w:val="0"/>
              <w:marTop w:val="0"/>
              <w:marBottom w:val="240"/>
              <w:divBdr>
                <w:top w:val="none" w:sz="0" w:space="0" w:color="auto"/>
                <w:left w:val="none" w:sz="0" w:space="0" w:color="auto"/>
                <w:bottom w:val="none" w:sz="0" w:space="0" w:color="auto"/>
                <w:right w:val="none" w:sz="0" w:space="0" w:color="auto"/>
              </w:divBdr>
            </w:div>
            <w:div w:id="1233812332">
              <w:marLeft w:val="0"/>
              <w:marRight w:val="0"/>
              <w:marTop w:val="0"/>
              <w:marBottom w:val="240"/>
              <w:divBdr>
                <w:top w:val="none" w:sz="0" w:space="0" w:color="auto"/>
                <w:left w:val="none" w:sz="0" w:space="0" w:color="auto"/>
                <w:bottom w:val="none" w:sz="0" w:space="0" w:color="auto"/>
                <w:right w:val="none" w:sz="0" w:space="0" w:color="auto"/>
              </w:divBdr>
            </w:div>
            <w:div w:id="1464691283">
              <w:marLeft w:val="0"/>
              <w:marRight w:val="0"/>
              <w:marTop w:val="0"/>
              <w:marBottom w:val="240"/>
              <w:divBdr>
                <w:top w:val="none" w:sz="0" w:space="0" w:color="auto"/>
                <w:left w:val="none" w:sz="0" w:space="0" w:color="auto"/>
                <w:bottom w:val="none" w:sz="0" w:space="0" w:color="auto"/>
                <w:right w:val="none" w:sz="0" w:space="0" w:color="auto"/>
              </w:divBdr>
            </w:div>
            <w:div w:id="1551377752">
              <w:marLeft w:val="0"/>
              <w:marRight w:val="0"/>
              <w:marTop w:val="0"/>
              <w:marBottom w:val="240"/>
              <w:divBdr>
                <w:top w:val="none" w:sz="0" w:space="0" w:color="auto"/>
                <w:left w:val="none" w:sz="0" w:space="0" w:color="auto"/>
                <w:bottom w:val="none" w:sz="0" w:space="0" w:color="auto"/>
                <w:right w:val="none" w:sz="0" w:space="0" w:color="auto"/>
              </w:divBdr>
            </w:div>
            <w:div w:id="1558739578">
              <w:marLeft w:val="0"/>
              <w:marRight w:val="0"/>
              <w:marTop w:val="0"/>
              <w:marBottom w:val="240"/>
              <w:divBdr>
                <w:top w:val="none" w:sz="0" w:space="0" w:color="auto"/>
                <w:left w:val="none" w:sz="0" w:space="0" w:color="auto"/>
                <w:bottom w:val="none" w:sz="0" w:space="0" w:color="auto"/>
                <w:right w:val="none" w:sz="0" w:space="0" w:color="auto"/>
              </w:divBdr>
            </w:div>
            <w:div w:id="1592394359">
              <w:marLeft w:val="0"/>
              <w:marRight w:val="0"/>
              <w:marTop w:val="0"/>
              <w:marBottom w:val="240"/>
              <w:divBdr>
                <w:top w:val="none" w:sz="0" w:space="0" w:color="auto"/>
                <w:left w:val="none" w:sz="0" w:space="0" w:color="auto"/>
                <w:bottom w:val="none" w:sz="0" w:space="0" w:color="auto"/>
                <w:right w:val="none" w:sz="0" w:space="0" w:color="auto"/>
              </w:divBdr>
            </w:div>
            <w:div w:id="1605109119">
              <w:marLeft w:val="0"/>
              <w:marRight w:val="0"/>
              <w:marTop w:val="0"/>
              <w:marBottom w:val="240"/>
              <w:divBdr>
                <w:top w:val="none" w:sz="0" w:space="0" w:color="auto"/>
                <w:left w:val="none" w:sz="0" w:space="0" w:color="auto"/>
                <w:bottom w:val="none" w:sz="0" w:space="0" w:color="auto"/>
                <w:right w:val="none" w:sz="0" w:space="0" w:color="auto"/>
              </w:divBdr>
            </w:div>
            <w:div w:id="1609772626">
              <w:marLeft w:val="0"/>
              <w:marRight w:val="0"/>
              <w:marTop w:val="0"/>
              <w:marBottom w:val="240"/>
              <w:divBdr>
                <w:top w:val="none" w:sz="0" w:space="0" w:color="auto"/>
                <w:left w:val="none" w:sz="0" w:space="0" w:color="auto"/>
                <w:bottom w:val="none" w:sz="0" w:space="0" w:color="auto"/>
                <w:right w:val="none" w:sz="0" w:space="0" w:color="auto"/>
              </w:divBdr>
            </w:div>
            <w:div w:id="1664549951">
              <w:marLeft w:val="0"/>
              <w:marRight w:val="0"/>
              <w:marTop w:val="0"/>
              <w:marBottom w:val="240"/>
              <w:divBdr>
                <w:top w:val="none" w:sz="0" w:space="0" w:color="auto"/>
                <w:left w:val="none" w:sz="0" w:space="0" w:color="auto"/>
                <w:bottom w:val="none" w:sz="0" w:space="0" w:color="auto"/>
                <w:right w:val="none" w:sz="0" w:space="0" w:color="auto"/>
              </w:divBdr>
            </w:div>
            <w:div w:id="1724789317">
              <w:marLeft w:val="0"/>
              <w:marRight w:val="0"/>
              <w:marTop w:val="0"/>
              <w:marBottom w:val="240"/>
              <w:divBdr>
                <w:top w:val="none" w:sz="0" w:space="0" w:color="auto"/>
                <w:left w:val="none" w:sz="0" w:space="0" w:color="auto"/>
                <w:bottom w:val="none" w:sz="0" w:space="0" w:color="auto"/>
                <w:right w:val="none" w:sz="0" w:space="0" w:color="auto"/>
              </w:divBdr>
            </w:div>
            <w:div w:id="1798599085">
              <w:marLeft w:val="0"/>
              <w:marRight w:val="0"/>
              <w:marTop w:val="0"/>
              <w:marBottom w:val="240"/>
              <w:divBdr>
                <w:top w:val="none" w:sz="0" w:space="0" w:color="auto"/>
                <w:left w:val="none" w:sz="0" w:space="0" w:color="auto"/>
                <w:bottom w:val="none" w:sz="0" w:space="0" w:color="auto"/>
                <w:right w:val="none" w:sz="0" w:space="0" w:color="auto"/>
              </w:divBdr>
            </w:div>
            <w:div w:id="1802847492">
              <w:marLeft w:val="0"/>
              <w:marRight w:val="0"/>
              <w:marTop w:val="0"/>
              <w:marBottom w:val="240"/>
              <w:divBdr>
                <w:top w:val="none" w:sz="0" w:space="0" w:color="auto"/>
                <w:left w:val="none" w:sz="0" w:space="0" w:color="auto"/>
                <w:bottom w:val="none" w:sz="0" w:space="0" w:color="auto"/>
                <w:right w:val="none" w:sz="0" w:space="0" w:color="auto"/>
              </w:divBdr>
            </w:div>
            <w:div w:id="1811314676">
              <w:marLeft w:val="0"/>
              <w:marRight w:val="0"/>
              <w:marTop w:val="0"/>
              <w:marBottom w:val="240"/>
              <w:divBdr>
                <w:top w:val="none" w:sz="0" w:space="0" w:color="auto"/>
                <w:left w:val="none" w:sz="0" w:space="0" w:color="auto"/>
                <w:bottom w:val="none" w:sz="0" w:space="0" w:color="auto"/>
                <w:right w:val="none" w:sz="0" w:space="0" w:color="auto"/>
              </w:divBdr>
            </w:div>
            <w:div w:id="1834947186">
              <w:marLeft w:val="0"/>
              <w:marRight w:val="0"/>
              <w:marTop w:val="0"/>
              <w:marBottom w:val="240"/>
              <w:divBdr>
                <w:top w:val="none" w:sz="0" w:space="0" w:color="auto"/>
                <w:left w:val="none" w:sz="0" w:space="0" w:color="auto"/>
                <w:bottom w:val="none" w:sz="0" w:space="0" w:color="auto"/>
                <w:right w:val="none" w:sz="0" w:space="0" w:color="auto"/>
              </w:divBdr>
            </w:div>
            <w:div w:id="1866942273">
              <w:marLeft w:val="0"/>
              <w:marRight w:val="0"/>
              <w:marTop w:val="0"/>
              <w:marBottom w:val="240"/>
              <w:divBdr>
                <w:top w:val="none" w:sz="0" w:space="0" w:color="auto"/>
                <w:left w:val="none" w:sz="0" w:space="0" w:color="auto"/>
                <w:bottom w:val="none" w:sz="0" w:space="0" w:color="auto"/>
                <w:right w:val="none" w:sz="0" w:space="0" w:color="auto"/>
              </w:divBdr>
            </w:div>
            <w:div w:id="1880776355">
              <w:marLeft w:val="0"/>
              <w:marRight w:val="0"/>
              <w:marTop w:val="0"/>
              <w:marBottom w:val="240"/>
              <w:divBdr>
                <w:top w:val="none" w:sz="0" w:space="0" w:color="auto"/>
                <w:left w:val="none" w:sz="0" w:space="0" w:color="auto"/>
                <w:bottom w:val="none" w:sz="0" w:space="0" w:color="auto"/>
                <w:right w:val="none" w:sz="0" w:space="0" w:color="auto"/>
              </w:divBdr>
            </w:div>
            <w:div w:id="1960254338">
              <w:marLeft w:val="0"/>
              <w:marRight w:val="0"/>
              <w:marTop w:val="0"/>
              <w:marBottom w:val="240"/>
              <w:divBdr>
                <w:top w:val="none" w:sz="0" w:space="0" w:color="auto"/>
                <w:left w:val="none" w:sz="0" w:space="0" w:color="auto"/>
                <w:bottom w:val="none" w:sz="0" w:space="0" w:color="auto"/>
                <w:right w:val="none" w:sz="0" w:space="0" w:color="auto"/>
              </w:divBdr>
            </w:div>
            <w:div w:id="1965765529">
              <w:marLeft w:val="0"/>
              <w:marRight w:val="0"/>
              <w:marTop w:val="0"/>
              <w:marBottom w:val="240"/>
              <w:divBdr>
                <w:top w:val="none" w:sz="0" w:space="0" w:color="auto"/>
                <w:left w:val="none" w:sz="0" w:space="0" w:color="auto"/>
                <w:bottom w:val="none" w:sz="0" w:space="0" w:color="auto"/>
                <w:right w:val="none" w:sz="0" w:space="0" w:color="auto"/>
              </w:divBdr>
            </w:div>
            <w:div w:id="2020497379">
              <w:marLeft w:val="0"/>
              <w:marRight w:val="0"/>
              <w:marTop w:val="0"/>
              <w:marBottom w:val="240"/>
              <w:divBdr>
                <w:top w:val="none" w:sz="0" w:space="0" w:color="auto"/>
                <w:left w:val="none" w:sz="0" w:space="0" w:color="auto"/>
                <w:bottom w:val="none" w:sz="0" w:space="0" w:color="auto"/>
                <w:right w:val="none" w:sz="0" w:space="0" w:color="auto"/>
              </w:divBdr>
            </w:div>
            <w:div w:id="21145449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765619289">
      <w:bodyDiv w:val="1"/>
      <w:marLeft w:val="0"/>
      <w:marRight w:val="0"/>
      <w:marTop w:val="0"/>
      <w:marBottom w:val="0"/>
      <w:divBdr>
        <w:top w:val="none" w:sz="0" w:space="0" w:color="auto"/>
        <w:left w:val="none" w:sz="0" w:space="0" w:color="auto"/>
        <w:bottom w:val="none" w:sz="0" w:space="0" w:color="auto"/>
        <w:right w:val="none" w:sz="0" w:space="0" w:color="auto"/>
      </w:divBdr>
    </w:div>
    <w:div w:id="770202733">
      <w:bodyDiv w:val="1"/>
      <w:marLeft w:val="0"/>
      <w:marRight w:val="0"/>
      <w:marTop w:val="0"/>
      <w:marBottom w:val="0"/>
      <w:divBdr>
        <w:top w:val="none" w:sz="0" w:space="0" w:color="auto"/>
        <w:left w:val="none" w:sz="0" w:space="0" w:color="auto"/>
        <w:bottom w:val="none" w:sz="0" w:space="0" w:color="auto"/>
        <w:right w:val="none" w:sz="0" w:space="0" w:color="auto"/>
      </w:divBdr>
    </w:div>
    <w:div w:id="813832863">
      <w:bodyDiv w:val="1"/>
      <w:marLeft w:val="0"/>
      <w:marRight w:val="0"/>
      <w:marTop w:val="0"/>
      <w:marBottom w:val="0"/>
      <w:divBdr>
        <w:top w:val="none" w:sz="0" w:space="0" w:color="auto"/>
        <w:left w:val="none" w:sz="0" w:space="0" w:color="auto"/>
        <w:bottom w:val="none" w:sz="0" w:space="0" w:color="auto"/>
        <w:right w:val="none" w:sz="0" w:space="0" w:color="auto"/>
      </w:divBdr>
    </w:div>
    <w:div w:id="981545100">
      <w:bodyDiv w:val="1"/>
      <w:marLeft w:val="0"/>
      <w:marRight w:val="0"/>
      <w:marTop w:val="0"/>
      <w:marBottom w:val="0"/>
      <w:divBdr>
        <w:top w:val="none" w:sz="0" w:space="0" w:color="auto"/>
        <w:left w:val="none" w:sz="0" w:space="0" w:color="auto"/>
        <w:bottom w:val="none" w:sz="0" w:space="0" w:color="auto"/>
        <w:right w:val="none" w:sz="0" w:space="0" w:color="auto"/>
      </w:divBdr>
      <w:divsChild>
        <w:div w:id="1155876477">
          <w:marLeft w:val="0"/>
          <w:marRight w:val="0"/>
          <w:marTop w:val="0"/>
          <w:marBottom w:val="0"/>
          <w:divBdr>
            <w:top w:val="none" w:sz="0" w:space="0" w:color="auto"/>
            <w:left w:val="none" w:sz="0" w:space="0" w:color="auto"/>
            <w:bottom w:val="none" w:sz="0" w:space="0" w:color="auto"/>
            <w:right w:val="none" w:sz="0" w:space="0" w:color="auto"/>
          </w:divBdr>
          <w:divsChild>
            <w:div w:id="50886721">
              <w:marLeft w:val="0"/>
              <w:marRight w:val="0"/>
              <w:marTop w:val="0"/>
              <w:marBottom w:val="240"/>
              <w:divBdr>
                <w:top w:val="none" w:sz="0" w:space="0" w:color="auto"/>
                <w:left w:val="none" w:sz="0" w:space="0" w:color="auto"/>
                <w:bottom w:val="none" w:sz="0" w:space="0" w:color="auto"/>
                <w:right w:val="none" w:sz="0" w:space="0" w:color="auto"/>
              </w:divBdr>
            </w:div>
            <w:div w:id="81224104">
              <w:marLeft w:val="0"/>
              <w:marRight w:val="0"/>
              <w:marTop w:val="0"/>
              <w:marBottom w:val="240"/>
              <w:divBdr>
                <w:top w:val="none" w:sz="0" w:space="0" w:color="auto"/>
                <w:left w:val="none" w:sz="0" w:space="0" w:color="auto"/>
                <w:bottom w:val="none" w:sz="0" w:space="0" w:color="auto"/>
                <w:right w:val="none" w:sz="0" w:space="0" w:color="auto"/>
              </w:divBdr>
            </w:div>
            <w:div w:id="91096494">
              <w:marLeft w:val="0"/>
              <w:marRight w:val="0"/>
              <w:marTop w:val="0"/>
              <w:marBottom w:val="240"/>
              <w:divBdr>
                <w:top w:val="none" w:sz="0" w:space="0" w:color="auto"/>
                <w:left w:val="none" w:sz="0" w:space="0" w:color="auto"/>
                <w:bottom w:val="none" w:sz="0" w:space="0" w:color="auto"/>
                <w:right w:val="none" w:sz="0" w:space="0" w:color="auto"/>
              </w:divBdr>
            </w:div>
            <w:div w:id="120460293">
              <w:marLeft w:val="0"/>
              <w:marRight w:val="0"/>
              <w:marTop w:val="0"/>
              <w:marBottom w:val="240"/>
              <w:divBdr>
                <w:top w:val="none" w:sz="0" w:space="0" w:color="auto"/>
                <w:left w:val="none" w:sz="0" w:space="0" w:color="auto"/>
                <w:bottom w:val="none" w:sz="0" w:space="0" w:color="auto"/>
                <w:right w:val="none" w:sz="0" w:space="0" w:color="auto"/>
              </w:divBdr>
            </w:div>
            <w:div w:id="159395617">
              <w:marLeft w:val="0"/>
              <w:marRight w:val="0"/>
              <w:marTop w:val="0"/>
              <w:marBottom w:val="240"/>
              <w:divBdr>
                <w:top w:val="none" w:sz="0" w:space="0" w:color="auto"/>
                <w:left w:val="none" w:sz="0" w:space="0" w:color="auto"/>
                <w:bottom w:val="none" w:sz="0" w:space="0" w:color="auto"/>
                <w:right w:val="none" w:sz="0" w:space="0" w:color="auto"/>
              </w:divBdr>
            </w:div>
            <w:div w:id="246578966">
              <w:marLeft w:val="0"/>
              <w:marRight w:val="0"/>
              <w:marTop w:val="0"/>
              <w:marBottom w:val="240"/>
              <w:divBdr>
                <w:top w:val="none" w:sz="0" w:space="0" w:color="auto"/>
                <w:left w:val="none" w:sz="0" w:space="0" w:color="auto"/>
                <w:bottom w:val="none" w:sz="0" w:space="0" w:color="auto"/>
                <w:right w:val="none" w:sz="0" w:space="0" w:color="auto"/>
              </w:divBdr>
            </w:div>
            <w:div w:id="266547396">
              <w:marLeft w:val="0"/>
              <w:marRight w:val="0"/>
              <w:marTop w:val="0"/>
              <w:marBottom w:val="240"/>
              <w:divBdr>
                <w:top w:val="none" w:sz="0" w:space="0" w:color="auto"/>
                <w:left w:val="none" w:sz="0" w:space="0" w:color="auto"/>
                <w:bottom w:val="none" w:sz="0" w:space="0" w:color="auto"/>
                <w:right w:val="none" w:sz="0" w:space="0" w:color="auto"/>
              </w:divBdr>
            </w:div>
            <w:div w:id="284652791">
              <w:marLeft w:val="0"/>
              <w:marRight w:val="0"/>
              <w:marTop w:val="0"/>
              <w:marBottom w:val="240"/>
              <w:divBdr>
                <w:top w:val="none" w:sz="0" w:space="0" w:color="auto"/>
                <w:left w:val="none" w:sz="0" w:space="0" w:color="auto"/>
                <w:bottom w:val="none" w:sz="0" w:space="0" w:color="auto"/>
                <w:right w:val="none" w:sz="0" w:space="0" w:color="auto"/>
              </w:divBdr>
            </w:div>
            <w:div w:id="548105371">
              <w:marLeft w:val="0"/>
              <w:marRight w:val="0"/>
              <w:marTop w:val="0"/>
              <w:marBottom w:val="240"/>
              <w:divBdr>
                <w:top w:val="none" w:sz="0" w:space="0" w:color="auto"/>
                <w:left w:val="none" w:sz="0" w:space="0" w:color="auto"/>
                <w:bottom w:val="none" w:sz="0" w:space="0" w:color="auto"/>
                <w:right w:val="none" w:sz="0" w:space="0" w:color="auto"/>
              </w:divBdr>
            </w:div>
            <w:div w:id="623732716">
              <w:marLeft w:val="0"/>
              <w:marRight w:val="0"/>
              <w:marTop w:val="0"/>
              <w:marBottom w:val="240"/>
              <w:divBdr>
                <w:top w:val="none" w:sz="0" w:space="0" w:color="auto"/>
                <w:left w:val="none" w:sz="0" w:space="0" w:color="auto"/>
                <w:bottom w:val="none" w:sz="0" w:space="0" w:color="auto"/>
                <w:right w:val="none" w:sz="0" w:space="0" w:color="auto"/>
              </w:divBdr>
            </w:div>
            <w:div w:id="723599407">
              <w:marLeft w:val="0"/>
              <w:marRight w:val="0"/>
              <w:marTop w:val="0"/>
              <w:marBottom w:val="240"/>
              <w:divBdr>
                <w:top w:val="none" w:sz="0" w:space="0" w:color="auto"/>
                <w:left w:val="none" w:sz="0" w:space="0" w:color="auto"/>
                <w:bottom w:val="none" w:sz="0" w:space="0" w:color="auto"/>
                <w:right w:val="none" w:sz="0" w:space="0" w:color="auto"/>
              </w:divBdr>
            </w:div>
            <w:div w:id="739984909">
              <w:marLeft w:val="0"/>
              <w:marRight w:val="0"/>
              <w:marTop w:val="0"/>
              <w:marBottom w:val="240"/>
              <w:divBdr>
                <w:top w:val="none" w:sz="0" w:space="0" w:color="auto"/>
                <w:left w:val="none" w:sz="0" w:space="0" w:color="auto"/>
                <w:bottom w:val="none" w:sz="0" w:space="0" w:color="auto"/>
                <w:right w:val="none" w:sz="0" w:space="0" w:color="auto"/>
              </w:divBdr>
            </w:div>
            <w:div w:id="748698145">
              <w:marLeft w:val="0"/>
              <w:marRight w:val="0"/>
              <w:marTop w:val="0"/>
              <w:marBottom w:val="240"/>
              <w:divBdr>
                <w:top w:val="none" w:sz="0" w:space="0" w:color="auto"/>
                <w:left w:val="none" w:sz="0" w:space="0" w:color="auto"/>
                <w:bottom w:val="none" w:sz="0" w:space="0" w:color="auto"/>
                <w:right w:val="none" w:sz="0" w:space="0" w:color="auto"/>
              </w:divBdr>
            </w:div>
            <w:div w:id="769934133">
              <w:marLeft w:val="0"/>
              <w:marRight w:val="0"/>
              <w:marTop w:val="0"/>
              <w:marBottom w:val="240"/>
              <w:divBdr>
                <w:top w:val="none" w:sz="0" w:space="0" w:color="auto"/>
                <w:left w:val="none" w:sz="0" w:space="0" w:color="auto"/>
                <w:bottom w:val="none" w:sz="0" w:space="0" w:color="auto"/>
                <w:right w:val="none" w:sz="0" w:space="0" w:color="auto"/>
              </w:divBdr>
            </w:div>
            <w:div w:id="812331345">
              <w:marLeft w:val="0"/>
              <w:marRight w:val="0"/>
              <w:marTop w:val="0"/>
              <w:marBottom w:val="240"/>
              <w:divBdr>
                <w:top w:val="none" w:sz="0" w:space="0" w:color="auto"/>
                <w:left w:val="none" w:sz="0" w:space="0" w:color="auto"/>
                <w:bottom w:val="none" w:sz="0" w:space="0" w:color="auto"/>
                <w:right w:val="none" w:sz="0" w:space="0" w:color="auto"/>
              </w:divBdr>
            </w:div>
            <w:div w:id="877355939">
              <w:marLeft w:val="0"/>
              <w:marRight w:val="0"/>
              <w:marTop w:val="0"/>
              <w:marBottom w:val="240"/>
              <w:divBdr>
                <w:top w:val="none" w:sz="0" w:space="0" w:color="auto"/>
                <w:left w:val="none" w:sz="0" w:space="0" w:color="auto"/>
                <w:bottom w:val="none" w:sz="0" w:space="0" w:color="auto"/>
                <w:right w:val="none" w:sz="0" w:space="0" w:color="auto"/>
              </w:divBdr>
            </w:div>
            <w:div w:id="937179972">
              <w:marLeft w:val="0"/>
              <w:marRight w:val="0"/>
              <w:marTop w:val="0"/>
              <w:marBottom w:val="240"/>
              <w:divBdr>
                <w:top w:val="none" w:sz="0" w:space="0" w:color="auto"/>
                <w:left w:val="none" w:sz="0" w:space="0" w:color="auto"/>
                <w:bottom w:val="none" w:sz="0" w:space="0" w:color="auto"/>
                <w:right w:val="none" w:sz="0" w:space="0" w:color="auto"/>
              </w:divBdr>
            </w:div>
            <w:div w:id="1060132165">
              <w:marLeft w:val="0"/>
              <w:marRight w:val="0"/>
              <w:marTop w:val="0"/>
              <w:marBottom w:val="240"/>
              <w:divBdr>
                <w:top w:val="none" w:sz="0" w:space="0" w:color="auto"/>
                <w:left w:val="none" w:sz="0" w:space="0" w:color="auto"/>
                <w:bottom w:val="none" w:sz="0" w:space="0" w:color="auto"/>
                <w:right w:val="none" w:sz="0" w:space="0" w:color="auto"/>
              </w:divBdr>
            </w:div>
            <w:div w:id="1062026850">
              <w:marLeft w:val="0"/>
              <w:marRight w:val="0"/>
              <w:marTop w:val="0"/>
              <w:marBottom w:val="240"/>
              <w:divBdr>
                <w:top w:val="none" w:sz="0" w:space="0" w:color="auto"/>
                <w:left w:val="none" w:sz="0" w:space="0" w:color="auto"/>
                <w:bottom w:val="none" w:sz="0" w:space="0" w:color="auto"/>
                <w:right w:val="none" w:sz="0" w:space="0" w:color="auto"/>
              </w:divBdr>
            </w:div>
            <w:div w:id="1101536071">
              <w:marLeft w:val="0"/>
              <w:marRight w:val="0"/>
              <w:marTop w:val="0"/>
              <w:marBottom w:val="240"/>
              <w:divBdr>
                <w:top w:val="none" w:sz="0" w:space="0" w:color="auto"/>
                <w:left w:val="none" w:sz="0" w:space="0" w:color="auto"/>
                <w:bottom w:val="none" w:sz="0" w:space="0" w:color="auto"/>
                <w:right w:val="none" w:sz="0" w:space="0" w:color="auto"/>
              </w:divBdr>
            </w:div>
            <w:div w:id="1204440189">
              <w:marLeft w:val="0"/>
              <w:marRight w:val="0"/>
              <w:marTop w:val="0"/>
              <w:marBottom w:val="240"/>
              <w:divBdr>
                <w:top w:val="none" w:sz="0" w:space="0" w:color="auto"/>
                <w:left w:val="none" w:sz="0" w:space="0" w:color="auto"/>
                <w:bottom w:val="none" w:sz="0" w:space="0" w:color="auto"/>
                <w:right w:val="none" w:sz="0" w:space="0" w:color="auto"/>
              </w:divBdr>
            </w:div>
            <w:div w:id="1384862694">
              <w:marLeft w:val="0"/>
              <w:marRight w:val="0"/>
              <w:marTop w:val="0"/>
              <w:marBottom w:val="240"/>
              <w:divBdr>
                <w:top w:val="none" w:sz="0" w:space="0" w:color="auto"/>
                <w:left w:val="none" w:sz="0" w:space="0" w:color="auto"/>
                <w:bottom w:val="none" w:sz="0" w:space="0" w:color="auto"/>
                <w:right w:val="none" w:sz="0" w:space="0" w:color="auto"/>
              </w:divBdr>
            </w:div>
            <w:div w:id="1391614970">
              <w:marLeft w:val="0"/>
              <w:marRight w:val="0"/>
              <w:marTop w:val="0"/>
              <w:marBottom w:val="240"/>
              <w:divBdr>
                <w:top w:val="none" w:sz="0" w:space="0" w:color="auto"/>
                <w:left w:val="none" w:sz="0" w:space="0" w:color="auto"/>
                <w:bottom w:val="none" w:sz="0" w:space="0" w:color="auto"/>
                <w:right w:val="none" w:sz="0" w:space="0" w:color="auto"/>
              </w:divBdr>
            </w:div>
            <w:div w:id="1471945335">
              <w:marLeft w:val="0"/>
              <w:marRight w:val="0"/>
              <w:marTop w:val="0"/>
              <w:marBottom w:val="240"/>
              <w:divBdr>
                <w:top w:val="none" w:sz="0" w:space="0" w:color="auto"/>
                <w:left w:val="none" w:sz="0" w:space="0" w:color="auto"/>
                <w:bottom w:val="none" w:sz="0" w:space="0" w:color="auto"/>
                <w:right w:val="none" w:sz="0" w:space="0" w:color="auto"/>
              </w:divBdr>
            </w:div>
            <w:div w:id="1517842215">
              <w:marLeft w:val="0"/>
              <w:marRight w:val="0"/>
              <w:marTop w:val="0"/>
              <w:marBottom w:val="240"/>
              <w:divBdr>
                <w:top w:val="none" w:sz="0" w:space="0" w:color="auto"/>
                <w:left w:val="none" w:sz="0" w:space="0" w:color="auto"/>
                <w:bottom w:val="none" w:sz="0" w:space="0" w:color="auto"/>
                <w:right w:val="none" w:sz="0" w:space="0" w:color="auto"/>
              </w:divBdr>
            </w:div>
            <w:div w:id="1552766757">
              <w:marLeft w:val="0"/>
              <w:marRight w:val="0"/>
              <w:marTop w:val="0"/>
              <w:marBottom w:val="240"/>
              <w:divBdr>
                <w:top w:val="none" w:sz="0" w:space="0" w:color="auto"/>
                <w:left w:val="none" w:sz="0" w:space="0" w:color="auto"/>
                <w:bottom w:val="none" w:sz="0" w:space="0" w:color="auto"/>
                <w:right w:val="none" w:sz="0" w:space="0" w:color="auto"/>
              </w:divBdr>
            </w:div>
            <w:div w:id="1620797431">
              <w:marLeft w:val="0"/>
              <w:marRight w:val="0"/>
              <w:marTop w:val="0"/>
              <w:marBottom w:val="240"/>
              <w:divBdr>
                <w:top w:val="none" w:sz="0" w:space="0" w:color="auto"/>
                <w:left w:val="none" w:sz="0" w:space="0" w:color="auto"/>
                <w:bottom w:val="none" w:sz="0" w:space="0" w:color="auto"/>
                <w:right w:val="none" w:sz="0" w:space="0" w:color="auto"/>
              </w:divBdr>
            </w:div>
            <w:div w:id="1673297193">
              <w:marLeft w:val="0"/>
              <w:marRight w:val="0"/>
              <w:marTop w:val="0"/>
              <w:marBottom w:val="240"/>
              <w:divBdr>
                <w:top w:val="none" w:sz="0" w:space="0" w:color="auto"/>
                <w:left w:val="none" w:sz="0" w:space="0" w:color="auto"/>
                <w:bottom w:val="none" w:sz="0" w:space="0" w:color="auto"/>
                <w:right w:val="none" w:sz="0" w:space="0" w:color="auto"/>
              </w:divBdr>
            </w:div>
            <w:div w:id="1858229629">
              <w:marLeft w:val="0"/>
              <w:marRight w:val="0"/>
              <w:marTop w:val="0"/>
              <w:marBottom w:val="240"/>
              <w:divBdr>
                <w:top w:val="none" w:sz="0" w:space="0" w:color="auto"/>
                <w:left w:val="none" w:sz="0" w:space="0" w:color="auto"/>
                <w:bottom w:val="none" w:sz="0" w:space="0" w:color="auto"/>
                <w:right w:val="none" w:sz="0" w:space="0" w:color="auto"/>
              </w:divBdr>
            </w:div>
            <w:div w:id="1863785455">
              <w:marLeft w:val="0"/>
              <w:marRight w:val="0"/>
              <w:marTop w:val="0"/>
              <w:marBottom w:val="240"/>
              <w:divBdr>
                <w:top w:val="none" w:sz="0" w:space="0" w:color="auto"/>
                <w:left w:val="none" w:sz="0" w:space="0" w:color="auto"/>
                <w:bottom w:val="none" w:sz="0" w:space="0" w:color="auto"/>
                <w:right w:val="none" w:sz="0" w:space="0" w:color="auto"/>
              </w:divBdr>
            </w:div>
            <w:div w:id="1948154262">
              <w:marLeft w:val="0"/>
              <w:marRight w:val="0"/>
              <w:marTop w:val="0"/>
              <w:marBottom w:val="240"/>
              <w:divBdr>
                <w:top w:val="none" w:sz="0" w:space="0" w:color="auto"/>
                <w:left w:val="none" w:sz="0" w:space="0" w:color="auto"/>
                <w:bottom w:val="none" w:sz="0" w:space="0" w:color="auto"/>
                <w:right w:val="none" w:sz="0" w:space="0" w:color="auto"/>
              </w:divBdr>
            </w:div>
            <w:div w:id="1952277686">
              <w:marLeft w:val="0"/>
              <w:marRight w:val="0"/>
              <w:marTop w:val="0"/>
              <w:marBottom w:val="240"/>
              <w:divBdr>
                <w:top w:val="none" w:sz="0" w:space="0" w:color="auto"/>
                <w:left w:val="none" w:sz="0" w:space="0" w:color="auto"/>
                <w:bottom w:val="none" w:sz="0" w:space="0" w:color="auto"/>
                <w:right w:val="none" w:sz="0" w:space="0" w:color="auto"/>
              </w:divBdr>
            </w:div>
            <w:div w:id="1962878527">
              <w:marLeft w:val="0"/>
              <w:marRight w:val="0"/>
              <w:marTop w:val="0"/>
              <w:marBottom w:val="240"/>
              <w:divBdr>
                <w:top w:val="none" w:sz="0" w:space="0" w:color="auto"/>
                <w:left w:val="none" w:sz="0" w:space="0" w:color="auto"/>
                <w:bottom w:val="none" w:sz="0" w:space="0" w:color="auto"/>
                <w:right w:val="none" w:sz="0" w:space="0" w:color="auto"/>
              </w:divBdr>
            </w:div>
            <w:div w:id="2005667020">
              <w:marLeft w:val="0"/>
              <w:marRight w:val="0"/>
              <w:marTop w:val="0"/>
              <w:marBottom w:val="240"/>
              <w:divBdr>
                <w:top w:val="none" w:sz="0" w:space="0" w:color="auto"/>
                <w:left w:val="none" w:sz="0" w:space="0" w:color="auto"/>
                <w:bottom w:val="none" w:sz="0" w:space="0" w:color="auto"/>
                <w:right w:val="none" w:sz="0" w:space="0" w:color="auto"/>
              </w:divBdr>
            </w:div>
            <w:div w:id="2046560608">
              <w:marLeft w:val="0"/>
              <w:marRight w:val="0"/>
              <w:marTop w:val="0"/>
              <w:marBottom w:val="0"/>
              <w:divBdr>
                <w:top w:val="none" w:sz="0" w:space="0" w:color="auto"/>
                <w:left w:val="none" w:sz="0" w:space="0" w:color="auto"/>
                <w:bottom w:val="none" w:sz="0" w:space="0" w:color="auto"/>
                <w:right w:val="none" w:sz="0" w:space="0" w:color="auto"/>
              </w:divBdr>
            </w:div>
            <w:div w:id="205476587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078482230">
      <w:bodyDiv w:val="1"/>
      <w:marLeft w:val="0"/>
      <w:marRight w:val="0"/>
      <w:marTop w:val="0"/>
      <w:marBottom w:val="0"/>
      <w:divBdr>
        <w:top w:val="none" w:sz="0" w:space="0" w:color="auto"/>
        <w:left w:val="none" w:sz="0" w:space="0" w:color="auto"/>
        <w:bottom w:val="none" w:sz="0" w:space="0" w:color="auto"/>
        <w:right w:val="none" w:sz="0" w:space="0" w:color="auto"/>
      </w:divBdr>
    </w:div>
    <w:div w:id="1228103119">
      <w:bodyDiv w:val="1"/>
      <w:marLeft w:val="0"/>
      <w:marRight w:val="0"/>
      <w:marTop w:val="0"/>
      <w:marBottom w:val="0"/>
      <w:divBdr>
        <w:top w:val="none" w:sz="0" w:space="0" w:color="auto"/>
        <w:left w:val="none" w:sz="0" w:space="0" w:color="auto"/>
        <w:bottom w:val="none" w:sz="0" w:space="0" w:color="auto"/>
        <w:right w:val="none" w:sz="0" w:space="0" w:color="auto"/>
      </w:divBdr>
    </w:div>
    <w:div w:id="1360476389">
      <w:bodyDiv w:val="1"/>
      <w:marLeft w:val="0"/>
      <w:marRight w:val="0"/>
      <w:marTop w:val="0"/>
      <w:marBottom w:val="0"/>
      <w:divBdr>
        <w:top w:val="none" w:sz="0" w:space="0" w:color="auto"/>
        <w:left w:val="none" w:sz="0" w:space="0" w:color="auto"/>
        <w:bottom w:val="none" w:sz="0" w:space="0" w:color="auto"/>
        <w:right w:val="none" w:sz="0" w:space="0" w:color="auto"/>
      </w:divBdr>
    </w:div>
    <w:div w:id="1424570972">
      <w:bodyDiv w:val="1"/>
      <w:marLeft w:val="0"/>
      <w:marRight w:val="0"/>
      <w:marTop w:val="0"/>
      <w:marBottom w:val="0"/>
      <w:divBdr>
        <w:top w:val="none" w:sz="0" w:space="0" w:color="auto"/>
        <w:left w:val="none" w:sz="0" w:space="0" w:color="auto"/>
        <w:bottom w:val="none" w:sz="0" w:space="0" w:color="auto"/>
        <w:right w:val="none" w:sz="0" w:space="0" w:color="auto"/>
      </w:divBdr>
    </w:div>
    <w:div w:id="1440298454">
      <w:bodyDiv w:val="1"/>
      <w:marLeft w:val="0"/>
      <w:marRight w:val="0"/>
      <w:marTop w:val="0"/>
      <w:marBottom w:val="0"/>
      <w:divBdr>
        <w:top w:val="none" w:sz="0" w:space="0" w:color="auto"/>
        <w:left w:val="none" w:sz="0" w:space="0" w:color="auto"/>
        <w:bottom w:val="none" w:sz="0" w:space="0" w:color="auto"/>
        <w:right w:val="none" w:sz="0" w:space="0" w:color="auto"/>
      </w:divBdr>
    </w:div>
    <w:div w:id="1548682761">
      <w:bodyDiv w:val="1"/>
      <w:marLeft w:val="0"/>
      <w:marRight w:val="0"/>
      <w:marTop w:val="0"/>
      <w:marBottom w:val="0"/>
      <w:divBdr>
        <w:top w:val="none" w:sz="0" w:space="0" w:color="auto"/>
        <w:left w:val="none" w:sz="0" w:space="0" w:color="auto"/>
        <w:bottom w:val="none" w:sz="0" w:space="0" w:color="auto"/>
        <w:right w:val="none" w:sz="0" w:space="0" w:color="auto"/>
      </w:divBdr>
    </w:div>
    <w:div w:id="1612273420">
      <w:bodyDiv w:val="1"/>
      <w:marLeft w:val="0"/>
      <w:marRight w:val="0"/>
      <w:marTop w:val="0"/>
      <w:marBottom w:val="0"/>
      <w:divBdr>
        <w:top w:val="none" w:sz="0" w:space="0" w:color="auto"/>
        <w:left w:val="none" w:sz="0" w:space="0" w:color="auto"/>
        <w:bottom w:val="none" w:sz="0" w:space="0" w:color="auto"/>
        <w:right w:val="none" w:sz="0" w:space="0" w:color="auto"/>
      </w:divBdr>
    </w:div>
    <w:div w:id="1647052163">
      <w:bodyDiv w:val="1"/>
      <w:marLeft w:val="0"/>
      <w:marRight w:val="0"/>
      <w:marTop w:val="0"/>
      <w:marBottom w:val="0"/>
      <w:divBdr>
        <w:top w:val="none" w:sz="0" w:space="0" w:color="auto"/>
        <w:left w:val="none" w:sz="0" w:space="0" w:color="auto"/>
        <w:bottom w:val="none" w:sz="0" w:space="0" w:color="auto"/>
        <w:right w:val="none" w:sz="0" w:space="0" w:color="auto"/>
      </w:divBdr>
    </w:div>
    <w:div w:id="204841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978-1-80043-850-720211002" TargetMode="External"/><Relationship Id="rId18" Type="http://schemas.openxmlformats.org/officeDocument/2006/relationships/hyperlink" Target="https://doi.org/10.1108/JSM-08-2020-0340" TargetMode="External"/><Relationship Id="rId26" Type="http://schemas.openxmlformats.org/officeDocument/2006/relationships/hyperlink" Target="https://doi.org/10.22161/ijebm.5.3.3" TargetMode="External"/><Relationship Id="rId39" Type="http://schemas.openxmlformats.org/officeDocument/2006/relationships/hyperlink" Target="https://doi.org/10.47852/bonviewAAES42022765" TargetMode="External"/><Relationship Id="rId21" Type="http://schemas.openxmlformats.org/officeDocument/2006/relationships/hyperlink" Target="https://doi.org/10.46656/access.2025.6.1(3)" TargetMode="External"/><Relationship Id="rId34" Type="http://schemas.openxmlformats.org/officeDocument/2006/relationships/hyperlink" Target="https://doi.org/10.5206/cjils-rcsib.v47i2.17432" TargetMode="External"/><Relationship Id="rId42" Type="http://schemas.openxmlformats.org/officeDocument/2006/relationships/hyperlink" Target="https://doi.org/10.1017/S136898002100012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irfa.2023.102609" TargetMode="External"/><Relationship Id="rId29" Type="http://schemas.openxmlformats.org/officeDocument/2006/relationships/hyperlink" Target="https://www.researchgate.net/profile/Marcin-Majka-2/publication/381402246_Understanding_Customer_Retention_Rate/links/666b579da54c5f0b9464a0d6/Understanding-Customer-Retention-Rat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21603/2308-4057-2023-2-576" TargetMode="External"/><Relationship Id="rId32" Type="http://schemas.openxmlformats.org/officeDocument/2006/relationships/hyperlink" Target="https://doi.org/10.3390/su131910936" TargetMode="External"/><Relationship Id="rId37" Type="http://schemas.openxmlformats.org/officeDocument/2006/relationships/hyperlink" Target="https://www.statista.com/topics/3411/fitness-industry-in-the-united-kingdom-uk/" TargetMode="External"/><Relationship Id="rId40" Type="http://schemas.openxmlformats.org/officeDocument/2006/relationships/hyperlink" Target="https://doi.org/10.1108/BFJ-01-2021-0005"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38/s41598-023-42084-3" TargetMode="External"/><Relationship Id="rId23" Type="http://schemas.openxmlformats.org/officeDocument/2006/relationships/hyperlink" Target="https://doi.org/10.1088/1755-1315/1352/1/012091" TargetMode="External"/><Relationship Id="rId28" Type="http://schemas.openxmlformats.org/officeDocument/2006/relationships/hyperlink" Target="https://doi.org/10.1002/smj.3279" TargetMode="External"/><Relationship Id="rId36" Type="http://schemas.openxmlformats.org/officeDocument/2006/relationships/hyperlink" Target="https://www.statista.com/forecasts/997894/diets-and-nutrition-in-the-uk" TargetMode="External"/><Relationship Id="rId10" Type="http://schemas.openxmlformats.org/officeDocument/2006/relationships/footer" Target="footer1.xml"/><Relationship Id="rId19" Type="http://schemas.openxmlformats.org/officeDocument/2006/relationships/hyperlink" Target="https://doi.org/10.1111/obr.13711" TargetMode="External"/><Relationship Id="rId31" Type="http://schemas.openxmlformats.org/officeDocument/2006/relationships/hyperlink" Target="https://doi.org/10.1080/15528014.2021.1882168"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18479790221080214" TargetMode="External"/><Relationship Id="rId22" Type="http://schemas.openxmlformats.org/officeDocument/2006/relationships/hyperlink" Target="https://doi.org/10.1007/978-3-030-79206-0_34" TargetMode="External"/><Relationship Id="rId27" Type="http://schemas.openxmlformats.org/officeDocument/2006/relationships/hyperlink" Target="https://keeganedwards.com/understanding-dominos-target-market-demographics-and-preferences/" TargetMode="External"/><Relationship Id="rId30" Type="http://schemas.openxmlformats.org/officeDocument/2006/relationships/hyperlink" Target="https://doi.org/10.1093/comjnl/bxac042" TargetMode="External"/><Relationship Id="rId35" Type="http://schemas.openxmlformats.org/officeDocument/2006/relationships/hyperlink" Target="https://doi.org/10.1038/s41579-024-01068-4" TargetMode="External"/><Relationship Id="rId43" Type="http://schemas.openxmlformats.org/officeDocument/2006/relationships/hyperlink" Target="https://doi.org/10.4135/9781071924136"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16/j.scitotenv.2021.151041" TargetMode="External"/><Relationship Id="rId17" Type="http://schemas.openxmlformats.org/officeDocument/2006/relationships/hyperlink" Target="https://bolddata.nl/en/companies/uk/gyms/" TargetMode="External"/><Relationship Id="rId25" Type="http://schemas.openxmlformats.org/officeDocument/2006/relationships/hyperlink" Target="https://doi.org/10.37899/journallabisecoman.v3i6.832" TargetMode="External"/><Relationship Id="rId33" Type="http://schemas.openxmlformats.org/officeDocument/2006/relationships/hyperlink" Target="https://doi.org/10.17549/gbfr.2022.27.5.1" TargetMode="External"/><Relationship Id="rId38" Type="http://schemas.openxmlformats.org/officeDocument/2006/relationships/hyperlink" Target="https://doi.org/10.1080/23311975.2024.2365991" TargetMode="External"/><Relationship Id="rId46" Type="http://schemas.openxmlformats.org/officeDocument/2006/relationships/theme" Target="theme/theme1.xml"/><Relationship Id="rId20" Type="http://schemas.openxmlformats.org/officeDocument/2006/relationships/hyperlink" Target="https://doi.org/10.1016/j.clrc.2024.100198" TargetMode="External"/><Relationship Id="rId41" Type="http://schemas.openxmlformats.org/officeDocument/2006/relationships/hyperlink" Target="https://doi.org/10.3390/ijerph191811201"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52F1D-62FD-4C88-8A8F-4F942EB96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26</Pages>
  <Words>5075</Words>
  <Characters>28932</Characters>
  <Application>Microsoft Office Word</Application>
  <DocSecurity>0</DocSecurity>
  <Lines>241</Lines>
  <Paragraphs>67</Paragraphs>
  <ScaleCrop>false</ScaleCrop>
  <Company/>
  <LinksUpToDate>false</LinksUpToDate>
  <CharactersWithSpaces>33940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 Huang (2400261)</dc:creator>
  <cp:keywords/>
  <dc:description/>
  <cp:lastModifiedBy>Jian Huang (2400261)</cp:lastModifiedBy>
  <cp:revision>8</cp:revision>
  <dcterms:created xsi:type="dcterms:W3CDTF">2025-04-18T21:55:00Z</dcterms:created>
  <dcterms:modified xsi:type="dcterms:W3CDTF">2025-05-10T11:11:00Z</dcterms:modified>
</cp:coreProperties>
</file>