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37363248"/>
        <w:docPartObj>
          <w:docPartGallery w:val="Cover Pages"/>
          <w:docPartUnique/>
        </w:docPartObj>
      </w:sdtPr>
      <w:sdtEndPr>
        <w:rPr>
          <w:rFonts w:ascii="Times New Roman" w:hAnsi="Times New Roman" w:cs="Times New Roman"/>
          <w:color w:val="auto"/>
        </w:rPr>
      </w:sdtEndPr>
      <w:sdtContent>
        <w:p w14:paraId="074372A8" w14:textId="77777777" w:rsidR="0061760F" w:rsidRDefault="0061760F">
          <w:pPr>
            <w:pStyle w:val="NoSpacing"/>
            <w:spacing w:before="1540" w:after="240"/>
            <w:jc w:val="center"/>
            <w:rPr>
              <w:color w:val="5B9BD5" w:themeColor="accent1"/>
            </w:rPr>
          </w:pPr>
          <w:r>
            <w:rPr>
              <w:noProof/>
              <w:color w:val="5B9BD5" w:themeColor="accent1"/>
              <w:lang w:val="en-GB" w:eastAsia="en-GB"/>
            </w:rPr>
            <w:drawing>
              <wp:inline distT="0" distB="0" distL="0" distR="0" wp14:anchorId="02C4CBCA" wp14:editId="52CABBF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37F3FA371895424788B9B4E30162FAEE"/>
            </w:placeholder>
            <w:dataBinding w:prefixMappings="xmlns:ns0='http://purl.org/dc/elements/1.1/' xmlns:ns1='http://schemas.openxmlformats.org/package/2006/metadata/core-properties' " w:xpath="/ns1:coreProperties[1]/ns0:title[1]" w:storeItemID="{6C3C8BC8-F283-45AE-878A-BAB7291924A1}"/>
            <w:text/>
          </w:sdtPr>
          <w:sdtContent>
            <w:p w14:paraId="41925A8B" w14:textId="77777777" w:rsidR="0061760F" w:rsidRDefault="0061760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61760F">
                <w:rPr>
                  <w:rFonts w:asciiTheme="majorHAnsi" w:eastAsiaTheme="majorEastAsia" w:hAnsiTheme="majorHAnsi" w:cstheme="majorBidi"/>
                  <w:caps/>
                  <w:color w:val="5B9BD5" w:themeColor="accent1"/>
                  <w:sz w:val="72"/>
                  <w:szCs w:val="72"/>
                </w:rPr>
                <w:t>Criminal law</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26A85339" w14:textId="77777777" w:rsidR="0061760F" w:rsidRDefault="0061760F">
              <w:pPr>
                <w:pStyle w:val="NoSpacing"/>
                <w:jc w:val="center"/>
                <w:rPr>
                  <w:color w:val="5B9BD5" w:themeColor="accent1"/>
                  <w:sz w:val="28"/>
                  <w:szCs w:val="28"/>
                </w:rPr>
              </w:pPr>
              <w:r w:rsidRPr="0061760F">
                <w:rPr>
                  <w:color w:val="5B9BD5" w:themeColor="accent1"/>
                  <w:sz w:val="28"/>
                  <w:szCs w:val="28"/>
                </w:rPr>
                <w:t>Public Services Portfolio</w:t>
              </w:r>
            </w:p>
          </w:sdtContent>
        </w:sdt>
        <w:p w14:paraId="228D8B8C" w14:textId="77777777" w:rsidR="0061760F" w:rsidRDefault="0061760F">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69A5D7C" wp14:editId="2B012B9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81249C8" w14:textId="0714474E" w:rsidR="0061760F" w:rsidRDefault="00330BE3" w:rsidP="00330BE3">
                                    <w:pPr>
                                      <w:pStyle w:val="NoSpacing"/>
                                      <w:spacing w:after="40"/>
                                      <w:rPr>
                                        <w:caps/>
                                        <w:color w:val="5B9BD5" w:themeColor="accent1"/>
                                        <w:sz w:val="28"/>
                                        <w:szCs w:val="28"/>
                                      </w:rPr>
                                    </w:pPr>
                                    <w:r>
                                      <w:rPr>
                                        <w:caps/>
                                        <w:color w:val="5B9BD5" w:themeColor="accent1"/>
                                        <w:sz w:val="28"/>
                                        <w:szCs w:val="28"/>
                                      </w:rPr>
                                      <w:t xml:space="preserve">     </w:t>
                                    </w:r>
                                  </w:p>
                                </w:sdtContent>
                              </w:sdt>
                              <w:p w14:paraId="30A54B82" w14:textId="77777777" w:rsidR="0061760F" w:rsidRDefault="00000000">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1760F">
                                      <w:rPr>
                                        <w:caps/>
                                        <w:color w:val="5B9BD5" w:themeColor="accent1"/>
                                      </w:rPr>
                                      <w:t xml:space="preserve">     </w:t>
                                    </w:r>
                                  </w:sdtContent>
                                </w:sdt>
                              </w:p>
                              <w:p w14:paraId="504E8980" w14:textId="621EBE92" w:rsidR="0061760F" w:rsidRPr="00330BE3" w:rsidRDefault="00000000" w:rsidP="00330BE3">
                                <w:pPr>
                                  <w:pStyle w:val="NoSpacing"/>
                                  <w:jc w:val="right"/>
                                  <w:rPr>
                                    <w:color w:val="5B9BD5" w:themeColor="accent1"/>
                                    <w:sz w:val="28"/>
                                    <w:szCs w:val="28"/>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1760F">
                                      <w:rPr>
                                        <w:color w:val="5B9BD5" w:themeColor="accent1"/>
                                      </w:rPr>
                                      <w:t xml:space="preserve">     </w:t>
                                    </w:r>
                                  </w:sdtContent>
                                </w:sdt>
                                <w:r w:rsidR="00330BE3" w:rsidRPr="00330BE3">
                                  <w:rPr>
                                    <w:color w:val="5B9BD5" w:themeColor="accent1"/>
                                    <w:sz w:val="28"/>
                                    <w:szCs w:val="28"/>
                                  </w:rPr>
                                  <w:t>Mohammad Hafizul Hasan</w:t>
                                </w:r>
                              </w:p>
                              <w:p w14:paraId="1FF06576" w14:textId="4DB623CB" w:rsidR="00330BE3" w:rsidRPr="00330BE3" w:rsidRDefault="00330BE3" w:rsidP="00330BE3">
                                <w:pPr>
                                  <w:pStyle w:val="NoSpacing"/>
                                  <w:jc w:val="right"/>
                                  <w:rPr>
                                    <w:color w:val="5B9BD5" w:themeColor="accent1"/>
                                    <w:sz w:val="28"/>
                                    <w:szCs w:val="28"/>
                                  </w:rPr>
                                </w:pPr>
                                <w:r w:rsidRPr="00330BE3">
                                  <w:rPr>
                                    <w:color w:val="5B9BD5" w:themeColor="accent1"/>
                                    <w:sz w:val="28"/>
                                    <w:szCs w:val="28"/>
                                  </w:rPr>
                                  <w:t xml:space="preserve">Student </w:t>
                                </w:r>
                                <w:proofErr w:type="gramStart"/>
                                <w:r w:rsidRPr="00330BE3">
                                  <w:rPr>
                                    <w:color w:val="5B9BD5" w:themeColor="accent1"/>
                                    <w:sz w:val="28"/>
                                    <w:szCs w:val="28"/>
                                  </w:rPr>
                                  <w:t>ID :</w:t>
                                </w:r>
                                <w:proofErr w:type="gramEnd"/>
                                <w:r w:rsidRPr="00330BE3">
                                  <w:rPr>
                                    <w:color w:val="5B9BD5" w:themeColor="accent1"/>
                                    <w:sz w:val="28"/>
                                    <w:szCs w:val="28"/>
                                  </w:rPr>
                                  <w:t xml:space="preserve"> 2219262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69A5D7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81249C8" w14:textId="0714474E" w:rsidR="0061760F" w:rsidRDefault="00330BE3" w:rsidP="00330BE3">
                              <w:pPr>
                                <w:pStyle w:val="NoSpacing"/>
                                <w:spacing w:after="40"/>
                                <w:rPr>
                                  <w:caps/>
                                  <w:color w:val="5B9BD5" w:themeColor="accent1"/>
                                  <w:sz w:val="28"/>
                                  <w:szCs w:val="28"/>
                                </w:rPr>
                              </w:pPr>
                              <w:r>
                                <w:rPr>
                                  <w:caps/>
                                  <w:color w:val="5B9BD5" w:themeColor="accent1"/>
                                  <w:sz w:val="28"/>
                                  <w:szCs w:val="28"/>
                                </w:rPr>
                                <w:t xml:space="preserve">     </w:t>
                              </w:r>
                            </w:p>
                          </w:sdtContent>
                        </w:sdt>
                        <w:p w14:paraId="30A54B82" w14:textId="77777777" w:rsidR="0061760F" w:rsidRDefault="00000000">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61760F">
                                <w:rPr>
                                  <w:caps/>
                                  <w:color w:val="5B9BD5" w:themeColor="accent1"/>
                                </w:rPr>
                                <w:t xml:space="preserve">     </w:t>
                              </w:r>
                            </w:sdtContent>
                          </w:sdt>
                        </w:p>
                        <w:p w14:paraId="504E8980" w14:textId="621EBE92" w:rsidR="0061760F" w:rsidRPr="00330BE3" w:rsidRDefault="00000000" w:rsidP="00330BE3">
                          <w:pPr>
                            <w:pStyle w:val="NoSpacing"/>
                            <w:jc w:val="right"/>
                            <w:rPr>
                              <w:color w:val="5B9BD5" w:themeColor="accent1"/>
                              <w:sz w:val="28"/>
                              <w:szCs w:val="28"/>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1760F">
                                <w:rPr>
                                  <w:color w:val="5B9BD5" w:themeColor="accent1"/>
                                </w:rPr>
                                <w:t xml:space="preserve">     </w:t>
                              </w:r>
                            </w:sdtContent>
                          </w:sdt>
                          <w:r w:rsidR="00330BE3" w:rsidRPr="00330BE3">
                            <w:rPr>
                              <w:color w:val="5B9BD5" w:themeColor="accent1"/>
                              <w:sz w:val="28"/>
                              <w:szCs w:val="28"/>
                            </w:rPr>
                            <w:t>Mohammad Hafizul Hasan</w:t>
                          </w:r>
                        </w:p>
                        <w:p w14:paraId="1FF06576" w14:textId="4DB623CB" w:rsidR="00330BE3" w:rsidRPr="00330BE3" w:rsidRDefault="00330BE3" w:rsidP="00330BE3">
                          <w:pPr>
                            <w:pStyle w:val="NoSpacing"/>
                            <w:jc w:val="right"/>
                            <w:rPr>
                              <w:color w:val="5B9BD5" w:themeColor="accent1"/>
                              <w:sz w:val="28"/>
                              <w:szCs w:val="28"/>
                            </w:rPr>
                          </w:pPr>
                          <w:r w:rsidRPr="00330BE3">
                            <w:rPr>
                              <w:color w:val="5B9BD5" w:themeColor="accent1"/>
                              <w:sz w:val="28"/>
                              <w:szCs w:val="28"/>
                            </w:rPr>
                            <w:t xml:space="preserve">Student </w:t>
                          </w:r>
                          <w:proofErr w:type="gramStart"/>
                          <w:r w:rsidRPr="00330BE3">
                            <w:rPr>
                              <w:color w:val="5B9BD5" w:themeColor="accent1"/>
                              <w:sz w:val="28"/>
                              <w:szCs w:val="28"/>
                            </w:rPr>
                            <w:t>ID :</w:t>
                          </w:r>
                          <w:proofErr w:type="gramEnd"/>
                          <w:r w:rsidRPr="00330BE3">
                            <w:rPr>
                              <w:color w:val="5B9BD5" w:themeColor="accent1"/>
                              <w:sz w:val="28"/>
                              <w:szCs w:val="28"/>
                            </w:rPr>
                            <w:t xml:space="preserve"> 2219262</w:t>
                          </w:r>
                        </w:p>
                      </w:txbxContent>
                    </v:textbox>
                    <w10:wrap anchorx="margin" anchory="page"/>
                  </v:shape>
                </w:pict>
              </mc:Fallback>
            </mc:AlternateContent>
          </w:r>
          <w:r>
            <w:rPr>
              <w:noProof/>
              <w:color w:val="5B9BD5" w:themeColor="accent1"/>
              <w:lang w:val="en-GB" w:eastAsia="en-GB"/>
            </w:rPr>
            <w:drawing>
              <wp:inline distT="0" distB="0" distL="0" distR="0" wp14:anchorId="66F26658" wp14:editId="7C4D2F0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2F4B88" w14:textId="77777777" w:rsidR="0061760F" w:rsidRDefault="0061760F">
          <w:pPr>
            <w:rPr>
              <w:rFonts w:ascii="Times New Roman" w:hAnsi="Times New Roman" w:cs="Times New Roman"/>
            </w:rPr>
          </w:pPr>
          <w:r>
            <w:rPr>
              <w:rFonts w:ascii="Times New Roman" w:hAnsi="Times New Roman" w:cs="Times New Roman"/>
            </w:rPr>
            <w:br w:type="page"/>
          </w:r>
        </w:p>
      </w:sdtContent>
    </w:sdt>
    <w:p w14:paraId="507179CC" w14:textId="77777777" w:rsidR="00C22B48" w:rsidRPr="00330BE3" w:rsidRDefault="00C22B48" w:rsidP="00D773E5">
      <w:pPr>
        <w:jc w:val="both"/>
        <w:rPr>
          <w:rFonts w:ascii="Times New Roman" w:hAnsi="Times New Roman" w:cs="Times New Roman"/>
          <w:b/>
          <w:sz w:val="28"/>
          <w:szCs w:val="28"/>
        </w:rPr>
      </w:pPr>
      <w:r w:rsidRPr="00330BE3">
        <w:rPr>
          <w:rFonts w:ascii="Times New Roman" w:hAnsi="Times New Roman" w:cs="Times New Roman"/>
          <w:b/>
          <w:sz w:val="28"/>
          <w:szCs w:val="28"/>
        </w:rPr>
        <w:lastRenderedPageBreak/>
        <w:t>Introduction:</w:t>
      </w:r>
    </w:p>
    <w:p w14:paraId="2C5A5556" w14:textId="77777777" w:rsidR="00C22B48" w:rsidRPr="00330BE3" w:rsidRDefault="00C22B48" w:rsidP="00C22B48">
      <w:pPr>
        <w:jc w:val="both"/>
        <w:rPr>
          <w:rFonts w:ascii="Arial" w:hAnsi="Arial" w:cs="Arial"/>
          <w:sz w:val="24"/>
          <w:szCs w:val="24"/>
        </w:rPr>
      </w:pPr>
      <w:r w:rsidRPr="00330BE3">
        <w:rPr>
          <w:rFonts w:ascii="Arial" w:hAnsi="Arial" w:cs="Arial"/>
          <w:sz w:val="24"/>
          <w:szCs w:val="24"/>
        </w:rPr>
        <w:t>Polly is a made-up persona whose story prompts serious inquiries around the relationship between mental health and the criminal justice system. Polly's schizophrenia and other severe mental health disorders may have significantly contributed to her acts and may mitigate the degree to which she is responsible for them.</w:t>
      </w:r>
    </w:p>
    <w:p w14:paraId="20888FFF" w14:textId="77777777" w:rsidR="00C22B48" w:rsidRPr="00330BE3" w:rsidRDefault="00C22B48" w:rsidP="00C22B48">
      <w:pPr>
        <w:jc w:val="both"/>
        <w:rPr>
          <w:rFonts w:ascii="Arial" w:hAnsi="Arial" w:cs="Arial"/>
          <w:sz w:val="24"/>
          <w:szCs w:val="24"/>
        </w:rPr>
      </w:pPr>
      <w:r w:rsidRPr="00330BE3">
        <w:rPr>
          <w:rFonts w:ascii="Arial" w:hAnsi="Arial" w:cs="Arial"/>
          <w:sz w:val="24"/>
          <w:szCs w:val="24"/>
        </w:rPr>
        <w:t xml:space="preserve">When determining a criminal defendant's punishment, mental illness is typically viewed as a mitigating factor. However, </w:t>
      </w:r>
      <w:proofErr w:type="gramStart"/>
      <w:r w:rsidRPr="00330BE3">
        <w:rPr>
          <w:rFonts w:ascii="Arial" w:hAnsi="Arial" w:cs="Arial"/>
          <w:sz w:val="24"/>
          <w:szCs w:val="24"/>
        </w:rPr>
        <w:t>in order to</w:t>
      </w:r>
      <w:proofErr w:type="gramEnd"/>
      <w:r w:rsidRPr="00330BE3">
        <w:rPr>
          <w:rFonts w:ascii="Arial" w:hAnsi="Arial" w:cs="Arial"/>
          <w:sz w:val="24"/>
          <w:szCs w:val="24"/>
        </w:rPr>
        <w:t xml:space="preserve"> use mental illness as a defence, the defendant must show that they were incapable of understanding the nature and consequences of their actions at the time of the offense. Polly's schizophrenia may have made it difficult for her to understand the gravity of her actions, especially murder.</w:t>
      </w:r>
    </w:p>
    <w:p w14:paraId="3208F59D" w14:textId="77777777" w:rsidR="00C22B48" w:rsidRPr="00330BE3" w:rsidRDefault="00C22B48" w:rsidP="00C22B48">
      <w:pPr>
        <w:jc w:val="both"/>
        <w:rPr>
          <w:rFonts w:ascii="Arial" w:hAnsi="Arial" w:cs="Arial"/>
          <w:sz w:val="24"/>
          <w:szCs w:val="24"/>
        </w:rPr>
      </w:pPr>
      <w:r w:rsidRPr="00330BE3">
        <w:rPr>
          <w:rFonts w:ascii="Arial" w:hAnsi="Arial" w:cs="Arial"/>
          <w:sz w:val="24"/>
          <w:szCs w:val="24"/>
        </w:rPr>
        <w:t>Mental health problems can be tricky to identify and assess, especially when the affected person is trying to downplay or deny their condition. Moreover, it can be difficult to determine the extent to which a mental illness influenced the individual's behaviour, even if a diagnosis has been made.</w:t>
      </w:r>
    </w:p>
    <w:p w14:paraId="1CC368EB" w14:textId="77777777" w:rsidR="00C22B48" w:rsidRPr="00330BE3" w:rsidRDefault="00C22B48" w:rsidP="00C22B48">
      <w:pPr>
        <w:jc w:val="both"/>
        <w:rPr>
          <w:rFonts w:ascii="Arial" w:hAnsi="Arial" w:cs="Arial"/>
          <w:sz w:val="24"/>
          <w:szCs w:val="24"/>
        </w:rPr>
      </w:pPr>
      <w:r w:rsidRPr="00330BE3">
        <w:rPr>
          <w:rFonts w:ascii="Arial" w:hAnsi="Arial" w:cs="Arial"/>
          <w:sz w:val="24"/>
          <w:szCs w:val="24"/>
        </w:rPr>
        <w:t xml:space="preserve">Given Polly's serious mental health concerns, a normal criminal punishment may not be the best course of action. </w:t>
      </w:r>
      <w:proofErr w:type="gramStart"/>
      <w:r w:rsidRPr="00330BE3">
        <w:rPr>
          <w:rFonts w:ascii="Arial" w:hAnsi="Arial" w:cs="Arial"/>
          <w:sz w:val="24"/>
          <w:szCs w:val="24"/>
        </w:rPr>
        <w:t>Taking into account</w:t>
      </w:r>
      <w:proofErr w:type="gramEnd"/>
      <w:r w:rsidRPr="00330BE3">
        <w:rPr>
          <w:rFonts w:ascii="Arial" w:hAnsi="Arial" w:cs="Arial"/>
          <w:sz w:val="24"/>
          <w:szCs w:val="24"/>
        </w:rPr>
        <w:t xml:space="preserve"> her mental health concerns and attempting to address the root causes of her behaviour may necessitate a different strategy, such as therapy or rehabilitation. Medication, therapy, and other forms of help may need to be used together.</w:t>
      </w:r>
    </w:p>
    <w:p w14:paraId="407B1C76" w14:textId="77777777" w:rsidR="00330BE3" w:rsidRPr="00330BE3" w:rsidRDefault="00330BE3" w:rsidP="00C22B48">
      <w:pPr>
        <w:jc w:val="both"/>
        <w:rPr>
          <w:rFonts w:ascii="Arial" w:hAnsi="Arial" w:cs="Arial"/>
          <w:sz w:val="28"/>
          <w:szCs w:val="28"/>
        </w:rPr>
      </w:pPr>
    </w:p>
    <w:p w14:paraId="0F9CD3E5" w14:textId="77777777" w:rsidR="0046145C" w:rsidRPr="00330BE3" w:rsidRDefault="0046145C" w:rsidP="00D773E5">
      <w:pPr>
        <w:jc w:val="both"/>
        <w:rPr>
          <w:rFonts w:ascii="Times New Roman" w:hAnsi="Times New Roman" w:cs="Times New Roman"/>
          <w:b/>
          <w:sz w:val="28"/>
          <w:szCs w:val="28"/>
        </w:rPr>
      </w:pPr>
      <w:r w:rsidRPr="00330BE3">
        <w:rPr>
          <w:rFonts w:ascii="Times New Roman" w:hAnsi="Times New Roman" w:cs="Times New Roman"/>
          <w:b/>
          <w:sz w:val="28"/>
          <w:szCs w:val="28"/>
        </w:rPr>
        <w:t>Offences Committed:</w:t>
      </w:r>
    </w:p>
    <w:p w14:paraId="6C1A9808" w14:textId="501FE383" w:rsidR="0046145C" w:rsidRPr="00330BE3" w:rsidRDefault="0046145C" w:rsidP="00D773E5">
      <w:pPr>
        <w:numPr>
          <w:ilvl w:val="0"/>
          <w:numId w:val="1"/>
        </w:numPr>
        <w:jc w:val="both"/>
        <w:rPr>
          <w:rFonts w:ascii="Arial" w:hAnsi="Arial" w:cs="Arial"/>
          <w:sz w:val="24"/>
          <w:szCs w:val="24"/>
        </w:rPr>
      </w:pPr>
      <w:r w:rsidRPr="00330BE3">
        <w:rPr>
          <w:rFonts w:ascii="Arial" w:hAnsi="Arial" w:cs="Arial"/>
          <w:b/>
          <w:sz w:val="24"/>
          <w:szCs w:val="24"/>
        </w:rPr>
        <w:t>Criminal Damage:</w:t>
      </w:r>
      <w:r w:rsidRPr="00330BE3">
        <w:rPr>
          <w:rFonts w:ascii="Arial" w:hAnsi="Arial" w:cs="Arial"/>
          <w:sz w:val="24"/>
          <w:szCs w:val="24"/>
        </w:rPr>
        <w:t xml:space="preserve"> </w:t>
      </w:r>
      <w:r w:rsidR="00D773E5" w:rsidRPr="00330BE3">
        <w:rPr>
          <w:rFonts w:ascii="Arial" w:hAnsi="Arial" w:cs="Arial"/>
          <w:sz w:val="24"/>
          <w:szCs w:val="24"/>
        </w:rPr>
        <w:t>Polly has broken the law by severing Roxanne's scooter's brake lines with a shard of glass, as defined by Section 1(1) of the Criminal Damage Act 1971. Because of the damage done, the property can no longer serve its intended purpose, which is a necessary element of the crime of criminal damage. Polly's purpose to damage Roxanne's property without lawful excuse or authority fits the men’s rea criterion for the crime of fundamental intent. The law does not recognise insanity as a defence for the crime of criminal damage, so Polly's schizophrenia does not acquit her of criminal guilt. According to Section 1(1) of the Criminal Damage Act 1971, a person convicted of criminal damage may receive a fine, a community order, or imprisonment for a time not to exceed 10 years Polly's assault on Mohammed with a glass ashtray is not only an act of criminal damage, but also a murder in violation of Section 1(1) of the Murder Act of 1965</w:t>
      </w:r>
      <w:r w:rsidR="0061760F" w:rsidRPr="00330BE3">
        <w:rPr>
          <w:rFonts w:ascii="Arial" w:hAnsi="Arial" w:cs="Arial"/>
          <w:sz w:val="24"/>
          <w:szCs w:val="24"/>
        </w:rPr>
        <w:t xml:space="preserve"> I (</w:t>
      </w:r>
      <w:proofErr w:type="spellStart"/>
      <w:r w:rsidR="0061760F" w:rsidRPr="00330BE3">
        <w:rPr>
          <w:rFonts w:ascii="Arial" w:hAnsi="Arial" w:cs="Arial"/>
          <w:sz w:val="24"/>
          <w:szCs w:val="24"/>
        </w:rPr>
        <w:t>Wasik</w:t>
      </w:r>
      <w:proofErr w:type="spellEnd"/>
      <w:r w:rsidR="0061760F" w:rsidRPr="00330BE3">
        <w:rPr>
          <w:rFonts w:ascii="Arial" w:hAnsi="Arial" w:cs="Arial"/>
          <w:sz w:val="24"/>
          <w:szCs w:val="24"/>
        </w:rPr>
        <w:t>, M.1988)</w:t>
      </w:r>
      <w:r w:rsidR="00D773E5" w:rsidRPr="00330BE3">
        <w:rPr>
          <w:rFonts w:ascii="Arial" w:hAnsi="Arial" w:cs="Arial"/>
          <w:sz w:val="24"/>
          <w:szCs w:val="24"/>
        </w:rPr>
        <w:t xml:space="preserve">. According to this scenario, Polly set out to kill or seriously injure Mohammed, and she succeeded in doing either. Therefore, both the actus reus and men’s rea elements of the crime of murder have been met. The law requires total loss of mental capacity for a defence of insanity to be successful, making Polly's mental illness unlikely to constitute a valid defence. According to Section 1(1) of the Murder Act 1965, the maximum penalty for </w:t>
      </w:r>
      <w:r w:rsidR="00D773E5" w:rsidRPr="00330BE3">
        <w:rPr>
          <w:rFonts w:ascii="Arial" w:hAnsi="Arial" w:cs="Arial"/>
          <w:sz w:val="24"/>
          <w:szCs w:val="24"/>
        </w:rPr>
        <w:lastRenderedPageBreak/>
        <w:t>murder is life in prison without the possibility of parole.</w:t>
      </w:r>
      <w:r w:rsidR="00330BE3" w:rsidRPr="00330BE3">
        <w:rPr>
          <w:rFonts w:ascii="Arial" w:hAnsi="Arial" w:cs="Arial"/>
          <w:sz w:val="24"/>
          <w:szCs w:val="24"/>
        </w:rPr>
        <w:t xml:space="preserve"> </w:t>
      </w:r>
      <w:r w:rsidRPr="00330BE3">
        <w:rPr>
          <w:rFonts w:ascii="Arial" w:hAnsi="Arial" w:cs="Arial"/>
          <w:sz w:val="24"/>
          <w:szCs w:val="24"/>
        </w:rPr>
        <w:t>In the case of R v. Sangha (1998), the court ruled that the defendant could be convicted of criminal damage notwithstanding the fact that they argued they did not mean to cause the damage they caused. In a similar vein, there is no question regarding Polly's intention to do damage to the brake wires because of the broken glass that she used</w:t>
      </w:r>
      <w:r w:rsidR="0061760F" w:rsidRPr="00330BE3">
        <w:rPr>
          <w:rFonts w:ascii="Arial" w:hAnsi="Arial" w:cs="Arial"/>
          <w:sz w:val="24"/>
          <w:szCs w:val="24"/>
        </w:rPr>
        <w:t xml:space="preserve"> (</w:t>
      </w:r>
      <w:proofErr w:type="spellStart"/>
      <w:r w:rsidR="0061760F" w:rsidRPr="00330BE3">
        <w:rPr>
          <w:rFonts w:ascii="Arial" w:hAnsi="Arial" w:cs="Arial"/>
          <w:sz w:val="24"/>
          <w:szCs w:val="24"/>
        </w:rPr>
        <w:t>Wasik</w:t>
      </w:r>
      <w:proofErr w:type="spellEnd"/>
      <w:r w:rsidR="0061760F" w:rsidRPr="00330BE3">
        <w:rPr>
          <w:rFonts w:ascii="Arial" w:hAnsi="Arial" w:cs="Arial"/>
          <w:sz w:val="24"/>
          <w:szCs w:val="24"/>
        </w:rPr>
        <w:t>, M.1988)</w:t>
      </w:r>
      <w:r w:rsidRPr="00330BE3">
        <w:rPr>
          <w:rFonts w:ascii="Arial" w:hAnsi="Arial" w:cs="Arial"/>
          <w:sz w:val="24"/>
          <w:szCs w:val="24"/>
        </w:rPr>
        <w:t>. Since this is the case, the defence of mistake would not be accessible.</w:t>
      </w:r>
    </w:p>
    <w:p w14:paraId="75EAA2A8" w14:textId="7C4FA872" w:rsidR="0046145C" w:rsidRPr="00330BE3" w:rsidRDefault="0046145C" w:rsidP="00D773E5">
      <w:pPr>
        <w:numPr>
          <w:ilvl w:val="0"/>
          <w:numId w:val="2"/>
        </w:numPr>
        <w:jc w:val="both"/>
        <w:rPr>
          <w:rFonts w:ascii="Arial" w:hAnsi="Arial" w:cs="Arial"/>
          <w:sz w:val="24"/>
          <w:szCs w:val="24"/>
        </w:rPr>
      </w:pPr>
      <w:r w:rsidRPr="00330BE3">
        <w:rPr>
          <w:rFonts w:ascii="Arial" w:hAnsi="Arial" w:cs="Arial"/>
          <w:b/>
          <w:sz w:val="24"/>
          <w:szCs w:val="24"/>
        </w:rPr>
        <w:t>Common Assault:</w:t>
      </w:r>
      <w:r w:rsidRPr="00330BE3">
        <w:rPr>
          <w:rFonts w:ascii="Arial" w:hAnsi="Arial" w:cs="Arial"/>
          <w:sz w:val="24"/>
          <w:szCs w:val="24"/>
        </w:rPr>
        <w:t xml:space="preserve"> </w:t>
      </w:r>
      <w:r w:rsidR="00330BE3" w:rsidRPr="00330BE3">
        <w:rPr>
          <w:rFonts w:ascii="Arial" w:hAnsi="Arial" w:cs="Arial"/>
          <w:sz w:val="24"/>
          <w:szCs w:val="24"/>
        </w:rPr>
        <w:t xml:space="preserve"> </w:t>
      </w:r>
      <w:r w:rsidR="00D773E5" w:rsidRPr="00330BE3">
        <w:rPr>
          <w:rFonts w:ascii="Arial" w:hAnsi="Arial" w:cs="Arial"/>
          <w:sz w:val="24"/>
          <w:szCs w:val="24"/>
        </w:rPr>
        <w:t>According to Section 39 of the Criminal Justice Act of 1988, Polly has committed a common assault charge by calling Roxanne a "bitch" and giving her the middle finger. Because of this, Roxanne was afraid she might be subject to arbitrary arrest. As a summary offence, common assault carries a possible maximum sentence of six months in jail or a fine. Polly damaged the brake cables on Roxanne's scooter and caused damage in accordance with Section 1(1) of the Criminal Damage Act 1971. This crime is indictable and has a maximum punishment of ten years in prison. When Polly smashed Mohammed over the head with a glass ashtray, she committed murder, the country's highest crime. Life in jail without parole is the default penalty for the crime. However, given the circumstances, Polly might potentially use the reduced responsibility defence, which would result in a manslaughter conviction rather than a murder one.</w:t>
      </w:r>
      <w:r w:rsidR="00330BE3" w:rsidRPr="00330BE3">
        <w:rPr>
          <w:rFonts w:ascii="Arial" w:hAnsi="Arial" w:cs="Arial"/>
          <w:sz w:val="24"/>
          <w:szCs w:val="24"/>
        </w:rPr>
        <w:t xml:space="preserve"> </w:t>
      </w:r>
      <w:r w:rsidRPr="00330BE3">
        <w:rPr>
          <w:rFonts w:ascii="Arial" w:hAnsi="Arial" w:cs="Arial"/>
          <w:sz w:val="24"/>
          <w:szCs w:val="24"/>
        </w:rPr>
        <w:t xml:space="preserve">In the case of R v. Hatter (2013), the court ruled that an instantaneous purpose, rather than a conditional one, is required </w:t>
      </w:r>
      <w:proofErr w:type="gramStart"/>
      <w:r w:rsidRPr="00330BE3">
        <w:rPr>
          <w:rFonts w:ascii="Arial" w:hAnsi="Arial" w:cs="Arial"/>
          <w:sz w:val="24"/>
          <w:szCs w:val="24"/>
        </w:rPr>
        <w:t>in order to</w:t>
      </w:r>
      <w:proofErr w:type="gramEnd"/>
      <w:r w:rsidRPr="00330BE3">
        <w:rPr>
          <w:rFonts w:ascii="Arial" w:hAnsi="Arial" w:cs="Arial"/>
          <w:sz w:val="24"/>
          <w:szCs w:val="24"/>
        </w:rPr>
        <w:t xml:space="preserve"> constitute the intent to provoke fear of violence. In this </w:t>
      </w:r>
      <w:proofErr w:type="gramStart"/>
      <w:r w:rsidRPr="00330BE3">
        <w:rPr>
          <w:rFonts w:ascii="Arial" w:hAnsi="Arial" w:cs="Arial"/>
          <w:sz w:val="24"/>
          <w:szCs w:val="24"/>
        </w:rPr>
        <w:t>particular instance</w:t>
      </w:r>
      <w:proofErr w:type="gramEnd"/>
      <w:r w:rsidRPr="00330BE3">
        <w:rPr>
          <w:rFonts w:ascii="Arial" w:hAnsi="Arial" w:cs="Arial"/>
          <w:sz w:val="24"/>
          <w:szCs w:val="24"/>
        </w:rPr>
        <w:t>, Polly's words and gestures were prompt, and Roxanne manifested an obvious fear of physical assault. As a result, the conditional intent defence would not be applicable in this case.</w:t>
      </w:r>
    </w:p>
    <w:p w14:paraId="7653331B" w14:textId="77777777" w:rsidR="00330BE3" w:rsidRPr="00330BE3" w:rsidRDefault="00330BE3" w:rsidP="00D773E5">
      <w:pPr>
        <w:jc w:val="both"/>
        <w:rPr>
          <w:rFonts w:ascii="Arial" w:hAnsi="Arial" w:cs="Arial"/>
          <w:sz w:val="24"/>
          <w:szCs w:val="24"/>
        </w:rPr>
      </w:pPr>
    </w:p>
    <w:p w14:paraId="4F333D71" w14:textId="10C66E27" w:rsidR="0046145C" w:rsidRPr="00330BE3" w:rsidRDefault="0046145C" w:rsidP="00330BE3">
      <w:pPr>
        <w:numPr>
          <w:ilvl w:val="0"/>
          <w:numId w:val="3"/>
        </w:numPr>
        <w:jc w:val="both"/>
        <w:rPr>
          <w:rFonts w:ascii="Arial" w:hAnsi="Arial" w:cs="Arial"/>
          <w:sz w:val="24"/>
          <w:szCs w:val="24"/>
        </w:rPr>
      </w:pPr>
      <w:r w:rsidRPr="00330BE3">
        <w:rPr>
          <w:rFonts w:ascii="Arial" w:hAnsi="Arial" w:cs="Arial"/>
          <w:b/>
          <w:sz w:val="24"/>
          <w:szCs w:val="24"/>
        </w:rPr>
        <w:t>Murder:</w:t>
      </w:r>
      <w:r w:rsidRPr="00330BE3">
        <w:rPr>
          <w:rFonts w:ascii="Arial" w:hAnsi="Arial" w:cs="Arial"/>
          <w:sz w:val="24"/>
          <w:szCs w:val="24"/>
        </w:rPr>
        <w:t xml:space="preserve"> By striking Mohammed over the head with the glass ashtray, Polly has committed the crime of murder as outlined in Section 1 of the Murder Act 1965. As a direct result of this blow, Mohammed passed away instantly. Given the circumstances, the fact that a glass ashtray was used as a weapon indicates that the user intended to cause severe injury or even death. The crime is punishable by indictment and carries a mandatory penalty of life in </w:t>
      </w:r>
      <w:proofErr w:type="spellStart"/>
      <w:proofErr w:type="gramStart"/>
      <w:r w:rsidRPr="00330BE3">
        <w:rPr>
          <w:rFonts w:ascii="Arial" w:hAnsi="Arial" w:cs="Arial"/>
          <w:sz w:val="24"/>
          <w:szCs w:val="24"/>
        </w:rPr>
        <w:t>prison.Even</w:t>
      </w:r>
      <w:proofErr w:type="spellEnd"/>
      <w:proofErr w:type="gramEnd"/>
      <w:r w:rsidRPr="00330BE3">
        <w:rPr>
          <w:rFonts w:ascii="Arial" w:hAnsi="Arial" w:cs="Arial"/>
          <w:sz w:val="24"/>
          <w:szCs w:val="24"/>
        </w:rPr>
        <w:t xml:space="preserve"> if the defendant was so drunk that they were unable to generate the essential men’s rea at the time of the crime, the court ruled in the case of Lipman (1970) that intoxication could not be used as a defence for the crime of murder. In the same vein, the defence of mistake would not be applicable in this scenario because it is very evident that Polly intended to cause serious harm or death.</w:t>
      </w:r>
    </w:p>
    <w:p w14:paraId="51536AD9" w14:textId="77777777" w:rsidR="00330BE3" w:rsidRPr="00330BE3" w:rsidRDefault="00330BE3" w:rsidP="00D773E5">
      <w:pPr>
        <w:ind w:left="360"/>
        <w:jc w:val="both"/>
        <w:rPr>
          <w:rFonts w:ascii="Arial" w:hAnsi="Arial" w:cs="Arial"/>
        </w:rPr>
      </w:pPr>
    </w:p>
    <w:p w14:paraId="7BC9037F" w14:textId="77777777" w:rsidR="0046145C" w:rsidRPr="00330BE3" w:rsidRDefault="0046145C" w:rsidP="00D773E5">
      <w:pPr>
        <w:jc w:val="both"/>
        <w:rPr>
          <w:rFonts w:ascii="Times New Roman" w:hAnsi="Times New Roman" w:cs="Times New Roman"/>
          <w:b/>
          <w:sz w:val="28"/>
          <w:szCs w:val="28"/>
        </w:rPr>
      </w:pPr>
      <w:r w:rsidRPr="00330BE3">
        <w:rPr>
          <w:rFonts w:ascii="Times New Roman" w:hAnsi="Times New Roman" w:cs="Times New Roman"/>
          <w:b/>
          <w:sz w:val="28"/>
          <w:szCs w:val="28"/>
        </w:rPr>
        <w:t>Defences Considered:</w:t>
      </w:r>
    </w:p>
    <w:p w14:paraId="08EF0146" w14:textId="4D766345" w:rsidR="0046145C" w:rsidRPr="00330BE3" w:rsidRDefault="0046145C" w:rsidP="00330BE3">
      <w:pPr>
        <w:numPr>
          <w:ilvl w:val="0"/>
          <w:numId w:val="4"/>
        </w:numPr>
        <w:jc w:val="both"/>
        <w:rPr>
          <w:rFonts w:ascii="Arial" w:hAnsi="Arial" w:cs="Arial"/>
          <w:sz w:val="24"/>
          <w:szCs w:val="24"/>
        </w:rPr>
      </w:pPr>
      <w:r w:rsidRPr="00330BE3">
        <w:rPr>
          <w:rFonts w:ascii="Arial" w:hAnsi="Arial" w:cs="Arial"/>
          <w:b/>
          <w:bCs/>
          <w:sz w:val="24"/>
          <w:szCs w:val="24"/>
        </w:rPr>
        <w:t>Automatism:</w:t>
      </w:r>
      <w:r w:rsidRPr="00330BE3">
        <w:rPr>
          <w:rFonts w:ascii="Arial" w:hAnsi="Arial" w:cs="Arial"/>
          <w:sz w:val="24"/>
          <w:szCs w:val="24"/>
        </w:rPr>
        <w:t xml:space="preserve"> Because Polly's acts were a result of her schizophrenia, she may be entitled to claim the defence of automatism in respect to the offence of murder. An epileptic seizure or an episode of sleepwalking are both </w:t>
      </w:r>
      <w:r w:rsidRPr="00330BE3">
        <w:rPr>
          <w:rFonts w:ascii="Arial" w:hAnsi="Arial" w:cs="Arial"/>
          <w:sz w:val="24"/>
          <w:szCs w:val="24"/>
        </w:rPr>
        <w:lastRenderedPageBreak/>
        <w:t>examples of automatism, which is defined as an action carried out by the muscles without any control by the mind</w:t>
      </w:r>
      <w:r w:rsidR="0061760F" w:rsidRPr="00330BE3">
        <w:rPr>
          <w:rFonts w:ascii="Arial" w:hAnsi="Arial" w:cs="Arial"/>
          <w:sz w:val="24"/>
          <w:szCs w:val="24"/>
        </w:rPr>
        <w:t xml:space="preserve"> (</w:t>
      </w:r>
      <w:proofErr w:type="spellStart"/>
      <w:r w:rsidR="0061760F" w:rsidRPr="00330BE3">
        <w:rPr>
          <w:rFonts w:ascii="Arial" w:hAnsi="Arial" w:cs="Arial"/>
          <w:sz w:val="24"/>
          <w:szCs w:val="24"/>
        </w:rPr>
        <w:t>Wasik</w:t>
      </w:r>
      <w:proofErr w:type="spellEnd"/>
      <w:r w:rsidR="0061760F" w:rsidRPr="00330BE3">
        <w:rPr>
          <w:rFonts w:ascii="Arial" w:hAnsi="Arial" w:cs="Arial"/>
          <w:sz w:val="24"/>
          <w:szCs w:val="24"/>
        </w:rPr>
        <w:t>, M.1988)</w:t>
      </w:r>
      <w:r w:rsidRPr="00330BE3">
        <w:rPr>
          <w:rFonts w:ascii="Arial" w:hAnsi="Arial" w:cs="Arial"/>
          <w:sz w:val="24"/>
          <w:szCs w:val="24"/>
        </w:rPr>
        <w:t xml:space="preserve">. For the defence of automatism to be applicable, the act in question must have been involuntary, and the defendant must not have any previous record of wrongdoing or </w:t>
      </w:r>
      <w:proofErr w:type="spellStart"/>
      <w:proofErr w:type="gramStart"/>
      <w:r w:rsidRPr="00330BE3">
        <w:rPr>
          <w:rFonts w:ascii="Arial" w:hAnsi="Arial" w:cs="Arial"/>
          <w:sz w:val="24"/>
          <w:szCs w:val="24"/>
        </w:rPr>
        <w:t>guilt.In</w:t>
      </w:r>
      <w:proofErr w:type="spellEnd"/>
      <w:proofErr w:type="gramEnd"/>
      <w:r w:rsidRPr="00330BE3">
        <w:rPr>
          <w:rFonts w:ascii="Arial" w:hAnsi="Arial" w:cs="Arial"/>
          <w:sz w:val="24"/>
          <w:szCs w:val="24"/>
        </w:rPr>
        <w:t xml:space="preserve"> the case of R v. Foye (2013), the court ruled that the automatism defence could only be used if the defendant's action was the result of an external source that was beyond their control. It would be more suitable to use the insanity defence or the reduced responsibility defence if the act was the result of a mental illness or a personality issue. As a result, the defence of automatism is not likely to be successful in this instance, </w:t>
      </w:r>
      <w:proofErr w:type="gramStart"/>
      <w:r w:rsidRPr="00330BE3">
        <w:rPr>
          <w:rFonts w:ascii="Arial" w:hAnsi="Arial" w:cs="Arial"/>
          <w:sz w:val="24"/>
          <w:szCs w:val="24"/>
        </w:rPr>
        <w:t>despite the fact that</w:t>
      </w:r>
      <w:proofErr w:type="gramEnd"/>
      <w:r w:rsidRPr="00330BE3">
        <w:rPr>
          <w:rFonts w:ascii="Arial" w:hAnsi="Arial" w:cs="Arial"/>
          <w:sz w:val="24"/>
          <w:szCs w:val="24"/>
        </w:rPr>
        <w:t xml:space="preserve"> Polly's schizophrenia may be relevant to the question of her level of responsibility.</w:t>
      </w:r>
    </w:p>
    <w:p w14:paraId="4E2B104C" w14:textId="52413408" w:rsidR="0046145C" w:rsidRPr="00330BE3" w:rsidRDefault="0046145C" w:rsidP="00330BE3">
      <w:pPr>
        <w:numPr>
          <w:ilvl w:val="0"/>
          <w:numId w:val="5"/>
        </w:numPr>
        <w:jc w:val="both"/>
        <w:rPr>
          <w:rFonts w:ascii="Arial" w:hAnsi="Arial" w:cs="Arial"/>
          <w:sz w:val="24"/>
          <w:szCs w:val="24"/>
        </w:rPr>
      </w:pPr>
      <w:r w:rsidRPr="00330BE3">
        <w:rPr>
          <w:rFonts w:ascii="Arial" w:hAnsi="Arial" w:cs="Arial"/>
          <w:b/>
          <w:sz w:val="24"/>
          <w:szCs w:val="24"/>
        </w:rPr>
        <w:t>Diminished Responsibility:</w:t>
      </w:r>
      <w:r w:rsidRPr="00330BE3">
        <w:rPr>
          <w:rFonts w:ascii="Arial" w:hAnsi="Arial" w:cs="Arial"/>
          <w:sz w:val="24"/>
          <w:szCs w:val="24"/>
        </w:rPr>
        <w:t xml:space="preserve"> Because Polly's schizophrenia may have caused her to have an abnormality of mental functioning that substantially impaired her ability to understand the nature of her conduct or to form a rational judgement, she may be able to use the defence of diminished responsibility in relation to the crime of murder. This is because schizophrenia may have caused Polly to have an abnormality of mental functioning. The defence of diminished responsibility requires that the defendant had an abnormality of mental functioning that resulted from a known medical condition, and that this abnormality considerably hindered their mental accountability for their conduct. This defence is only available in states that recognise decreased responsibility as a valid </w:t>
      </w:r>
      <w:proofErr w:type="spellStart"/>
      <w:proofErr w:type="gramStart"/>
      <w:r w:rsidRPr="00330BE3">
        <w:rPr>
          <w:rFonts w:ascii="Arial" w:hAnsi="Arial" w:cs="Arial"/>
          <w:sz w:val="24"/>
          <w:szCs w:val="24"/>
        </w:rPr>
        <w:t>defence.After</w:t>
      </w:r>
      <w:proofErr w:type="spellEnd"/>
      <w:proofErr w:type="gramEnd"/>
      <w:r w:rsidRPr="00330BE3">
        <w:rPr>
          <w:rFonts w:ascii="Arial" w:hAnsi="Arial" w:cs="Arial"/>
          <w:sz w:val="24"/>
          <w:szCs w:val="24"/>
        </w:rPr>
        <w:t xml:space="preserve"> considering the possible lines of defence, it is abundantly evident that Polly is responsible for a number of violations in this circumstance. Because she severed the brake cables on Roxanne's moped, which is a crime of fundamental purpose, it is quite possible that she will be prosecuted with criminal damage under section 1 of the Criminal Damage Act of 1971. She severed the lines with the intention of causing damage to Roxanne's property, and as a result, she has satisfied the men’s rea requirement. In addition, she did not have a valid justification or permission to inflict the damage in question. </w:t>
      </w:r>
      <w:proofErr w:type="gramStart"/>
      <w:r w:rsidRPr="00330BE3">
        <w:rPr>
          <w:rFonts w:ascii="Arial" w:hAnsi="Arial" w:cs="Arial"/>
          <w:sz w:val="24"/>
          <w:szCs w:val="24"/>
        </w:rPr>
        <w:t>Due to the fact that</w:t>
      </w:r>
      <w:proofErr w:type="gramEnd"/>
      <w:r w:rsidRPr="00330BE3">
        <w:rPr>
          <w:rFonts w:ascii="Arial" w:hAnsi="Arial" w:cs="Arial"/>
          <w:sz w:val="24"/>
          <w:szCs w:val="24"/>
        </w:rPr>
        <w:t xml:space="preserve"> the law does not acknowledge insanity as a valid defence for the offence of criminal damage, the fact that Polly was suffering from a mental condition is irrelevant. According to subsection one (1) of the Criminal Damage Act from 1971, Polly's punishment for this crime might consist of a monetary fine, an order to participate in community service, or imprisonment for </w:t>
      </w:r>
      <w:proofErr w:type="gramStart"/>
      <w:r w:rsidRPr="00330BE3">
        <w:rPr>
          <w:rFonts w:ascii="Arial" w:hAnsi="Arial" w:cs="Arial"/>
          <w:sz w:val="24"/>
          <w:szCs w:val="24"/>
        </w:rPr>
        <w:t>a period of time</w:t>
      </w:r>
      <w:proofErr w:type="gramEnd"/>
      <w:r w:rsidRPr="00330BE3">
        <w:rPr>
          <w:rFonts w:ascii="Arial" w:hAnsi="Arial" w:cs="Arial"/>
          <w:sz w:val="24"/>
          <w:szCs w:val="24"/>
        </w:rPr>
        <w:t xml:space="preserve"> that does not exceed 10 years</w:t>
      </w:r>
      <w:r w:rsidR="0061760F" w:rsidRPr="00330BE3">
        <w:rPr>
          <w:rFonts w:ascii="Arial" w:hAnsi="Arial" w:cs="Arial"/>
          <w:sz w:val="24"/>
          <w:szCs w:val="24"/>
        </w:rPr>
        <w:t xml:space="preserve"> (Virgo, G.1992)</w:t>
      </w:r>
      <w:r w:rsidRPr="00330BE3">
        <w:rPr>
          <w:rFonts w:ascii="Arial" w:hAnsi="Arial" w:cs="Arial"/>
          <w:sz w:val="24"/>
          <w:szCs w:val="24"/>
        </w:rPr>
        <w:t>.</w:t>
      </w:r>
      <w:r w:rsidR="00330BE3">
        <w:rPr>
          <w:rFonts w:ascii="Arial" w:hAnsi="Arial" w:cs="Arial"/>
          <w:sz w:val="24"/>
          <w:szCs w:val="24"/>
        </w:rPr>
        <w:t xml:space="preserve"> </w:t>
      </w:r>
      <w:r w:rsidRPr="00330BE3">
        <w:rPr>
          <w:rFonts w:ascii="Arial" w:hAnsi="Arial" w:cs="Arial"/>
          <w:sz w:val="24"/>
          <w:szCs w:val="24"/>
        </w:rPr>
        <w:t xml:space="preserve">It is highly likely that Polly will also be prosecuted with murder under section 1(1) of the Murder Act 1965 for her role in causing Mohammed's death. It is obvious from the scenario that Polly had the purpose to murder or cause severe bodily damage to Mohammed, as she picked up a glass ashtray and whacked him over the head with it, causing him to die instantaneously. This shows that she had the intent to either kill or do grievous bodily harm to Mohammed. Both the </w:t>
      </w:r>
      <w:proofErr w:type="gramStart"/>
      <w:r w:rsidRPr="00330BE3">
        <w:rPr>
          <w:rFonts w:ascii="Arial" w:hAnsi="Arial" w:cs="Arial"/>
          <w:sz w:val="24"/>
          <w:szCs w:val="24"/>
        </w:rPr>
        <w:t>acts</w:t>
      </w:r>
      <w:proofErr w:type="gramEnd"/>
      <w:r w:rsidRPr="00330BE3">
        <w:rPr>
          <w:rFonts w:ascii="Arial" w:hAnsi="Arial" w:cs="Arial"/>
          <w:sz w:val="24"/>
          <w:szCs w:val="24"/>
        </w:rPr>
        <w:t xml:space="preserve"> rues and men’s rea conditions for the commission of the crime of murder are met by her conduct. Given that the law requires a complete absence of mental ability for a defence of insanity to be effective, the fact that Polly suffers from </w:t>
      </w:r>
      <w:r w:rsidRPr="00330BE3">
        <w:rPr>
          <w:rFonts w:ascii="Arial" w:hAnsi="Arial" w:cs="Arial"/>
          <w:sz w:val="24"/>
          <w:szCs w:val="24"/>
        </w:rPr>
        <w:lastRenderedPageBreak/>
        <w:t>schizophrenia is not likely to be a successful defence. This is because the law has a very high bar for what constitutes a successful defence of insanity. As a result, it is quite likely that Polly will be found guilty of murder and given a sentence of life in jail in accordance with section 1(1) of the Murder Act 1965.</w:t>
      </w:r>
    </w:p>
    <w:p w14:paraId="64EF7897" w14:textId="77777777" w:rsidR="00330BE3" w:rsidRPr="00330BE3" w:rsidRDefault="00330BE3" w:rsidP="00330BE3">
      <w:pPr>
        <w:jc w:val="both"/>
        <w:rPr>
          <w:rFonts w:ascii="Arial" w:hAnsi="Arial" w:cs="Arial"/>
        </w:rPr>
      </w:pPr>
    </w:p>
    <w:p w14:paraId="077E7E97" w14:textId="77777777" w:rsidR="00330BE3" w:rsidRPr="00330BE3" w:rsidRDefault="0046145C" w:rsidP="00D773E5">
      <w:pPr>
        <w:ind w:left="360"/>
        <w:jc w:val="both"/>
        <w:rPr>
          <w:rFonts w:ascii="Times New Roman" w:hAnsi="Times New Roman" w:cs="Times New Roman"/>
          <w:b/>
          <w:sz w:val="28"/>
          <w:szCs w:val="28"/>
        </w:rPr>
      </w:pPr>
      <w:r w:rsidRPr="00330BE3">
        <w:rPr>
          <w:rFonts w:ascii="Times New Roman" w:hAnsi="Times New Roman" w:cs="Times New Roman"/>
          <w:b/>
          <w:sz w:val="28"/>
          <w:szCs w:val="28"/>
        </w:rPr>
        <w:t>In conclusion</w:t>
      </w:r>
      <w:r w:rsidR="00330BE3" w:rsidRPr="00330BE3">
        <w:rPr>
          <w:rFonts w:ascii="Times New Roman" w:hAnsi="Times New Roman" w:cs="Times New Roman"/>
          <w:b/>
          <w:sz w:val="28"/>
          <w:szCs w:val="28"/>
        </w:rPr>
        <w:t>:</w:t>
      </w:r>
    </w:p>
    <w:p w14:paraId="651D232D" w14:textId="23A18BD7" w:rsidR="0046145C" w:rsidRPr="00330BE3" w:rsidRDefault="0046145C" w:rsidP="00D773E5">
      <w:pPr>
        <w:ind w:left="360"/>
        <w:jc w:val="both"/>
        <w:rPr>
          <w:rFonts w:ascii="Arial" w:hAnsi="Arial" w:cs="Arial"/>
          <w:sz w:val="24"/>
          <w:szCs w:val="24"/>
        </w:rPr>
      </w:pPr>
      <w:r w:rsidRPr="00330BE3">
        <w:rPr>
          <w:rFonts w:ascii="Arial" w:hAnsi="Arial" w:cs="Arial"/>
          <w:sz w:val="24"/>
          <w:szCs w:val="24"/>
        </w:rPr>
        <w:t xml:space="preserve"> As a result of Polly's activities in this scenario, </w:t>
      </w:r>
      <w:proofErr w:type="gramStart"/>
      <w:r w:rsidRPr="00330BE3">
        <w:rPr>
          <w:rFonts w:ascii="Arial" w:hAnsi="Arial" w:cs="Arial"/>
          <w:sz w:val="24"/>
          <w:szCs w:val="24"/>
        </w:rPr>
        <w:t>a number of</w:t>
      </w:r>
      <w:proofErr w:type="gramEnd"/>
      <w:r w:rsidRPr="00330BE3">
        <w:rPr>
          <w:rFonts w:ascii="Arial" w:hAnsi="Arial" w:cs="Arial"/>
          <w:sz w:val="24"/>
          <w:szCs w:val="24"/>
        </w:rPr>
        <w:t xml:space="preserve"> significant criminal acts have been committed, including murder and criminal damage. Even if she is suffering from a mental disorder, there is a good chance that this will not exonerate her from criminal responsibility in this scenario. Defences such as automatism, diminished responsibility, or insanity may be considered in certain circumstances; nevertheless, they are not applicable in all cases and depend on the particular facts of each individual case. It is imperative that persons, regardless of their mental state, be held accountable for their actions. The law provides for harsh punishments for these offences, including imprisonment, fines, or community orders. It is also imperative that individuals be held accountable for their actions</w:t>
      </w:r>
      <w:r w:rsidR="0061760F" w:rsidRPr="00330BE3">
        <w:rPr>
          <w:rFonts w:ascii="Arial" w:hAnsi="Arial" w:cs="Arial"/>
          <w:sz w:val="24"/>
          <w:szCs w:val="24"/>
        </w:rPr>
        <w:t xml:space="preserve"> (Virgo, G.1992)</w:t>
      </w:r>
      <w:r w:rsidRPr="00330BE3">
        <w:rPr>
          <w:rFonts w:ascii="Arial" w:hAnsi="Arial" w:cs="Arial"/>
          <w:sz w:val="24"/>
          <w:szCs w:val="24"/>
        </w:rPr>
        <w:t>.</w:t>
      </w:r>
    </w:p>
    <w:p w14:paraId="54541DF1" w14:textId="77777777" w:rsidR="00330BE3" w:rsidRPr="00330BE3" w:rsidRDefault="00330BE3" w:rsidP="00330BE3">
      <w:pPr>
        <w:jc w:val="both"/>
        <w:rPr>
          <w:rFonts w:ascii="Arial" w:hAnsi="Arial" w:cs="Arial"/>
        </w:rPr>
      </w:pPr>
    </w:p>
    <w:p w14:paraId="29DB60F2" w14:textId="77777777" w:rsidR="00E45889" w:rsidRPr="00330BE3" w:rsidRDefault="0061760F">
      <w:pPr>
        <w:rPr>
          <w:rFonts w:ascii="Times New Roman" w:hAnsi="Times New Roman" w:cs="Times New Roman"/>
          <w:b/>
          <w:sz w:val="28"/>
          <w:szCs w:val="28"/>
        </w:rPr>
      </w:pPr>
      <w:r w:rsidRPr="00330BE3">
        <w:rPr>
          <w:rFonts w:ascii="Times New Roman" w:hAnsi="Times New Roman" w:cs="Times New Roman"/>
          <w:b/>
          <w:sz w:val="28"/>
          <w:szCs w:val="28"/>
        </w:rPr>
        <w:t xml:space="preserve">References: </w:t>
      </w:r>
    </w:p>
    <w:p w14:paraId="6022F775" w14:textId="77777777" w:rsidR="004B5971" w:rsidRPr="00330BE3" w:rsidRDefault="004B5971" w:rsidP="0061760F">
      <w:pPr>
        <w:pStyle w:val="ListParagraph"/>
        <w:numPr>
          <w:ilvl w:val="0"/>
          <w:numId w:val="6"/>
        </w:numPr>
        <w:rPr>
          <w:rFonts w:ascii="Arial" w:hAnsi="Arial" w:cs="Arial"/>
          <w:sz w:val="24"/>
          <w:szCs w:val="24"/>
        </w:rPr>
      </w:pPr>
      <w:proofErr w:type="spellStart"/>
      <w:r w:rsidRPr="00330BE3">
        <w:rPr>
          <w:rFonts w:ascii="Arial" w:hAnsi="Arial" w:cs="Arial"/>
          <w:color w:val="222222"/>
          <w:sz w:val="24"/>
          <w:szCs w:val="24"/>
          <w:shd w:val="clear" w:color="auto" w:fill="FFFFFF"/>
        </w:rPr>
        <w:t>Wasik</w:t>
      </w:r>
      <w:proofErr w:type="spellEnd"/>
      <w:r w:rsidRPr="00330BE3">
        <w:rPr>
          <w:rFonts w:ascii="Arial" w:hAnsi="Arial" w:cs="Arial"/>
          <w:color w:val="222222"/>
          <w:sz w:val="24"/>
          <w:szCs w:val="24"/>
          <w:shd w:val="clear" w:color="auto" w:fill="FFFFFF"/>
        </w:rPr>
        <w:t>, M., 1988. Criminal damage/criminal mischief. </w:t>
      </w:r>
      <w:r w:rsidRPr="00330BE3">
        <w:rPr>
          <w:rFonts w:ascii="Arial" w:hAnsi="Arial" w:cs="Arial"/>
          <w:i/>
          <w:iCs/>
          <w:color w:val="222222"/>
          <w:sz w:val="24"/>
          <w:szCs w:val="24"/>
          <w:shd w:val="clear" w:color="auto" w:fill="FFFFFF"/>
        </w:rPr>
        <w:t>Anglo-American Law Review</w:t>
      </w:r>
      <w:r w:rsidRPr="00330BE3">
        <w:rPr>
          <w:rFonts w:ascii="Arial" w:hAnsi="Arial" w:cs="Arial"/>
          <w:color w:val="222222"/>
          <w:sz w:val="24"/>
          <w:szCs w:val="24"/>
          <w:shd w:val="clear" w:color="auto" w:fill="FFFFFF"/>
        </w:rPr>
        <w:t>, </w:t>
      </w:r>
      <w:r w:rsidRPr="00330BE3">
        <w:rPr>
          <w:rFonts w:ascii="Arial" w:hAnsi="Arial" w:cs="Arial"/>
          <w:i/>
          <w:iCs/>
          <w:color w:val="222222"/>
          <w:sz w:val="24"/>
          <w:szCs w:val="24"/>
          <w:shd w:val="clear" w:color="auto" w:fill="FFFFFF"/>
        </w:rPr>
        <w:t>17</w:t>
      </w:r>
      <w:r w:rsidRPr="00330BE3">
        <w:rPr>
          <w:rFonts w:ascii="Arial" w:hAnsi="Arial" w:cs="Arial"/>
          <w:color w:val="222222"/>
          <w:sz w:val="24"/>
          <w:szCs w:val="24"/>
          <w:shd w:val="clear" w:color="auto" w:fill="FFFFFF"/>
        </w:rPr>
        <w:t>(1), pp.37-45.</w:t>
      </w:r>
    </w:p>
    <w:p w14:paraId="387C31A6" w14:textId="77777777" w:rsidR="004B5971" w:rsidRPr="00330BE3" w:rsidRDefault="004B5971" w:rsidP="0061760F">
      <w:pPr>
        <w:pStyle w:val="ListParagraph"/>
        <w:numPr>
          <w:ilvl w:val="0"/>
          <w:numId w:val="6"/>
        </w:numPr>
        <w:rPr>
          <w:rFonts w:ascii="Arial" w:hAnsi="Arial" w:cs="Arial"/>
          <w:sz w:val="24"/>
          <w:szCs w:val="24"/>
        </w:rPr>
      </w:pPr>
      <w:r w:rsidRPr="00330BE3">
        <w:rPr>
          <w:rFonts w:ascii="Arial" w:hAnsi="Arial" w:cs="Arial"/>
          <w:color w:val="222222"/>
          <w:sz w:val="24"/>
          <w:szCs w:val="24"/>
          <w:shd w:val="clear" w:color="auto" w:fill="FFFFFF"/>
        </w:rPr>
        <w:t xml:space="preserve">Edwards, I., 2009. Banksy's graffiti: A not-so-simple case of criminal </w:t>
      </w:r>
      <w:proofErr w:type="gramStart"/>
      <w:r w:rsidRPr="00330BE3">
        <w:rPr>
          <w:rFonts w:ascii="Arial" w:hAnsi="Arial" w:cs="Arial"/>
          <w:color w:val="222222"/>
          <w:sz w:val="24"/>
          <w:szCs w:val="24"/>
          <w:shd w:val="clear" w:color="auto" w:fill="FFFFFF"/>
        </w:rPr>
        <w:t>damage?.</w:t>
      </w:r>
      <w:proofErr w:type="gramEnd"/>
      <w:r w:rsidRPr="00330BE3">
        <w:rPr>
          <w:rFonts w:ascii="Arial" w:hAnsi="Arial" w:cs="Arial"/>
          <w:color w:val="222222"/>
          <w:sz w:val="24"/>
          <w:szCs w:val="24"/>
          <w:shd w:val="clear" w:color="auto" w:fill="FFFFFF"/>
        </w:rPr>
        <w:t> </w:t>
      </w:r>
      <w:r w:rsidRPr="00330BE3">
        <w:rPr>
          <w:rFonts w:ascii="Arial" w:hAnsi="Arial" w:cs="Arial"/>
          <w:i/>
          <w:iCs/>
          <w:color w:val="222222"/>
          <w:sz w:val="24"/>
          <w:szCs w:val="24"/>
          <w:shd w:val="clear" w:color="auto" w:fill="FFFFFF"/>
        </w:rPr>
        <w:t>The Journal of Criminal Law</w:t>
      </w:r>
      <w:r w:rsidRPr="00330BE3">
        <w:rPr>
          <w:rFonts w:ascii="Arial" w:hAnsi="Arial" w:cs="Arial"/>
          <w:color w:val="222222"/>
          <w:sz w:val="24"/>
          <w:szCs w:val="24"/>
          <w:shd w:val="clear" w:color="auto" w:fill="FFFFFF"/>
        </w:rPr>
        <w:t>, </w:t>
      </w:r>
      <w:r w:rsidRPr="00330BE3">
        <w:rPr>
          <w:rFonts w:ascii="Arial" w:hAnsi="Arial" w:cs="Arial"/>
          <w:i/>
          <w:iCs/>
          <w:color w:val="222222"/>
          <w:sz w:val="24"/>
          <w:szCs w:val="24"/>
          <w:shd w:val="clear" w:color="auto" w:fill="FFFFFF"/>
        </w:rPr>
        <w:t>73</w:t>
      </w:r>
      <w:r w:rsidRPr="00330BE3">
        <w:rPr>
          <w:rFonts w:ascii="Arial" w:hAnsi="Arial" w:cs="Arial"/>
          <w:color w:val="222222"/>
          <w:sz w:val="24"/>
          <w:szCs w:val="24"/>
          <w:shd w:val="clear" w:color="auto" w:fill="FFFFFF"/>
        </w:rPr>
        <w:t>(4), pp.345-361.</w:t>
      </w:r>
    </w:p>
    <w:p w14:paraId="0F898799" w14:textId="77777777" w:rsidR="004B5971" w:rsidRPr="00330BE3" w:rsidRDefault="004B5971" w:rsidP="0061760F">
      <w:pPr>
        <w:pStyle w:val="ListParagraph"/>
        <w:numPr>
          <w:ilvl w:val="0"/>
          <w:numId w:val="6"/>
        </w:numPr>
        <w:rPr>
          <w:rFonts w:ascii="Arial" w:hAnsi="Arial" w:cs="Arial"/>
          <w:sz w:val="24"/>
          <w:szCs w:val="24"/>
        </w:rPr>
      </w:pPr>
      <w:r w:rsidRPr="00330BE3">
        <w:rPr>
          <w:rFonts w:ascii="Arial" w:hAnsi="Arial" w:cs="Arial"/>
          <w:color w:val="222222"/>
          <w:sz w:val="24"/>
          <w:szCs w:val="24"/>
          <w:shd w:val="clear" w:color="auto" w:fill="FFFFFF"/>
        </w:rPr>
        <w:t>Smith, J.C., 1984. Codifying the Criminal Law. </w:t>
      </w:r>
      <w:r w:rsidRPr="00330BE3">
        <w:rPr>
          <w:rFonts w:ascii="Arial" w:hAnsi="Arial" w:cs="Arial"/>
          <w:i/>
          <w:iCs/>
          <w:color w:val="222222"/>
          <w:sz w:val="24"/>
          <w:szCs w:val="24"/>
          <w:shd w:val="clear" w:color="auto" w:fill="FFFFFF"/>
        </w:rPr>
        <w:t>Statute L. Rev.</w:t>
      </w:r>
      <w:r w:rsidRPr="00330BE3">
        <w:rPr>
          <w:rFonts w:ascii="Arial" w:hAnsi="Arial" w:cs="Arial"/>
          <w:color w:val="222222"/>
          <w:sz w:val="24"/>
          <w:szCs w:val="24"/>
          <w:shd w:val="clear" w:color="auto" w:fill="FFFFFF"/>
        </w:rPr>
        <w:t>, p.17.</w:t>
      </w:r>
    </w:p>
    <w:p w14:paraId="2A23A757" w14:textId="77777777" w:rsidR="004B5971" w:rsidRPr="00330BE3" w:rsidRDefault="004B5971" w:rsidP="0061760F">
      <w:pPr>
        <w:pStyle w:val="ListParagraph"/>
        <w:numPr>
          <w:ilvl w:val="0"/>
          <w:numId w:val="6"/>
        </w:numPr>
        <w:rPr>
          <w:rFonts w:ascii="Arial" w:hAnsi="Arial" w:cs="Arial"/>
          <w:sz w:val="24"/>
          <w:szCs w:val="24"/>
        </w:rPr>
      </w:pPr>
      <w:r w:rsidRPr="00330BE3">
        <w:rPr>
          <w:rFonts w:ascii="Arial" w:hAnsi="Arial" w:cs="Arial"/>
          <w:color w:val="222222"/>
          <w:sz w:val="24"/>
          <w:szCs w:val="24"/>
          <w:shd w:val="clear" w:color="auto" w:fill="FFFFFF"/>
        </w:rPr>
        <w:t>Act, C.A., Code, C., Act, C.D., Act, C.J., Act, C.P.S. and Act, D.P., 2003. TABLE OF STATUTES, VOLUME 85, 2012. </w:t>
      </w:r>
      <w:r w:rsidRPr="00330BE3">
        <w:rPr>
          <w:rFonts w:ascii="Arial" w:hAnsi="Arial" w:cs="Arial"/>
          <w:i/>
          <w:iCs/>
          <w:color w:val="222222"/>
          <w:sz w:val="24"/>
          <w:szCs w:val="24"/>
          <w:shd w:val="clear" w:color="auto" w:fill="FFFFFF"/>
        </w:rPr>
        <w:t>Communications</w:t>
      </w:r>
      <w:r w:rsidRPr="00330BE3">
        <w:rPr>
          <w:rFonts w:ascii="Arial" w:hAnsi="Arial" w:cs="Arial"/>
          <w:color w:val="222222"/>
          <w:sz w:val="24"/>
          <w:szCs w:val="24"/>
          <w:shd w:val="clear" w:color="auto" w:fill="FFFFFF"/>
        </w:rPr>
        <w:t>, (s 32), p.127.</w:t>
      </w:r>
    </w:p>
    <w:p w14:paraId="34D77545" w14:textId="77777777" w:rsidR="004B5971" w:rsidRPr="00330BE3" w:rsidRDefault="004B5971" w:rsidP="0061760F">
      <w:pPr>
        <w:pStyle w:val="ListParagraph"/>
        <w:numPr>
          <w:ilvl w:val="0"/>
          <w:numId w:val="6"/>
        </w:numPr>
        <w:rPr>
          <w:rFonts w:ascii="Arial" w:hAnsi="Arial" w:cs="Arial"/>
          <w:sz w:val="24"/>
          <w:szCs w:val="24"/>
        </w:rPr>
      </w:pPr>
      <w:r w:rsidRPr="00330BE3">
        <w:rPr>
          <w:rFonts w:ascii="Arial" w:hAnsi="Arial" w:cs="Arial"/>
          <w:color w:val="222222"/>
          <w:sz w:val="24"/>
          <w:szCs w:val="24"/>
          <w:shd w:val="clear" w:color="auto" w:fill="FFFFFF"/>
        </w:rPr>
        <w:t>Smith, R. and Murrell, L. eds., 2008. </w:t>
      </w:r>
      <w:r w:rsidRPr="00330BE3">
        <w:rPr>
          <w:rFonts w:ascii="Arial" w:hAnsi="Arial" w:cs="Arial"/>
          <w:i/>
          <w:iCs/>
          <w:color w:val="222222"/>
          <w:sz w:val="24"/>
          <w:szCs w:val="24"/>
          <w:shd w:val="clear" w:color="auto" w:fill="FFFFFF"/>
        </w:rPr>
        <w:t>Conversion Course Companion for Law: Core Legal Principles and Cases for CPE/GDL</w:t>
      </w:r>
      <w:r w:rsidRPr="00330BE3">
        <w:rPr>
          <w:rFonts w:ascii="Arial" w:hAnsi="Arial" w:cs="Arial"/>
          <w:color w:val="222222"/>
          <w:sz w:val="24"/>
          <w:szCs w:val="24"/>
          <w:shd w:val="clear" w:color="auto" w:fill="FFFFFF"/>
        </w:rPr>
        <w:t>. Pearson Education.</w:t>
      </w:r>
    </w:p>
    <w:p w14:paraId="48BAA88A" w14:textId="77777777" w:rsidR="004B5971" w:rsidRPr="00330BE3" w:rsidRDefault="004B5971" w:rsidP="0061760F">
      <w:pPr>
        <w:pStyle w:val="ListParagraph"/>
        <w:numPr>
          <w:ilvl w:val="0"/>
          <w:numId w:val="6"/>
        </w:numPr>
        <w:rPr>
          <w:rFonts w:ascii="Arial" w:hAnsi="Arial" w:cs="Arial"/>
          <w:sz w:val="24"/>
          <w:szCs w:val="24"/>
        </w:rPr>
      </w:pPr>
      <w:r w:rsidRPr="00330BE3">
        <w:rPr>
          <w:rFonts w:ascii="Arial" w:hAnsi="Arial" w:cs="Arial"/>
          <w:color w:val="222222"/>
          <w:sz w:val="24"/>
          <w:szCs w:val="24"/>
          <w:shd w:val="clear" w:color="auto" w:fill="FFFFFF"/>
        </w:rPr>
        <w:t>Virgo, G., 1992. Criminal Regulation of Wheel Clamping. </w:t>
      </w:r>
      <w:r w:rsidRPr="00330BE3">
        <w:rPr>
          <w:rFonts w:ascii="Arial" w:hAnsi="Arial" w:cs="Arial"/>
          <w:i/>
          <w:iCs/>
          <w:color w:val="222222"/>
          <w:sz w:val="24"/>
          <w:szCs w:val="24"/>
          <w:shd w:val="clear" w:color="auto" w:fill="FFFFFF"/>
        </w:rPr>
        <w:t>The Cambridge Law Journal</w:t>
      </w:r>
      <w:r w:rsidRPr="00330BE3">
        <w:rPr>
          <w:rFonts w:ascii="Arial" w:hAnsi="Arial" w:cs="Arial"/>
          <w:color w:val="222222"/>
          <w:sz w:val="24"/>
          <w:szCs w:val="24"/>
          <w:shd w:val="clear" w:color="auto" w:fill="FFFFFF"/>
        </w:rPr>
        <w:t>, </w:t>
      </w:r>
      <w:r w:rsidRPr="00330BE3">
        <w:rPr>
          <w:rFonts w:ascii="Arial" w:hAnsi="Arial" w:cs="Arial"/>
          <w:i/>
          <w:iCs/>
          <w:color w:val="222222"/>
          <w:sz w:val="24"/>
          <w:szCs w:val="24"/>
          <w:shd w:val="clear" w:color="auto" w:fill="FFFFFF"/>
        </w:rPr>
        <w:t>51</w:t>
      </w:r>
      <w:r w:rsidRPr="00330BE3">
        <w:rPr>
          <w:rFonts w:ascii="Arial" w:hAnsi="Arial" w:cs="Arial"/>
          <w:color w:val="222222"/>
          <w:sz w:val="24"/>
          <w:szCs w:val="24"/>
          <w:shd w:val="clear" w:color="auto" w:fill="FFFFFF"/>
        </w:rPr>
        <w:t>(3), pp.411-413.</w:t>
      </w:r>
    </w:p>
    <w:p w14:paraId="3BE0931F" w14:textId="77777777" w:rsidR="0061760F" w:rsidRPr="00330BE3" w:rsidRDefault="004B5971" w:rsidP="004B5971">
      <w:pPr>
        <w:pStyle w:val="ListParagraph"/>
        <w:numPr>
          <w:ilvl w:val="0"/>
          <w:numId w:val="6"/>
        </w:numPr>
        <w:rPr>
          <w:rFonts w:ascii="Arial" w:hAnsi="Arial" w:cs="Arial"/>
          <w:sz w:val="24"/>
          <w:szCs w:val="24"/>
        </w:rPr>
      </w:pPr>
      <w:r w:rsidRPr="00330BE3">
        <w:rPr>
          <w:rFonts w:ascii="Arial" w:hAnsi="Arial" w:cs="Arial"/>
          <w:color w:val="222222"/>
          <w:sz w:val="24"/>
          <w:szCs w:val="24"/>
          <w:shd w:val="clear" w:color="auto" w:fill="FFFFFF"/>
        </w:rPr>
        <w:t>Storey, T., 2015. ‘Dangerousness’ in Unlawful Act Manslaughter: R v F &amp; E [2015] EWCA Crim 351. </w:t>
      </w:r>
      <w:r w:rsidRPr="00330BE3">
        <w:rPr>
          <w:rFonts w:ascii="Arial" w:hAnsi="Arial" w:cs="Arial"/>
          <w:i/>
          <w:iCs/>
          <w:color w:val="222222"/>
          <w:sz w:val="24"/>
          <w:szCs w:val="24"/>
          <w:shd w:val="clear" w:color="auto" w:fill="FFFFFF"/>
        </w:rPr>
        <w:t>The Journal of Criminal Law</w:t>
      </w:r>
      <w:r w:rsidRPr="00330BE3">
        <w:rPr>
          <w:rFonts w:ascii="Arial" w:hAnsi="Arial" w:cs="Arial"/>
          <w:color w:val="222222"/>
          <w:sz w:val="24"/>
          <w:szCs w:val="24"/>
          <w:shd w:val="clear" w:color="auto" w:fill="FFFFFF"/>
        </w:rPr>
        <w:t>, </w:t>
      </w:r>
      <w:r w:rsidRPr="00330BE3">
        <w:rPr>
          <w:rFonts w:ascii="Arial" w:hAnsi="Arial" w:cs="Arial"/>
          <w:i/>
          <w:iCs/>
          <w:color w:val="222222"/>
          <w:sz w:val="24"/>
          <w:szCs w:val="24"/>
          <w:shd w:val="clear" w:color="auto" w:fill="FFFFFF"/>
        </w:rPr>
        <w:t>79</w:t>
      </w:r>
      <w:r w:rsidRPr="00330BE3">
        <w:rPr>
          <w:rFonts w:ascii="Arial" w:hAnsi="Arial" w:cs="Arial"/>
          <w:color w:val="222222"/>
          <w:sz w:val="24"/>
          <w:szCs w:val="24"/>
          <w:shd w:val="clear" w:color="auto" w:fill="FFFFFF"/>
        </w:rPr>
        <w:t>(4), pp.234-237.</w:t>
      </w:r>
    </w:p>
    <w:p w14:paraId="3178CFB3" w14:textId="77777777" w:rsidR="004B5971" w:rsidRPr="00330BE3" w:rsidRDefault="004B5971" w:rsidP="004B5971">
      <w:pPr>
        <w:pStyle w:val="ListParagraph"/>
        <w:rPr>
          <w:rFonts w:ascii="Arial" w:hAnsi="Arial" w:cs="Arial"/>
        </w:rPr>
      </w:pPr>
    </w:p>
    <w:sectPr w:rsidR="004B5971" w:rsidRPr="00330BE3" w:rsidSect="0061760F">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64F58"/>
    <w:multiLevelType w:val="multilevel"/>
    <w:tmpl w:val="694C2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4000E0"/>
    <w:multiLevelType w:val="multilevel"/>
    <w:tmpl w:val="5A2E28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B5B4C1D"/>
    <w:multiLevelType w:val="multilevel"/>
    <w:tmpl w:val="5D96D8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5E6AD9"/>
    <w:multiLevelType w:val="hybridMultilevel"/>
    <w:tmpl w:val="958A6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AE7242"/>
    <w:multiLevelType w:val="multilevel"/>
    <w:tmpl w:val="3AA896C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A5626E3"/>
    <w:multiLevelType w:val="multilevel"/>
    <w:tmpl w:val="1A6AD0D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9123367">
    <w:abstractNumId w:val="0"/>
  </w:num>
  <w:num w:numId="2" w16cid:durableId="1396657185">
    <w:abstractNumId w:val="1"/>
  </w:num>
  <w:num w:numId="3" w16cid:durableId="70126431">
    <w:abstractNumId w:val="5"/>
  </w:num>
  <w:num w:numId="4" w16cid:durableId="1529678178">
    <w:abstractNumId w:val="2"/>
  </w:num>
  <w:num w:numId="5" w16cid:durableId="37124747">
    <w:abstractNumId w:val="4"/>
  </w:num>
  <w:num w:numId="6" w16cid:durableId="65189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6145C"/>
    <w:rsid w:val="00054B2E"/>
    <w:rsid w:val="00330BE3"/>
    <w:rsid w:val="003B45DF"/>
    <w:rsid w:val="0046145C"/>
    <w:rsid w:val="004B5971"/>
    <w:rsid w:val="0061760F"/>
    <w:rsid w:val="009501C8"/>
    <w:rsid w:val="00A24AB6"/>
    <w:rsid w:val="00C22B48"/>
    <w:rsid w:val="00D77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7689F"/>
  <w15:docId w15:val="{151F4233-D1F2-4278-AEF7-6009317CC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760F"/>
    <w:pPr>
      <w:ind w:left="720"/>
      <w:contextualSpacing/>
    </w:pPr>
  </w:style>
  <w:style w:type="paragraph" w:styleId="NoSpacing">
    <w:name w:val="No Spacing"/>
    <w:link w:val="NoSpacingChar"/>
    <w:uiPriority w:val="1"/>
    <w:qFormat/>
    <w:rsid w:val="006176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760F"/>
    <w:rPr>
      <w:rFonts w:eastAsiaTheme="minorEastAsia"/>
      <w:lang w:val="en-US"/>
    </w:rPr>
  </w:style>
  <w:style w:type="paragraph" w:styleId="BalloonText">
    <w:name w:val="Balloon Text"/>
    <w:basedOn w:val="Normal"/>
    <w:link w:val="BalloonTextChar"/>
    <w:uiPriority w:val="99"/>
    <w:semiHidden/>
    <w:unhideWhenUsed/>
    <w:rsid w:val="004B59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597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7289804">
      <w:bodyDiv w:val="1"/>
      <w:marLeft w:val="0"/>
      <w:marRight w:val="0"/>
      <w:marTop w:val="0"/>
      <w:marBottom w:val="0"/>
      <w:divBdr>
        <w:top w:val="none" w:sz="0" w:space="0" w:color="auto"/>
        <w:left w:val="none" w:sz="0" w:space="0" w:color="auto"/>
        <w:bottom w:val="none" w:sz="0" w:space="0" w:color="auto"/>
        <w:right w:val="none" w:sz="0" w:space="0" w:color="auto"/>
      </w:divBdr>
    </w:div>
    <w:div w:id="1637760633">
      <w:bodyDiv w:val="1"/>
      <w:marLeft w:val="0"/>
      <w:marRight w:val="0"/>
      <w:marTop w:val="0"/>
      <w:marBottom w:val="0"/>
      <w:divBdr>
        <w:top w:val="none" w:sz="0" w:space="0" w:color="auto"/>
        <w:left w:val="none" w:sz="0" w:space="0" w:color="auto"/>
        <w:bottom w:val="none" w:sz="0" w:space="0" w:color="auto"/>
        <w:right w:val="none" w:sz="0" w:space="0" w:color="auto"/>
      </w:divBdr>
    </w:div>
    <w:div w:id="1711997511">
      <w:bodyDiv w:val="1"/>
      <w:marLeft w:val="0"/>
      <w:marRight w:val="0"/>
      <w:marTop w:val="0"/>
      <w:marBottom w:val="0"/>
      <w:divBdr>
        <w:top w:val="none" w:sz="0" w:space="0" w:color="auto"/>
        <w:left w:val="none" w:sz="0" w:space="0" w:color="auto"/>
        <w:bottom w:val="none" w:sz="0" w:space="0" w:color="auto"/>
        <w:right w:val="none" w:sz="0" w:space="0" w:color="auto"/>
      </w:divBdr>
    </w:div>
    <w:div w:id="1757244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7F3FA371895424788B9B4E30162FAEE"/>
        <w:category>
          <w:name w:val="General"/>
          <w:gallery w:val="placeholder"/>
        </w:category>
        <w:types>
          <w:type w:val="bbPlcHdr"/>
        </w:types>
        <w:behaviors>
          <w:behavior w:val="content"/>
        </w:behaviors>
        <w:guid w:val="{688ED102-CB46-4A50-B982-114B6EAD3509}"/>
      </w:docPartPr>
      <w:docPartBody>
        <w:p w:rsidR="005B6D29" w:rsidRDefault="00410C55" w:rsidP="00410C55">
          <w:pPr>
            <w:pStyle w:val="37F3FA371895424788B9B4E30162FAE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10C55"/>
    <w:rsid w:val="002C24EA"/>
    <w:rsid w:val="003A4A7F"/>
    <w:rsid w:val="00410C55"/>
    <w:rsid w:val="005B6D29"/>
    <w:rsid w:val="00CD2DB1"/>
    <w:rsid w:val="00F96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F3FA371895424788B9B4E30162FAEE">
    <w:name w:val="37F3FA371895424788B9B4E30162FAEE"/>
    <w:rsid w:val="00410C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5</Pages>
  <Words>1680</Words>
  <Characters>9577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Criminal law</vt:lpstr>
    </vt:vector>
  </TitlesOfParts>
  <Company/>
  <LinksUpToDate>false</LinksUpToDate>
  <CharactersWithSpaces>11235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Public Services Portfolio</dc:subject>
  <dc:creator>Admin</dc:creator>
  <cp:keywords/>
  <dc:description/>
  <cp:lastModifiedBy>Mohammad Hafizul Hasan (2219262)</cp:lastModifiedBy>
  <cp:revision>5</cp:revision>
  <dcterms:created xsi:type="dcterms:W3CDTF">2023-04-27T22:06:00Z</dcterms:created>
  <dcterms:modified xsi:type="dcterms:W3CDTF">2023-05-01T01:20:00Z</dcterms:modified>
</cp:coreProperties>
</file>