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47A2F" w14:textId="581B03E8" w:rsidR="0083213A" w:rsidRDefault="00100C3E">
      <w:r>
        <w:t xml:space="preserve">In up to 1000 words explain how sex and gender beliefs shape social life. </w:t>
      </w:r>
    </w:p>
    <w:p w14:paraId="1F71B8CB" w14:textId="133D8C84" w:rsidR="00100C3E" w:rsidRDefault="007F774F">
      <w:r>
        <w:t xml:space="preserve">Sex and gender shape social life in many ways, whether that is in the societies beliefs or in how they view others. Sex, being the biological factors influencing the society, and gender being the behaviour learnt by an individual as part of that society </w:t>
      </w:r>
      <w:sdt>
        <w:sdtPr>
          <w:id w:val="-1064336725"/>
          <w:citation/>
        </w:sdtPr>
        <w:sdtContent>
          <w:r>
            <w:fldChar w:fldCharType="begin"/>
          </w:r>
          <w:r>
            <w:instrText xml:space="preserve"> CITATION Her87 \l 2057 </w:instrText>
          </w:r>
          <w:r>
            <w:fldChar w:fldCharType="separate"/>
          </w:r>
          <w:r w:rsidRPr="007F774F">
            <w:rPr>
              <w:noProof/>
            </w:rPr>
            <w:t>(Herdt, 1987)</w:t>
          </w:r>
          <w:r>
            <w:fldChar w:fldCharType="end"/>
          </w:r>
        </w:sdtContent>
      </w:sdt>
      <w:r w:rsidR="009063CF">
        <w:t xml:space="preserve">. </w:t>
      </w:r>
    </w:p>
    <w:p w14:paraId="3B4459D4" w14:textId="14A85F07" w:rsidR="009063CF" w:rsidRDefault="009063CF">
      <w:r>
        <w:t xml:space="preserve">In New Guinea the Sambia have very strict </w:t>
      </w:r>
      <w:r w:rsidR="005D0E4B">
        <w:t xml:space="preserve">beliefs about sex and gender. Herdt speaks in his book about how “women are not allowed to be warriors or hunters; men cannot babysit or clean offspring; and women are as forbidden to enter the men’s house as are the men to enter the menstrual hut” </w:t>
      </w:r>
      <w:sdt>
        <w:sdtPr>
          <w:id w:val="-1530409617"/>
          <w:citation/>
        </w:sdtPr>
        <w:sdtContent>
          <w:r w:rsidR="005D0E4B">
            <w:fldChar w:fldCharType="begin"/>
          </w:r>
          <w:r w:rsidR="005D0E4B">
            <w:instrText xml:space="preserve">CITATION Her87 \p 69 \n  \l 2057 </w:instrText>
          </w:r>
          <w:r w:rsidR="005D0E4B">
            <w:fldChar w:fldCharType="separate"/>
          </w:r>
          <w:r w:rsidR="005D0E4B" w:rsidRPr="005D0E4B">
            <w:rPr>
              <w:noProof/>
            </w:rPr>
            <w:t>(1987, p. 69)</w:t>
          </w:r>
          <w:r w:rsidR="005D0E4B">
            <w:fldChar w:fldCharType="end"/>
          </w:r>
        </w:sdtContent>
      </w:sdt>
      <w:r w:rsidR="005D0E4B">
        <w:t>. This allows the reader to begin to understand just how far sex and gender get rooted into a society. This quote alone in the phrase, “enter the menstrual hut”, shows that the Sambia have a</w:t>
      </w:r>
      <w:r w:rsidR="00F400A3">
        <w:t xml:space="preserve"> belief in their society that requires </w:t>
      </w:r>
      <w:r w:rsidR="008A7EFC">
        <w:t xml:space="preserve">the separation of sexes for a duration of time that the women have no control over, and despite this, they are seen as unclean. </w:t>
      </w:r>
    </w:p>
    <w:p w14:paraId="05B269A6" w14:textId="23EB516F" w:rsidR="009A7B01" w:rsidRDefault="003F0533">
      <w:r>
        <w:t xml:space="preserve">Another example of how gender and sex beliefs shape social life for the Sambia is their beliefs about the differentiation of the sexes. The Sambia believe that for “girls achieving reproductive competence in adulthood is easy and natural”, whereas boys “mature slower and have to be socially aided by rituals to achieve </w:t>
      </w:r>
      <w:r w:rsidR="001852D7">
        <w:t>adult fertility”</w:t>
      </w:r>
      <w:sdt>
        <w:sdtPr>
          <w:id w:val="-1115204620"/>
          <w:citation/>
        </w:sdtPr>
        <w:sdtContent>
          <w:r w:rsidR="001852D7">
            <w:fldChar w:fldCharType="begin"/>
          </w:r>
          <w:r w:rsidR="001852D7">
            <w:instrText xml:space="preserve">CITATION Her87 \p 75 \l 2057 </w:instrText>
          </w:r>
          <w:r w:rsidR="001852D7">
            <w:fldChar w:fldCharType="separate"/>
          </w:r>
          <w:r w:rsidR="001852D7">
            <w:rPr>
              <w:noProof/>
            </w:rPr>
            <w:t xml:space="preserve"> </w:t>
          </w:r>
          <w:r w:rsidR="001852D7" w:rsidRPr="001852D7">
            <w:rPr>
              <w:noProof/>
            </w:rPr>
            <w:t>(Herdt, 1987, p. 75)</w:t>
          </w:r>
          <w:r w:rsidR="001852D7">
            <w:fldChar w:fldCharType="end"/>
          </w:r>
        </w:sdtContent>
      </w:sdt>
      <w:r w:rsidR="001852D7">
        <w:t xml:space="preserve">. This need for males to be aided by rituals is where most of the western world feels disjointed from the Sambia and where it is hard for most to understand or at least begin to understand the Sambian way of life. The Sambia believe that “maleness” depends on the “the acquisition of semen </w:t>
      </w:r>
      <w:r w:rsidR="00B25594">
        <w:t>for precipitating male anatomy and masculine behavioural traits</w:t>
      </w:r>
      <w:r w:rsidR="002E5D7A">
        <w:t xml:space="preserve">.” </w:t>
      </w:r>
      <w:sdt>
        <w:sdtPr>
          <w:id w:val="236918023"/>
          <w:citation/>
        </w:sdtPr>
        <w:sdtContent>
          <w:r w:rsidR="002E5D7A">
            <w:fldChar w:fldCharType="begin"/>
          </w:r>
          <w:r w:rsidR="002E5D7A">
            <w:instrText xml:space="preserve">CITATION Her87 \p 75 \l 2057 </w:instrText>
          </w:r>
          <w:r w:rsidR="002E5D7A">
            <w:fldChar w:fldCharType="separate"/>
          </w:r>
          <w:r w:rsidR="002E5D7A" w:rsidRPr="002E5D7A">
            <w:rPr>
              <w:noProof/>
            </w:rPr>
            <w:t>(Herdt, 1987, p. 75)</w:t>
          </w:r>
          <w:r w:rsidR="002E5D7A">
            <w:fldChar w:fldCharType="end"/>
          </w:r>
        </w:sdtContent>
      </w:sdt>
      <w:r w:rsidR="001852D7">
        <w:t xml:space="preserve"> </w:t>
      </w:r>
      <w:r w:rsidR="002E5D7A">
        <w:t xml:space="preserve">This belief displays the change from sex to gender, the Sambia change the idea of being male from being purely biological to this need for something to be learnt or earnt in order to be considered a ‘man’. </w:t>
      </w:r>
      <w:r w:rsidR="002D112C">
        <w:t xml:space="preserve"> </w:t>
      </w:r>
      <w:r w:rsidR="00174D1C">
        <w:t>The rituals that the Sambia perform in order for the boys to obtain semen are what most western people hav</w:t>
      </w:r>
      <w:r w:rsidR="00CF0868">
        <w:t xml:space="preserve">e difficulty accepting as the way of life for the Sambia. The </w:t>
      </w:r>
      <w:r w:rsidR="007E66FE">
        <w:t xml:space="preserve">Sambia believe that the boys must obtain the semen via </w:t>
      </w:r>
      <w:r w:rsidR="007D4FEF">
        <w:t>consumption</w:t>
      </w:r>
      <w:r w:rsidR="00F05E53">
        <w:t xml:space="preserve">. </w:t>
      </w:r>
      <w:r w:rsidR="00FE6C53">
        <w:t xml:space="preserve"> </w:t>
      </w:r>
      <w:r w:rsidR="007374FD">
        <w:t>This encouragement of homosexual acts only occurs for 10-15 years with only “youths”</w:t>
      </w:r>
      <w:r w:rsidR="002F27D4">
        <w:t xml:space="preserve"> ( those between 18 and 25 who are married but yet to have children) </w:t>
      </w:r>
      <w:sdt>
        <w:sdtPr>
          <w:id w:val="914355417"/>
          <w:citation/>
        </w:sdtPr>
        <w:sdtContent>
          <w:r w:rsidR="002F27D4">
            <w:fldChar w:fldCharType="begin"/>
          </w:r>
          <w:r w:rsidR="002F27D4">
            <w:instrText xml:space="preserve"> CITATION Her87 \l 2057 </w:instrText>
          </w:r>
          <w:r w:rsidR="002F27D4">
            <w:fldChar w:fldCharType="separate"/>
          </w:r>
          <w:r w:rsidR="002F27D4" w:rsidRPr="002F27D4">
            <w:rPr>
              <w:noProof/>
            </w:rPr>
            <w:t>(Herdt, 1987)</w:t>
          </w:r>
          <w:r w:rsidR="002F27D4">
            <w:fldChar w:fldCharType="end"/>
          </w:r>
        </w:sdtContent>
      </w:sdt>
      <w:r w:rsidR="002F27D4">
        <w:t>. This behaviour which would be considered extremely immoral by western standards is completely normal behaviour for the Sambia and could even be considered a natural part of life for them. This is a demonstration of how different beliefs about sex and gender mould the social life of a community.</w:t>
      </w:r>
    </w:p>
    <w:p w14:paraId="159FE293" w14:textId="7E6333E1" w:rsidR="002F27D4" w:rsidRDefault="009D3BBB">
      <w:r>
        <w:t>A</w:t>
      </w:r>
      <w:r w:rsidR="00922C9D">
        <w:t xml:space="preserve"> contradicting community to the Sambia is the Mbuti, unlike the Sambia the Mbuti do not allow gender to shape their community in such a major way. Everyone takes part in every aspect of life for the Mbuti, the differentiation between who does what job is via age as opposed to gender </w:t>
      </w:r>
      <w:sdt>
        <w:sdtPr>
          <w:id w:val="-295290948"/>
          <w:citation/>
        </w:sdtPr>
        <w:sdtContent>
          <w:r w:rsidR="00922C9D">
            <w:fldChar w:fldCharType="begin"/>
          </w:r>
          <w:r w:rsidR="00922C9D">
            <w:instrText xml:space="preserve"> CITATION Col61 \l 2057 </w:instrText>
          </w:r>
          <w:r w:rsidR="00922C9D">
            <w:fldChar w:fldCharType="separate"/>
          </w:r>
          <w:r w:rsidR="00922C9D" w:rsidRPr="00922C9D">
            <w:rPr>
              <w:noProof/>
            </w:rPr>
            <w:t>(Turnbull, 1961)</w:t>
          </w:r>
          <w:r w:rsidR="00922C9D">
            <w:fldChar w:fldCharType="end"/>
          </w:r>
        </w:sdtContent>
      </w:sdt>
      <w:r w:rsidR="00922C9D">
        <w:t xml:space="preserve">. </w:t>
      </w:r>
      <w:r w:rsidR="009C0076">
        <w:t>For the Mbuti the only issue surrounding gender really comes when individuals take part in incestuous relations, the Mbuti believe, unlike many other African tribes that marrying cousins is incest</w:t>
      </w:r>
      <w:r w:rsidR="00CE1E81">
        <w:t xml:space="preserve">. </w:t>
      </w:r>
      <w:r w:rsidR="00221674">
        <w:t>Also,</w:t>
      </w:r>
      <w:r w:rsidR="00CE1E81">
        <w:t xml:space="preserve"> unlike many other tribes similar to the Mbuti, they do not have a political </w:t>
      </w:r>
      <w:r w:rsidR="00221674">
        <w:t>system,</w:t>
      </w:r>
      <w:r w:rsidR="00CE1E81">
        <w:t xml:space="preserve"> so they do not face extreme consequences for their actions, merely ridicule from the other members of their community. </w:t>
      </w:r>
      <w:bookmarkStart w:id="0" w:name="_GoBack"/>
      <w:bookmarkEnd w:id="0"/>
      <w:r w:rsidR="00CE1E81">
        <w:t>This allows for the lack of rigidity when it comes to gender beliefs shaping the social life.</w:t>
      </w:r>
    </w:p>
    <w:p w14:paraId="5EFB1CB2" w14:textId="64A186FD" w:rsidR="00CE1E81" w:rsidRDefault="008C7F30">
      <w:r>
        <w:t>Another example of how the Mbuti’s gender beliefs shape their social life is the system that “when a boy chooses his wife he becomes obliged to find a ‘sister’ (in fact any related girl) to offer in exchange to his bride’s family”</w:t>
      </w:r>
      <w:sdt>
        <w:sdtPr>
          <w:id w:val="-2041664687"/>
          <w:citation/>
        </w:sdtPr>
        <w:sdtContent>
          <w:r>
            <w:fldChar w:fldCharType="begin"/>
          </w:r>
          <w:r>
            <w:instrText xml:space="preserve">CITATION Col61 \p 113 \l 2057 </w:instrText>
          </w:r>
          <w:r>
            <w:fldChar w:fldCharType="separate"/>
          </w:r>
          <w:r>
            <w:rPr>
              <w:noProof/>
            </w:rPr>
            <w:t xml:space="preserve"> </w:t>
          </w:r>
          <w:r w:rsidRPr="008C7F30">
            <w:rPr>
              <w:noProof/>
            </w:rPr>
            <w:t>(Turnbull, 1961, p. 113)</w:t>
          </w:r>
          <w:r>
            <w:fldChar w:fldCharType="end"/>
          </w:r>
        </w:sdtContent>
      </w:sdt>
      <w:r>
        <w:t xml:space="preserve">, this restricts the social life in that it makes finding a wife a very difficult task, not in the part of finding a woman to marry but in finding someone to give. On many occasions it has taken great lengths of time for a man to find a woman suitable to give to his bride’s family. </w:t>
      </w:r>
      <w:r w:rsidR="00303C82">
        <w:t xml:space="preserve">As </w:t>
      </w:r>
      <w:r w:rsidR="00221674">
        <w:t>expected,</w:t>
      </w:r>
      <w:r w:rsidR="00303C82">
        <w:t xml:space="preserve"> this custom is the source of many of the disputes within the community, especially when there are fights between men who have married sisters. </w:t>
      </w:r>
    </w:p>
    <w:p w14:paraId="1E362D52" w14:textId="6119D7D8" w:rsidR="00A406E9" w:rsidRDefault="00303C82">
      <w:r>
        <w:lastRenderedPageBreak/>
        <w:t xml:space="preserve">A contrast that can be made between both communities mentioned is through their cosmologies and how the gender beliefs inferred in those have shaped their social lives. The Mbuti for example believe that the molimo (a musical instrument) </w:t>
      </w:r>
      <w:r w:rsidR="00221674">
        <w:t xml:space="preserve">once belonged to the women until men stole it, this gender belief is demonstrated through the practice of only men using the molimo within the tribe </w:t>
      </w:r>
      <w:sdt>
        <w:sdtPr>
          <w:id w:val="745992410"/>
          <w:citation/>
        </w:sdtPr>
        <w:sdtContent>
          <w:r w:rsidR="00221674">
            <w:fldChar w:fldCharType="begin"/>
          </w:r>
          <w:r w:rsidR="00221674">
            <w:instrText xml:space="preserve"> CITATION Col61 \l 2057 </w:instrText>
          </w:r>
          <w:r w:rsidR="00221674">
            <w:fldChar w:fldCharType="separate"/>
          </w:r>
          <w:r w:rsidR="00221674" w:rsidRPr="00221674">
            <w:rPr>
              <w:noProof/>
            </w:rPr>
            <w:t>(Turnbull, 1961)</w:t>
          </w:r>
          <w:r w:rsidR="00221674">
            <w:fldChar w:fldCharType="end"/>
          </w:r>
        </w:sdtContent>
      </w:sdt>
      <w:r w:rsidR="00221674">
        <w:t xml:space="preserve">. While among the Sambia there is a myth among the men that suggests that women hid certain aspects of their life such as the first birth from them and so now they hide the homosexual acts taking place from the women </w:t>
      </w:r>
      <w:sdt>
        <w:sdtPr>
          <w:id w:val="864016459"/>
          <w:citation/>
        </w:sdtPr>
        <w:sdtContent>
          <w:r w:rsidR="00221674">
            <w:fldChar w:fldCharType="begin"/>
          </w:r>
          <w:r w:rsidR="00221674">
            <w:instrText xml:space="preserve"> CITATION Her87 \l 2057 </w:instrText>
          </w:r>
          <w:r w:rsidR="00221674">
            <w:fldChar w:fldCharType="separate"/>
          </w:r>
          <w:r w:rsidR="00221674" w:rsidRPr="00221674">
            <w:rPr>
              <w:noProof/>
            </w:rPr>
            <w:t>(Herdt, 1987)</w:t>
          </w:r>
          <w:r w:rsidR="00221674">
            <w:fldChar w:fldCharType="end"/>
          </w:r>
        </w:sdtContent>
      </w:sdt>
      <w:r w:rsidR="00221674">
        <w:t>. Both communities have a form of a deep-rooted gender belief, but they affect the social lives of the individuals within the respective communities very differently.</w:t>
      </w:r>
    </w:p>
    <w:p w14:paraId="7701D7C3" w14:textId="134543A2" w:rsidR="00A406E9" w:rsidRDefault="00A406E9">
      <w:r>
        <w:t xml:space="preserve">In conclusion, gender beliefs can shape a community’s social life immensely, in both positive and negative ways. A community may also have its social life shaped by the lack of gender beliefs or the seemingly lax opinion or the general support for said belief. </w:t>
      </w:r>
    </w:p>
    <w:sdt>
      <w:sdtPr>
        <w:id w:val="992839042"/>
        <w:docPartObj>
          <w:docPartGallery w:val="Bibliographies"/>
          <w:docPartUnique/>
        </w:docPartObj>
      </w:sdtPr>
      <w:sdtEndPr>
        <w:rPr>
          <w:rFonts w:asciiTheme="minorHAnsi" w:eastAsiaTheme="minorHAnsi" w:hAnsiTheme="minorHAnsi" w:cstheme="minorBidi"/>
          <w:sz w:val="22"/>
          <w:szCs w:val="22"/>
        </w:rPr>
      </w:sdtEndPr>
      <w:sdtContent>
        <w:p w14:paraId="79B81B01" w14:textId="3C337832" w:rsidR="00221674" w:rsidRDefault="00221674">
          <w:pPr>
            <w:pStyle w:val="Heading1"/>
          </w:pPr>
          <w:r>
            <w:t>References</w:t>
          </w:r>
        </w:p>
        <w:sdt>
          <w:sdtPr>
            <w:id w:val="-573587230"/>
            <w:bibliography/>
          </w:sdtPr>
          <w:sdtContent>
            <w:p w14:paraId="533166B4" w14:textId="77777777" w:rsidR="00221674" w:rsidRDefault="00221674" w:rsidP="00221674">
              <w:pPr>
                <w:pStyle w:val="Bibliography"/>
                <w:rPr>
                  <w:noProof/>
                  <w:sz w:val="24"/>
                  <w:szCs w:val="24"/>
                </w:rPr>
              </w:pPr>
              <w:r>
                <w:fldChar w:fldCharType="begin"/>
              </w:r>
              <w:r>
                <w:instrText xml:space="preserve"> BIBLIOGRAPHY </w:instrText>
              </w:r>
              <w:r>
                <w:fldChar w:fldCharType="separate"/>
              </w:r>
              <w:r>
                <w:rPr>
                  <w:noProof/>
                </w:rPr>
                <w:t xml:space="preserve">Herdt, G., 1987. </w:t>
              </w:r>
              <w:r>
                <w:rPr>
                  <w:i/>
                  <w:iCs/>
                  <w:noProof/>
                </w:rPr>
                <w:t xml:space="preserve">The Sambia, Ritual and Gender in New Guinea. </w:t>
              </w:r>
              <w:r>
                <w:rPr>
                  <w:noProof/>
                </w:rPr>
                <w:t>Orlando: Harcourt College Publishers.</w:t>
              </w:r>
            </w:p>
            <w:p w14:paraId="293DF7A3" w14:textId="77777777" w:rsidR="00221674" w:rsidRDefault="00221674" w:rsidP="00221674">
              <w:pPr>
                <w:pStyle w:val="Bibliography"/>
                <w:rPr>
                  <w:noProof/>
                </w:rPr>
              </w:pPr>
              <w:r>
                <w:rPr>
                  <w:noProof/>
                </w:rPr>
                <w:t xml:space="preserve">Turnbull, C., 1961. </w:t>
              </w:r>
              <w:r>
                <w:rPr>
                  <w:i/>
                  <w:iCs/>
                  <w:noProof/>
                </w:rPr>
                <w:t xml:space="preserve">The Forest People. </w:t>
              </w:r>
              <w:r>
                <w:rPr>
                  <w:noProof/>
                </w:rPr>
                <w:t>London: The Bodley Head.</w:t>
              </w:r>
            </w:p>
            <w:p w14:paraId="26F0FA83" w14:textId="3E1B6661" w:rsidR="00221674" w:rsidRDefault="00221674" w:rsidP="00221674">
              <w:r>
                <w:rPr>
                  <w:b/>
                  <w:bCs/>
                  <w:noProof/>
                </w:rPr>
                <w:fldChar w:fldCharType="end"/>
              </w:r>
            </w:p>
          </w:sdtContent>
        </w:sdt>
      </w:sdtContent>
    </w:sdt>
    <w:p w14:paraId="63404A6F" w14:textId="77777777" w:rsidR="00221674" w:rsidRDefault="00221674"/>
    <w:p w14:paraId="401E9E8B" w14:textId="77777777" w:rsidR="002D112C" w:rsidRDefault="002D112C"/>
    <w:sectPr w:rsidR="002D11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C3E"/>
    <w:rsid w:val="000E6C31"/>
    <w:rsid w:val="00100C3E"/>
    <w:rsid w:val="00174D1C"/>
    <w:rsid w:val="001852D7"/>
    <w:rsid w:val="00221674"/>
    <w:rsid w:val="00242472"/>
    <w:rsid w:val="002D112C"/>
    <w:rsid w:val="002E5D7A"/>
    <w:rsid w:val="002F27D4"/>
    <w:rsid w:val="00303C82"/>
    <w:rsid w:val="00377ECF"/>
    <w:rsid w:val="003F0533"/>
    <w:rsid w:val="005930B7"/>
    <w:rsid w:val="005D0E4B"/>
    <w:rsid w:val="005D7A23"/>
    <w:rsid w:val="007374FD"/>
    <w:rsid w:val="007D4FEF"/>
    <w:rsid w:val="007E3468"/>
    <w:rsid w:val="007E66FE"/>
    <w:rsid w:val="007F774F"/>
    <w:rsid w:val="007F7D00"/>
    <w:rsid w:val="0083213A"/>
    <w:rsid w:val="008A7EFC"/>
    <w:rsid w:val="008C7F30"/>
    <w:rsid w:val="009063CF"/>
    <w:rsid w:val="00922C9D"/>
    <w:rsid w:val="009A7B01"/>
    <w:rsid w:val="009C0076"/>
    <w:rsid w:val="009D3BBB"/>
    <w:rsid w:val="00A406E9"/>
    <w:rsid w:val="00B25594"/>
    <w:rsid w:val="00B8678E"/>
    <w:rsid w:val="00CE1E81"/>
    <w:rsid w:val="00CF0868"/>
    <w:rsid w:val="00E27BBA"/>
    <w:rsid w:val="00F05E53"/>
    <w:rsid w:val="00F400A3"/>
    <w:rsid w:val="00FE6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C6D06"/>
  <w15:chartTrackingRefBased/>
  <w15:docId w15:val="{41F035B0-897C-44E0-8E07-45FD1F07E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E346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468"/>
    <w:rPr>
      <w:rFonts w:asciiTheme="majorHAnsi" w:eastAsiaTheme="majorEastAsia" w:hAnsiTheme="majorHAnsi" w:cstheme="majorBidi"/>
      <w:sz w:val="36"/>
      <w:szCs w:val="36"/>
    </w:rPr>
  </w:style>
  <w:style w:type="paragraph" w:styleId="Bibliography">
    <w:name w:val="Bibliography"/>
    <w:basedOn w:val="Normal"/>
    <w:next w:val="Normal"/>
    <w:uiPriority w:val="37"/>
    <w:unhideWhenUsed/>
    <w:rsid w:val="00221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8019">
      <w:bodyDiv w:val="1"/>
      <w:marLeft w:val="0"/>
      <w:marRight w:val="0"/>
      <w:marTop w:val="0"/>
      <w:marBottom w:val="0"/>
      <w:divBdr>
        <w:top w:val="none" w:sz="0" w:space="0" w:color="auto"/>
        <w:left w:val="none" w:sz="0" w:space="0" w:color="auto"/>
        <w:bottom w:val="none" w:sz="0" w:space="0" w:color="auto"/>
        <w:right w:val="none" w:sz="0" w:space="0" w:color="auto"/>
      </w:divBdr>
    </w:div>
    <w:div w:id="96946347">
      <w:bodyDiv w:val="1"/>
      <w:marLeft w:val="0"/>
      <w:marRight w:val="0"/>
      <w:marTop w:val="0"/>
      <w:marBottom w:val="0"/>
      <w:divBdr>
        <w:top w:val="none" w:sz="0" w:space="0" w:color="auto"/>
        <w:left w:val="none" w:sz="0" w:space="0" w:color="auto"/>
        <w:bottom w:val="none" w:sz="0" w:space="0" w:color="auto"/>
        <w:right w:val="none" w:sz="0" w:space="0" w:color="auto"/>
      </w:divBdr>
    </w:div>
    <w:div w:id="276833360">
      <w:bodyDiv w:val="1"/>
      <w:marLeft w:val="0"/>
      <w:marRight w:val="0"/>
      <w:marTop w:val="0"/>
      <w:marBottom w:val="0"/>
      <w:divBdr>
        <w:top w:val="none" w:sz="0" w:space="0" w:color="auto"/>
        <w:left w:val="none" w:sz="0" w:space="0" w:color="auto"/>
        <w:bottom w:val="none" w:sz="0" w:space="0" w:color="auto"/>
        <w:right w:val="none" w:sz="0" w:space="0" w:color="auto"/>
      </w:divBdr>
    </w:div>
    <w:div w:id="292174115">
      <w:bodyDiv w:val="1"/>
      <w:marLeft w:val="0"/>
      <w:marRight w:val="0"/>
      <w:marTop w:val="0"/>
      <w:marBottom w:val="0"/>
      <w:divBdr>
        <w:top w:val="none" w:sz="0" w:space="0" w:color="auto"/>
        <w:left w:val="none" w:sz="0" w:space="0" w:color="auto"/>
        <w:bottom w:val="none" w:sz="0" w:space="0" w:color="auto"/>
        <w:right w:val="none" w:sz="0" w:space="0" w:color="auto"/>
      </w:divBdr>
    </w:div>
    <w:div w:id="376666926">
      <w:bodyDiv w:val="1"/>
      <w:marLeft w:val="0"/>
      <w:marRight w:val="0"/>
      <w:marTop w:val="0"/>
      <w:marBottom w:val="0"/>
      <w:divBdr>
        <w:top w:val="none" w:sz="0" w:space="0" w:color="auto"/>
        <w:left w:val="none" w:sz="0" w:space="0" w:color="auto"/>
        <w:bottom w:val="none" w:sz="0" w:space="0" w:color="auto"/>
        <w:right w:val="none" w:sz="0" w:space="0" w:color="auto"/>
      </w:divBdr>
    </w:div>
    <w:div w:id="381826731">
      <w:bodyDiv w:val="1"/>
      <w:marLeft w:val="0"/>
      <w:marRight w:val="0"/>
      <w:marTop w:val="0"/>
      <w:marBottom w:val="0"/>
      <w:divBdr>
        <w:top w:val="none" w:sz="0" w:space="0" w:color="auto"/>
        <w:left w:val="none" w:sz="0" w:space="0" w:color="auto"/>
        <w:bottom w:val="none" w:sz="0" w:space="0" w:color="auto"/>
        <w:right w:val="none" w:sz="0" w:space="0" w:color="auto"/>
      </w:divBdr>
    </w:div>
    <w:div w:id="422992885">
      <w:bodyDiv w:val="1"/>
      <w:marLeft w:val="0"/>
      <w:marRight w:val="0"/>
      <w:marTop w:val="0"/>
      <w:marBottom w:val="0"/>
      <w:divBdr>
        <w:top w:val="none" w:sz="0" w:space="0" w:color="auto"/>
        <w:left w:val="none" w:sz="0" w:space="0" w:color="auto"/>
        <w:bottom w:val="none" w:sz="0" w:space="0" w:color="auto"/>
        <w:right w:val="none" w:sz="0" w:space="0" w:color="auto"/>
      </w:divBdr>
    </w:div>
    <w:div w:id="458569558">
      <w:bodyDiv w:val="1"/>
      <w:marLeft w:val="0"/>
      <w:marRight w:val="0"/>
      <w:marTop w:val="0"/>
      <w:marBottom w:val="0"/>
      <w:divBdr>
        <w:top w:val="none" w:sz="0" w:space="0" w:color="auto"/>
        <w:left w:val="none" w:sz="0" w:space="0" w:color="auto"/>
        <w:bottom w:val="none" w:sz="0" w:space="0" w:color="auto"/>
        <w:right w:val="none" w:sz="0" w:space="0" w:color="auto"/>
      </w:divBdr>
    </w:div>
    <w:div w:id="643049920">
      <w:bodyDiv w:val="1"/>
      <w:marLeft w:val="0"/>
      <w:marRight w:val="0"/>
      <w:marTop w:val="0"/>
      <w:marBottom w:val="0"/>
      <w:divBdr>
        <w:top w:val="none" w:sz="0" w:space="0" w:color="auto"/>
        <w:left w:val="none" w:sz="0" w:space="0" w:color="auto"/>
        <w:bottom w:val="none" w:sz="0" w:space="0" w:color="auto"/>
        <w:right w:val="none" w:sz="0" w:space="0" w:color="auto"/>
      </w:divBdr>
    </w:div>
    <w:div w:id="899631033">
      <w:bodyDiv w:val="1"/>
      <w:marLeft w:val="0"/>
      <w:marRight w:val="0"/>
      <w:marTop w:val="0"/>
      <w:marBottom w:val="0"/>
      <w:divBdr>
        <w:top w:val="none" w:sz="0" w:space="0" w:color="auto"/>
        <w:left w:val="none" w:sz="0" w:space="0" w:color="auto"/>
        <w:bottom w:val="none" w:sz="0" w:space="0" w:color="auto"/>
        <w:right w:val="none" w:sz="0" w:space="0" w:color="auto"/>
      </w:divBdr>
    </w:div>
    <w:div w:id="1070345641">
      <w:bodyDiv w:val="1"/>
      <w:marLeft w:val="0"/>
      <w:marRight w:val="0"/>
      <w:marTop w:val="0"/>
      <w:marBottom w:val="0"/>
      <w:divBdr>
        <w:top w:val="none" w:sz="0" w:space="0" w:color="auto"/>
        <w:left w:val="none" w:sz="0" w:space="0" w:color="auto"/>
        <w:bottom w:val="none" w:sz="0" w:space="0" w:color="auto"/>
        <w:right w:val="none" w:sz="0" w:space="0" w:color="auto"/>
      </w:divBdr>
    </w:div>
    <w:div w:id="1378554316">
      <w:bodyDiv w:val="1"/>
      <w:marLeft w:val="0"/>
      <w:marRight w:val="0"/>
      <w:marTop w:val="0"/>
      <w:marBottom w:val="0"/>
      <w:divBdr>
        <w:top w:val="none" w:sz="0" w:space="0" w:color="auto"/>
        <w:left w:val="none" w:sz="0" w:space="0" w:color="auto"/>
        <w:bottom w:val="none" w:sz="0" w:space="0" w:color="auto"/>
        <w:right w:val="none" w:sz="0" w:space="0" w:color="auto"/>
      </w:divBdr>
    </w:div>
    <w:div w:id="1416199434">
      <w:bodyDiv w:val="1"/>
      <w:marLeft w:val="0"/>
      <w:marRight w:val="0"/>
      <w:marTop w:val="0"/>
      <w:marBottom w:val="0"/>
      <w:divBdr>
        <w:top w:val="none" w:sz="0" w:space="0" w:color="auto"/>
        <w:left w:val="none" w:sz="0" w:space="0" w:color="auto"/>
        <w:bottom w:val="none" w:sz="0" w:space="0" w:color="auto"/>
        <w:right w:val="none" w:sz="0" w:space="0" w:color="auto"/>
      </w:divBdr>
    </w:div>
    <w:div w:id="1666205464">
      <w:bodyDiv w:val="1"/>
      <w:marLeft w:val="0"/>
      <w:marRight w:val="0"/>
      <w:marTop w:val="0"/>
      <w:marBottom w:val="0"/>
      <w:divBdr>
        <w:top w:val="none" w:sz="0" w:space="0" w:color="auto"/>
        <w:left w:val="none" w:sz="0" w:space="0" w:color="auto"/>
        <w:bottom w:val="none" w:sz="0" w:space="0" w:color="auto"/>
        <w:right w:val="none" w:sz="0" w:space="0" w:color="auto"/>
      </w:divBdr>
    </w:div>
    <w:div w:id="1999770244">
      <w:bodyDiv w:val="1"/>
      <w:marLeft w:val="0"/>
      <w:marRight w:val="0"/>
      <w:marTop w:val="0"/>
      <w:marBottom w:val="0"/>
      <w:divBdr>
        <w:top w:val="none" w:sz="0" w:space="0" w:color="auto"/>
        <w:left w:val="none" w:sz="0" w:space="0" w:color="auto"/>
        <w:bottom w:val="none" w:sz="0" w:space="0" w:color="auto"/>
        <w:right w:val="none" w:sz="0" w:space="0" w:color="auto"/>
      </w:divBdr>
    </w:div>
    <w:div w:id="2005355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Her87</b:Tag>
    <b:SourceType>Book</b:SourceType>
    <b:Guid>{89FD5ABC-C12E-4036-A80D-5279A32FC31E}</b:Guid>
    <b:Author>
      <b:Author>
        <b:NameList>
          <b:Person>
            <b:Last>Herdt</b:Last>
            <b:First>Gilbert</b:First>
          </b:Person>
        </b:NameList>
      </b:Author>
    </b:Author>
    <b:Title>The Sambia, Ritual and Gender in New Guinea</b:Title>
    <b:Year>1987</b:Year>
    <b:City>Orlando</b:City>
    <b:Publisher>Harcourt College Publishers</b:Publisher>
    <b:RefOrder>1</b:RefOrder>
  </b:Source>
  <b:Source>
    <b:Tag>Col61</b:Tag>
    <b:SourceType>Book</b:SourceType>
    <b:Guid>{16240675-BBE0-4EAE-9F48-41354E0FB770}</b:Guid>
    <b:Title>The Forest People</b:Title>
    <b:Year>1961</b:Year>
    <b:Author>
      <b:Author>
        <b:NameList>
          <b:Person>
            <b:Last>Turnbull</b:Last>
            <b:First>Colin</b:First>
          </b:Person>
        </b:NameList>
      </b:Author>
    </b:Author>
    <b:City>London</b:City>
    <b:Publisher>The Bodley Head</b:Publisher>
    <b:RefOrder>2</b:RefOrder>
  </b:Source>
</b:Sources>
</file>

<file path=customXml/itemProps1.xml><?xml version="1.0" encoding="utf-8"?>
<ds:datastoreItem xmlns:ds="http://schemas.openxmlformats.org/officeDocument/2006/customXml" ds:itemID="{932A5B6E-F743-4FC1-BDF4-E76E3060B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2</Pages>
  <Words>850</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dc:creator>
  <cp:keywords/>
  <dc:description/>
  <cp:lastModifiedBy>Naome Wrightson</cp:lastModifiedBy>
  <cp:revision>13</cp:revision>
  <dcterms:created xsi:type="dcterms:W3CDTF">2019-11-05T12:42:00Z</dcterms:created>
  <dcterms:modified xsi:type="dcterms:W3CDTF">2019-11-07T22:39:00Z</dcterms:modified>
</cp:coreProperties>
</file>