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7A9F" w:rsidRPr="00910C56" w:rsidRDefault="00F87A9F" w:rsidP="00F87A9F">
      <w:pPr>
        <w:jc w:val="center"/>
        <w:rPr>
          <w:sz w:val="36"/>
          <w:szCs w:val="36"/>
        </w:rPr>
      </w:pPr>
      <w:r w:rsidRPr="00910C56">
        <w:rPr>
          <w:sz w:val="36"/>
          <w:szCs w:val="36"/>
        </w:rPr>
        <w:t xml:space="preserve">A report focusing on: </w:t>
      </w:r>
    </w:p>
    <w:p w:rsidR="00F87A9F" w:rsidRDefault="00F87A9F" w:rsidP="00F87A9F">
      <w:pPr>
        <w:jc w:val="center"/>
        <w:rPr>
          <w:b w:val="0"/>
          <w:sz w:val="40"/>
          <w:szCs w:val="40"/>
        </w:rPr>
      </w:pPr>
      <w:r w:rsidRPr="00910C56">
        <w:rPr>
          <w:sz w:val="40"/>
          <w:szCs w:val="40"/>
        </w:rPr>
        <w:t>The outlook for the Welsh housing market over the next two years</w:t>
      </w:r>
    </w:p>
    <w:p w:rsidR="00F87A9F" w:rsidRDefault="00F87A9F" w:rsidP="00F87A9F">
      <w:pPr>
        <w:jc w:val="center"/>
        <w:rPr>
          <w:b w:val="0"/>
          <w:sz w:val="40"/>
          <w:szCs w:val="40"/>
        </w:rPr>
      </w:pPr>
    </w:p>
    <w:p w:rsidR="00F87A9F" w:rsidRDefault="00F87A9F" w:rsidP="00F87A9F">
      <w:pPr>
        <w:jc w:val="center"/>
        <w:rPr>
          <w:sz w:val="32"/>
          <w:szCs w:val="32"/>
        </w:rPr>
      </w:pPr>
      <w:r>
        <w:rPr>
          <w:sz w:val="32"/>
          <w:szCs w:val="32"/>
        </w:rPr>
        <w:t>Prepared for:</w:t>
      </w:r>
    </w:p>
    <w:p w:rsidR="00F87A9F" w:rsidRDefault="00F87A9F" w:rsidP="00F87A9F">
      <w:pPr>
        <w:jc w:val="center"/>
        <w:rPr>
          <w:sz w:val="32"/>
          <w:szCs w:val="32"/>
        </w:rPr>
      </w:pPr>
      <w:r>
        <w:rPr>
          <w:sz w:val="32"/>
          <w:szCs w:val="32"/>
        </w:rPr>
        <w:t xml:space="preserve">L. Richards </w:t>
      </w:r>
    </w:p>
    <w:p w:rsidR="00F87A9F" w:rsidRDefault="00F87A9F" w:rsidP="00F87A9F">
      <w:pPr>
        <w:rPr>
          <w:sz w:val="32"/>
          <w:szCs w:val="32"/>
        </w:rPr>
      </w:pPr>
    </w:p>
    <w:p w:rsidR="00F87A9F" w:rsidRDefault="00F87A9F" w:rsidP="00F87A9F">
      <w:pPr>
        <w:jc w:val="center"/>
        <w:rPr>
          <w:sz w:val="32"/>
          <w:szCs w:val="32"/>
        </w:rPr>
      </w:pPr>
      <w:r>
        <w:rPr>
          <w:sz w:val="32"/>
          <w:szCs w:val="32"/>
        </w:rPr>
        <w:t>Created by:</w:t>
      </w:r>
    </w:p>
    <w:p w:rsidR="00F87A9F" w:rsidRDefault="00F87A9F" w:rsidP="00F87A9F">
      <w:pPr>
        <w:jc w:val="center"/>
        <w:rPr>
          <w:sz w:val="32"/>
          <w:szCs w:val="32"/>
        </w:rPr>
      </w:pPr>
      <w:r>
        <w:rPr>
          <w:sz w:val="32"/>
          <w:szCs w:val="32"/>
        </w:rPr>
        <w:t>R. Allport</w:t>
      </w:r>
    </w:p>
    <w:p w:rsidR="00F87A9F" w:rsidRDefault="00F87A9F" w:rsidP="00F87A9F">
      <w:pPr>
        <w:rPr>
          <w:sz w:val="32"/>
          <w:szCs w:val="32"/>
        </w:rPr>
      </w:pPr>
    </w:p>
    <w:p w:rsidR="00F87A9F" w:rsidRDefault="00F87A9F" w:rsidP="00F87A9F">
      <w:pPr>
        <w:jc w:val="center"/>
        <w:rPr>
          <w:sz w:val="32"/>
          <w:szCs w:val="32"/>
        </w:rPr>
      </w:pPr>
      <w:r>
        <w:rPr>
          <w:sz w:val="32"/>
          <w:szCs w:val="32"/>
        </w:rPr>
        <w:t>Date completed:</w:t>
      </w:r>
    </w:p>
    <w:p w:rsidR="00F87A9F" w:rsidRDefault="003667E4" w:rsidP="00F87A9F">
      <w:pPr>
        <w:jc w:val="center"/>
        <w:rPr>
          <w:sz w:val="32"/>
          <w:szCs w:val="32"/>
        </w:rPr>
      </w:pPr>
      <w:r>
        <w:rPr>
          <w:sz w:val="32"/>
          <w:szCs w:val="32"/>
        </w:rPr>
        <w:t>12</w:t>
      </w:r>
      <w:r w:rsidR="00F87A9F" w:rsidRPr="00910C56">
        <w:rPr>
          <w:sz w:val="32"/>
          <w:szCs w:val="32"/>
          <w:vertAlign w:val="superscript"/>
        </w:rPr>
        <w:t>th</w:t>
      </w:r>
      <w:r w:rsidR="00F87A9F">
        <w:rPr>
          <w:sz w:val="32"/>
          <w:szCs w:val="32"/>
        </w:rPr>
        <w:t xml:space="preserve"> December 2017</w:t>
      </w:r>
    </w:p>
    <w:p w:rsidR="00F87A9F" w:rsidRDefault="00F87A9F" w:rsidP="00F87A9F">
      <w:pPr>
        <w:jc w:val="center"/>
        <w:rPr>
          <w:sz w:val="32"/>
          <w:szCs w:val="32"/>
        </w:rPr>
      </w:pPr>
    </w:p>
    <w:p w:rsidR="00F87A9F" w:rsidRDefault="00F87A9F" w:rsidP="00F87A9F">
      <w:pPr>
        <w:jc w:val="center"/>
        <w:rPr>
          <w:sz w:val="32"/>
          <w:szCs w:val="32"/>
        </w:rPr>
      </w:pPr>
    </w:p>
    <w:p w:rsidR="00F87A9F" w:rsidRPr="00F87A9F" w:rsidRDefault="00F87A9F" w:rsidP="00F87A9F">
      <w:pPr>
        <w:jc w:val="center"/>
        <w:rPr>
          <w:sz w:val="36"/>
          <w:szCs w:val="36"/>
          <w:u w:val="single"/>
        </w:rPr>
      </w:pPr>
      <w:r w:rsidRPr="00F87A9F">
        <w:rPr>
          <w:sz w:val="36"/>
          <w:szCs w:val="36"/>
          <w:u w:val="single"/>
        </w:rPr>
        <w:lastRenderedPageBreak/>
        <w:t>Table of contents</w:t>
      </w:r>
    </w:p>
    <w:p w:rsidR="00F87A9F" w:rsidRDefault="00F87A9F" w:rsidP="00F87A9F">
      <w:pPr>
        <w:rPr>
          <w:b w:val="0"/>
          <w:szCs w:val="28"/>
        </w:rPr>
      </w:pPr>
    </w:p>
    <w:tbl>
      <w:tblPr>
        <w:tblStyle w:val="PlainTable4"/>
        <w:tblW w:w="9142" w:type="dxa"/>
        <w:tblLook w:val="04A0" w:firstRow="1" w:lastRow="0" w:firstColumn="1" w:lastColumn="0" w:noHBand="0" w:noVBand="1"/>
      </w:tblPr>
      <w:tblGrid>
        <w:gridCol w:w="5528"/>
        <w:gridCol w:w="3614"/>
      </w:tblGrid>
      <w:tr w:rsidR="00F87A9F" w:rsidTr="00F87A9F">
        <w:trPr>
          <w:cnfStyle w:val="100000000000" w:firstRow="1" w:lastRow="0" w:firstColumn="0" w:lastColumn="0" w:oddVBand="0" w:evenVBand="0" w:oddHBand="0"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0" w:type="auto"/>
          </w:tcPr>
          <w:p w:rsidR="00F87A9F" w:rsidRPr="00F87A9F" w:rsidRDefault="00F87A9F">
            <w:pPr>
              <w:rPr>
                <w:sz w:val="32"/>
                <w:szCs w:val="32"/>
                <w:u w:val="single"/>
              </w:rPr>
            </w:pPr>
            <w:r w:rsidRPr="00F87A9F">
              <w:rPr>
                <w:sz w:val="32"/>
                <w:szCs w:val="32"/>
                <w:u w:val="single"/>
              </w:rPr>
              <w:t>Contents</w:t>
            </w:r>
          </w:p>
        </w:tc>
        <w:tc>
          <w:tcPr>
            <w:tcW w:w="0" w:type="auto"/>
          </w:tcPr>
          <w:p w:rsidR="00F87A9F" w:rsidRPr="00F87A9F" w:rsidRDefault="00F87A9F">
            <w:pPr>
              <w:cnfStyle w:val="100000000000" w:firstRow="1" w:lastRow="0" w:firstColumn="0" w:lastColumn="0" w:oddVBand="0" w:evenVBand="0" w:oddHBand="0" w:evenHBand="0" w:firstRowFirstColumn="0" w:firstRowLastColumn="0" w:lastRowFirstColumn="0" w:lastRowLastColumn="0"/>
              <w:rPr>
                <w:sz w:val="32"/>
                <w:szCs w:val="32"/>
                <w:u w:val="single"/>
              </w:rPr>
            </w:pPr>
            <w:r w:rsidRPr="00F87A9F">
              <w:rPr>
                <w:sz w:val="32"/>
                <w:szCs w:val="32"/>
                <w:u w:val="single"/>
              </w:rPr>
              <w:t>Page number</w:t>
            </w:r>
          </w:p>
        </w:tc>
      </w:tr>
      <w:tr w:rsidR="00F87A9F" w:rsidTr="00F87A9F">
        <w:trPr>
          <w:cnfStyle w:val="000000100000" w:firstRow="0" w:lastRow="0" w:firstColumn="0" w:lastColumn="0" w:oddVBand="0" w:evenVBand="0" w:oddHBand="1" w:evenHBand="0" w:firstRowFirstColumn="0" w:firstRowLastColumn="0" w:lastRowFirstColumn="0" w:lastRowLastColumn="0"/>
          <w:trHeight w:val="1254"/>
        </w:trPr>
        <w:tc>
          <w:tcPr>
            <w:cnfStyle w:val="001000000000" w:firstRow="0" w:lastRow="0" w:firstColumn="1" w:lastColumn="0" w:oddVBand="0" w:evenVBand="0" w:oddHBand="0" w:evenHBand="0" w:firstRowFirstColumn="0" w:firstRowLastColumn="0" w:lastRowFirstColumn="0" w:lastRowLastColumn="0"/>
            <w:tcW w:w="0" w:type="auto"/>
          </w:tcPr>
          <w:p w:rsidR="00F87A9F" w:rsidRPr="00F87A9F" w:rsidRDefault="00F87A9F">
            <w:r w:rsidRPr="00F87A9F">
              <w:t>1.0</w:t>
            </w:r>
            <w:r>
              <w:t xml:space="preserve">  </w:t>
            </w:r>
            <w:r w:rsidRPr="00F87A9F">
              <w:t xml:space="preserve"> Executive summary </w:t>
            </w:r>
          </w:p>
        </w:tc>
        <w:tc>
          <w:tcPr>
            <w:tcW w:w="0" w:type="auto"/>
          </w:tcPr>
          <w:p w:rsidR="00F87A9F" w:rsidRDefault="00F87A9F" w:rsidP="00F87A9F">
            <w:pPr>
              <w:jc w:val="center"/>
              <w:cnfStyle w:val="000000100000" w:firstRow="0" w:lastRow="0" w:firstColumn="0" w:lastColumn="0" w:oddVBand="0" w:evenVBand="0" w:oddHBand="1" w:evenHBand="0" w:firstRowFirstColumn="0" w:firstRowLastColumn="0" w:lastRowFirstColumn="0" w:lastRowLastColumn="0"/>
            </w:pPr>
            <w:r>
              <w:t>1</w:t>
            </w:r>
          </w:p>
        </w:tc>
      </w:tr>
      <w:tr w:rsidR="00F87A9F" w:rsidTr="00F87A9F">
        <w:trPr>
          <w:trHeight w:val="1199"/>
        </w:trPr>
        <w:tc>
          <w:tcPr>
            <w:cnfStyle w:val="001000000000" w:firstRow="0" w:lastRow="0" w:firstColumn="1" w:lastColumn="0" w:oddVBand="0" w:evenVBand="0" w:oddHBand="0" w:evenHBand="0" w:firstRowFirstColumn="0" w:firstRowLastColumn="0" w:lastRowFirstColumn="0" w:lastRowLastColumn="0"/>
            <w:tcW w:w="0" w:type="auto"/>
          </w:tcPr>
          <w:p w:rsidR="00F87A9F" w:rsidRDefault="00F87A9F">
            <w:r>
              <w:t>2.0   Terms of reference</w:t>
            </w:r>
          </w:p>
        </w:tc>
        <w:tc>
          <w:tcPr>
            <w:tcW w:w="0" w:type="auto"/>
          </w:tcPr>
          <w:p w:rsidR="00F87A9F" w:rsidRDefault="00F87A9F" w:rsidP="00F87A9F">
            <w:pPr>
              <w:jc w:val="center"/>
              <w:cnfStyle w:val="000000000000" w:firstRow="0" w:lastRow="0" w:firstColumn="0" w:lastColumn="0" w:oddVBand="0" w:evenVBand="0" w:oddHBand="0" w:evenHBand="0" w:firstRowFirstColumn="0" w:firstRowLastColumn="0" w:lastRowFirstColumn="0" w:lastRowLastColumn="0"/>
            </w:pPr>
            <w:r>
              <w:t>1</w:t>
            </w:r>
          </w:p>
        </w:tc>
      </w:tr>
      <w:tr w:rsidR="00F87A9F" w:rsidTr="00F87A9F">
        <w:trPr>
          <w:cnfStyle w:val="000000100000" w:firstRow="0" w:lastRow="0" w:firstColumn="0" w:lastColumn="0" w:oddVBand="0" w:evenVBand="0" w:oddHBand="1" w:evenHBand="0" w:firstRowFirstColumn="0" w:firstRowLastColumn="0" w:lastRowFirstColumn="0" w:lastRowLastColumn="0"/>
          <w:trHeight w:val="1254"/>
        </w:trPr>
        <w:tc>
          <w:tcPr>
            <w:cnfStyle w:val="001000000000" w:firstRow="0" w:lastRow="0" w:firstColumn="1" w:lastColumn="0" w:oddVBand="0" w:evenVBand="0" w:oddHBand="0" w:evenHBand="0" w:firstRowFirstColumn="0" w:firstRowLastColumn="0" w:lastRowFirstColumn="0" w:lastRowLastColumn="0"/>
            <w:tcW w:w="0" w:type="auto"/>
          </w:tcPr>
          <w:p w:rsidR="00F87A9F" w:rsidRDefault="00F87A9F">
            <w:r>
              <w:t>3.0   Procedure</w:t>
            </w:r>
          </w:p>
        </w:tc>
        <w:tc>
          <w:tcPr>
            <w:tcW w:w="0" w:type="auto"/>
          </w:tcPr>
          <w:p w:rsidR="00F87A9F" w:rsidRDefault="00F87A9F" w:rsidP="00F87A9F">
            <w:pPr>
              <w:jc w:val="center"/>
              <w:cnfStyle w:val="000000100000" w:firstRow="0" w:lastRow="0" w:firstColumn="0" w:lastColumn="0" w:oddVBand="0" w:evenVBand="0" w:oddHBand="1" w:evenHBand="0" w:firstRowFirstColumn="0" w:firstRowLastColumn="0" w:lastRowFirstColumn="0" w:lastRowLastColumn="0"/>
            </w:pPr>
            <w:r>
              <w:t>1</w:t>
            </w:r>
          </w:p>
        </w:tc>
      </w:tr>
      <w:tr w:rsidR="00F87A9F" w:rsidTr="00F87A9F">
        <w:trPr>
          <w:trHeight w:val="1199"/>
        </w:trPr>
        <w:tc>
          <w:tcPr>
            <w:cnfStyle w:val="001000000000" w:firstRow="0" w:lastRow="0" w:firstColumn="1" w:lastColumn="0" w:oddVBand="0" w:evenVBand="0" w:oddHBand="0" w:evenHBand="0" w:firstRowFirstColumn="0" w:firstRowLastColumn="0" w:lastRowFirstColumn="0" w:lastRowLastColumn="0"/>
            <w:tcW w:w="0" w:type="auto"/>
          </w:tcPr>
          <w:p w:rsidR="00F87A9F" w:rsidRDefault="00F87A9F">
            <w:r>
              <w:t>4.0   Findings</w:t>
            </w:r>
          </w:p>
        </w:tc>
        <w:tc>
          <w:tcPr>
            <w:tcW w:w="0" w:type="auto"/>
          </w:tcPr>
          <w:p w:rsidR="00F87A9F" w:rsidRDefault="00F87A9F" w:rsidP="00F87A9F">
            <w:pPr>
              <w:jc w:val="center"/>
              <w:cnfStyle w:val="000000000000" w:firstRow="0" w:lastRow="0" w:firstColumn="0" w:lastColumn="0" w:oddVBand="0" w:evenVBand="0" w:oddHBand="0" w:evenHBand="0" w:firstRowFirstColumn="0" w:firstRowLastColumn="0" w:lastRowFirstColumn="0" w:lastRowLastColumn="0"/>
            </w:pPr>
            <w:r>
              <w:t>2</w:t>
            </w:r>
          </w:p>
        </w:tc>
      </w:tr>
      <w:tr w:rsidR="00F87A9F" w:rsidTr="00F87A9F">
        <w:trPr>
          <w:cnfStyle w:val="000000100000" w:firstRow="0" w:lastRow="0" w:firstColumn="0" w:lastColumn="0" w:oddVBand="0" w:evenVBand="0" w:oddHBand="1" w:evenHBand="0" w:firstRowFirstColumn="0" w:firstRowLastColumn="0" w:lastRowFirstColumn="0" w:lastRowLastColumn="0"/>
          <w:trHeight w:val="1254"/>
        </w:trPr>
        <w:tc>
          <w:tcPr>
            <w:cnfStyle w:val="001000000000" w:firstRow="0" w:lastRow="0" w:firstColumn="1" w:lastColumn="0" w:oddVBand="0" w:evenVBand="0" w:oddHBand="0" w:evenHBand="0" w:firstRowFirstColumn="0" w:firstRowLastColumn="0" w:lastRowFirstColumn="0" w:lastRowLastColumn="0"/>
            <w:tcW w:w="0" w:type="auto"/>
          </w:tcPr>
          <w:p w:rsidR="00F87A9F" w:rsidRDefault="00F87A9F">
            <w:r>
              <w:t xml:space="preserve">5.0   References </w:t>
            </w:r>
          </w:p>
        </w:tc>
        <w:tc>
          <w:tcPr>
            <w:tcW w:w="0" w:type="auto"/>
          </w:tcPr>
          <w:p w:rsidR="00F87A9F" w:rsidRDefault="00F87A9F" w:rsidP="00F87A9F">
            <w:pPr>
              <w:jc w:val="center"/>
              <w:cnfStyle w:val="000000100000" w:firstRow="0" w:lastRow="0" w:firstColumn="0" w:lastColumn="0" w:oddVBand="0" w:evenVBand="0" w:oddHBand="1" w:evenHBand="0" w:firstRowFirstColumn="0" w:firstRowLastColumn="0" w:lastRowFirstColumn="0" w:lastRowLastColumn="0"/>
            </w:pPr>
            <w:r>
              <w:t>1</w:t>
            </w:r>
            <w:r w:rsidR="00B42998">
              <w:t>9</w:t>
            </w:r>
          </w:p>
        </w:tc>
      </w:tr>
      <w:tr w:rsidR="00F87A9F" w:rsidTr="00F87A9F">
        <w:trPr>
          <w:trHeight w:val="1199"/>
        </w:trPr>
        <w:tc>
          <w:tcPr>
            <w:cnfStyle w:val="001000000000" w:firstRow="0" w:lastRow="0" w:firstColumn="1" w:lastColumn="0" w:oddVBand="0" w:evenVBand="0" w:oddHBand="0" w:evenHBand="0" w:firstRowFirstColumn="0" w:firstRowLastColumn="0" w:lastRowFirstColumn="0" w:lastRowLastColumn="0"/>
            <w:tcW w:w="0" w:type="auto"/>
          </w:tcPr>
          <w:p w:rsidR="00F87A9F" w:rsidRDefault="00F87A9F">
            <w:r>
              <w:t>6.0   Bibliography</w:t>
            </w:r>
          </w:p>
        </w:tc>
        <w:tc>
          <w:tcPr>
            <w:tcW w:w="0" w:type="auto"/>
          </w:tcPr>
          <w:p w:rsidR="00F87A9F" w:rsidRDefault="00B42998" w:rsidP="00F87A9F">
            <w:pPr>
              <w:jc w:val="center"/>
              <w:cnfStyle w:val="000000000000" w:firstRow="0" w:lastRow="0" w:firstColumn="0" w:lastColumn="0" w:oddVBand="0" w:evenVBand="0" w:oddHBand="0" w:evenHBand="0" w:firstRowFirstColumn="0" w:firstRowLastColumn="0" w:lastRowFirstColumn="0" w:lastRowLastColumn="0"/>
            </w:pPr>
            <w:r>
              <w:t>22</w:t>
            </w:r>
          </w:p>
        </w:tc>
      </w:tr>
      <w:tr w:rsidR="00F87A9F" w:rsidTr="00F87A9F">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0" w:type="auto"/>
          </w:tcPr>
          <w:p w:rsidR="00F87A9F" w:rsidRDefault="00F87A9F">
            <w:r>
              <w:t>7.0   Appendices</w:t>
            </w:r>
          </w:p>
        </w:tc>
        <w:tc>
          <w:tcPr>
            <w:tcW w:w="0" w:type="auto"/>
          </w:tcPr>
          <w:p w:rsidR="00F87A9F" w:rsidRDefault="00B42998" w:rsidP="00F87A9F">
            <w:pPr>
              <w:jc w:val="center"/>
              <w:cnfStyle w:val="000000100000" w:firstRow="0" w:lastRow="0" w:firstColumn="0" w:lastColumn="0" w:oddVBand="0" w:evenVBand="0" w:oddHBand="1" w:evenHBand="0" w:firstRowFirstColumn="0" w:firstRowLastColumn="0" w:lastRowFirstColumn="0" w:lastRowLastColumn="0"/>
            </w:pPr>
            <w:r>
              <w:t>23</w:t>
            </w:r>
          </w:p>
        </w:tc>
      </w:tr>
    </w:tbl>
    <w:p w:rsidR="003B4318" w:rsidRDefault="003B4318"/>
    <w:p w:rsidR="00F87A9F" w:rsidRDefault="00F87A9F"/>
    <w:p w:rsidR="00F87A9F" w:rsidRDefault="00F87A9F">
      <w:r>
        <w:br w:type="page"/>
      </w:r>
    </w:p>
    <w:p w:rsidR="00192023" w:rsidRDefault="00192023" w:rsidP="00F87A9F">
      <w:pPr>
        <w:pStyle w:val="ListParagraph"/>
        <w:numPr>
          <w:ilvl w:val="0"/>
          <w:numId w:val="1"/>
        </w:numPr>
        <w:jc w:val="both"/>
        <w:rPr>
          <w:b/>
          <w:u w:val="single"/>
        </w:rPr>
        <w:sectPr w:rsidR="00192023">
          <w:pgSz w:w="11906" w:h="16838"/>
          <w:pgMar w:top="1440" w:right="1440" w:bottom="1440" w:left="1440" w:header="708" w:footer="708" w:gutter="0"/>
          <w:cols w:space="708"/>
          <w:docGrid w:linePitch="360"/>
        </w:sectPr>
      </w:pPr>
    </w:p>
    <w:p w:rsidR="00F87A9F" w:rsidRPr="003E01BA" w:rsidRDefault="00F87A9F" w:rsidP="00F87A9F">
      <w:pPr>
        <w:pStyle w:val="ListParagraph"/>
        <w:numPr>
          <w:ilvl w:val="0"/>
          <w:numId w:val="1"/>
        </w:numPr>
        <w:jc w:val="both"/>
      </w:pPr>
      <w:r w:rsidRPr="003E01BA">
        <w:rPr>
          <w:b/>
          <w:u w:val="single"/>
        </w:rPr>
        <w:lastRenderedPageBreak/>
        <w:t>Executive summary</w:t>
      </w:r>
      <w:r w:rsidRPr="003E01BA">
        <w:t xml:space="preserve"> </w:t>
      </w:r>
    </w:p>
    <w:p w:rsidR="00F87A9F" w:rsidRDefault="00F87A9F" w:rsidP="00F87A9F">
      <w:pPr>
        <w:pStyle w:val="ListParagraph"/>
        <w:ind w:left="360"/>
        <w:jc w:val="both"/>
      </w:pPr>
      <w:r>
        <w:t>This report aims to forecast the future of the Welsh housing market for the period between now and the following two years. Investigations into market trends and drivers will compound fundamental an</w:t>
      </w:r>
      <w:r w:rsidR="00164AD8">
        <w:t>d statistical analysis to identify</w:t>
      </w:r>
      <w:r>
        <w:t xml:space="preserve"> how the market has been shaped up to now, and its future condition. The investigation will be segregated into two keys aspects: </w:t>
      </w:r>
      <w:r w:rsidR="00C16308">
        <w:t>Factors associated with the housing market currently</w:t>
      </w:r>
      <w:r>
        <w:t>;</w:t>
      </w:r>
      <w:r w:rsidR="00C16308">
        <w:t xml:space="preserve"> and the political policies, </w:t>
      </w:r>
      <w:r>
        <w:t>legislation</w:t>
      </w:r>
      <w:r w:rsidR="00C16308">
        <w:t xml:space="preserve"> and economic drivers</w:t>
      </w:r>
      <w:r>
        <w:t xml:space="preserve"> that will shape its future for the next two years.</w:t>
      </w:r>
    </w:p>
    <w:p w:rsidR="00192023" w:rsidRDefault="00192023" w:rsidP="00F87A9F">
      <w:pPr>
        <w:pStyle w:val="ListParagraph"/>
        <w:ind w:left="360"/>
        <w:jc w:val="both"/>
      </w:pPr>
    </w:p>
    <w:p w:rsidR="00F87A9F" w:rsidRPr="003E01BA" w:rsidRDefault="00F87A9F" w:rsidP="00F87A9F">
      <w:pPr>
        <w:pStyle w:val="ListParagraph"/>
        <w:numPr>
          <w:ilvl w:val="0"/>
          <w:numId w:val="1"/>
        </w:numPr>
        <w:jc w:val="both"/>
        <w:rPr>
          <w:b/>
          <w:u w:val="single"/>
        </w:rPr>
      </w:pPr>
      <w:r w:rsidRPr="003E01BA">
        <w:rPr>
          <w:b/>
          <w:u w:val="single"/>
        </w:rPr>
        <w:t>Terms of reference</w:t>
      </w:r>
    </w:p>
    <w:p w:rsidR="00F87A9F" w:rsidRDefault="00F87A9F" w:rsidP="00F87A9F">
      <w:pPr>
        <w:pStyle w:val="ListParagraph"/>
        <w:numPr>
          <w:ilvl w:val="1"/>
          <w:numId w:val="1"/>
        </w:numPr>
        <w:jc w:val="both"/>
      </w:pPr>
      <w:r>
        <w:t>The principle focuses are:</w:t>
      </w:r>
    </w:p>
    <w:p w:rsidR="00F87A9F" w:rsidRDefault="00F87A9F" w:rsidP="00F87A9F">
      <w:pPr>
        <w:pStyle w:val="ListParagraph"/>
        <w:numPr>
          <w:ilvl w:val="2"/>
          <w:numId w:val="1"/>
        </w:numPr>
        <w:jc w:val="both"/>
      </w:pPr>
      <w:r>
        <w:t>To explain how</w:t>
      </w:r>
      <w:r w:rsidR="00164AD8">
        <w:t xml:space="preserve"> the market has been influenced, and how it may be influenced in the future.</w:t>
      </w:r>
    </w:p>
    <w:p w:rsidR="00F87A9F" w:rsidRDefault="00F87A9F" w:rsidP="00F87A9F">
      <w:pPr>
        <w:pStyle w:val="ListParagraph"/>
        <w:numPr>
          <w:ilvl w:val="2"/>
          <w:numId w:val="1"/>
        </w:numPr>
        <w:jc w:val="both"/>
      </w:pPr>
      <w:r>
        <w:t>The effect each respective influence will have on the Welsh housing market over the next two years.</w:t>
      </w:r>
    </w:p>
    <w:p w:rsidR="00F87A9F" w:rsidRDefault="00F87A9F" w:rsidP="00F87A9F">
      <w:pPr>
        <w:pStyle w:val="ListParagraph"/>
        <w:numPr>
          <w:ilvl w:val="2"/>
          <w:numId w:val="1"/>
        </w:numPr>
        <w:jc w:val="both"/>
      </w:pPr>
      <w:r>
        <w:t>To evaluate and suggest possible options considering the prospective outlook.</w:t>
      </w:r>
    </w:p>
    <w:p w:rsidR="00F87A9F" w:rsidRDefault="00F87A9F" w:rsidP="00F87A9F">
      <w:pPr>
        <w:pStyle w:val="ListParagraph"/>
        <w:numPr>
          <w:ilvl w:val="1"/>
          <w:numId w:val="1"/>
        </w:numPr>
        <w:jc w:val="both"/>
      </w:pPr>
      <w:r>
        <w:t>The report was constrained by t</w:t>
      </w:r>
      <w:r w:rsidR="00164AD8">
        <w:t>he need to complete it by the 15</w:t>
      </w:r>
      <w:r w:rsidRPr="001079AD">
        <w:rPr>
          <w:vertAlign w:val="superscript"/>
        </w:rPr>
        <w:t>th</w:t>
      </w:r>
      <w:r>
        <w:t xml:space="preserve"> December 2017.</w:t>
      </w:r>
    </w:p>
    <w:p w:rsidR="00192023" w:rsidRDefault="00192023" w:rsidP="00192023">
      <w:pPr>
        <w:pStyle w:val="ListParagraph"/>
        <w:ind w:left="1069"/>
        <w:jc w:val="both"/>
      </w:pPr>
    </w:p>
    <w:p w:rsidR="00F87A9F" w:rsidRPr="003E01BA" w:rsidRDefault="00F87A9F" w:rsidP="00F87A9F">
      <w:pPr>
        <w:pStyle w:val="ListParagraph"/>
        <w:numPr>
          <w:ilvl w:val="0"/>
          <w:numId w:val="1"/>
        </w:numPr>
        <w:jc w:val="both"/>
        <w:rPr>
          <w:b/>
          <w:u w:val="single"/>
        </w:rPr>
      </w:pPr>
      <w:r w:rsidRPr="003E01BA">
        <w:rPr>
          <w:b/>
          <w:u w:val="single"/>
        </w:rPr>
        <w:t>Procedure</w:t>
      </w:r>
    </w:p>
    <w:p w:rsidR="00F87A9F" w:rsidRDefault="00F87A9F" w:rsidP="00F87A9F">
      <w:pPr>
        <w:pStyle w:val="ListParagraph"/>
        <w:ind w:left="360"/>
        <w:jc w:val="both"/>
      </w:pPr>
      <w:r>
        <w:t>This section identifies the research sources used.</w:t>
      </w:r>
    </w:p>
    <w:p w:rsidR="00F87A9F" w:rsidRDefault="00F87A9F" w:rsidP="00F87A9F">
      <w:pPr>
        <w:pStyle w:val="ListParagraph"/>
        <w:numPr>
          <w:ilvl w:val="1"/>
          <w:numId w:val="1"/>
        </w:numPr>
        <w:jc w:val="both"/>
      </w:pPr>
      <w:r>
        <w:t>This research included secondary sources on economic trends and drivers; statistical data from the UK parliament, the Welsh government and the Bank of England.</w:t>
      </w:r>
    </w:p>
    <w:p w:rsidR="00192023" w:rsidRDefault="00F87A9F" w:rsidP="00164AD8">
      <w:pPr>
        <w:pStyle w:val="ListParagraph"/>
        <w:numPr>
          <w:ilvl w:val="1"/>
          <w:numId w:val="1"/>
        </w:numPr>
        <w:jc w:val="both"/>
      </w:pPr>
      <w:r>
        <w:t>University notes taken from lectures also provided background to the research.</w:t>
      </w:r>
    </w:p>
    <w:p w:rsidR="00192023" w:rsidRPr="00192023" w:rsidRDefault="00192023" w:rsidP="00192023">
      <w:pPr>
        <w:numPr>
          <w:ilvl w:val="0"/>
          <w:numId w:val="1"/>
        </w:numPr>
        <w:contextualSpacing/>
        <w:jc w:val="both"/>
        <w:rPr>
          <w:rFonts w:asciiTheme="minorHAnsi" w:hAnsiTheme="minorHAnsi"/>
          <w:sz w:val="24"/>
          <w:szCs w:val="24"/>
          <w:u w:val="single"/>
        </w:rPr>
      </w:pPr>
      <w:r w:rsidRPr="00192023">
        <w:rPr>
          <w:rFonts w:asciiTheme="minorHAnsi" w:hAnsiTheme="minorHAnsi"/>
          <w:sz w:val="24"/>
          <w:szCs w:val="24"/>
          <w:u w:val="single"/>
        </w:rPr>
        <w:lastRenderedPageBreak/>
        <w:t xml:space="preserve">Findings </w:t>
      </w:r>
    </w:p>
    <w:p w:rsidR="00192023" w:rsidRDefault="00192023" w:rsidP="00192023">
      <w:pPr>
        <w:ind w:left="360"/>
        <w:contextualSpacing/>
        <w:jc w:val="both"/>
        <w:rPr>
          <w:rFonts w:asciiTheme="minorHAnsi" w:hAnsiTheme="minorHAnsi"/>
          <w:b w:val="0"/>
          <w:sz w:val="24"/>
          <w:szCs w:val="24"/>
        </w:rPr>
      </w:pPr>
      <w:r w:rsidRPr="00192023">
        <w:rPr>
          <w:rFonts w:asciiTheme="minorHAnsi" w:hAnsiTheme="minorHAnsi"/>
          <w:b w:val="0"/>
          <w:sz w:val="24"/>
          <w:szCs w:val="24"/>
        </w:rPr>
        <w:t>This section will first analyse</w:t>
      </w:r>
      <w:r w:rsidR="00C16308">
        <w:rPr>
          <w:rFonts w:asciiTheme="minorHAnsi" w:hAnsiTheme="minorHAnsi"/>
          <w:b w:val="0"/>
          <w:sz w:val="24"/>
          <w:szCs w:val="24"/>
        </w:rPr>
        <w:t xml:space="preserve"> statistical</w:t>
      </w:r>
      <w:r w:rsidRPr="00192023">
        <w:rPr>
          <w:rFonts w:asciiTheme="minorHAnsi" w:hAnsiTheme="minorHAnsi"/>
          <w:b w:val="0"/>
          <w:sz w:val="24"/>
          <w:szCs w:val="24"/>
        </w:rPr>
        <w:t xml:space="preserve"> data to understand the current housing market, it will then develop the information extracted from this data </w:t>
      </w:r>
      <w:r w:rsidR="00C16308">
        <w:rPr>
          <w:rFonts w:asciiTheme="minorHAnsi" w:hAnsiTheme="minorHAnsi"/>
          <w:b w:val="0"/>
          <w:sz w:val="24"/>
          <w:szCs w:val="24"/>
        </w:rPr>
        <w:t>by fundamentally analysing factors which may affect it in the future.</w:t>
      </w:r>
    </w:p>
    <w:p w:rsidR="00192023" w:rsidRDefault="00192023" w:rsidP="00192023">
      <w:pPr>
        <w:ind w:left="360"/>
        <w:contextualSpacing/>
        <w:jc w:val="both"/>
        <w:rPr>
          <w:rFonts w:asciiTheme="minorHAnsi" w:hAnsiTheme="minorHAnsi"/>
          <w:b w:val="0"/>
          <w:sz w:val="24"/>
          <w:szCs w:val="24"/>
        </w:rPr>
      </w:pPr>
    </w:p>
    <w:p w:rsidR="00192023" w:rsidRPr="00164AD8" w:rsidRDefault="00192023" w:rsidP="00164AD8">
      <w:pPr>
        <w:numPr>
          <w:ilvl w:val="1"/>
          <w:numId w:val="1"/>
        </w:numPr>
        <w:contextualSpacing/>
        <w:jc w:val="both"/>
        <w:rPr>
          <w:rFonts w:asciiTheme="minorHAnsi" w:hAnsiTheme="minorHAnsi"/>
          <w:sz w:val="24"/>
          <w:szCs w:val="24"/>
          <w:u w:val="single"/>
        </w:rPr>
      </w:pPr>
      <w:r w:rsidRPr="00192023">
        <w:rPr>
          <w:rFonts w:asciiTheme="minorHAnsi" w:hAnsiTheme="minorHAnsi"/>
          <w:sz w:val="24"/>
          <w:szCs w:val="24"/>
          <w:u w:val="single"/>
        </w:rPr>
        <w:t>Current housing data in Wales</w:t>
      </w:r>
    </w:p>
    <w:p w:rsidR="00192023" w:rsidRPr="00192023" w:rsidRDefault="00192023" w:rsidP="00192023">
      <w:pPr>
        <w:numPr>
          <w:ilvl w:val="2"/>
          <w:numId w:val="1"/>
        </w:numPr>
        <w:contextualSpacing/>
        <w:jc w:val="both"/>
        <w:rPr>
          <w:rFonts w:asciiTheme="minorHAnsi" w:hAnsiTheme="minorHAnsi"/>
          <w:sz w:val="24"/>
          <w:szCs w:val="24"/>
          <w:u w:val="single"/>
        </w:rPr>
      </w:pPr>
      <w:r w:rsidRPr="00192023">
        <w:rPr>
          <w:rFonts w:asciiTheme="minorHAnsi" w:hAnsiTheme="minorHAnsi"/>
          <w:sz w:val="24"/>
          <w:szCs w:val="24"/>
          <w:u w:val="single"/>
        </w:rPr>
        <w:t>Welsh housing price increases</w:t>
      </w:r>
    </w:p>
    <w:p w:rsidR="00192023" w:rsidRPr="00192023" w:rsidRDefault="00192023" w:rsidP="00192023">
      <w:pPr>
        <w:ind w:left="2160"/>
        <w:contextualSpacing/>
        <w:jc w:val="both"/>
        <w:rPr>
          <w:rFonts w:asciiTheme="minorHAnsi" w:hAnsiTheme="minorHAnsi"/>
          <w:b w:val="0"/>
          <w:sz w:val="24"/>
          <w:szCs w:val="24"/>
        </w:rPr>
      </w:pPr>
      <w:r w:rsidRPr="00192023">
        <w:rPr>
          <w:rFonts w:asciiTheme="minorHAnsi" w:hAnsiTheme="minorHAnsi"/>
          <w:b w:val="0"/>
          <w:noProof/>
          <w:sz w:val="24"/>
          <w:szCs w:val="24"/>
          <w:lang w:eastAsia="en-GB"/>
        </w:rPr>
        <w:drawing>
          <wp:inline distT="0" distB="0" distL="0" distR="0" wp14:anchorId="7D5EF869" wp14:editId="3F6CCEF4">
            <wp:extent cx="4572000" cy="2743200"/>
            <wp:effectExtent l="0" t="0" r="0" b="0"/>
            <wp:docPr id="1" name="Chart 1">
              <a:extLst xmlns:a="http://schemas.openxmlformats.org/drawingml/2006/main">
                <a:ext uri="{FF2B5EF4-FFF2-40B4-BE49-F238E27FC236}">
                  <a16:creationId xmlns:a16="http://schemas.microsoft.com/office/drawing/2014/main" id="{9336E474-9E31-4DB6-B318-3F0A66C7AD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32F43" w:rsidRPr="00932F43" w:rsidRDefault="00932F43" w:rsidP="00932F43">
      <w:pPr>
        <w:ind w:left="2160"/>
        <w:contextualSpacing/>
        <w:jc w:val="both"/>
        <w:rPr>
          <w:rFonts w:asciiTheme="minorHAnsi" w:hAnsiTheme="minorHAnsi"/>
          <w:b w:val="0"/>
          <w:sz w:val="24"/>
          <w:szCs w:val="24"/>
        </w:rPr>
      </w:pPr>
      <w:r>
        <w:rPr>
          <w:rFonts w:asciiTheme="minorHAnsi" w:hAnsiTheme="minorHAnsi"/>
          <w:b w:val="0"/>
          <w:sz w:val="24"/>
          <w:szCs w:val="24"/>
        </w:rPr>
        <w:t>(</w:t>
      </w:r>
      <w:r w:rsidR="00C01AEC">
        <w:rPr>
          <w:rFonts w:asciiTheme="minorHAnsi" w:hAnsiTheme="minorHAnsi"/>
          <w:b w:val="0"/>
          <w:sz w:val="24"/>
          <w:szCs w:val="24"/>
        </w:rPr>
        <w:t>ONS</w:t>
      </w:r>
      <w:r>
        <w:rPr>
          <w:rFonts w:asciiTheme="minorHAnsi" w:hAnsiTheme="minorHAnsi"/>
          <w:b w:val="0"/>
          <w:sz w:val="24"/>
          <w:szCs w:val="24"/>
        </w:rPr>
        <w:t xml:space="preserve">, </w:t>
      </w:r>
      <w:r w:rsidRPr="00932F43">
        <w:rPr>
          <w:rFonts w:asciiTheme="minorHAnsi" w:hAnsiTheme="minorHAnsi"/>
          <w:b w:val="0"/>
          <w:sz w:val="24"/>
          <w:szCs w:val="24"/>
        </w:rPr>
        <w:t>2017)</w:t>
      </w:r>
      <w:r w:rsidR="00646280">
        <w:rPr>
          <w:rFonts w:asciiTheme="minorHAnsi" w:hAnsiTheme="minorHAnsi"/>
          <w:b w:val="0"/>
          <w:sz w:val="24"/>
          <w:szCs w:val="24"/>
        </w:rPr>
        <w:t xml:space="preserve"> (APPENDIX A)</w:t>
      </w:r>
    </w:p>
    <w:p w:rsidR="00192023" w:rsidRDefault="00192023" w:rsidP="00192023">
      <w:pPr>
        <w:ind w:left="2160"/>
        <w:contextualSpacing/>
        <w:jc w:val="both"/>
        <w:rPr>
          <w:rFonts w:asciiTheme="minorHAnsi" w:hAnsiTheme="minorHAnsi"/>
          <w:b w:val="0"/>
          <w:sz w:val="24"/>
          <w:szCs w:val="24"/>
        </w:rPr>
      </w:pPr>
      <w:r w:rsidRPr="00192023">
        <w:rPr>
          <w:rFonts w:asciiTheme="minorHAnsi" w:hAnsiTheme="minorHAnsi"/>
          <w:b w:val="0"/>
          <w:sz w:val="24"/>
          <w:szCs w:val="24"/>
        </w:rPr>
        <w:t>The unsustainable rise in house price inflation between 2002 and 2007 eventually crashed, and as a result the UK went into recession. House price inflation is now rising at a steadier rate, however, to test the significance of house price appreciations and depreciations, they must be measured against average Welsh wages to understand their true cost.</w:t>
      </w:r>
    </w:p>
    <w:p w:rsidR="00164AD8" w:rsidRDefault="00164AD8" w:rsidP="00192023">
      <w:pPr>
        <w:ind w:left="2160"/>
        <w:contextualSpacing/>
        <w:jc w:val="both"/>
        <w:rPr>
          <w:rFonts w:asciiTheme="minorHAnsi" w:hAnsiTheme="minorHAnsi"/>
          <w:b w:val="0"/>
          <w:sz w:val="24"/>
          <w:szCs w:val="24"/>
        </w:rPr>
      </w:pPr>
    </w:p>
    <w:p w:rsidR="00164AD8" w:rsidRPr="00192023" w:rsidRDefault="00164AD8" w:rsidP="00192023">
      <w:pPr>
        <w:ind w:left="2160"/>
        <w:contextualSpacing/>
        <w:jc w:val="both"/>
        <w:rPr>
          <w:rFonts w:asciiTheme="minorHAnsi" w:hAnsiTheme="minorHAnsi"/>
          <w:b w:val="0"/>
          <w:sz w:val="24"/>
          <w:szCs w:val="24"/>
        </w:rPr>
      </w:pPr>
    </w:p>
    <w:p w:rsidR="00192023" w:rsidRPr="00192023" w:rsidRDefault="00192023" w:rsidP="00192023">
      <w:pPr>
        <w:numPr>
          <w:ilvl w:val="2"/>
          <w:numId w:val="1"/>
        </w:numPr>
        <w:contextualSpacing/>
        <w:jc w:val="both"/>
        <w:rPr>
          <w:rFonts w:asciiTheme="minorHAnsi" w:hAnsiTheme="minorHAnsi"/>
          <w:sz w:val="24"/>
          <w:szCs w:val="24"/>
          <w:u w:val="single"/>
        </w:rPr>
      </w:pPr>
      <w:r w:rsidRPr="00192023">
        <w:rPr>
          <w:rFonts w:asciiTheme="minorHAnsi" w:hAnsiTheme="minorHAnsi"/>
          <w:sz w:val="24"/>
          <w:szCs w:val="24"/>
          <w:u w:val="single"/>
        </w:rPr>
        <w:lastRenderedPageBreak/>
        <w:t>Welsh salary increases</w:t>
      </w:r>
    </w:p>
    <w:p w:rsidR="00192023" w:rsidRPr="00192023" w:rsidRDefault="00192023" w:rsidP="00192023">
      <w:pPr>
        <w:ind w:left="2160"/>
        <w:contextualSpacing/>
        <w:jc w:val="both"/>
        <w:rPr>
          <w:rFonts w:asciiTheme="minorHAnsi" w:hAnsiTheme="minorHAnsi"/>
          <w:b w:val="0"/>
          <w:sz w:val="24"/>
          <w:szCs w:val="24"/>
        </w:rPr>
      </w:pPr>
      <w:r w:rsidRPr="00192023">
        <w:rPr>
          <w:rFonts w:asciiTheme="minorHAnsi" w:hAnsiTheme="minorHAnsi"/>
          <w:b w:val="0"/>
          <w:sz w:val="24"/>
          <w:szCs w:val="24"/>
        </w:rPr>
        <w:t xml:space="preserve">This chart represents annual salary growth in wales, and is measured against Consumer Price Inflation (CPI), to understand how much an annual salary is worth. </w:t>
      </w:r>
    </w:p>
    <w:p w:rsidR="00192023" w:rsidRPr="00192023" w:rsidRDefault="00192023" w:rsidP="00192023">
      <w:pPr>
        <w:ind w:left="2160"/>
        <w:contextualSpacing/>
        <w:jc w:val="both"/>
        <w:rPr>
          <w:rFonts w:asciiTheme="minorHAnsi" w:hAnsiTheme="minorHAnsi"/>
          <w:b w:val="0"/>
          <w:sz w:val="24"/>
          <w:szCs w:val="24"/>
        </w:rPr>
      </w:pPr>
      <w:r w:rsidRPr="00192023">
        <w:rPr>
          <w:rFonts w:asciiTheme="minorHAnsi" w:hAnsiTheme="minorHAnsi"/>
          <w:b w:val="0"/>
          <w:noProof/>
          <w:sz w:val="24"/>
          <w:szCs w:val="24"/>
          <w:lang w:eastAsia="en-GB"/>
        </w:rPr>
        <w:drawing>
          <wp:inline distT="0" distB="0" distL="0" distR="0" wp14:anchorId="6785611B" wp14:editId="02EB2606">
            <wp:extent cx="4572000" cy="2743200"/>
            <wp:effectExtent l="0" t="0" r="0" b="0"/>
            <wp:docPr id="2" name="Chart 2">
              <a:extLst xmlns:a="http://schemas.openxmlformats.org/drawingml/2006/main">
                <a:ext uri="{FF2B5EF4-FFF2-40B4-BE49-F238E27FC236}">
                  <a16:creationId xmlns:a16="http://schemas.microsoft.com/office/drawing/2014/main" id="{C2A93111-1859-495E-A1BE-A4E2CB6756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32F43" w:rsidRDefault="00932F43" w:rsidP="00192023">
      <w:pPr>
        <w:ind w:left="2160"/>
        <w:contextualSpacing/>
        <w:jc w:val="both"/>
        <w:rPr>
          <w:rFonts w:asciiTheme="minorHAnsi" w:hAnsiTheme="minorHAnsi"/>
          <w:b w:val="0"/>
          <w:sz w:val="24"/>
          <w:szCs w:val="24"/>
        </w:rPr>
      </w:pPr>
      <w:r w:rsidRPr="00932F43">
        <w:rPr>
          <w:rFonts w:asciiTheme="minorHAnsi" w:hAnsiTheme="minorHAnsi"/>
          <w:b w:val="0"/>
          <w:sz w:val="24"/>
          <w:szCs w:val="24"/>
        </w:rPr>
        <w:t>(StatsWales, 2017)</w:t>
      </w:r>
      <w:r>
        <w:rPr>
          <w:rFonts w:asciiTheme="minorHAnsi" w:hAnsiTheme="minorHAnsi"/>
          <w:b w:val="0"/>
          <w:sz w:val="24"/>
          <w:szCs w:val="24"/>
        </w:rPr>
        <w:t>, (ONS, 2017)</w:t>
      </w:r>
    </w:p>
    <w:p w:rsidR="00192023" w:rsidRPr="00192023" w:rsidRDefault="00192023" w:rsidP="00192023">
      <w:pPr>
        <w:ind w:left="2160"/>
        <w:contextualSpacing/>
        <w:jc w:val="both"/>
        <w:rPr>
          <w:rFonts w:asciiTheme="minorHAnsi" w:hAnsiTheme="minorHAnsi"/>
          <w:b w:val="0"/>
          <w:sz w:val="24"/>
          <w:szCs w:val="24"/>
        </w:rPr>
      </w:pPr>
      <w:r w:rsidRPr="00192023">
        <w:rPr>
          <w:rFonts w:asciiTheme="minorHAnsi" w:hAnsiTheme="minorHAnsi"/>
          <w:b w:val="0"/>
          <w:sz w:val="24"/>
          <w:szCs w:val="24"/>
        </w:rPr>
        <w:t>Wages appear to have stagnated since 2013, and although CPI has fallen during that time, it has begun to rise again since 2015. Continual rises to CPI will greatly affect a households discretionary spending unless wages begin to experience an upward correlation.</w:t>
      </w:r>
    </w:p>
    <w:p w:rsidR="00192023" w:rsidRDefault="00192023" w:rsidP="00192023">
      <w:pPr>
        <w:ind w:left="1080"/>
        <w:contextualSpacing/>
        <w:jc w:val="both"/>
        <w:rPr>
          <w:rFonts w:asciiTheme="minorHAnsi" w:hAnsiTheme="minorHAnsi"/>
          <w:b w:val="0"/>
          <w:sz w:val="24"/>
          <w:szCs w:val="24"/>
        </w:rPr>
      </w:pPr>
    </w:p>
    <w:p w:rsidR="00192023" w:rsidRDefault="00192023" w:rsidP="00192023">
      <w:pPr>
        <w:ind w:left="1080"/>
        <w:contextualSpacing/>
        <w:jc w:val="both"/>
        <w:rPr>
          <w:rFonts w:asciiTheme="minorHAnsi" w:hAnsiTheme="minorHAnsi"/>
          <w:b w:val="0"/>
          <w:sz w:val="24"/>
          <w:szCs w:val="24"/>
        </w:rPr>
      </w:pPr>
    </w:p>
    <w:p w:rsidR="00192023" w:rsidRDefault="00192023" w:rsidP="00192023">
      <w:pPr>
        <w:ind w:left="1080"/>
        <w:contextualSpacing/>
        <w:jc w:val="both"/>
        <w:rPr>
          <w:rFonts w:asciiTheme="minorHAnsi" w:hAnsiTheme="minorHAnsi"/>
          <w:b w:val="0"/>
          <w:sz w:val="24"/>
          <w:szCs w:val="24"/>
        </w:rPr>
      </w:pPr>
    </w:p>
    <w:p w:rsidR="00192023" w:rsidRDefault="00192023" w:rsidP="00192023">
      <w:pPr>
        <w:ind w:left="1080"/>
        <w:contextualSpacing/>
        <w:jc w:val="both"/>
        <w:rPr>
          <w:rFonts w:asciiTheme="minorHAnsi" w:hAnsiTheme="minorHAnsi"/>
          <w:b w:val="0"/>
          <w:sz w:val="24"/>
          <w:szCs w:val="24"/>
        </w:rPr>
      </w:pPr>
    </w:p>
    <w:p w:rsidR="00192023" w:rsidRDefault="00192023" w:rsidP="00192023">
      <w:pPr>
        <w:ind w:left="1080"/>
        <w:contextualSpacing/>
        <w:jc w:val="both"/>
        <w:rPr>
          <w:rFonts w:asciiTheme="minorHAnsi" w:hAnsiTheme="minorHAnsi"/>
          <w:b w:val="0"/>
          <w:sz w:val="24"/>
          <w:szCs w:val="24"/>
        </w:rPr>
      </w:pPr>
    </w:p>
    <w:p w:rsidR="00192023" w:rsidRDefault="00192023" w:rsidP="00192023">
      <w:pPr>
        <w:ind w:left="1080"/>
        <w:contextualSpacing/>
        <w:jc w:val="both"/>
        <w:rPr>
          <w:rFonts w:asciiTheme="minorHAnsi" w:hAnsiTheme="minorHAnsi"/>
          <w:b w:val="0"/>
          <w:sz w:val="24"/>
          <w:szCs w:val="24"/>
        </w:rPr>
      </w:pPr>
    </w:p>
    <w:p w:rsidR="00192023" w:rsidRDefault="00192023" w:rsidP="00C16308">
      <w:pPr>
        <w:contextualSpacing/>
        <w:jc w:val="both"/>
        <w:rPr>
          <w:rFonts w:asciiTheme="minorHAnsi" w:hAnsiTheme="minorHAnsi"/>
          <w:b w:val="0"/>
          <w:sz w:val="24"/>
          <w:szCs w:val="24"/>
        </w:rPr>
      </w:pPr>
    </w:p>
    <w:p w:rsidR="00192023" w:rsidRPr="00192023" w:rsidRDefault="00192023" w:rsidP="00192023">
      <w:pPr>
        <w:numPr>
          <w:ilvl w:val="2"/>
          <w:numId w:val="1"/>
        </w:numPr>
        <w:contextualSpacing/>
        <w:jc w:val="both"/>
        <w:rPr>
          <w:rFonts w:asciiTheme="minorHAnsi" w:hAnsiTheme="minorHAnsi"/>
          <w:sz w:val="24"/>
          <w:szCs w:val="24"/>
          <w:u w:val="single"/>
        </w:rPr>
      </w:pPr>
      <w:r w:rsidRPr="00192023">
        <w:rPr>
          <w:rFonts w:asciiTheme="minorHAnsi" w:hAnsiTheme="minorHAnsi"/>
          <w:sz w:val="24"/>
          <w:szCs w:val="24"/>
          <w:u w:val="single"/>
        </w:rPr>
        <w:lastRenderedPageBreak/>
        <w:t>House price affordability</w:t>
      </w:r>
    </w:p>
    <w:p w:rsidR="00192023" w:rsidRPr="00192023" w:rsidRDefault="00192023" w:rsidP="00192023">
      <w:pPr>
        <w:ind w:left="2160"/>
        <w:contextualSpacing/>
        <w:jc w:val="both"/>
        <w:rPr>
          <w:rFonts w:asciiTheme="minorHAnsi" w:hAnsiTheme="minorHAnsi"/>
          <w:b w:val="0"/>
          <w:sz w:val="24"/>
          <w:szCs w:val="24"/>
        </w:rPr>
      </w:pPr>
      <w:r w:rsidRPr="00192023">
        <w:rPr>
          <w:rFonts w:asciiTheme="minorHAnsi" w:hAnsiTheme="minorHAnsi"/>
          <w:b w:val="0"/>
          <w:sz w:val="24"/>
          <w:szCs w:val="24"/>
        </w:rPr>
        <w:t>This chart will identify any disparity between Welsh salaries and Welsh house prices by year.</w:t>
      </w:r>
    </w:p>
    <w:p w:rsidR="00192023" w:rsidRPr="00192023" w:rsidRDefault="00192023" w:rsidP="00192023">
      <w:pPr>
        <w:ind w:left="2160"/>
        <w:contextualSpacing/>
        <w:jc w:val="both"/>
        <w:rPr>
          <w:rFonts w:asciiTheme="minorHAnsi" w:hAnsiTheme="minorHAnsi"/>
          <w:b w:val="0"/>
          <w:sz w:val="24"/>
          <w:szCs w:val="24"/>
        </w:rPr>
      </w:pPr>
      <w:r w:rsidRPr="00192023">
        <w:rPr>
          <w:rFonts w:asciiTheme="minorHAnsi" w:hAnsiTheme="minorHAnsi"/>
          <w:b w:val="0"/>
          <w:noProof/>
          <w:sz w:val="24"/>
          <w:szCs w:val="24"/>
          <w:lang w:eastAsia="en-GB"/>
        </w:rPr>
        <w:drawing>
          <wp:inline distT="0" distB="0" distL="0" distR="0" wp14:anchorId="6F35015F" wp14:editId="5F829644">
            <wp:extent cx="4572000" cy="2743200"/>
            <wp:effectExtent l="0" t="0" r="0" b="0"/>
            <wp:docPr id="3" name="Chart 3">
              <a:extLst xmlns:a="http://schemas.openxmlformats.org/drawingml/2006/main">
                <a:ext uri="{FF2B5EF4-FFF2-40B4-BE49-F238E27FC236}">
                  <a16:creationId xmlns:a16="http://schemas.microsoft.com/office/drawing/2014/main" id="{E9AC6B5D-B5CD-4603-88D3-A78196DA4C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32F43" w:rsidRDefault="00932F43" w:rsidP="00192023">
      <w:pPr>
        <w:ind w:left="2160"/>
        <w:contextualSpacing/>
        <w:jc w:val="both"/>
        <w:rPr>
          <w:rFonts w:asciiTheme="minorHAnsi" w:hAnsiTheme="minorHAnsi"/>
          <w:b w:val="0"/>
          <w:sz w:val="24"/>
          <w:szCs w:val="24"/>
        </w:rPr>
      </w:pPr>
      <w:r w:rsidRPr="00932F43">
        <w:rPr>
          <w:rFonts w:asciiTheme="minorHAnsi" w:hAnsiTheme="minorHAnsi"/>
          <w:b w:val="0"/>
          <w:sz w:val="24"/>
          <w:szCs w:val="24"/>
        </w:rPr>
        <w:t>(</w:t>
      </w:r>
      <w:r w:rsidR="00B63E6F">
        <w:rPr>
          <w:rFonts w:asciiTheme="minorHAnsi" w:hAnsiTheme="minorHAnsi"/>
          <w:b w:val="0"/>
          <w:sz w:val="24"/>
          <w:szCs w:val="24"/>
        </w:rPr>
        <w:t>ONS</w:t>
      </w:r>
      <w:r w:rsidRPr="00932F43">
        <w:rPr>
          <w:rFonts w:asciiTheme="minorHAnsi" w:hAnsiTheme="minorHAnsi"/>
          <w:b w:val="0"/>
          <w:sz w:val="24"/>
          <w:szCs w:val="24"/>
        </w:rPr>
        <w:t>, 2017)</w:t>
      </w:r>
      <w:r w:rsidR="00B42998">
        <w:rPr>
          <w:rFonts w:asciiTheme="minorHAnsi" w:hAnsiTheme="minorHAnsi"/>
          <w:b w:val="0"/>
          <w:sz w:val="24"/>
          <w:szCs w:val="24"/>
        </w:rPr>
        <w:t xml:space="preserve"> (APPENDIX B</w:t>
      </w:r>
      <w:r w:rsidR="00646280">
        <w:rPr>
          <w:rFonts w:asciiTheme="minorHAnsi" w:hAnsiTheme="minorHAnsi"/>
          <w:b w:val="0"/>
          <w:sz w:val="24"/>
          <w:szCs w:val="24"/>
        </w:rPr>
        <w:t>)</w:t>
      </w:r>
    </w:p>
    <w:p w:rsidR="00192023" w:rsidRPr="00192023" w:rsidRDefault="00192023" w:rsidP="00192023">
      <w:pPr>
        <w:ind w:left="2160"/>
        <w:contextualSpacing/>
        <w:jc w:val="both"/>
        <w:rPr>
          <w:rFonts w:asciiTheme="minorHAnsi" w:hAnsiTheme="minorHAnsi"/>
          <w:b w:val="0"/>
          <w:sz w:val="24"/>
          <w:szCs w:val="24"/>
        </w:rPr>
      </w:pPr>
      <w:r w:rsidRPr="00192023">
        <w:rPr>
          <w:rFonts w:asciiTheme="minorHAnsi" w:hAnsiTheme="minorHAnsi"/>
          <w:b w:val="0"/>
          <w:sz w:val="24"/>
          <w:szCs w:val="24"/>
        </w:rPr>
        <w:t xml:space="preserve">The chart indicates that that average house prices in Wales have risen from 3.67 times the annual earnings in 2002, to 5.73 in 2016. </w:t>
      </w:r>
    </w:p>
    <w:p w:rsidR="00192023" w:rsidRPr="00192023" w:rsidRDefault="00192023" w:rsidP="00192023">
      <w:pPr>
        <w:ind w:left="2160"/>
        <w:contextualSpacing/>
        <w:jc w:val="both"/>
        <w:rPr>
          <w:rFonts w:asciiTheme="minorHAnsi" w:hAnsiTheme="minorHAnsi"/>
          <w:b w:val="0"/>
          <w:sz w:val="24"/>
          <w:szCs w:val="24"/>
        </w:rPr>
      </w:pPr>
      <w:r w:rsidRPr="00192023">
        <w:rPr>
          <w:rFonts w:asciiTheme="minorHAnsi" w:hAnsiTheme="minorHAnsi"/>
          <w:b w:val="0"/>
          <w:sz w:val="24"/>
          <w:szCs w:val="24"/>
        </w:rPr>
        <w:t>Stagnation in wages have made house prices increasingly less affordable by not keeping up the same levels of inflation. Despite rising disparity between these two data sets, demand for houses in Wales continues to increase.</w:t>
      </w:r>
      <w:r w:rsidR="00D61B4E">
        <w:rPr>
          <w:rFonts w:asciiTheme="minorHAnsi" w:hAnsiTheme="minorHAnsi"/>
          <w:b w:val="0"/>
          <w:sz w:val="24"/>
          <w:szCs w:val="24"/>
        </w:rPr>
        <w:t xml:space="preserve"> (StatsWales, 2017)</w:t>
      </w:r>
    </w:p>
    <w:p w:rsidR="00192023" w:rsidRDefault="00192023" w:rsidP="00192023">
      <w:pPr>
        <w:ind w:left="1080"/>
        <w:contextualSpacing/>
        <w:jc w:val="both"/>
        <w:rPr>
          <w:rFonts w:asciiTheme="minorHAnsi" w:hAnsiTheme="minorHAnsi"/>
          <w:b w:val="0"/>
          <w:sz w:val="24"/>
          <w:szCs w:val="24"/>
        </w:rPr>
      </w:pPr>
    </w:p>
    <w:p w:rsidR="00192023" w:rsidRDefault="00192023" w:rsidP="00192023">
      <w:pPr>
        <w:ind w:left="1080"/>
        <w:contextualSpacing/>
        <w:jc w:val="both"/>
        <w:rPr>
          <w:rFonts w:asciiTheme="minorHAnsi" w:hAnsiTheme="minorHAnsi"/>
          <w:b w:val="0"/>
          <w:sz w:val="24"/>
          <w:szCs w:val="24"/>
        </w:rPr>
      </w:pPr>
    </w:p>
    <w:p w:rsidR="00192023" w:rsidRDefault="00192023" w:rsidP="00192023">
      <w:pPr>
        <w:ind w:left="1080"/>
        <w:contextualSpacing/>
        <w:jc w:val="both"/>
        <w:rPr>
          <w:rFonts w:asciiTheme="minorHAnsi" w:hAnsiTheme="minorHAnsi"/>
          <w:b w:val="0"/>
          <w:sz w:val="24"/>
          <w:szCs w:val="24"/>
        </w:rPr>
      </w:pPr>
    </w:p>
    <w:p w:rsidR="00192023" w:rsidRDefault="00192023" w:rsidP="00192023">
      <w:pPr>
        <w:ind w:left="1080"/>
        <w:contextualSpacing/>
        <w:jc w:val="both"/>
        <w:rPr>
          <w:rFonts w:asciiTheme="minorHAnsi" w:hAnsiTheme="minorHAnsi"/>
          <w:b w:val="0"/>
          <w:sz w:val="24"/>
          <w:szCs w:val="24"/>
        </w:rPr>
      </w:pPr>
    </w:p>
    <w:p w:rsidR="00010E49" w:rsidRDefault="00010E49" w:rsidP="00192023">
      <w:pPr>
        <w:ind w:left="1080"/>
        <w:contextualSpacing/>
        <w:jc w:val="both"/>
        <w:rPr>
          <w:rFonts w:asciiTheme="minorHAnsi" w:hAnsiTheme="minorHAnsi"/>
          <w:b w:val="0"/>
          <w:sz w:val="24"/>
          <w:szCs w:val="24"/>
        </w:rPr>
      </w:pPr>
    </w:p>
    <w:p w:rsidR="00192023" w:rsidRDefault="00192023" w:rsidP="00192023">
      <w:pPr>
        <w:ind w:left="1080"/>
        <w:contextualSpacing/>
        <w:jc w:val="both"/>
        <w:rPr>
          <w:rFonts w:asciiTheme="minorHAnsi" w:hAnsiTheme="minorHAnsi"/>
          <w:b w:val="0"/>
          <w:sz w:val="24"/>
          <w:szCs w:val="24"/>
        </w:rPr>
      </w:pPr>
    </w:p>
    <w:p w:rsidR="00192023" w:rsidRPr="00192023" w:rsidRDefault="00192023" w:rsidP="00192023">
      <w:pPr>
        <w:numPr>
          <w:ilvl w:val="2"/>
          <w:numId w:val="1"/>
        </w:numPr>
        <w:contextualSpacing/>
        <w:jc w:val="both"/>
        <w:rPr>
          <w:rFonts w:asciiTheme="minorHAnsi" w:hAnsiTheme="minorHAnsi"/>
          <w:sz w:val="24"/>
          <w:szCs w:val="24"/>
          <w:u w:val="single"/>
        </w:rPr>
      </w:pPr>
      <w:r w:rsidRPr="00192023">
        <w:rPr>
          <w:rFonts w:asciiTheme="minorHAnsi" w:hAnsiTheme="minorHAnsi"/>
          <w:sz w:val="24"/>
          <w:szCs w:val="24"/>
          <w:u w:val="single"/>
        </w:rPr>
        <w:lastRenderedPageBreak/>
        <w:t>Annual interest rate growth</w:t>
      </w:r>
    </w:p>
    <w:p w:rsidR="00192023" w:rsidRPr="00192023" w:rsidRDefault="00192023" w:rsidP="00192023">
      <w:pPr>
        <w:ind w:left="2160"/>
        <w:contextualSpacing/>
        <w:jc w:val="both"/>
        <w:rPr>
          <w:rFonts w:asciiTheme="minorHAnsi" w:hAnsiTheme="minorHAnsi"/>
          <w:b w:val="0"/>
          <w:sz w:val="24"/>
          <w:szCs w:val="24"/>
        </w:rPr>
      </w:pPr>
      <w:r w:rsidRPr="00192023">
        <w:rPr>
          <w:rFonts w:asciiTheme="minorHAnsi" w:hAnsiTheme="minorHAnsi"/>
          <w:b w:val="0"/>
          <w:sz w:val="24"/>
          <w:szCs w:val="24"/>
        </w:rPr>
        <w:t>This data is presented as a hypothesis to solve the disparity between house prices and wages.</w:t>
      </w:r>
    </w:p>
    <w:p w:rsidR="00192023" w:rsidRPr="00192023" w:rsidRDefault="00192023" w:rsidP="00192023">
      <w:pPr>
        <w:ind w:left="2160"/>
        <w:contextualSpacing/>
        <w:jc w:val="both"/>
        <w:rPr>
          <w:rFonts w:asciiTheme="minorHAnsi" w:hAnsiTheme="minorHAnsi"/>
          <w:b w:val="0"/>
          <w:sz w:val="24"/>
          <w:szCs w:val="24"/>
        </w:rPr>
      </w:pPr>
      <w:r w:rsidRPr="00192023">
        <w:rPr>
          <w:rFonts w:asciiTheme="minorHAnsi" w:hAnsiTheme="minorHAnsi"/>
          <w:b w:val="0"/>
          <w:noProof/>
          <w:sz w:val="24"/>
          <w:szCs w:val="24"/>
          <w:lang w:eastAsia="en-GB"/>
        </w:rPr>
        <w:drawing>
          <wp:inline distT="0" distB="0" distL="0" distR="0" wp14:anchorId="0AC93741" wp14:editId="64596AD0">
            <wp:extent cx="4572000" cy="2743200"/>
            <wp:effectExtent l="0" t="0" r="0" b="0"/>
            <wp:docPr id="4" name="Chart 4">
              <a:extLst xmlns:a="http://schemas.openxmlformats.org/drawingml/2006/main">
                <a:ext uri="{FF2B5EF4-FFF2-40B4-BE49-F238E27FC236}">
                  <a16:creationId xmlns:a16="http://schemas.microsoft.com/office/drawing/2014/main" id="{414C7F58-2A47-42A6-80F8-B3A84420F1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32F43" w:rsidRPr="00932F43" w:rsidRDefault="00932F43" w:rsidP="00932F43">
      <w:pPr>
        <w:ind w:left="2160"/>
        <w:contextualSpacing/>
        <w:rPr>
          <w:rFonts w:asciiTheme="minorHAnsi" w:hAnsiTheme="minorHAnsi"/>
          <w:b w:val="0"/>
          <w:sz w:val="24"/>
          <w:szCs w:val="24"/>
        </w:rPr>
      </w:pPr>
      <w:r>
        <w:rPr>
          <w:rFonts w:asciiTheme="minorHAnsi" w:hAnsiTheme="minorHAnsi"/>
          <w:b w:val="0"/>
          <w:sz w:val="24"/>
          <w:szCs w:val="24"/>
        </w:rPr>
        <w:t xml:space="preserve">(BoE, </w:t>
      </w:r>
      <w:r w:rsidRPr="00932F43">
        <w:rPr>
          <w:rFonts w:asciiTheme="minorHAnsi" w:hAnsiTheme="minorHAnsi"/>
          <w:b w:val="0"/>
          <w:sz w:val="24"/>
          <w:szCs w:val="24"/>
        </w:rPr>
        <w:t>2017)</w:t>
      </w:r>
    </w:p>
    <w:p w:rsidR="000D0084" w:rsidRDefault="00B42998" w:rsidP="00192023">
      <w:pPr>
        <w:ind w:left="2160"/>
        <w:contextualSpacing/>
        <w:rPr>
          <w:rFonts w:asciiTheme="minorHAnsi" w:hAnsiTheme="minorHAnsi"/>
          <w:b w:val="0"/>
          <w:sz w:val="24"/>
          <w:szCs w:val="24"/>
        </w:rPr>
      </w:pPr>
      <w:r w:rsidRPr="00B42998">
        <w:rPr>
          <w:rFonts w:asciiTheme="minorHAnsi" w:hAnsiTheme="minorHAnsi"/>
          <w:b w:val="0"/>
          <w:sz w:val="24"/>
          <w:szCs w:val="24"/>
        </w:rPr>
        <w:t>The monetary stimulus provided by the Bank of England through ultra-low mortgage rates have facilitated mortgage borrowing despite the rising gap between housing and salaries. Although the average house price in Wales has increased from £67,500 in 2002 to £147,000 in 2016 (StatsWales. 2017), the fact that interest rates have been 0.5% or lower for the past 15 years has meant that the share of income spent on mortgages has not risen.</w:t>
      </w:r>
    </w:p>
    <w:p w:rsidR="000D0084" w:rsidRDefault="000D0084" w:rsidP="00192023">
      <w:pPr>
        <w:ind w:left="2160"/>
        <w:contextualSpacing/>
        <w:rPr>
          <w:rFonts w:asciiTheme="minorHAnsi" w:hAnsiTheme="minorHAnsi"/>
          <w:b w:val="0"/>
          <w:sz w:val="24"/>
          <w:szCs w:val="24"/>
        </w:rPr>
      </w:pPr>
    </w:p>
    <w:p w:rsidR="000D0084" w:rsidRDefault="000D0084" w:rsidP="00192023">
      <w:pPr>
        <w:ind w:left="2160"/>
        <w:contextualSpacing/>
        <w:rPr>
          <w:rFonts w:asciiTheme="minorHAnsi" w:hAnsiTheme="minorHAnsi"/>
          <w:b w:val="0"/>
          <w:sz w:val="24"/>
          <w:szCs w:val="24"/>
        </w:rPr>
      </w:pPr>
    </w:p>
    <w:p w:rsidR="000D0084" w:rsidRDefault="000D0084" w:rsidP="00192023">
      <w:pPr>
        <w:ind w:left="2160"/>
        <w:contextualSpacing/>
        <w:rPr>
          <w:rFonts w:asciiTheme="minorHAnsi" w:hAnsiTheme="minorHAnsi"/>
          <w:b w:val="0"/>
          <w:sz w:val="24"/>
          <w:szCs w:val="24"/>
        </w:rPr>
      </w:pPr>
    </w:p>
    <w:p w:rsidR="00010E49" w:rsidRDefault="00010E49" w:rsidP="00192023">
      <w:pPr>
        <w:ind w:left="2160"/>
        <w:contextualSpacing/>
        <w:rPr>
          <w:rFonts w:asciiTheme="minorHAnsi" w:hAnsiTheme="minorHAnsi"/>
          <w:b w:val="0"/>
          <w:sz w:val="24"/>
          <w:szCs w:val="24"/>
        </w:rPr>
      </w:pPr>
    </w:p>
    <w:p w:rsidR="000D0084" w:rsidRDefault="000D0084" w:rsidP="00164AD8">
      <w:pPr>
        <w:contextualSpacing/>
        <w:rPr>
          <w:rFonts w:asciiTheme="minorHAnsi" w:hAnsiTheme="minorHAnsi"/>
          <w:b w:val="0"/>
          <w:sz w:val="24"/>
          <w:szCs w:val="24"/>
        </w:rPr>
      </w:pPr>
    </w:p>
    <w:p w:rsidR="000D0084" w:rsidRPr="000D0084" w:rsidRDefault="000D0084" w:rsidP="000D0084">
      <w:pPr>
        <w:numPr>
          <w:ilvl w:val="2"/>
          <w:numId w:val="1"/>
        </w:numPr>
        <w:contextualSpacing/>
        <w:jc w:val="both"/>
        <w:rPr>
          <w:rFonts w:asciiTheme="minorHAnsi" w:hAnsiTheme="minorHAnsi"/>
          <w:sz w:val="24"/>
          <w:szCs w:val="24"/>
          <w:u w:val="single"/>
        </w:rPr>
      </w:pPr>
      <w:r w:rsidRPr="000D0084">
        <w:rPr>
          <w:rFonts w:asciiTheme="minorHAnsi" w:hAnsiTheme="minorHAnsi"/>
          <w:sz w:val="24"/>
          <w:szCs w:val="24"/>
          <w:u w:val="single"/>
        </w:rPr>
        <w:lastRenderedPageBreak/>
        <w:t>Conclusions</w:t>
      </w:r>
    </w:p>
    <w:p w:rsidR="000D0084" w:rsidRPr="000D0084" w:rsidRDefault="000D0084" w:rsidP="000D0084">
      <w:pPr>
        <w:numPr>
          <w:ilvl w:val="3"/>
          <w:numId w:val="1"/>
        </w:numPr>
        <w:contextualSpacing/>
        <w:jc w:val="both"/>
        <w:rPr>
          <w:rFonts w:asciiTheme="minorHAnsi" w:hAnsiTheme="minorHAnsi"/>
          <w:sz w:val="24"/>
          <w:szCs w:val="24"/>
          <w:u w:val="single"/>
        </w:rPr>
      </w:pPr>
      <w:r w:rsidRPr="000D0084">
        <w:rPr>
          <w:rFonts w:asciiTheme="minorHAnsi" w:hAnsiTheme="minorHAnsi"/>
          <w:sz w:val="24"/>
          <w:szCs w:val="24"/>
          <w:u w:val="single"/>
        </w:rPr>
        <w:t>Consumer confidence</w:t>
      </w:r>
    </w:p>
    <w:p w:rsidR="000D0084" w:rsidRPr="000D0084" w:rsidRDefault="000D0084" w:rsidP="000D0084">
      <w:pPr>
        <w:ind w:left="2880"/>
        <w:contextualSpacing/>
        <w:jc w:val="both"/>
        <w:rPr>
          <w:rFonts w:asciiTheme="minorHAnsi" w:hAnsiTheme="minorHAnsi"/>
          <w:b w:val="0"/>
          <w:sz w:val="24"/>
          <w:szCs w:val="24"/>
        </w:rPr>
      </w:pPr>
      <w:r w:rsidRPr="000D0084">
        <w:rPr>
          <w:rFonts w:asciiTheme="minorHAnsi" w:hAnsiTheme="minorHAnsi"/>
          <w:b w:val="0"/>
          <w:sz w:val="24"/>
          <w:szCs w:val="24"/>
        </w:rPr>
        <w:t>Although a 0.25% increase in interest rates may not largely affect affordability for prospective buyers, it may reduce their confidence in investing in the property market at this time. With interest rates set to rise again, buyers may hold off until there is more certainty surrounding the markets future.</w:t>
      </w:r>
    </w:p>
    <w:p w:rsidR="000D0084" w:rsidRPr="000D0084" w:rsidRDefault="000D0084" w:rsidP="000D0084">
      <w:pPr>
        <w:numPr>
          <w:ilvl w:val="3"/>
          <w:numId w:val="1"/>
        </w:numPr>
        <w:contextualSpacing/>
        <w:jc w:val="both"/>
        <w:rPr>
          <w:rFonts w:asciiTheme="minorHAnsi" w:hAnsiTheme="minorHAnsi"/>
          <w:sz w:val="24"/>
          <w:szCs w:val="24"/>
          <w:u w:val="single"/>
        </w:rPr>
      </w:pPr>
      <w:r w:rsidRPr="000D0084">
        <w:rPr>
          <w:rFonts w:asciiTheme="minorHAnsi" w:hAnsiTheme="minorHAnsi"/>
          <w:sz w:val="24"/>
          <w:szCs w:val="24"/>
          <w:u w:val="single"/>
        </w:rPr>
        <w:t xml:space="preserve">Affordability </w:t>
      </w:r>
    </w:p>
    <w:p w:rsidR="00B62A1B" w:rsidRDefault="00B62A1B" w:rsidP="000D0084">
      <w:pPr>
        <w:ind w:left="2880"/>
        <w:contextualSpacing/>
        <w:jc w:val="both"/>
        <w:rPr>
          <w:rFonts w:asciiTheme="minorHAnsi" w:hAnsiTheme="minorHAnsi"/>
          <w:b w:val="0"/>
          <w:sz w:val="24"/>
          <w:szCs w:val="24"/>
        </w:rPr>
      </w:pPr>
      <w:r w:rsidRPr="00B62A1B">
        <w:rPr>
          <w:rFonts w:asciiTheme="minorHAnsi" w:hAnsiTheme="minorHAnsi"/>
          <w:b w:val="0"/>
          <w:sz w:val="24"/>
          <w:szCs w:val="24"/>
        </w:rPr>
        <w:t>Recent lending figures released by the Bank have shown strong annual growth in consumer credit (OfBR, 2017), prompting fears that some households may be at risk of over-stretching their borrowing as living costs rise and wages stagnate.</w:t>
      </w:r>
    </w:p>
    <w:p w:rsidR="000D0084" w:rsidRPr="000D0084" w:rsidRDefault="000D0084" w:rsidP="000D0084">
      <w:pPr>
        <w:ind w:left="2880"/>
        <w:contextualSpacing/>
        <w:jc w:val="both"/>
        <w:rPr>
          <w:rFonts w:asciiTheme="minorHAnsi" w:hAnsiTheme="minorHAnsi"/>
          <w:b w:val="0"/>
          <w:sz w:val="24"/>
          <w:szCs w:val="24"/>
        </w:rPr>
      </w:pPr>
      <w:r w:rsidRPr="000D0084">
        <w:rPr>
          <w:rFonts w:asciiTheme="minorHAnsi" w:hAnsiTheme="minorHAnsi"/>
          <w:b w:val="0"/>
          <w:sz w:val="24"/>
          <w:szCs w:val="24"/>
        </w:rPr>
        <w:t>If rate rises increase as it is reported they will, property owners with tracker or variable rate mortgages will see their discretionary spending ability reduce, and in some cases, may find mortgage rate increases unaffordable.</w:t>
      </w:r>
    </w:p>
    <w:p w:rsidR="000D0084" w:rsidRDefault="000D0084" w:rsidP="000D0084">
      <w:pPr>
        <w:ind w:left="2880"/>
        <w:contextualSpacing/>
        <w:jc w:val="both"/>
        <w:rPr>
          <w:rFonts w:asciiTheme="minorHAnsi" w:hAnsiTheme="minorHAnsi"/>
          <w:b w:val="0"/>
          <w:sz w:val="24"/>
          <w:szCs w:val="24"/>
        </w:rPr>
      </w:pPr>
      <w:r w:rsidRPr="000D0084">
        <w:rPr>
          <w:rFonts w:asciiTheme="minorHAnsi" w:hAnsiTheme="minorHAnsi"/>
          <w:b w:val="0"/>
          <w:sz w:val="24"/>
          <w:szCs w:val="24"/>
        </w:rPr>
        <w:t xml:space="preserve">A pessimistic outlook considering the data provided would conclude that if interest rates continue to rise, then consumers may be charged unaffordable rates of interest on their mortgage, which in turn could lead to house repossessions, combined with the lower demand, the </w:t>
      </w:r>
      <w:r w:rsidR="00164AD8">
        <w:rPr>
          <w:rFonts w:asciiTheme="minorHAnsi" w:hAnsiTheme="minorHAnsi"/>
          <w:b w:val="0"/>
          <w:sz w:val="24"/>
          <w:szCs w:val="24"/>
        </w:rPr>
        <w:t xml:space="preserve">residential </w:t>
      </w:r>
      <w:r w:rsidR="0084578F">
        <w:rPr>
          <w:rFonts w:asciiTheme="minorHAnsi" w:hAnsiTheme="minorHAnsi"/>
          <w:b w:val="0"/>
          <w:sz w:val="24"/>
          <w:szCs w:val="24"/>
        </w:rPr>
        <w:t xml:space="preserve">retail </w:t>
      </w:r>
      <w:r w:rsidR="003667E4">
        <w:rPr>
          <w:rFonts w:asciiTheme="minorHAnsi" w:hAnsiTheme="minorHAnsi"/>
          <w:b w:val="0"/>
          <w:sz w:val="24"/>
          <w:szCs w:val="24"/>
        </w:rPr>
        <w:t xml:space="preserve">market </w:t>
      </w:r>
      <w:r w:rsidR="003667E4" w:rsidRPr="000D0084">
        <w:rPr>
          <w:rFonts w:asciiTheme="minorHAnsi" w:hAnsiTheme="minorHAnsi"/>
          <w:b w:val="0"/>
          <w:sz w:val="24"/>
          <w:szCs w:val="24"/>
        </w:rPr>
        <w:t>could</w:t>
      </w:r>
      <w:r w:rsidRPr="000D0084">
        <w:rPr>
          <w:rFonts w:asciiTheme="minorHAnsi" w:hAnsiTheme="minorHAnsi"/>
          <w:b w:val="0"/>
          <w:sz w:val="24"/>
          <w:szCs w:val="24"/>
        </w:rPr>
        <w:t xml:space="preserve"> be less profitable</w:t>
      </w:r>
      <w:r w:rsidR="00282059">
        <w:rPr>
          <w:rFonts w:asciiTheme="minorHAnsi" w:hAnsiTheme="minorHAnsi"/>
          <w:b w:val="0"/>
          <w:sz w:val="24"/>
          <w:szCs w:val="24"/>
        </w:rPr>
        <w:t>.</w:t>
      </w:r>
    </w:p>
    <w:p w:rsidR="00164AD8" w:rsidRDefault="00164AD8" w:rsidP="000D0084">
      <w:pPr>
        <w:ind w:left="2880"/>
        <w:contextualSpacing/>
        <w:jc w:val="both"/>
        <w:rPr>
          <w:rFonts w:asciiTheme="minorHAnsi" w:hAnsiTheme="minorHAnsi"/>
          <w:b w:val="0"/>
          <w:sz w:val="24"/>
          <w:szCs w:val="24"/>
        </w:rPr>
      </w:pPr>
    </w:p>
    <w:p w:rsidR="00164AD8" w:rsidRPr="000D0084" w:rsidRDefault="00164AD8" w:rsidP="000D0084">
      <w:pPr>
        <w:ind w:left="2880"/>
        <w:contextualSpacing/>
        <w:jc w:val="both"/>
        <w:rPr>
          <w:rFonts w:asciiTheme="minorHAnsi" w:hAnsiTheme="minorHAnsi"/>
          <w:b w:val="0"/>
          <w:sz w:val="24"/>
          <w:szCs w:val="24"/>
        </w:rPr>
      </w:pPr>
    </w:p>
    <w:p w:rsidR="000D0084" w:rsidRPr="000D0084" w:rsidRDefault="000D0084" w:rsidP="000D0084">
      <w:pPr>
        <w:numPr>
          <w:ilvl w:val="1"/>
          <w:numId w:val="1"/>
        </w:numPr>
        <w:contextualSpacing/>
        <w:jc w:val="both"/>
        <w:rPr>
          <w:rFonts w:asciiTheme="minorHAnsi" w:hAnsiTheme="minorHAnsi"/>
          <w:sz w:val="24"/>
          <w:szCs w:val="24"/>
          <w:u w:val="single"/>
        </w:rPr>
      </w:pPr>
      <w:r w:rsidRPr="000D0084">
        <w:rPr>
          <w:rFonts w:asciiTheme="minorHAnsi" w:hAnsiTheme="minorHAnsi"/>
          <w:sz w:val="24"/>
          <w:szCs w:val="24"/>
          <w:u w:val="single"/>
        </w:rPr>
        <w:lastRenderedPageBreak/>
        <w:t>Sociodemographic influences on the housing market</w:t>
      </w:r>
    </w:p>
    <w:p w:rsidR="000D0084" w:rsidRPr="000D0084" w:rsidRDefault="000D0084" w:rsidP="000D0084">
      <w:pPr>
        <w:numPr>
          <w:ilvl w:val="2"/>
          <w:numId w:val="1"/>
        </w:numPr>
        <w:contextualSpacing/>
        <w:jc w:val="both"/>
        <w:rPr>
          <w:rFonts w:asciiTheme="minorHAnsi" w:hAnsiTheme="minorHAnsi"/>
          <w:sz w:val="24"/>
          <w:szCs w:val="24"/>
          <w:u w:val="single"/>
        </w:rPr>
      </w:pPr>
      <w:r w:rsidRPr="000D0084">
        <w:rPr>
          <w:rFonts w:asciiTheme="minorHAnsi" w:hAnsiTheme="minorHAnsi"/>
          <w:sz w:val="24"/>
          <w:szCs w:val="24"/>
          <w:u w:val="single"/>
        </w:rPr>
        <w:t xml:space="preserve">Estimated households </w:t>
      </w:r>
    </w:p>
    <w:p w:rsidR="000D0084" w:rsidRPr="000D0084" w:rsidRDefault="000D0084" w:rsidP="000D0084">
      <w:pPr>
        <w:ind w:left="2160"/>
        <w:contextualSpacing/>
        <w:jc w:val="both"/>
        <w:rPr>
          <w:rFonts w:asciiTheme="minorHAnsi" w:hAnsiTheme="minorHAnsi"/>
          <w:b w:val="0"/>
          <w:sz w:val="24"/>
          <w:szCs w:val="24"/>
        </w:rPr>
      </w:pPr>
      <w:r w:rsidRPr="000D0084">
        <w:rPr>
          <w:rFonts w:asciiTheme="minorHAnsi" w:hAnsiTheme="minorHAnsi"/>
          <w:b w:val="0"/>
          <w:sz w:val="24"/>
          <w:szCs w:val="24"/>
        </w:rPr>
        <w:t>Data collected will identify the need for housing on a national scale and by local authority, using household data provided by the Welsh government.</w:t>
      </w:r>
    </w:p>
    <w:p w:rsidR="000D0084" w:rsidRPr="000D0084" w:rsidRDefault="000D0084" w:rsidP="000D0084">
      <w:pPr>
        <w:ind w:left="2160"/>
        <w:contextualSpacing/>
        <w:jc w:val="both"/>
        <w:rPr>
          <w:rFonts w:asciiTheme="minorHAnsi" w:hAnsiTheme="minorHAnsi"/>
          <w:b w:val="0"/>
          <w:sz w:val="24"/>
          <w:szCs w:val="24"/>
        </w:rPr>
      </w:pPr>
      <w:r w:rsidRPr="000D0084">
        <w:rPr>
          <w:rFonts w:asciiTheme="minorHAnsi" w:hAnsiTheme="minorHAnsi"/>
          <w:b w:val="0"/>
          <w:noProof/>
          <w:sz w:val="24"/>
          <w:szCs w:val="24"/>
          <w:lang w:eastAsia="en-GB"/>
        </w:rPr>
        <w:drawing>
          <wp:inline distT="0" distB="0" distL="0" distR="0" wp14:anchorId="0B884D60" wp14:editId="070D06E3">
            <wp:extent cx="4710112" cy="2743200"/>
            <wp:effectExtent l="0" t="0" r="14605" b="0"/>
            <wp:docPr id="5" name="Chart 5" title="Population in millions">
              <a:extLst xmlns:a="http://schemas.openxmlformats.org/drawingml/2006/main">
                <a:ext uri="{FF2B5EF4-FFF2-40B4-BE49-F238E27FC236}">
                  <a16:creationId xmlns:a16="http://schemas.microsoft.com/office/drawing/2014/main" id="{278E2C22-8F0C-402B-AED8-046E942A01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46280" w:rsidRDefault="00B42998" w:rsidP="000D0084">
      <w:pPr>
        <w:ind w:left="2160"/>
        <w:contextualSpacing/>
        <w:jc w:val="both"/>
        <w:rPr>
          <w:rFonts w:asciiTheme="minorHAnsi" w:hAnsiTheme="minorHAnsi"/>
          <w:b w:val="0"/>
          <w:sz w:val="24"/>
          <w:szCs w:val="24"/>
        </w:rPr>
      </w:pPr>
      <w:r>
        <w:rPr>
          <w:rFonts w:asciiTheme="minorHAnsi" w:hAnsiTheme="minorHAnsi"/>
          <w:b w:val="0"/>
          <w:sz w:val="24"/>
          <w:szCs w:val="24"/>
        </w:rPr>
        <w:t>(StatsWales, 2017) (APPENDIX C</w:t>
      </w:r>
      <w:r w:rsidR="00646280">
        <w:rPr>
          <w:rFonts w:asciiTheme="minorHAnsi" w:hAnsiTheme="minorHAnsi"/>
          <w:b w:val="0"/>
          <w:sz w:val="24"/>
          <w:szCs w:val="24"/>
        </w:rPr>
        <w:t>)</w:t>
      </w:r>
    </w:p>
    <w:p w:rsidR="000D0084" w:rsidRPr="000D0084" w:rsidRDefault="000D0084" w:rsidP="000D0084">
      <w:pPr>
        <w:ind w:left="2160"/>
        <w:contextualSpacing/>
        <w:jc w:val="both"/>
        <w:rPr>
          <w:rFonts w:asciiTheme="minorHAnsi" w:hAnsiTheme="minorHAnsi"/>
          <w:b w:val="0"/>
          <w:sz w:val="24"/>
          <w:szCs w:val="24"/>
        </w:rPr>
      </w:pPr>
      <w:r w:rsidRPr="000D0084">
        <w:rPr>
          <w:rFonts w:asciiTheme="minorHAnsi" w:hAnsiTheme="minorHAnsi"/>
          <w:b w:val="0"/>
          <w:sz w:val="24"/>
          <w:szCs w:val="24"/>
        </w:rPr>
        <w:t xml:space="preserve">There has been a steady rise in Welsh population figures for the last 15 years. Demand for additional housing naturally will increase with the population. </w:t>
      </w:r>
    </w:p>
    <w:p w:rsidR="000D0084" w:rsidRDefault="000D0084" w:rsidP="00192023">
      <w:pPr>
        <w:ind w:left="2160"/>
        <w:contextualSpacing/>
        <w:rPr>
          <w:rFonts w:asciiTheme="minorHAnsi" w:hAnsiTheme="minorHAnsi"/>
          <w:b w:val="0"/>
          <w:sz w:val="24"/>
          <w:szCs w:val="24"/>
        </w:rPr>
      </w:pPr>
    </w:p>
    <w:p w:rsidR="000D0084" w:rsidRDefault="000D0084" w:rsidP="00192023">
      <w:pPr>
        <w:ind w:left="2160"/>
        <w:contextualSpacing/>
        <w:rPr>
          <w:rFonts w:asciiTheme="minorHAnsi" w:hAnsiTheme="minorHAnsi"/>
          <w:b w:val="0"/>
          <w:sz w:val="24"/>
          <w:szCs w:val="24"/>
        </w:rPr>
      </w:pPr>
    </w:p>
    <w:p w:rsidR="000D0084" w:rsidRDefault="000D0084" w:rsidP="00192023">
      <w:pPr>
        <w:ind w:left="2160"/>
        <w:contextualSpacing/>
        <w:rPr>
          <w:rFonts w:asciiTheme="minorHAnsi" w:hAnsiTheme="minorHAnsi"/>
          <w:b w:val="0"/>
          <w:sz w:val="24"/>
          <w:szCs w:val="24"/>
        </w:rPr>
      </w:pPr>
    </w:p>
    <w:p w:rsidR="000D0084" w:rsidRDefault="000D0084" w:rsidP="00192023">
      <w:pPr>
        <w:ind w:left="2160"/>
        <w:contextualSpacing/>
        <w:rPr>
          <w:rFonts w:asciiTheme="minorHAnsi" w:hAnsiTheme="minorHAnsi"/>
          <w:b w:val="0"/>
          <w:sz w:val="24"/>
          <w:szCs w:val="24"/>
        </w:rPr>
      </w:pPr>
    </w:p>
    <w:p w:rsidR="000D0084" w:rsidRDefault="000D0084" w:rsidP="00192023">
      <w:pPr>
        <w:ind w:left="2160"/>
        <w:contextualSpacing/>
        <w:rPr>
          <w:rFonts w:asciiTheme="minorHAnsi" w:hAnsiTheme="minorHAnsi"/>
          <w:b w:val="0"/>
          <w:sz w:val="24"/>
          <w:szCs w:val="24"/>
        </w:rPr>
      </w:pPr>
    </w:p>
    <w:p w:rsidR="000D0084" w:rsidRDefault="000D0084" w:rsidP="00192023">
      <w:pPr>
        <w:ind w:left="2160"/>
        <w:contextualSpacing/>
        <w:rPr>
          <w:rFonts w:asciiTheme="minorHAnsi" w:hAnsiTheme="minorHAnsi"/>
          <w:b w:val="0"/>
          <w:sz w:val="24"/>
          <w:szCs w:val="24"/>
        </w:rPr>
      </w:pPr>
    </w:p>
    <w:p w:rsidR="000D0084" w:rsidRDefault="000D0084" w:rsidP="00192023">
      <w:pPr>
        <w:ind w:left="2160"/>
        <w:contextualSpacing/>
        <w:rPr>
          <w:rFonts w:asciiTheme="minorHAnsi" w:hAnsiTheme="minorHAnsi"/>
          <w:b w:val="0"/>
          <w:sz w:val="24"/>
          <w:szCs w:val="24"/>
        </w:rPr>
      </w:pPr>
    </w:p>
    <w:p w:rsidR="000D0084" w:rsidRDefault="000D0084" w:rsidP="00192023">
      <w:pPr>
        <w:ind w:left="2160"/>
        <w:contextualSpacing/>
        <w:rPr>
          <w:rFonts w:asciiTheme="minorHAnsi" w:hAnsiTheme="minorHAnsi"/>
          <w:b w:val="0"/>
          <w:sz w:val="24"/>
          <w:szCs w:val="24"/>
        </w:rPr>
      </w:pPr>
    </w:p>
    <w:p w:rsidR="000D0084" w:rsidRPr="000D0084" w:rsidRDefault="000D0084" w:rsidP="000D0084">
      <w:pPr>
        <w:ind w:left="2160"/>
        <w:contextualSpacing/>
        <w:jc w:val="both"/>
        <w:rPr>
          <w:rFonts w:asciiTheme="minorHAnsi" w:hAnsiTheme="minorHAnsi"/>
          <w:b w:val="0"/>
          <w:sz w:val="24"/>
          <w:szCs w:val="24"/>
        </w:rPr>
      </w:pPr>
      <w:r w:rsidRPr="000D0084">
        <w:rPr>
          <w:rFonts w:asciiTheme="minorHAnsi" w:hAnsiTheme="minorHAnsi"/>
          <w:b w:val="0"/>
          <w:noProof/>
          <w:sz w:val="24"/>
          <w:szCs w:val="24"/>
          <w:lang w:eastAsia="en-GB"/>
        </w:rPr>
        <w:drawing>
          <wp:inline distT="0" distB="0" distL="0" distR="0" wp14:anchorId="7591619F" wp14:editId="655B1768">
            <wp:extent cx="4609465" cy="3476625"/>
            <wp:effectExtent l="0" t="0" r="635" b="9525"/>
            <wp:docPr id="6" name="Chart 6">
              <a:extLst xmlns:a="http://schemas.openxmlformats.org/drawingml/2006/main">
                <a:ext uri="{FF2B5EF4-FFF2-40B4-BE49-F238E27FC236}">
                  <a16:creationId xmlns:a16="http://schemas.microsoft.com/office/drawing/2014/main" id="{BB558B2D-29E2-4EE7-A2B7-A00C61FBB2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46280" w:rsidRDefault="00B42998" w:rsidP="000D0084">
      <w:pPr>
        <w:ind w:left="2160"/>
        <w:contextualSpacing/>
        <w:jc w:val="both"/>
        <w:rPr>
          <w:rFonts w:asciiTheme="minorHAnsi" w:hAnsiTheme="minorHAnsi"/>
          <w:b w:val="0"/>
          <w:sz w:val="24"/>
          <w:szCs w:val="24"/>
        </w:rPr>
      </w:pPr>
      <w:r>
        <w:rPr>
          <w:rFonts w:asciiTheme="minorHAnsi" w:hAnsiTheme="minorHAnsi"/>
          <w:b w:val="0"/>
          <w:sz w:val="24"/>
          <w:szCs w:val="24"/>
        </w:rPr>
        <w:t>(StatsWales, 2017) (APPENDIX C</w:t>
      </w:r>
      <w:r w:rsidR="00646280">
        <w:rPr>
          <w:rFonts w:asciiTheme="minorHAnsi" w:hAnsiTheme="minorHAnsi"/>
          <w:b w:val="0"/>
          <w:sz w:val="24"/>
          <w:szCs w:val="24"/>
        </w:rPr>
        <w:t>)</w:t>
      </w:r>
    </w:p>
    <w:p w:rsidR="000D0084" w:rsidRPr="000D0084" w:rsidRDefault="000D0084" w:rsidP="000D0084">
      <w:pPr>
        <w:ind w:left="2160"/>
        <w:contextualSpacing/>
        <w:jc w:val="both"/>
        <w:rPr>
          <w:rFonts w:asciiTheme="minorHAnsi" w:hAnsiTheme="minorHAnsi"/>
          <w:b w:val="0"/>
          <w:sz w:val="24"/>
          <w:szCs w:val="24"/>
        </w:rPr>
      </w:pPr>
      <w:r w:rsidRPr="000D0084">
        <w:rPr>
          <w:rFonts w:asciiTheme="minorHAnsi" w:hAnsiTheme="minorHAnsi"/>
          <w:b w:val="0"/>
          <w:sz w:val="24"/>
          <w:szCs w:val="24"/>
        </w:rPr>
        <w:t xml:space="preserve">When the data is sectionalised into local authority areas, demand for housing becomes more specific to certain areas. Cardiff, Swansea and Newport show annual growth of 1.2%, 0.9% and 0.9% respectively, while Ceredigion, Powys and the Isle of Anglesey show population decreases of -0.7%, -0.4% and -0.4% respectively. </w:t>
      </w:r>
    </w:p>
    <w:p w:rsidR="000D0084" w:rsidRDefault="000D0084" w:rsidP="00646280">
      <w:pPr>
        <w:contextualSpacing/>
        <w:rPr>
          <w:rFonts w:asciiTheme="minorHAnsi" w:hAnsiTheme="minorHAnsi"/>
          <w:b w:val="0"/>
          <w:sz w:val="24"/>
          <w:szCs w:val="24"/>
        </w:rPr>
      </w:pPr>
    </w:p>
    <w:p w:rsidR="00646280" w:rsidRDefault="00646280" w:rsidP="00646280">
      <w:pPr>
        <w:contextualSpacing/>
        <w:rPr>
          <w:rFonts w:asciiTheme="minorHAnsi" w:hAnsiTheme="minorHAnsi"/>
          <w:b w:val="0"/>
          <w:sz w:val="24"/>
          <w:szCs w:val="24"/>
        </w:rPr>
      </w:pPr>
    </w:p>
    <w:p w:rsidR="000D0084" w:rsidRDefault="000D0084" w:rsidP="00192023">
      <w:pPr>
        <w:ind w:left="2160"/>
        <w:contextualSpacing/>
        <w:rPr>
          <w:rFonts w:asciiTheme="minorHAnsi" w:hAnsiTheme="minorHAnsi"/>
          <w:b w:val="0"/>
          <w:sz w:val="24"/>
          <w:szCs w:val="24"/>
        </w:rPr>
      </w:pPr>
    </w:p>
    <w:p w:rsidR="000D0084" w:rsidRDefault="000D0084" w:rsidP="00192023">
      <w:pPr>
        <w:ind w:left="2160"/>
        <w:contextualSpacing/>
        <w:rPr>
          <w:rFonts w:asciiTheme="minorHAnsi" w:hAnsiTheme="minorHAnsi"/>
          <w:b w:val="0"/>
          <w:sz w:val="24"/>
          <w:szCs w:val="24"/>
        </w:rPr>
      </w:pPr>
    </w:p>
    <w:p w:rsidR="00B42998" w:rsidRDefault="00B42998" w:rsidP="00192023">
      <w:pPr>
        <w:ind w:left="2160"/>
        <w:contextualSpacing/>
        <w:rPr>
          <w:rFonts w:asciiTheme="minorHAnsi" w:hAnsiTheme="minorHAnsi"/>
          <w:b w:val="0"/>
          <w:sz w:val="24"/>
          <w:szCs w:val="24"/>
        </w:rPr>
      </w:pPr>
    </w:p>
    <w:p w:rsidR="00010E49" w:rsidRDefault="00010E49" w:rsidP="00192023">
      <w:pPr>
        <w:ind w:left="2160"/>
        <w:contextualSpacing/>
        <w:rPr>
          <w:rFonts w:asciiTheme="minorHAnsi" w:hAnsiTheme="minorHAnsi"/>
          <w:b w:val="0"/>
          <w:sz w:val="24"/>
          <w:szCs w:val="24"/>
        </w:rPr>
      </w:pPr>
    </w:p>
    <w:p w:rsidR="000D0084" w:rsidRDefault="000D0084" w:rsidP="00192023">
      <w:pPr>
        <w:ind w:left="2160"/>
        <w:contextualSpacing/>
        <w:rPr>
          <w:rFonts w:asciiTheme="minorHAnsi" w:hAnsiTheme="minorHAnsi"/>
          <w:b w:val="0"/>
          <w:sz w:val="24"/>
          <w:szCs w:val="24"/>
        </w:rPr>
      </w:pPr>
    </w:p>
    <w:p w:rsidR="000D0084" w:rsidRPr="000D0084" w:rsidRDefault="000D0084" w:rsidP="000D0084">
      <w:pPr>
        <w:numPr>
          <w:ilvl w:val="2"/>
          <w:numId w:val="1"/>
        </w:numPr>
        <w:contextualSpacing/>
        <w:jc w:val="both"/>
        <w:rPr>
          <w:rFonts w:asciiTheme="minorHAnsi" w:hAnsiTheme="minorHAnsi"/>
          <w:sz w:val="24"/>
          <w:szCs w:val="24"/>
          <w:u w:val="single"/>
        </w:rPr>
      </w:pPr>
      <w:r w:rsidRPr="000D0084">
        <w:rPr>
          <w:rFonts w:asciiTheme="minorHAnsi" w:hAnsiTheme="minorHAnsi"/>
          <w:sz w:val="24"/>
          <w:szCs w:val="24"/>
          <w:u w:val="single"/>
        </w:rPr>
        <w:lastRenderedPageBreak/>
        <w:t>Average household size (persons)</w:t>
      </w:r>
    </w:p>
    <w:p w:rsidR="000D0084" w:rsidRPr="000D0084" w:rsidRDefault="000D0084" w:rsidP="000D0084">
      <w:pPr>
        <w:ind w:left="2160"/>
        <w:contextualSpacing/>
        <w:jc w:val="both"/>
        <w:rPr>
          <w:rFonts w:asciiTheme="minorHAnsi" w:hAnsiTheme="minorHAnsi"/>
          <w:b w:val="0"/>
          <w:sz w:val="24"/>
          <w:szCs w:val="24"/>
        </w:rPr>
      </w:pPr>
      <w:r w:rsidRPr="000D0084">
        <w:rPr>
          <w:rFonts w:asciiTheme="minorHAnsi" w:hAnsiTheme="minorHAnsi"/>
          <w:b w:val="0"/>
          <w:noProof/>
          <w:sz w:val="24"/>
          <w:szCs w:val="24"/>
          <w:lang w:eastAsia="en-GB"/>
        </w:rPr>
        <w:drawing>
          <wp:inline distT="0" distB="0" distL="0" distR="0" wp14:anchorId="3AD168D6" wp14:editId="0EAFB382">
            <wp:extent cx="4572000" cy="2743200"/>
            <wp:effectExtent l="0" t="0" r="0" b="0"/>
            <wp:docPr id="8" name="Chart 8">
              <a:extLst xmlns:a="http://schemas.openxmlformats.org/drawingml/2006/main">
                <a:ext uri="{FF2B5EF4-FFF2-40B4-BE49-F238E27FC236}">
                  <a16:creationId xmlns:a16="http://schemas.microsoft.com/office/drawing/2014/main" id="{C39909B7-0F53-4580-8D21-9A56234251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32F43" w:rsidRDefault="00932F43" w:rsidP="000D0084">
      <w:pPr>
        <w:ind w:left="2160"/>
        <w:contextualSpacing/>
        <w:jc w:val="both"/>
        <w:rPr>
          <w:rFonts w:asciiTheme="minorHAnsi" w:hAnsiTheme="minorHAnsi"/>
          <w:b w:val="0"/>
          <w:sz w:val="24"/>
          <w:szCs w:val="24"/>
        </w:rPr>
      </w:pPr>
      <w:r w:rsidRPr="00932F43">
        <w:rPr>
          <w:rFonts w:asciiTheme="minorHAnsi" w:hAnsiTheme="minorHAnsi"/>
          <w:b w:val="0"/>
          <w:sz w:val="24"/>
          <w:szCs w:val="24"/>
        </w:rPr>
        <w:t>(StatsWales, 2017)</w:t>
      </w:r>
      <w:r w:rsidR="00B42998">
        <w:rPr>
          <w:rFonts w:asciiTheme="minorHAnsi" w:hAnsiTheme="minorHAnsi"/>
          <w:b w:val="0"/>
          <w:sz w:val="24"/>
          <w:szCs w:val="24"/>
        </w:rPr>
        <w:t xml:space="preserve"> (APPENDIX D</w:t>
      </w:r>
      <w:r w:rsidR="00646280">
        <w:rPr>
          <w:rFonts w:asciiTheme="minorHAnsi" w:hAnsiTheme="minorHAnsi"/>
          <w:b w:val="0"/>
          <w:sz w:val="24"/>
          <w:szCs w:val="24"/>
        </w:rPr>
        <w:t>)</w:t>
      </w:r>
    </w:p>
    <w:p w:rsidR="000D0084" w:rsidRPr="000D0084" w:rsidRDefault="000D0084" w:rsidP="000D0084">
      <w:pPr>
        <w:ind w:left="2160"/>
        <w:contextualSpacing/>
        <w:jc w:val="both"/>
        <w:rPr>
          <w:rFonts w:asciiTheme="minorHAnsi" w:hAnsiTheme="minorHAnsi"/>
          <w:b w:val="0"/>
          <w:sz w:val="24"/>
          <w:szCs w:val="24"/>
        </w:rPr>
      </w:pPr>
      <w:r w:rsidRPr="000D0084">
        <w:rPr>
          <w:rFonts w:asciiTheme="minorHAnsi" w:hAnsiTheme="minorHAnsi"/>
          <w:b w:val="0"/>
          <w:sz w:val="24"/>
          <w:szCs w:val="24"/>
        </w:rPr>
        <w:t xml:space="preserve">A gradual decrease in the average amount of people within each household will also add to the demand for housing. </w:t>
      </w:r>
    </w:p>
    <w:p w:rsidR="000D0084" w:rsidRPr="000D0084" w:rsidRDefault="000D0084" w:rsidP="000D0084">
      <w:pPr>
        <w:ind w:left="2160"/>
        <w:contextualSpacing/>
        <w:jc w:val="both"/>
        <w:rPr>
          <w:rFonts w:asciiTheme="minorHAnsi" w:hAnsiTheme="minorHAnsi"/>
          <w:b w:val="0"/>
          <w:sz w:val="24"/>
          <w:szCs w:val="24"/>
        </w:rPr>
      </w:pPr>
      <w:r w:rsidRPr="000D0084">
        <w:rPr>
          <w:rFonts w:asciiTheme="minorHAnsi" w:hAnsiTheme="minorHAnsi"/>
          <w:b w:val="0"/>
          <w:noProof/>
          <w:sz w:val="24"/>
          <w:szCs w:val="24"/>
          <w:lang w:eastAsia="en-GB"/>
        </w:rPr>
        <w:drawing>
          <wp:inline distT="0" distB="0" distL="0" distR="0" wp14:anchorId="05864CEF" wp14:editId="0C4223FA">
            <wp:extent cx="4572000" cy="2743200"/>
            <wp:effectExtent l="0" t="0" r="0" b="0"/>
            <wp:docPr id="9" name="Chart 9">
              <a:extLst xmlns:a="http://schemas.openxmlformats.org/drawingml/2006/main">
                <a:ext uri="{FF2B5EF4-FFF2-40B4-BE49-F238E27FC236}">
                  <a16:creationId xmlns:a16="http://schemas.microsoft.com/office/drawing/2014/main" id="{E1F6F471-8423-4DBD-9ED0-429720ECE8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32F43" w:rsidRDefault="00932F43" w:rsidP="000D0084">
      <w:pPr>
        <w:ind w:left="2160"/>
        <w:contextualSpacing/>
        <w:jc w:val="both"/>
        <w:rPr>
          <w:rFonts w:asciiTheme="minorHAnsi" w:hAnsiTheme="minorHAnsi"/>
          <w:b w:val="0"/>
          <w:sz w:val="24"/>
          <w:szCs w:val="24"/>
        </w:rPr>
      </w:pPr>
      <w:r w:rsidRPr="00932F43">
        <w:rPr>
          <w:rFonts w:asciiTheme="minorHAnsi" w:hAnsiTheme="minorHAnsi"/>
          <w:b w:val="0"/>
          <w:sz w:val="24"/>
          <w:szCs w:val="24"/>
        </w:rPr>
        <w:t>(StatsWales, 2017)</w:t>
      </w:r>
      <w:r w:rsidR="00646280">
        <w:rPr>
          <w:rFonts w:asciiTheme="minorHAnsi" w:hAnsiTheme="minorHAnsi"/>
          <w:b w:val="0"/>
          <w:sz w:val="24"/>
          <w:szCs w:val="24"/>
        </w:rPr>
        <w:t xml:space="preserve"> (APPENDIX F)</w:t>
      </w:r>
    </w:p>
    <w:p w:rsidR="0084578F" w:rsidRDefault="0084578F" w:rsidP="000D0084">
      <w:pPr>
        <w:ind w:left="2160"/>
        <w:contextualSpacing/>
        <w:jc w:val="both"/>
        <w:rPr>
          <w:rFonts w:asciiTheme="minorHAnsi" w:hAnsiTheme="minorHAnsi"/>
          <w:b w:val="0"/>
          <w:sz w:val="24"/>
          <w:szCs w:val="24"/>
        </w:rPr>
      </w:pPr>
    </w:p>
    <w:p w:rsidR="0084578F" w:rsidRDefault="0084578F" w:rsidP="000D0084">
      <w:pPr>
        <w:ind w:left="2160"/>
        <w:contextualSpacing/>
        <w:jc w:val="both"/>
        <w:rPr>
          <w:rFonts w:asciiTheme="minorHAnsi" w:hAnsiTheme="minorHAnsi"/>
          <w:b w:val="0"/>
          <w:sz w:val="24"/>
          <w:szCs w:val="24"/>
        </w:rPr>
      </w:pPr>
    </w:p>
    <w:p w:rsidR="000D0084" w:rsidRPr="000D0084" w:rsidRDefault="000D0084" w:rsidP="000D0084">
      <w:pPr>
        <w:ind w:left="2160"/>
        <w:contextualSpacing/>
        <w:jc w:val="both"/>
        <w:rPr>
          <w:rFonts w:asciiTheme="minorHAnsi" w:hAnsiTheme="minorHAnsi"/>
          <w:b w:val="0"/>
          <w:sz w:val="24"/>
          <w:szCs w:val="24"/>
        </w:rPr>
      </w:pPr>
      <w:r w:rsidRPr="000D0084">
        <w:rPr>
          <w:rFonts w:asciiTheme="minorHAnsi" w:hAnsiTheme="minorHAnsi"/>
          <w:b w:val="0"/>
          <w:sz w:val="24"/>
          <w:szCs w:val="24"/>
        </w:rPr>
        <w:lastRenderedPageBreak/>
        <w:t xml:space="preserve">One and two-person properties are the dominant household types in Wales, with one-person households the most common. The Welsh government comment that over 65s make up 45% of one-person households, and those over the age of 85 make up 9%. </w:t>
      </w:r>
    </w:p>
    <w:p w:rsidR="000D0084" w:rsidRPr="00192023" w:rsidRDefault="000D0084" w:rsidP="00192023">
      <w:pPr>
        <w:ind w:left="2160"/>
        <w:contextualSpacing/>
        <w:rPr>
          <w:rFonts w:asciiTheme="minorHAnsi" w:hAnsiTheme="minorHAnsi"/>
          <w:b w:val="0"/>
          <w:sz w:val="24"/>
          <w:szCs w:val="24"/>
        </w:rPr>
      </w:pPr>
    </w:p>
    <w:p w:rsidR="000D0084" w:rsidRPr="000D0084" w:rsidRDefault="000D0084" w:rsidP="000D0084">
      <w:pPr>
        <w:ind w:left="2160"/>
        <w:contextualSpacing/>
        <w:jc w:val="both"/>
        <w:rPr>
          <w:rFonts w:asciiTheme="minorHAnsi" w:hAnsiTheme="minorHAnsi"/>
          <w:b w:val="0"/>
          <w:sz w:val="24"/>
          <w:szCs w:val="24"/>
        </w:rPr>
      </w:pPr>
      <w:r w:rsidRPr="000D0084">
        <w:rPr>
          <w:rFonts w:asciiTheme="minorHAnsi" w:hAnsiTheme="minorHAnsi"/>
          <w:b w:val="0"/>
          <w:noProof/>
          <w:sz w:val="24"/>
          <w:szCs w:val="24"/>
          <w:lang w:eastAsia="en-GB"/>
        </w:rPr>
        <w:drawing>
          <wp:inline distT="0" distB="0" distL="0" distR="0" wp14:anchorId="14A9FC80" wp14:editId="58486BBA">
            <wp:extent cx="4572000" cy="2743200"/>
            <wp:effectExtent l="0" t="0" r="0" b="0"/>
            <wp:docPr id="10" name="Chart 10">
              <a:extLst xmlns:a="http://schemas.openxmlformats.org/drawingml/2006/main">
                <a:ext uri="{FF2B5EF4-FFF2-40B4-BE49-F238E27FC236}">
                  <a16:creationId xmlns:a16="http://schemas.microsoft.com/office/drawing/2014/main" id="{286F69F3-EEF3-4E26-BA96-F9332C3428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32F43" w:rsidRDefault="00932F43" w:rsidP="000D0084">
      <w:pPr>
        <w:ind w:left="2160"/>
        <w:contextualSpacing/>
        <w:jc w:val="both"/>
        <w:rPr>
          <w:rFonts w:asciiTheme="minorHAnsi" w:hAnsiTheme="minorHAnsi"/>
          <w:b w:val="0"/>
          <w:sz w:val="24"/>
          <w:szCs w:val="24"/>
        </w:rPr>
      </w:pPr>
      <w:r w:rsidRPr="00932F43">
        <w:rPr>
          <w:rFonts w:asciiTheme="minorHAnsi" w:hAnsiTheme="minorHAnsi"/>
          <w:b w:val="0"/>
          <w:sz w:val="24"/>
          <w:szCs w:val="24"/>
        </w:rPr>
        <w:t>(StatsWales, 2017)</w:t>
      </w:r>
      <w:r w:rsidR="00B42998">
        <w:rPr>
          <w:rFonts w:asciiTheme="minorHAnsi" w:hAnsiTheme="minorHAnsi"/>
          <w:b w:val="0"/>
          <w:sz w:val="24"/>
          <w:szCs w:val="24"/>
        </w:rPr>
        <w:t xml:space="preserve"> (APPENDIX E</w:t>
      </w:r>
      <w:r w:rsidR="00646280">
        <w:rPr>
          <w:rFonts w:asciiTheme="minorHAnsi" w:hAnsiTheme="minorHAnsi"/>
          <w:b w:val="0"/>
          <w:sz w:val="24"/>
          <w:szCs w:val="24"/>
        </w:rPr>
        <w:t>)</w:t>
      </w:r>
    </w:p>
    <w:p w:rsidR="00192023" w:rsidRDefault="000D0084" w:rsidP="0084578F">
      <w:pPr>
        <w:ind w:left="2160"/>
        <w:contextualSpacing/>
        <w:jc w:val="both"/>
        <w:rPr>
          <w:rFonts w:asciiTheme="minorHAnsi" w:hAnsiTheme="minorHAnsi"/>
          <w:b w:val="0"/>
          <w:sz w:val="24"/>
          <w:szCs w:val="24"/>
        </w:rPr>
      </w:pPr>
      <w:r w:rsidRPr="000D0084">
        <w:rPr>
          <w:rFonts w:asciiTheme="minorHAnsi" w:hAnsiTheme="minorHAnsi"/>
          <w:b w:val="0"/>
          <w:sz w:val="24"/>
          <w:szCs w:val="24"/>
        </w:rPr>
        <w:t>5+ person properties and 4-person properties had high percentage increases between 2015 and 2016. A likely factor in these percentage increases could be the increased demand for room lets and collective lets, which will be more prevalent in city areas where the property rent is higher, such as Cardiff.</w:t>
      </w:r>
    </w:p>
    <w:p w:rsidR="000D0084" w:rsidRPr="000D0084" w:rsidRDefault="000D0084" w:rsidP="000D0084">
      <w:pPr>
        <w:numPr>
          <w:ilvl w:val="2"/>
          <w:numId w:val="1"/>
        </w:numPr>
        <w:contextualSpacing/>
        <w:jc w:val="both"/>
        <w:rPr>
          <w:rFonts w:asciiTheme="minorHAnsi" w:hAnsiTheme="minorHAnsi"/>
          <w:sz w:val="24"/>
          <w:szCs w:val="24"/>
          <w:u w:val="single"/>
        </w:rPr>
      </w:pPr>
      <w:r w:rsidRPr="000D0084">
        <w:rPr>
          <w:rFonts w:asciiTheme="minorHAnsi" w:hAnsiTheme="minorHAnsi"/>
          <w:sz w:val="24"/>
          <w:szCs w:val="24"/>
          <w:u w:val="single"/>
        </w:rPr>
        <w:t xml:space="preserve">Conclusions </w:t>
      </w:r>
    </w:p>
    <w:p w:rsidR="00010E49" w:rsidRDefault="000D0084" w:rsidP="00010E49">
      <w:pPr>
        <w:ind w:left="2280"/>
        <w:contextualSpacing/>
        <w:jc w:val="both"/>
        <w:rPr>
          <w:rFonts w:asciiTheme="minorHAnsi" w:hAnsiTheme="minorHAnsi"/>
          <w:b w:val="0"/>
          <w:sz w:val="24"/>
          <w:szCs w:val="24"/>
        </w:rPr>
      </w:pPr>
      <w:r w:rsidRPr="000D0084">
        <w:rPr>
          <w:rFonts w:asciiTheme="minorHAnsi" w:hAnsiTheme="minorHAnsi"/>
          <w:b w:val="0"/>
          <w:sz w:val="24"/>
          <w:szCs w:val="24"/>
        </w:rPr>
        <w:t>This data is a strong indicator of where growth will continue over the next two years, additionally it provides insight of what development areas may s</w:t>
      </w:r>
      <w:r w:rsidR="0084578F">
        <w:rPr>
          <w:rFonts w:asciiTheme="minorHAnsi" w:hAnsiTheme="minorHAnsi"/>
          <w:b w:val="0"/>
          <w:sz w:val="24"/>
          <w:szCs w:val="24"/>
        </w:rPr>
        <w:t xml:space="preserve">truggle due to decreased demand, and should be considered </w:t>
      </w:r>
      <w:r w:rsidR="00010E49">
        <w:rPr>
          <w:rFonts w:asciiTheme="minorHAnsi" w:hAnsiTheme="minorHAnsi"/>
          <w:b w:val="0"/>
          <w:sz w:val="24"/>
          <w:szCs w:val="24"/>
        </w:rPr>
        <w:t>when targeting specific marke</w:t>
      </w:r>
      <w:r w:rsidR="00B42998">
        <w:rPr>
          <w:rFonts w:asciiTheme="minorHAnsi" w:hAnsiTheme="minorHAnsi"/>
          <w:b w:val="0"/>
          <w:sz w:val="24"/>
          <w:szCs w:val="24"/>
        </w:rPr>
        <w:t>ts.</w:t>
      </w:r>
    </w:p>
    <w:p w:rsidR="000D0084" w:rsidRPr="000D0084" w:rsidRDefault="000D0084" w:rsidP="000D0084">
      <w:pPr>
        <w:numPr>
          <w:ilvl w:val="1"/>
          <w:numId w:val="1"/>
        </w:numPr>
        <w:contextualSpacing/>
        <w:rPr>
          <w:rFonts w:asciiTheme="minorHAnsi" w:hAnsiTheme="minorHAnsi"/>
          <w:sz w:val="24"/>
          <w:szCs w:val="24"/>
          <w:u w:val="single"/>
        </w:rPr>
      </w:pPr>
      <w:r w:rsidRPr="000D0084">
        <w:rPr>
          <w:rFonts w:asciiTheme="minorHAnsi" w:hAnsiTheme="minorHAnsi"/>
          <w:sz w:val="24"/>
          <w:szCs w:val="24"/>
          <w:u w:val="single"/>
        </w:rPr>
        <w:lastRenderedPageBreak/>
        <w:t>Prospective political and legislative effects on the housing market</w:t>
      </w:r>
    </w:p>
    <w:p w:rsidR="000D0084" w:rsidRPr="000D0084" w:rsidRDefault="000D0084" w:rsidP="000D0084">
      <w:pPr>
        <w:numPr>
          <w:ilvl w:val="2"/>
          <w:numId w:val="1"/>
        </w:numPr>
        <w:contextualSpacing/>
        <w:rPr>
          <w:rFonts w:asciiTheme="minorHAnsi" w:hAnsiTheme="minorHAnsi"/>
          <w:sz w:val="24"/>
          <w:szCs w:val="24"/>
          <w:u w:val="single"/>
        </w:rPr>
      </w:pPr>
      <w:r w:rsidRPr="000D0084">
        <w:rPr>
          <w:rFonts w:asciiTheme="minorHAnsi" w:hAnsiTheme="minorHAnsi"/>
          <w:sz w:val="24"/>
          <w:szCs w:val="24"/>
          <w:u w:val="single"/>
        </w:rPr>
        <w:t xml:space="preserve">The autumn 2017 budget proposal </w:t>
      </w:r>
    </w:p>
    <w:p w:rsidR="000D0084" w:rsidRPr="000D0084" w:rsidRDefault="000D0084" w:rsidP="000D0084">
      <w:pPr>
        <w:ind w:left="2160"/>
        <w:contextualSpacing/>
        <w:rPr>
          <w:rFonts w:asciiTheme="minorHAnsi" w:hAnsiTheme="minorHAnsi"/>
          <w:b w:val="0"/>
          <w:sz w:val="24"/>
          <w:szCs w:val="24"/>
        </w:rPr>
      </w:pPr>
      <w:r w:rsidRPr="000D0084">
        <w:rPr>
          <w:rFonts w:asciiTheme="minorHAnsi" w:hAnsiTheme="minorHAnsi"/>
          <w:b w:val="0"/>
          <w:sz w:val="24"/>
          <w:szCs w:val="24"/>
        </w:rPr>
        <w:t xml:space="preserve">The recent budget </w:t>
      </w:r>
      <w:r w:rsidR="0084578F">
        <w:rPr>
          <w:rFonts w:asciiTheme="minorHAnsi" w:hAnsiTheme="minorHAnsi"/>
          <w:b w:val="0"/>
          <w:sz w:val="24"/>
          <w:szCs w:val="24"/>
        </w:rPr>
        <w:t xml:space="preserve">contains policies that </w:t>
      </w:r>
      <w:r w:rsidRPr="000D0084">
        <w:rPr>
          <w:rFonts w:asciiTheme="minorHAnsi" w:hAnsiTheme="minorHAnsi"/>
          <w:b w:val="0"/>
          <w:sz w:val="24"/>
          <w:szCs w:val="24"/>
        </w:rPr>
        <w:t xml:space="preserve">will affect the housing market directly. The </w:t>
      </w:r>
      <w:r w:rsidR="0084578F">
        <w:rPr>
          <w:rFonts w:asciiTheme="minorHAnsi" w:hAnsiTheme="minorHAnsi"/>
          <w:b w:val="0"/>
          <w:sz w:val="24"/>
          <w:szCs w:val="24"/>
        </w:rPr>
        <w:t>policies</w:t>
      </w:r>
      <w:r w:rsidRPr="000D0084">
        <w:rPr>
          <w:rFonts w:asciiTheme="minorHAnsi" w:hAnsiTheme="minorHAnsi"/>
          <w:b w:val="0"/>
          <w:sz w:val="24"/>
          <w:szCs w:val="24"/>
        </w:rPr>
        <w:t xml:space="preserve"> that may influence the future of the Welsh housing market will be </w:t>
      </w:r>
      <w:r>
        <w:rPr>
          <w:rFonts w:asciiTheme="minorHAnsi" w:hAnsiTheme="minorHAnsi"/>
          <w:b w:val="0"/>
          <w:sz w:val="24"/>
          <w:szCs w:val="24"/>
        </w:rPr>
        <w:t>considered here</w:t>
      </w:r>
      <w:r w:rsidRPr="000D0084">
        <w:rPr>
          <w:rFonts w:asciiTheme="minorHAnsi" w:hAnsiTheme="minorHAnsi"/>
          <w:b w:val="0"/>
          <w:sz w:val="24"/>
          <w:szCs w:val="24"/>
        </w:rPr>
        <w:t>.</w:t>
      </w:r>
    </w:p>
    <w:p w:rsidR="000D0084" w:rsidRPr="000D0084" w:rsidRDefault="000D0084" w:rsidP="000D0084">
      <w:pPr>
        <w:numPr>
          <w:ilvl w:val="3"/>
          <w:numId w:val="1"/>
        </w:numPr>
        <w:contextualSpacing/>
        <w:rPr>
          <w:rFonts w:asciiTheme="minorHAnsi" w:hAnsiTheme="minorHAnsi"/>
          <w:sz w:val="24"/>
          <w:szCs w:val="24"/>
          <w:u w:val="single"/>
        </w:rPr>
      </w:pPr>
      <w:r w:rsidRPr="000D0084">
        <w:rPr>
          <w:rFonts w:asciiTheme="minorHAnsi" w:hAnsiTheme="minorHAnsi"/>
          <w:sz w:val="24"/>
          <w:szCs w:val="24"/>
          <w:u w:val="single"/>
        </w:rPr>
        <w:t>Stamp Duty Land Tax</w:t>
      </w:r>
    </w:p>
    <w:p w:rsidR="000D0084" w:rsidRPr="000D0084" w:rsidRDefault="00B93ADA" w:rsidP="000D0084">
      <w:pPr>
        <w:ind w:left="2880"/>
        <w:contextualSpacing/>
        <w:rPr>
          <w:rFonts w:asciiTheme="minorHAnsi" w:hAnsiTheme="minorHAnsi"/>
          <w:b w:val="0"/>
          <w:sz w:val="24"/>
          <w:szCs w:val="24"/>
        </w:rPr>
      </w:pPr>
      <w:r>
        <w:rPr>
          <w:rFonts w:asciiTheme="minorHAnsi" w:hAnsiTheme="minorHAnsi"/>
          <w:b w:val="0"/>
          <w:sz w:val="24"/>
          <w:szCs w:val="24"/>
        </w:rPr>
        <w:t>The removal of</w:t>
      </w:r>
      <w:r w:rsidR="000D0084" w:rsidRPr="000D0084">
        <w:rPr>
          <w:rFonts w:asciiTheme="minorHAnsi" w:hAnsiTheme="minorHAnsi"/>
          <w:b w:val="0"/>
          <w:sz w:val="24"/>
          <w:szCs w:val="24"/>
        </w:rPr>
        <w:t xml:space="preserve"> Stamp Duty Land Tax (SDLT) on homes up to £300,000 for first time buyers</w:t>
      </w:r>
      <w:r w:rsidR="00D61B4E" w:rsidRPr="00D61B4E">
        <w:rPr>
          <w:rFonts w:asciiTheme="minorHAnsi" w:hAnsiTheme="minorHAnsi"/>
          <w:b w:val="0"/>
          <w:sz w:val="24"/>
          <w:szCs w:val="24"/>
        </w:rPr>
        <w:t>. (HM Treasury, 2017)</w:t>
      </w:r>
      <w:r w:rsidR="000D0084" w:rsidRPr="000D0084">
        <w:rPr>
          <w:rFonts w:asciiTheme="minorHAnsi" w:hAnsiTheme="minorHAnsi"/>
          <w:b w:val="0"/>
          <w:sz w:val="24"/>
          <w:szCs w:val="24"/>
        </w:rPr>
        <w:t xml:space="preserve">, </w:t>
      </w:r>
      <w:r>
        <w:rPr>
          <w:rFonts w:asciiTheme="minorHAnsi" w:hAnsiTheme="minorHAnsi"/>
          <w:b w:val="0"/>
          <w:sz w:val="24"/>
          <w:szCs w:val="24"/>
        </w:rPr>
        <w:t xml:space="preserve">acts </w:t>
      </w:r>
      <w:r w:rsidR="000D0084" w:rsidRPr="000D0084">
        <w:rPr>
          <w:rFonts w:asciiTheme="minorHAnsi" w:hAnsiTheme="minorHAnsi"/>
          <w:b w:val="0"/>
          <w:sz w:val="24"/>
          <w:szCs w:val="24"/>
        </w:rPr>
        <w:t>as an incentive to invest in the property market. However, the previous rates only taxed buyers 1% on homes between £125,000 and £250,000. As the average house price i</w:t>
      </w:r>
      <w:r w:rsidR="00D61B4E">
        <w:rPr>
          <w:rFonts w:asciiTheme="minorHAnsi" w:hAnsiTheme="minorHAnsi"/>
          <w:b w:val="0"/>
          <w:sz w:val="24"/>
          <w:szCs w:val="24"/>
        </w:rPr>
        <w:t>n Wales is £147,000 (as of 2016, (StatsWales, 2017))</w:t>
      </w:r>
      <w:r w:rsidR="000D0084" w:rsidRPr="000D0084">
        <w:rPr>
          <w:rFonts w:asciiTheme="minorHAnsi" w:hAnsiTheme="minorHAnsi"/>
          <w:b w:val="0"/>
          <w:sz w:val="24"/>
          <w:szCs w:val="24"/>
        </w:rPr>
        <w:t xml:space="preserve"> this will not have a large effect on a prospective buyer’s decision to enter the property market, however, efforts to increase affordability by the government may increase consumer confidence.</w:t>
      </w:r>
    </w:p>
    <w:p w:rsidR="000D0084" w:rsidRPr="000D0084" w:rsidRDefault="000D0084" w:rsidP="000D0084">
      <w:pPr>
        <w:numPr>
          <w:ilvl w:val="3"/>
          <w:numId w:val="1"/>
        </w:numPr>
        <w:contextualSpacing/>
        <w:rPr>
          <w:rFonts w:asciiTheme="minorHAnsi" w:hAnsiTheme="minorHAnsi"/>
          <w:sz w:val="24"/>
          <w:szCs w:val="24"/>
          <w:u w:val="single"/>
        </w:rPr>
      </w:pPr>
      <w:r w:rsidRPr="000D0084">
        <w:rPr>
          <w:rFonts w:asciiTheme="minorHAnsi" w:hAnsiTheme="minorHAnsi"/>
          <w:sz w:val="24"/>
          <w:szCs w:val="24"/>
          <w:u w:val="single"/>
        </w:rPr>
        <w:t>100% council tax premium on empty properties</w:t>
      </w:r>
    </w:p>
    <w:p w:rsidR="00010E49" w:rsidRPr="000D0084" w:rsidRDefault="000D0084" w:rsidP="00010E49">
      <w:pPr>
        <w:ind w:left="2880"/>
        <w:contextualSpacing/>
        <w:rPr>
          <w:rFonts w:asciiTheme="minorHAnsi" w:hAnsiTheme="minorHAnsi"/>
          <w:b w:val="0"/>
          <w:sz w:val="24"/>
          <w:szCs w:val="24"/>
        </w:rPr>
      </w:pPr>
      <w:r w:rsidRPr="000D0084">
        <w:rPr>
          <w:rFonts w:asciiTheme="minorHAnsi" w:hAnsiTheme="minorHAnsi"/>
          <w:b w:val="0"/>
          <w:sz w:val="24"/>
          <w:szCs w:val="24"/>
        </w:rPr>
        <w:t>While rises in council tax of up to 50% may not affect areas with high priced residential homes owned by the wealthy, it may affect second home owners in wales who earn a more modest income and therefore will be affect</w:t>
      </w:r>
      <w:r w:rsidR="00D61B4E">
        <w:rPr>
          <w:rFonts w:asciiTheme="minorHAnsi" w:hAnsiTheme="minorHAnsi"/>
          <w:b w:val="0"/>
          <w:sz w:val="24"/>
          <w:szCs w:val="24"/>
        </w:rPr>
        <w:t>ed if their council tax doubles</w:t>
      </w:r>
      <w:r w:rsidR="00D61B4E" w:rsidRPr="00D61B4E">
        <w:rPr>
          <w:rFonts w:asciiTheme="minorHAnsi" w:hAnsiTheme="minorHAnsi"/>
          <w:b w:val="0"/>
          <w:sz w:val="24"/>
          <w:szCs w:val="24"/>
        </w:rPr>
        <w:t xml:space="preserve"> (HM Treasury, 2017)</w:t>
      </w:r>
      <w:r w:rsidR="00D61B4E">
        <w:rPr>
          <w:rFonts w:asciiTheme="minorHAnsi" w:hAnsiTheme="minorHAnsi"/>
          <w:b w:val="0"/>
          <w:sz w:val="24"/>
          <w:szCs w:val="24"/>
        </w:rPr>
        <w:t>.</w:t>
      </w:r>
      <w:r w:rsidRPr="000D0084">
        <w:rPr>
          <w:rFonts w:asciiTheme="minorHAnsi" w:hAnsiTheme="minorHAnsi"/>
          <w:b w:val="0"/>
          <w:sz w:val="24"/>
          <w:szCs w:val="24"/>
        </w:rPr>
        <w:t xml:space="preserve"> </w:t>
      </w:r>
      <w:r>
        <w:rPr>
          <w:rFonts w:asciiTheme="minorHAnsi" w:hAnsiTheme="minorHAnsi"/>
          <w:b w:val="0"/>
          <w:sz w:val="24"/>
          <w:szCs w:val="24"/>
        </w:rPr>
        <w:t>I</w:t>
      </w:r>
      <w:r w:rsidRPr="000D0084">
        <w:rPr>
          <w:rFonts w:asciiTheme="minorHAnsi" w:hAnsiTheme="minorHAnsi"/>
          <w:b w:val="0"/>
          <w:sz w:val="24"/>
          <w:szCs w:val="24"/>
        </w:rPr>
        <w:t>t is possible that several second homes in wales will be put on the market, or will have their rent reduced to guarantee occupancy of their home as-soon-as-possible</w:t>
      </w:r>
      <w:r w:rsidR="00010E49">
        <w:rPr>
          <w:rFonts w:asciiTheme="minorHAnsi" w:hAnsiTheme="minorHAnsi"/>
          <w:b w:val="0"/>
          <w:sz w:val="24"/>
          <w:szCs w:val="24"/>
        </w:rPr>
        <w:t>.</w:t>
      </w:r>
    </w:p>
    <w:p w:rsidR="000D0084" w:rsidRPr="000D0084" w:rsidRDefault="000D0084" w:rsidP="000D0084">
      <w:pPr>
        <w:numPr>
          <w:ilvl w:val="2"/>
          <w:numId w:val="1"/>
        </w:numPr>
        <w:contextualSpacing/>
        <w:rPr>
          <w:rFonts w:asciiTheme="minorHAnsi" w:hAnsiTheme="minorHAnsi"/>
          <w:sz w:val="24"/>
          <w:szCs w:val="24"/>
          <w:u w:val="single"/>
        </w:rPr>
      </w:pPr>
      <w:r w:rsidRPr="000D0084">
        <w:rPr>
          <w:rFonts w:asciiTheme="minorHAnsi" w:hAnsiTheme="minorHAnsi"/>
          <w:sz w:val="24"/>
          <w:szCs w:val="24"/>
          <w:u w:val="single"/>
        </w:rPr>
        <w:lastRenderedPageBreak/>
        <w:t>Changes to existing legislation</w:t>
      </w:r>
    </w:p>
    <w:p w:rsidR="000D0084" w:rsidRPr="000D0084" w:rsidRDefault="000D0084" w:rsidP="000D0084">
      <w:pPr>
        <w:numPr>
          <w:ilvl w:val="3"/>
          <w:numId w:val="1"/>
        </w:numPr>
        <w:contextualSpacing/>
        <w:rPr>
          <w:rFonts w:asciiTheme="minorHAnsi" w:hAnsiTheme="minorHAnsi"/>
          <w:sz w:val="24"/>
          <w:szCs w:val="24"/>
          <w:u w:val="single"/>
        </w:rPr>
      </w:pPr>
      <w:r w:rsidRPr="000D0084">
        <w:rPr>
          <w:rFonts w:asciiTheme="minorHAnsi" w:hAnsiTheme="minorHAnsi"/>
          <w:sz w:val="24"/>
          <w:szCs w:val="24"/>
          <w:u w:val="single"/>
        </w:rPr>
        <w:t>Buy-To-Let</w:t>
      </w:r>
    </w:p>
    <w:p w:rsidR="000D0084" w:rsidRPr="000D0084" w:rsidRDefault="000D0084" w:rsidP="000D0084">
      <w:pPr>
        <w:ind w:left="2880"/>
        <w:contextualSpacing/>
        <w:rPr>
          <w:rFonts w:asciiTheme="minorHAnsi" w:hAnsiTheme="minorHAnsi"/>
          <w:b w:val="0"/>
          <w:sz w:val="24"/>
          <w:szCs w:val="24"/>
        </w:rPr>
      </w:pPr>
      <w:r w:rsidRPr="000D0084">
        <w:rPr>
          <w:rFonts w:asciiTheme="minorHAnsi" w:hAnsiTheme="minorHAnsi"/>
          <w:b w:val="0"/>
          <w:sz w:val="24"/>
          <w:szCs w:val="24"/>
        </w:rPr>
        <w:t>As Buy-To-Let (BTL) mortgage values are not dependent on how much you earn, such are residential mortgages, interest rates on BTL properties are typically higher, and if governed by rate rises could see landlords struggle make payments without raising rent prices further.</w:t>
      </w:r>
    </w:p>
    <w:p w:rsidR="000D0084" w:rsidRPr="000D0084" w:rsidRDefault="00ED75D7" w:rsidP="000D0084">
      <w:pPr>
        <w:ind w:left="2880"/>
        <w:contextualSpacing/>
        <w:rPr>
          <w:rFonts w:asciiTheme="minorHAnsi" w:hAnsiTheme="minorHAnsi"/>
          <w:b w:val="0"/>
          <w:sz w:val="24"/>
          <w:szCs w:val="24"/>
        </w:rPr>
      </w:pPr>
      <w:bookmarkStart w:id="0" w:name="_Hlk501048117"/>
      <w:r>
        <w:rPr>
          <w:rFonts w:asciiTheme="minorHAnsi" w:hAnsiTheme="minorHAnsi"/>
          <w:b w:val="0"/>
          <w:sz w:val="24"/>
          <w:szCs w:val="24"/>
        </w:rPr>
        <w:t xml:space="preserve"> </w:t>
      </w:r>
      <w:bookmarkEnd w:id="0"/>
      <w:r w:rsidR="00B62A1B" w:rsidRPr="00B62A1B">
        <w:rPr>
          <w:rFonts w:asciiTheme="minorHAnsi" w:hAnsiTheme="minorHAnsi"/>
          <w:b w:val="0"/>
          <w:sz w:val="24"/>
          <w:szCs w:val="24"/>
        </w:rPr>
        <w:t xml:space="preserve">Furthermore, from April 2017 changes to tax relief will mean that landlords will no longer be able to deduct all their mortgage interest when they work out their profits. Further reductions in benefits will likely increase the decline in residential lets provided by this scheme. </w:t>
      </w:r>
      <w:r>
        <w:rPr>
          <w:rFonts w:asciiTheme="minorHAnsi" w:hAnsiTheme="minorHAnsi"/>
          <w:b w:val="0"/>
          <w:sz w:val="24"/>
          <w:szCs w:val="24"/>
        </w:rPr>
        <w:t>(BRWM, 2015)</w:t>
      </w:r>
    </w:p>
    <w:p w:rsidR="000D0084" w:rsidRDefault="000D0084" w:rsidP="00192023">
      <w:pPr>
        <w:ind w:left="1080"/>
        <w:contextualSpacing/>
        <w:jc w:val="both"/>
        <w:rPr>
          <w:rFonts w:asciiTheme="minorHAnsi" w:hAnsiTheme="minorHAnsi"/>
          <w:b w:val="0"/>
          <w:sz w:val="24"/>
          <w:szCs w:val="24"/>
        </w:rPr>
      </w:pPr>
    </w:p>
    <w:p w:rsidR="00F07C87" w:rsidRDefault="00F07C87" w:rsidP="00192023">
      <w:pPr>
        <w:ind w:left="1080"/>
        <w:contextualSpacing/>
        <w:jc w:val="both"/>
        <w:rPr>
          <w:rFonts w:asciiTheme="minorHAnsi" w:hAnsiTheme="minorHAnsi"/>
          <w:b w:val="0"/>
          <w:sz w:val="24"/>
          <w:szCs w:val="24"/>
        </w:rPr>
      </w:pPr>
    </w:p>
    <w:p w:rsidR="00F07C87" w:rsidRDefault="00F07C87" w:rsidP="00192023">
      <w:pPr>
        <w:ind w:left="1080"/>
        <w:contextualSpacing/>
        <w:jc w:val="both"/>
        <w:rPr>
          <w:rFonts w:asciiTheme="minorHAnsi" w:hAnsiTheme="minorHAnsi"/>
          <w:b w:val="0"/>
          <w:sz w:val="24"/>
          <w:szCs w:val="24"/>
        </w:rPr>
      </w:pPr>
    </w:p>
    <w:p w:rsidR="00F07C87" w:rsidRDefault="00F07C87" w:rsidP="00192023">
      <w:pPr>
        <w:ind w:left="1080"/>
        <w:contextualSpacing/>
        <w:jc w:val="both"/>
        <w:rPr>
          <w:rFonts w:asciiTheme="minorHAnsi" w:hAnsiTheme="minorHAnsi"/>
          <w:b w:val="0"/>
          <w:sz w:val="24"/>
          <w:szCs w:val="24"/>
        </w:rPr>
      </w:pPr>
    </w:p>
    <w:p w:rsidR="00F07C87" w:rsidRDefault="00F07C87" w:rsidP="00192023">
      <w:pPr>
        <w:ind w:left="1080"/>
        <w:contextualSpacing/>
        <w:jc w:val="both"/>
        <w:rPr>
          <w:rFonts w:asciiTheme="minorHAnsi" w:hAnsiTheme="minorHAnsi"/>
          <w:b w:val="0"/>
          <w:sz w:val="24"/>
          <w:szCs w:val="24"/>
        </w:rPr>
      </w:pPr>
    </w:p>
    <w:p w:rsidR="00F07C87" w:rsidRDefault="00F07C87" w:rsidP="00B93ADA">
      <w:pPr>
        <w:contextualSpacing/>
        <w:jc w:val="both"/>
        <w:rPr>
          <w:rFonts w:asciiTheme="minorHAnsi" w:hAnsiTheme="minorHAnsi"/>
          <w:b w:val="0"/>
          <w:sz w:val="24"/>
          <w:szCs w:val="24"/>
        </w:rPr>
      </w:pPr>
    </w:p>
    <w:p w:rsidR="00F07C87" w:rsidRDefault="00F07C87" w:rsidP="00192023">
      <w:pPr>
        <w:ind w:left="1080"/>
        <w:contextualSpacing/>
        <w:jc w:val="both"/>
        <w:rPr>
          <w:rFonts w:asciiTheme="minorHAnsi" w:hAnsiTheme="minorHAnsi"/>
          <w:b w:val="0"/>
          <w:sz w:val="24"/>
          <w:szCs w:val="24"/>
        </w:rPr>
      </w:pPr>
    </w:p>
    <w:p w:rsidR="00F07C87" w:rsidRDefault="00F07C87" w:rsidP="00192023">
      <w:pPr>
        <w:ind w:left="1080"/>
        <w:contextualSpacing/>
        <w:jc w:val="both"/>
        <w:rPr>
          <w:rFonts w:asciiTheme="minorHAnsi" w:hAnsiTheme="minorHAnsi"/>
          <w:b w:val="0"/>
          <w:sz w:val="24"/>
          <w:szCs w:val="24"/>
        </w:rPr>
      </w:pPr>
    </w:p>
    <w:p w:rsidR="00F07C87" w:rsidRDefault="00F07C87" w:rsidP="00192023">
      <w:pPr>
        <w:ind w:left="1080"/>
        <w:contextualSpacing/>
        <w:jc w:val="both"/>
        <w:rPr>
          <w:rFonts w:asciiTheme="minorHAnsi" w:hAnsiTheme="minorHAnsi"/>
          <w:b w:val="0"/>
          <w:sz w:val="24"/>
          <w:szCs w:val="24"/>
        </w:rPr>
      </w:pPr>
    </w:p>
    <w:p w:rsidR="00010E49" w:rsidRDefault="00010E49" w:rsidP="00010E49">
      <w:pPr>
        <w:contextualSpacing/>
        <w:jc w:val="both"/>
        <w:rPr>
          <w:rFonts w:asciiTheme="minorHAnsi" w:hAnsiTheme="minorHAnsi"/>
          <w:b w:val="0"/>
          <w:sz w:val="24"/>
          <w:szCs w:val="24"/>
        </w:rPr>
      </w:pPr>
    </w:p>
    <w:p w:rsidR="00010E49" w:rsidRDefault="00010E49" w:rsidP="00010E49">
      <w:pPr>
        <w:contextualSpacing/>
        <w:jc w:val="both"/>
        <w:rPr>
          <w:rFonts w:asciiTheme="minorHAnsi" w:hAnsiTheme="minorHAnsi"/>
          <w:b w:val="0"/>
          <w:sz w:val="24"/>
          <w:szCs w:val="24"/>
        </w:rPr>
      </w:pPr>
    </w:p>
    <w:p w:rsidR="00F07C87" w:rsidRDefault="00F07C87" w:rsidP="00192023">
      <w:pPr>
        <w:ind w:left="1080"/>
        <w:contextualSpacing/>
        <w:jc w:val="both"/>
        <w:rPr>
          <w:rFonts w:asciiTheme="minorHAnsi" w:hAnsiTheme="minorHAnsi"/>
          <w:b w:val="0"/>
          <w:sz w:val="24"/>
          <w:szCs w:val="24"/>
        </w:rPr>
      </w:pPr>
    </w:p>
    <w:p w:rsidR="00F07C87" w:rsidRPr="00F07C87" w:rsidRDefault="00F07C87" w:rsidP="00F07C87">
      <w:pPr>
        <w:numPr>
          <w:ilvl w:val="2"/>
          <w:numId w:val="1"/>
        </w:numPr>
        <w:contextualSpacing/>
        <w:rPr>
          <w:rFonts w:asciiTheme="minorHAnsi" w:hAnsiTheme="minorHAnsi"/>
          <w:sz w:val="24"/>
          <w:szCs w:val="24"/>
          <w:u w:val="single"/>
        </w:rPr>
      </w:pPr>
      <w:r w:rsidRPr="00F07C87">
        <w:rPr>
          <w:rFonts w:asciiTheme="minorHAnsi" w:hAnsiTheme="minorHAnsi"/>
          <w:sz w:val="24"/>
          <w:szCs w:val="24"/>
          <w:u w:val="single"/>
        </w:rPr>
        <w:lastRenderedPageBreak/>
        <w:t>Brexit</w:t>
      </w:r>
    </w:p>
    <w:p w:rsidR="00F07C87" w:rsidRPr="00F07C87" w:rsidRDefault="00F07C87" w:rsidP="00F07C87">
      <w:pPr>
        <w:ind w:left="2280"/>
        <w:contextualSpacing/>
        <w:rPr>
          <w:rFonts w:asciiTheme="minorHAnsi" w:hAnsiTheme="minorHAnsi"/>
          <w:b w:val="0"/>
          <w:sz w:val="24"/>
          <w:szCs w:val="24"/>
        </w:rPr>
      </w:pPr>
      <w:r w:rsidRPr="00F07C87">
        <w:rPr>
          <w:rFonts w:asciiTheme="minorHAnsi" w:hAnsiTheme="minorHAnsi"/>
          <w:b w:val="0"/>
          <w:sz w:val="24"/>
          <w:szCs w:val="24"/>
        </w:rPr>
        <w:t xml:space="preserve">There is great uncertainty surrounding the future of Britain due to difficult Brexit negotiations, this section aims to examine repercussions for the housing markets future and any current developments. </w:t>
      </w:r>
    </w:p>
    <w:p w:rsidR="00F07C87" w:rsidRPr="00F07C87" w:rsidRDefault="00F07C87" w:rsidP="00F07C87">
      <w:pPr>
        <w:numPr>
          <w:ilvl w:val="3"/>
          <w:numId w:val="1"/>
        </w:numPr>
        <w:contextualSpacing/>
        <w:rPr>
          <w:rFonts w:asciiTheme="minorHAnsi" w:hAnsiTheme="minorHAnsi"/>
          <w:sz w:val="24"/>
          <w:szCs w:val="24"/>
          <w:u w:val="single"/>
        </w:rPr>
      </w:pPr>
      <w:r w:rsidRPr="00F07C87">
        <w:rPr>
          <w:rFonts w:asciiTheme="minorHAnsi" w:hAnsiTheme="minorHAnsi"/>
          <w:sz w:val="24"/>
          <w:szCs w:val="24"/>
          <w:u w:val="single"/>
        </w:rPr>
        <w:t>Migration of skilled workers</w:t>
      </w:r>
    </w:p>
    <w:p w:rsidR="00F07C87" w:rsidRPr="00F07C87" w:rsidRDefault="00F07C87" w:rsidP="00F07C87">
      <w:pPr>
        <w:ind w:left="2988"/>
        <w:contextualSpacing/>
        <w:rPr>
          <w:rFonts w:asciiTheme="minorHAnsi" w:hAnsiTheme="minorHAnsi"/>
          <w:b w:val="0"/>
          <w:sz w:val="24"/>
          <w:szCs w:val="24"/>
        </w:rPr>
      </w:pPr>
      <w:r w:rsidRPr="00F07C87">
        <w:rPr>
          <w:rFonts w:asciiTheme="minorHAnsi" w:hAnsiTheme="minorHAnsi"/>
          <w:b w:val="0"/>
          <w:sz w:val="24"/>
          <w:szCs w:val="24"/>
        </w:rPr>
        <w:t>New RICS figures reveal that the UK construction industry could lose almost 200,000 EU workers post-Brexit should Britain lose access to the single market, putting some of the country’s biggest infrastructure and construction projects under threat.</w:t>
      </w:r>
      <w:r w:rsidR="00932F43">
        <w:rPr>
          <w:rFonts w:asciiTheme="minorHAnsi" w:hAnsiTheme="minorHAnsi"/>
          <w:b w:val="0"/>
          <w:sz w:val="24"/>
          <w:szCs w:val="24"/>
        </w:rPr>
        <w:t xml:space="preserve"> (RICS, 2017)</w:t>
      </w:r>
    </w:p>
    <w:p w:rsidR="00F07C87" w:rsidRPr="00F07C87" w:rsidRDefault="00F07C87" w:rsidP="00F07C87">
      <w:pPr>
        <w:ind w:left="2988"/>
        <w:contextualSpacing/>
        <w:rPr>
          <w:rFonts w:asciiTheme="minorHAnsi" w:hAnsiTheme="minorHAnsi"/>
          <w:b w:val="0"/>
          <w:sz w:val="24"/>
          <w:szCs w:val="24"/>
        </w:rPr>
      </w:pPr>
      <w:r w:rsidRPr="00F07C87">
        <w:rPr>
          <w:rFonts w:asciiTheme="minorHAnsi" w:hAnsiTheme="minorHAnsi"/>
          <w:b w:val="0"/>
          <w:sz w:val="24"/>
          <w:szCs w:val="24"/>
        </w:rPr>
        <w:t xml:space="preserve">Although the main losses of personnel will be in south-east London, there may be knock-on effects for the Welsh construction industry. To counteract the loss of workers, firms in England may incentivise migration for workers around the rest of the country through higher wages and benefits to keep up with construction schedules on large projects and infrastructure. </w:t>
      </w:r>
    </w:p>
    <w:p w:rsidR="000D0084" w:rsidRDefault="00932F43" w:rsidP="00B93ADA">
      <w:pPr>
        <w:ind w:left="2988"/>
        <w:contextualSpacing/>
        <w:rPr>
          <w:rFonts w:asciiTheme="minorHAnsi" w:hAnsiTheme="minorHAnsi"/>
          <w:b w:val="0"/>
          <w:sz w:val="24"/>
          <w:szCs w:val="24"/>
        </w:rPr>
      </w:pPr>
      <w:r>
        <w:rPr>
          <w:rFonts w:asciiTheme="minorHAnsi" w:hAnsiTheme="minorHAnsi"/>
          <w:b w:val="0"/>
          <w:sz w:val="24"/>
          <w:szCs w:val="24"/>
        </w:rPr>
        <w:t>“</w:t>
      </w:r>
      <w:r w:rsidR="00F07C87" w:rsidRPr="00F07C87">
        <w:rPr>
          <w:rFonts w:asciiTheme="minorHAnsi" w:hAnsiTheme="minorHAnsi"/>
          <w:b w:val="0"/>
          <w:sz w:val="24"/>
          <w:szCs w:val="24"/>
        </w:rPr>
        <w:t>Having eased throughout 2016, the intensification of labour shortages is biting once more in the quarter with 62% of contributors citing this as an impediment to growth.</w:t>
      </w:r>
      <w:r>
        <w:rPr>
          <w:rFonts w:asciiTheme="minorHAnsi" w:hAnsiTheme="minorHAnsi"/>
          <w:b w:val="0"/>
          <w:sz w:val="24"/>
          <w:szCs w:val="24"/>
        </w:rPr>
        <w:t>” (RICS, 2017)</w:t>
      </w:r>
      <w:r w:rsidR="00010E49">
        <w:rPr>
          <w:rFonts w:asciiTheme="minorHAnsi" w:hAnsiTheme="minorHAnsi"/>
          <w:b w:val="0"/>
          <w:sz w:val="24"/>
          <w:szCs w:val="24"/>
        </w:rPr>
        <w:t>.</w:t>
      </w:r>
    </w:p>
    <w:p w:rsidR="000D0084" w:rsidRDefault="000D0084" w:rsidP="00192023">
      <w:pPr>
        <w:ind w:left="1080"/>
        <w:contextualSpacing/>
        <w:jc w:val="both"/>
        <w:rPr>
          <w:rFonts w:asciiTheme="minorHAnsi" w:hAnsiTheme="minorHAnsi"/>
          <w:b w:val="0"/>
          <w:sz w:val="24"/>
          <w:szCs w:val="24"/>
        </w:rPr>
      </w:pPr>
    </w:p>
    <w:p w:rsidR="00010E49" w:rsidRDefault="00010E49" w:rsidP="00192023">
      <w:pPr>
        <w:ind w:left="1080"/>
        <w:contextualSpacing/>
        <w:jc w:val="both"/>
        <w:rPr>
          <w:rFonts w:asciiTheme="minorHAnsi" w:hAnsiTheme="minorHAnsi"/>
          <w:b w:val="0"/>
          <w:sz w:val="24"/>
          <w:szCs w:val="24"/>
        </w:rPr>
      </w:pPr>
    </w:p>
    <w:p w:rsidR="00F07C87" w:rsidRPr="00F07C87" w:rsidRDefault="00F07C87" w:rsidP="00F07C87">
      <w:pPr>
        <w:numPr>
          <w:ilvl w:val="3"/>
          <w:numId w:val="1"/>
        </w:numPr>
        <w:contextualSpacing/>
        <w:jc w:val="both"/>
        <w:rPr>
          <w:rFonts w:asciiTheme="minorHAnsi" w:hAnsiTheme="minorHAnsi"/>
          <w:sz w:val="24"/>
          <w:szCs w:val="24"/>
          <w:u w:val="single"/>
        </w:rPr>
      </w:pPr>
      <w:r w:rsidRPr="00F07C87">
        <w:rPr>
          <w:rFonts w:asciiTheme="minorHAnsi" w:hAnsiTheme="minorHAnsi"/>
          <w:sz w:val="24"/>
          <w:szCs w:val="24"/>
          <w:u w:val="single"/>
        </w:rPr>
        <w:lastRenderedPageBreak/>
        <w:t>Prospective health of GDP per capita</w:t>
      </w:r>
    </w:p>
    <w:p w:rsidR="00F07C87" w:rsidRPr="00F07C87" w:rsidRDefault="00B62A1B" w:rsidP="00F07C87">
      <w:pPr>
        <w:ind w:left="2988"/>
        <w:contextualSpacing/>
        <w:jc w:val="both"/>
        <w:rPr>
          <w:rFonts w:asciiTheme="minorHAnsi" w:hAnsiTheme="minorHAnsi"/>
          <w:b w:val="0"/>
          <w:sz w:val="24"/>
          <w:szCs w:val="24"/>
        </w:rPr>
      </w:pPr>
      <w:bookmarkStart w:id="1" w:name="_Hlk501048510"/>
      <w:r w:rsidRPr="00B62A1B">
        <w:rPr>
          <w:rFonts w:asciiTheme="minorHAnsi" w:hAnsiTheme="minorHAnsi"/>
          <w:b w:val="0"/>
          <w:sz w:val="24"/>
          <w:szCs w:val="24"/>
        </w:rPr>
        <w:t xml:space="preserve">A poll commissioned for the Observer and carried out by Ipsos MORI, which drew responses from more than 600 economists, found 88% saying an exit from the EU and the single market would likely damage Britain’s growth prospects over the next five years. </w:t>
      </w:r>
      <w:r w:rsidR="00932F43">
        <w:rPr>
          <w:rFonts w:asciiTheme="minorHAnsi" w:hAnsiTheme="minorHAnsi"/>
          <w:b w:val="0"/>
          <w:sz w:val="24"/>
          <w:szCs w:val="24"/>
        </w:rPr>
        <w:t xml:space="preserve"> </w:t>
      </w:r>
      <w:bookmarkEnd w:id="1"/>
      <w:r w:rsidR="00932F43">
        <w:rPr>
          <w:rFonts w:asciiTheme="minorHAnsi" w:hAnsiTheme="minorHAnsi"/>
          <w:b w:val="0"/>
          <w:sz w:val="24"/>
          <w:szCs w:val="24"/>
        </w:rPr>
        <w:t>(Ipsos, 2016)</w:t>
      </w:r>
    </w:p>
    <w:p w:rsidR="00F07C87" w:rsidRPr="00F07C87" w:rsidRDefault="00F07C87" w:rsidP="00F07C87">
      <w:pPr>
        <w:ind w:left="2988"/>
        <w:contextualSpacing/>
        <w:jc w:val="both"/>
        <w:rPr>
          <w:rFonts w:asciiTheme="minorHAnsi" w:hAnsiTheme="minorHAnsi"/>
          <w:b w:val="0"/>
          <w:sz w:val="24"/>
          <w:szCs w:val="24"/>
        </w:rPr>
      </w:pPr>
      <w:r w:rsidRPr="00F07C87">
        <w:rPr>
          <w:rFonts w:asciiTheme="minorHAnsi" w:hAnsiTheme="minorHAnsi"/>
          <w:b w:val="0"/>
          <w:sz w:val="24"/>
          <w:szCs w:val="24"/>
        </w:rPr>
        <w:t>If Britain adopts a protectionist policy due to a failure to secure access to the EU’s single market, tariffs will likely be imposed on imports and exports and there will may also be restrictive quotas.</w:t>
      </w:r>
    </w:p>
    <w:p w:rsidR="00F07C87" w:rsidRPr="00F07C87" w:rsidRDefault="00B62A1B" w:rsidP="00F07C87">
      <w:pPr>
        <w:ind w:left="2988"/>
        <w:contextualSpacing/>
        <w:jc w:val="both"/>
        <w:rPr>
          <w:rFonts w:asciiTheme="minorHAnsi" w:hAnsiTheme="minorHAnsi"/>
          <w:b w:val="0"/>
          <w:sz w:val="24"/>
          <w:szCs w:val="24"/>
        </w:rPr>
      </w:pPr>
      <w:r w:rsidRPr="00B62A1B">
        <w:rPr>
          <w:rFonts w:asciiTheme="minorHAnsi" w:hAnsiTheme="minorHAnsi"/>
          <w:b w:val="0"/>
          <w:sz w:val="24"/>
          <w:szCs w:val="24"/>
        </w:rPr>
        <w:t>As economic production and growth has a large impact on nearly everyone within the economy. When GDP growth is weak, firms may hire less workers and may not be able to afford higher salaries and wages, which leads to less spending by consumers on goods and services, and unemployment.</w:t>
      </w:r>
      <w:r>
        <w:rPr>
          <w:rFonts w:asciiTheme="minorHAnsi" w:hAnsiTheme="minorHAnsi"/>
          <w:b w:val="0"/>
          <w:sz w:val="24"/>
          <w:szCs w:val="24"/>
        </w:rPr>
        <w:t xml:space="preserve"> </w:t>
      </w:r>
      <w:r w:rsidR="00932F43">
        <w:rPr>
          <w:rFonts w:asciiTheme="minorHAnsi" w:hAnsiTheme="minorHAnsi"/>
          <w:b w:val="0"/>
          <w:sz w:val="24"/>
          <w:szCs w:val="24"/>
        </w:rPr>
        <w:t>“</w:t>
      </w:r>
      <w:r w:rsidR="00F07C87" w:rsidRPr="00F07C87">
        <w:rPr>
          <w:rFonts w:asciiTheme="minorHAnsi" w:hAnsiTheme="minorHAnsi"/>
          <w:b w:val="0"/>
          <w:sz w:val="24"/>
          <w:szCs w:val="24"/>
        </w:rPr>
        <w:t>Our baseline estimates imply that, after accounting for fiscal savings, the effect of Brexit is equivalent to a fall in UK income of between 1.3% and 2.6% – that is, a decline in average annual household income of between £850 and £1,700 per year.</w:t>
      </w:r>
      <w:r w:rsidR="00932F43">
        <w:rPr>
          <w:rFonts w:asciiTheme="minorHAnsi" w:hAnsiTheme="minorHAnsi"/>
          <w:b w:val="0"/>
          <w:sz w:val="24"/>
          <w:szCs w:val="24"/>
        </w:rPr>
        <w:t>” (</w:t>
      </w:r>
      <w:r w:rsidR="00932F43" w:rsidRPr="00932F43">
        <w:rPr>
          <w:rFonts w:asciiTheme="minorHAnsi" w:hAnsiTheme="minorHAnsi"/>
          <w:b w:val="0"/>
          <w:sz w:val="24"/>
          <w:szCs w:val="24"/>
        </w:rPr>
        <w:t>Dhingra. S., Ottaviano. G</w:t>
      </w:r>
      <w:r w:rsidR="00932F43">
        <w:rPr>
          <w:rFonts w:asciiTheme="minorHAnsi" w:hAnsiTheme="minorHAnsi"/>
          <w:b w:val="0"/>
          <w:sz w:val="24"/>
          <w:szCs w:val="24"/>
        </w:rPr>
        <w:t xml:space="preserve">., Sampson. T., Van Reenen. J., </w:t>
      </w:r>
      <w:r w:rsidR="00932F43" w:rsidRPr="00932F43">
        <w:rPr>
          <w:rFonts w:asciiTheme="minorHAnsi" w:hAnsiTheme="minorHAnsi"/>
          <w:b w:val="0"/>
          <w:sz w:val="24"/>
          <w:szCs w:val="24"/>
        </w:rPr>
        <w:t>2016)</w:t>
      </w:r>
    </w:p>
    <w:p w:rsidR="00B93ADA" w:rsidRDefault="00B93ADA" w:rsidP="00192023">
      <w:pPr>
        <w:ind w:left="1080"/>
        <w:contextualSpacing/>
        <w:jc w:val="both"/>
        <w:rPr>
          <w:rFonts w:asciiTheme="minorHAnsi" w:hAnsiTheme="minorHAnsi"/>
          <w:b w:val="0"/>
          <w:sz w:val="24"/>
          <w:szCs w:val="24"/>
        </w:rPr>
      </w:pPr>
    </w:p>
    <w:p w:rsidR="00B93ADA" w:rsidRDefault="00B93ADA" w:rsidP="00192023">
      <w:pPr>
        <w:ind w:left="1080"/>
        <w:contextualSpacing/>
        <w:jc w:val="both"/>
        <w:rPr>
          <w:rFonts w:asciiTheme="minorHAnsi" w:hAnsiTheme="minorHAnsi"/>
          <w:b w:val="0"/>
          <w:sz w:val="24"/>
          <w:szCs w:val="24"/>
        </w:rPr>
      </w:pPr>
    </w:p>
    <w:p w:rsidR="00010E49" w:rsidRDefault="00010E49" w:rsidP="00192023">
      <w:pPr>
        <w:ind w:left="1080"/>
        <w:contextualSpacing/>
        <w:jc w:val="both"/>
        <w:rPr>
          <w:rFonts w:asciiTheme="minorHAnsi" w:hAnsiTheme="minorHAnsi"/>
          <w:b w:val="0"/>
          <w:sz w:val="24"/>
          <w:szCs w:val="24"/>
        </w:rPr>
      </w:pPr>
    </w:p>
    <w:p w:rsidR="00F07C87" w:rsidRDefault="00F07C87" w:rsidP="00010E49">
      <w:pPr>
        <w:contextualSpacing/>
        <w:jc w:val="both"/>
        <w:rPr>
          <w:rFonts w:asciiTheme="minorHAnsi" w:hAnsiTheme="minorHAnsi"/>
          <w:b w:val="0"/>
          <w:sz w:val="24"/>
          <w:szCs w:val="24"/>
        </w:rPr>
      </w:pPr>
    </w:p>
    <w:p w:rsidR="00F07C87" w:rsidRPr="00F07C87" w:rsidRDefault="00F07C87" w:rsidP="00F07C87">
      <w:pPr>
        <w:numPr>
          <w:ilvl w:val="2"/>
          <w:numId w:val="1"/>
        </w:numPr>
        <w:contextualSpacing/>
        <w:jc w:val="both"/>
        <w:rPr>
          <w:rFonts w:asciiTheme="minorHAnsi" w:hAnsiTheme="minorHAnsi"/>
          <w:sz w:val="24"/>
          <w:szCs w:val="24"/>
          <w:u w:val="single"/>
        </w:rPr>
      </w:pPr>
      <w:r w:rsidRPr="00F07C87">
        <w:rPr>
          <w:rFonts w:asciiTheme="minorHAnsi" w:hAnsiTheme="minorHAnsi"/>
          <w:sz w:val="24"/>
          <w:szCs w:val="24"/>
          <w:u w:val="single"/>
        </w:rPr>
        <w:lastRenderedPageBreak/>
        <w:t>Welsh governmental policies</w:t>
      </w:r>
    </w:p>
    <w:p w:rsidR="00F07C87" w:rsidRPr="00F07C87" w:rsidRDefault="00F07C87" w:rsidP="00F07C87">
      <w:pPr>
        <w:numPr>
          <w:ilvl w:val="3"/>
          <w:numId w:val="1"/>
        </w:numPr>
        <w:contextualSpacing/>
        <w:jc w:val="both"/>
        <w:rPr>
          <w:rFonts w:asciiTheme="minorHAnsi" w:hAnsiTheme="minorHAnsi"/>
          <w:sz w:val="24"/>
          <w:szCs w:val="24"/>
          <w:u w:val="single"/>
        </w:rPr>
      </w:pPr>
      <w:r w:rsidRPr="00F07C87">
        <w:rPr>
          <w:rFonts w:asciiTheme="minorHAnsi" w:hAnsiTheme="minorHAnsi"/>
          <w:sz w:val="24"/>
          <w:szCs w:val="24"/>
          <w:u w:val="single"/>
        </w:rPr>
        <w:t>Innovative housing programme</w:t>
      </w:r>
    </w:p>
    <w:p w:rsidR="00F07C87" w:rsidRPr="00F07C87" w:rsidRDefault="00F07C87" w:rsidP="00F07C87">
      <w:pPr>
        <w:ind w:left="2988"/>
        <w:contextualSpacing/>
        <w:jc w:val="both"/>
        <w:rPr>
          <w:rFonts w:asciiTheme="minorHAnsi" w:hAnsiTheme="minorHAnsi"/>
          <w:b w:val="0"/>
          <w:sz w:val="24"/>
          <w:szCs w:val="24"/>
        </w:rPr>
      </w:pPr>
      <w:r w:rsidRPr="00F07C87">
        <w:rPr>
          <w:rFonts w:asciiTheme="minorHAnsi" w:hAnsiTheme="minorHAnsi"/>
          <w:b w:val="0"/>
          <w:sz w:val="24"/>
          <w:szCs w:val="24"/>
        </w:rPr>
        <w:t>The Programme, which is funded by £29m over two years, seeks to stimulate the design and delivery of new quality, affordable homes to:</w:t>
      </w:r>
      <w:bookmarkStart w:id="2" w:name="_GoBack"/>
      <w:bookmarkEnd w:id="2"/>
    </w:p>
    <w:p w:rsidR="00F07C87" w:rsidRPr="00F07C87" w:rsidRDefault="00F07C87" w:rsidP="00F07C87">
      <w:pPr>
        <w:numPr>
          <w:ilvl w:val="0"/>
          <w:numId w:val="2"/>
        </w:numPr>
        <w:contextualSpacing/>
        <w:jc w:val="both"/>
        <w:rPr>
          <w:rFonts w:asciiTheme="minorHAnsi" w:hAnsiTheme="minorHAnsi"/>
          <w:b w:val="0"/>
          <w:sz w:val="24"/>
          <w:szCs w:val="24"/>
        </w:rPr>
      </w:pPr>
      <w:r w:rsidRPr="00F07C87">
        <w:rPr>
          <w:rFonts w:asciiTheme="minorHAnsi" w:hAnsiTheme="minorHAnsi"/>
          <w:b w:val="0"/>
          <w:sz w:val="24"/>
          <w:szCs w:val="24"/>
        </w:rPr>
        <w:t xml:space="preserve">Increase supply </w:t>
      </w:r>
    </w:p>
    <w:p w:rsidR="00F07C87" w:rsidRPr="00F07C87" w:rsidRDefault="00F07C87" w:rsidP="00F07C87">
      <w:pPr>
        <w:numPr>
          <w:ilvl w:val="0"/>
          <w:numId w:val="2"/>
        </w:numPr>
        <w:contextualSpacing/>
        <w:jc w:val="both"/>
        <w:rPr>
          <w:rFonts w:asciiTheme="minorHAnsi" w:hAnsiTheme="minorHAnsi"/>
          <w:b w:val="0"/>
          <w:sz w:val="24"/>
          <w:szCs w:val="24"/>
        </w:rPr>
      </w:pPr>
      <w:r w:rsidRPr="00F07C87">
        <w:rPr>
          <w:rFonts w:asciiTheme="minorHAnsi" w:hAnsiTheme="minorHAnsi"/>
          <w:b w:val="0"/>
          <w:sz w:val="24"/>
          <w:szCs w:val="24"/>
        </w:rPr>
        <w:t xml:space="preserve">Speed up delivery of homes </w:t>
      </w:r>
    </w:p>
    <w:p w:rsidR="00F07C87" w:rsidRDefault="00F07C87" w:rsidP="00F07C87">
      <w:pPr>
        <w:numPr>
          <w:ilvl w:val="0"/>
          <w:numId w:val="2"/>
        </w:numPr>
        <w:contextualSpacing/>
        <w:jc w:val="both"/>
        <w:rPr>
          <w:rFonts w:asciiTheme="minorHAnsi" w:hAnsiTheme="minorHAnsi"/>
          <w:b w:val="0"/>
          <w:sz w:val="24"/>
          <w:szCs w:val="24"/>
        </w:rPr>
      </w:pPr>
      <w:r w:rsidRPr="00F07C87">
        <w:rPr>
          <w:rFonts w:asciiTheme="minorHAnsi" w:hAnsiTheme="minorHAnsi"/>
          <w:b w:val="0"/>
          <w:sz w:val="24"/>
          <w:szCs w:val="24"/>
        </w:rPr>
        <w:t xml:space="preserve">Trial new housing models and methods of delivery </w:t>
      </w:r>
    </w:p>
    <w:p w:rsidR="00F07C87" w:rsidRPr="00F07C87" w:rsidRDefault="00F07C87" w:rsidP="00F07C87">
      <w:pPr>
        <w:ind w:left="3348"/>
        <w:contextualSpacing/>
        <w:jc w:val="both"/>
        <w:rPr>
          <w:rFonts w:asciiTheme="minorHAnsi" w:hAnsiTheme="minorHAnsi"/>
          <w:b w:val="0"/>
          <w:sz w:val="24"/>
          <w:szCs w:val="24"/>
        </w:rPr>
      </w:pPr>
      <w:r w:rsidRPr="00F07C87">
        <w:rPr>
          <w:rFonts w:asciiTheme="minorHAnsi" w:hAnsiTheme="minorHAnsi"/>
          <w:b w:val="0"/>
          <w:sz w:val="24"/>
          <w:szCs w:val="24"/>
        </w:rPr>
        <w:t>Although phase 1 is only open to Local Authorities and Registered Local Landlords, phase 2 will open in 2018/19 and will be available for private companies to tender.</w:t>
      </w:r>
      <w:r w:rsidR="00932F43">
        <w:rPr>
          <w:rFonts w:asciiTheme="minorHAnsi" w:hAnsiTheme="minorHAnsi"/>
          <w:b w:val="0"/>
          <w:sz w:val="24"/>
          <w:szCs w:val="24"/>
        </w:rPr>
        <w:t xml:space="preserve"> (Welsh Government, 2017) </w:t>
      </w:r>
    </w:p>
    <w:p w:rsidR="00F07C87" w:rsidRPr="00F07C87" w:rsidRDefault="00F07C87" w:rsidP="00F07C87">
      <w:pPr>
        <w:numPr>
          <w:ilvl w:val="3"/>
          <w:numId w:val="1"/>
        </w:numPr>
        <w:contextualSpacing/>
        <w:jc w:val="both"/>
        <w:rPr>
          <w:rFonts w:asciiTheme="minorHAnsi" w:hAnsiTheme="minorHAnsi"/>
          <w:sz w:val="24"/>
          <w:szCs w:val="24"/>
          <w:u w:val="single"/>
        </w:rPr>
      </w:pPr>
      <w:r w:rsidRPr="00F07C87">
        <w:rPr>
          <w:rFonts w:asciiTheme="minorHAnsi" w:hAnsiTheme="minorHAnsi"/>
          <w:sz w:val="24"/>
          <w:szCs w:val="24"/>
          <w:u w:val="single"/>
        </w:rPr>
        <w:t>Housing objectives</w:t>
      </w:r>
    </w:p>
    <w:p w:rsidR="00F07C87" w:rsidRPr="00F07C87" w:rsidRDefault="00F07C87" w:rsidP="00F07C87">
      <w:pPr>
        <w:ind w:left="2988"/>
        <w:contextualSpacing/>
        <w:jc w:val="both"/>
        <w:rPr>
          <w:rFonts w:asciiTheme="minorHAnsi" w:hAnsiTheme="minorHAnsi"/>
          <w:b w:val="0"/>
          <w:sz w:val="24"/>
          <w:szCs w:val="24"/>
        </w:rPr>
      </w:pPr>
      <w:r w:rsidRPr="00F07C87">
        <w:rPr>
          <w:rFonts w:asciiTheme="minorHAnsi" w:hAnsiTheme="minorHAnsi"/>
          <w:b w:val="0"/>
          <w:sz w:val="24"/>
          <w:szCs w:val="24"/>
        </w:rPr>
        <w:t>There were 6075 registrations for social housing at the time of this report, the demand for affordable housing in Wales is something the Welsh government has vowed to solve.</w:t>
      </w:r>
    </w:p>
    <w:p w:rsidR="00F07C87" w:rsidRPr="00F07C87" w:rsidRDefault="00F07C87" w:rsidP="00F07C87">
      <w:pPr>
        <w:ind w:left="2988"/>
        <w:contextualSpacing/>
        <w:jc w:val="both"/>
        <w:rPr>
          <w:rFonts w:asciiTheme="minorHAnsi" w:hAnsiTheme="minorHAnsi"/>
          <w:b w:val="0"/>
          <w:sz w:val="24"/>
          <w:szCs w:val="24"/>
        </w:rPr>
      </w:pPr>
      <w:r w:rsidRPr="00F07C87">
        <w:rPr>
          <w:rFonts w:asciiTheme="minorHAnsi" w:hAnsiTheme="minorHAnsi"/>
          <w:b w:val="0"/>
          <w:sz w:val="24"/>
          <w:szCs w:val="24"/>
        </w:rPr>
        <w:t xml:space="preserve">An addition £30million was due to be spent in the year 2017 to build 20,000 homes, following on from the previous year when 10,000 homes were successfully built. </w:t>
      </w:r>
    </w:p>
    <w:p w:rsidR="00F07C87" w:rsidRDefault="00F07C87" w:rsidP="00F07C87">
      <w:pPr>
        <w:ind w:left="2988"/>
        <w:contextualSpacing/>
        <w:jc w:val="both"/>
        <w:rPr>
          <w:rFonts w:asciiTheme="minorHAnsi" w:hAnsiTheme="minorHAnsi"/>
          <w:b w:val="0"/>
          <w:sz w:val="24"/>
          <w:szCs w:val="24"/>
        </w:rPr>
      </w:pPr>
      <w:r w:rsidRPr="00F07C87">
        <w:rPr>
          <w:rFonts w:asciiTheme="minorHAnsi" w:hAnsiTheme="minorHAnsi"/>
          <w:b w:val="0"/>
          <w:sz w:val="24"/>
          <w:szCs w:val="24"/>
        </w:rPr>
        <w:t xml:space="preserve">For the remainder of the current </w:t>
      </w:r>
      <w:r w:rsidR="00932F43" w:rsidRPr="00F07C87">
        <w:rPr>
          <w:rFonts w:asciiTheme="minorHAnsi" w:hAnsiTheme="minorHAnsi"/>
          <w:b w:val="0"/>
          <w:sz w:val="24"/>
          <w:szCs w:val="24"/>
        </w:rPr>
        <w:t>government’s</w:t>
      </w:r>
      <w:r w:rsidRPr="00F07C87">
        <w:rPr>
          <w:rFonts w:asciiTheme="minorHAnsi" w:hAnsiTheme="minorHAnsi"/>
          <w:b w:val="0"/>
          <w:sz w:val="24"/>
          <w:szCs w:val="24"/>
        </w:rPr>
        <w:t xml:space="preserve"> term, Cabinet Secretary for Communities and Children, Carl Sargeant has said, “We plan to invest over £1.5 billion in affordable homes during this term of government.”</w:t>
      </w:r>
      <w:r w:rsidR="00932F43">
        <w:rPr>
          <w:rFonts w:asciiTheme="minorHAnsi" w:hAnsiTheme="minorHAnsi"/>
          <w:b w:val="0"/>
          <w:sz w:val="24"/>
          <w:szCs w:val="24"/>
        </w:rPr>
        <w:t xml:space="preserve"> (Sargeant. C., 2017)</w:t>
      </w:r>
      <w:r w:rsidRPr="00F07C87">
        <w:rPr>
          <w:rFonts w:asciiTheme="minorHAnsi" w:hAnsiTheme="minorHAnsi"/>
          <w:b w:val="0"/>
          <w:sz w:val="24"/>
          <w:szCs w:val="24"/>
        </w:rPr>
        <w:t xml:space="preserve"> It is </w:t>
      </w:r>
      <w:r w:rsidRPr="00F07C87">
        <w:rPr>
          <w:rFonts w:asciiTheme="minorHAnsi" w:hAnsiTheme="minorHAnsi"/>
          <w:b w:val="0"/>
          <w:sz w:val="24"/>
          <w:szCs w:val="24"/>
        </w:rPr>
        <w:lastRenderedPageBreak/>
        <w:t>therefore likely to see additional money being pumped into areas where housing is most unaffordable.</w:t>
      </w:r>
    </w:p>
    <w:p w:rsidR="007B3C4E" w:rsidRDefault="007B3C4E" w:rsidP="007B3C4E">
      <w:pPr>
        <w:pStyle w:val="ListParagraph"/>
        <w:numPr>
          <w:ilvl w:val="3"/>
          <w:numId w:val="1"/>
        </w:numPr>
        <w:jc w:val="both"/>
        <w:rPr>
          <w:b/>
          <w:u w:val="single"/>
        </w:rPr>
      </w:pPr>
      <w:r w:rsidRPr="007B3C4E">
        <w:rPr>
          <w:b/>
          <w:u w:val="single"/>
        </w:rPr>
        <w:t>Domestic sprinkler systems</w:t>
      </w:r>
    </w:p>
    <w:p w:rsidR="007B3C4E" w:rsidRPr="007B3C4E" w:rsidRDefault="007B3C4E" w:rsidP="007B3C4E">
      <w:pPr>
        <w:pStyle w:val="ListParagraph"/>
        <w:ind w:left="2988"/>
        <w:jc w:val="both"/>
      </w:pPr>
      <w:r>
        <w:t xml:space="preserve">In October 2013 new regulations the National Assembly for Wales </w:t>
      </w:r>
      <w:r w:rsidR="00CC1AB1">
        <w:t>passed new regulations that require a fire sprinkler system to be installed in new and converted houses and flats. These new regulations came into effect on the 1</w:t>
      </w:r>
      <w:r w:rsidR="00CC1AB1" w:rsidRPr="00CC1AB1">
        <w:rPr>
          <w:vertAlign w:val="superscript"/>
        </w:rPr>
        <w:t>st</w:t>
      </w:r>
      <w:r w:rsidR="00CC1AB1">
        <w:t xml:space="preserve"> January 2017.</w:t>
      </w:r>
      <w:r w:rsidR="00932F43">
        <w:t xml:space="preserve"> (Welsh Government, 2017)</w:t>
      </w:r>
      <w:r w:rsidR="00CC1AB1">
        <w:t xml:space="preserve">  An effective strategy therefore may be to model a construction company around this new legislation. As it is regulated by legislation, installing sprinkler systems will likely withstand the effects of a slowing economy.</w:t>
      </w:r>
    </w:p>
    <w:p w:rsidR="007B3C4E" w:rsidRDefault="007B3C4E" w:rsidP="007B3C4E">
      <w:pPr>
        <w:pStyle w:val="ListParagraph"/>
        <w:ind w:left="2988"/>
        <w:jc w:val="both"/>
      </w:pPr>
    </w:p>
    <w:p w:rsidR="00B93ADA" w:rsidRDefault="00B93ADA" w:rsidP="007B3C4E">
      <w:pPr>
        <w:pStyle w:val="ListParagraph"/>
        <w:ind w:left="2988"/>
        <w:jc w:val="both"/>
      </w:pPr>
    </w:p>
    <w:p w:rsidR="00B93ADA" w:rsidRDefault="00B93ADA" w:rsidP="007B3C4E">
      <w:pPr>
        <w:pStyle w:val="ListParagraph"/>
        <w:ind w:left="2988"/>
        <w:jc w:val="both"/>
      </w:pPr>
    </w:p>
    <w:p w:rsidR="00B93ADA" w:rsidRDefault="00B93ADA" w:rsidP="007B3C4E">
      <w:pPr>
        <w:pStyle w:val="ListParagraph"/>
        <w:ind w:left="2988"/>
        <w:jc w:val="both"/>
      </w:pPr>
    </w:p>
    <w:p w:rsidR="00B93ADA" w:rsidRDefault="00B93ADA" w:rsidP="007B3C4E">
      <w:pPr>
        <w:pStyle w:val="ListParagraph"/>
        <w:ind w:left="2988"/>
        <w:jc w:val="both"/>
      </w:pPr>
    </w:p>
    <w:p w:rsidR="00B93ADA" w:rsidRDefault="00B93ADA" w:rsidP="007B3C4E">
      <w:pPr>
        <w:pStyle w:val="ListParagraph"/>
        <w:ind w:left="2988"/>
        <w:jc w:val="both"/>
      </w:pPr>
    </w:p>
    <w:p w:rsidR="00B93ADA" w:rsidRDefault="00B93ADA" w:rsidP="007B3C4E">
      <w:pPr>
        <w:pStyle w:val="ListParagraph"/>
        <w:ind w:left="2988"/>
        <w:jc w:val="both"/>
      </w:pPr>
    </w:p>
    <w:p w:rsidR="00B93ADA" w:rsidRDefault="00B93ADA" w:rsidP="007B3C4E">
      <w:pPr>
        <w:pStyle w:val="ListParagraph"/>
        <w:ind w:left="2988"/>
        <w:jc w:val="both"/>
      </w:pPr>
    </w:p>
    <w:p w:rsidR="00B93ADA" w:rsidRDefault="00B93ADA" w:rsidP="007B3C4E">
      <w:pPr>
        <w:pStyle w:val="ListParagraph"/>
        <w:ind w:left="2988"/>
        <w:jc w:val="both"/>
      </w:pPr>
    </w:p>
    <w:p w:rsidR="00B93ADA" w:rsidRDefault="00B93ADA" w:rsidP="00010E49">
      <w:pPr>
        <w:jc w:val="both"/>
      </w:pPr>
    </w:p>
    <w:p w:rsidR="00B93ADA" w:rsidRPr="007B3C4E" w:rsidRDefault="00B93ADA" w:rsidP="007B3C4E">
      <w:pPr>
        <w:pStyle w:val="ListParagraph"/>
        <w:ind w:left="2988"/>
        <w:jc w:val="both"/>
      </w:pPr>
    </w:p>
    <w:p w:rsidR="00F07C87" w:rsidRPr="00F07C87" w:rsidRDefault="00F07C87" w:rsidP="00F07C87">
      <w:pPr>
        <w:numPr>
          <w:ilvl w:val="1"/>
          <w:numId w:val="1"/>
        </w:numPr>
        <w:contextualSpacing/>
        <w:jc w:val="both"/>
        <w:rPr>
          <w:rFonts w:asciiTheme="minorHAnsi" w:hAnsiTheme="minorHAnsi"/>
          <w:sz w:val="24"/>
          <w:szCs w:val="24"/>
          <w:u w:val="single"/>
        </w:rPr>
      </w:pPr>
      <w:r w:rsidRPr="00F07C87">
        <w:rPr>
          <w:rFonts w:asciiTheme="minorHAnsi" w:hAnsiTheme="minorHAnsi"/>
          <w:sz w:val="24"/>
          <w:szCs w:val="24"/>
          <w:u w:val="single"/>
        </w:rPr>
        <w:lastRenderedPageBreak/>
        <w:t>Conclusions</w:t>
      </w:r>
    </w:p>
    <w:p w:rsidR="00F07C87" w:rsidRPr="00F07C87" w:rsidRDefault="00F07C87" w:rsidP="00F07C87">
      <w:pPr>
        <w:numPr>
          <w:ilvl w:val="2"/>
          <w:numId w:val="1"/>
        </w:numPr>
        <w:contextualSpacing/>
        <w:jc w:val="both"/>
        <w:rPr>
          <w:rFonts w:asciiTheme="minorHAnsi" w:hAnsiTheme="minorHAnsi"/>
          <w:sz w:val="24"/>
          <w:szCs w:val="24"/>
          <w:u w:val="single"/>
        </w:rPr>
      </w:pPr>
      <w:r w:rsidRPr="00F07C87">
        <w:rPr>
          <w:rFonts w:asciiTheme="minorHAnsi" w:hAnsiTheme="minorHAnsi"/>
          <w:sz w:val="24"/>
          <w:szCs w:val="24"/>
          <w:u w:val="single"/>
        </w:rPr>
        <w:t>Immediate future of the housing market</w:t>
      </w:r>
    </w:p>
    <w:p w:rsidR="00F07C87" w:rsidRPr="00F07C87" w:rsidRDefault="00F07C87" w:rsidP="00F07C87">
      <w:pPr>
        <w:ind w:left="2280"/>
        <w:contextualSpacing/>
        <w:jc w:val="both"/>
        <w:rPr>
          <w:rFonts w:asciiTheme="minorHAnsi" w:hAnsiTheme="minorHAnsi"/>
          <w:b w:val="0"/>
          <w:sz w:val="24"/>
          <w:szCs w:val="24"/>
        </w:rPr>
      </w:pPr>
      <w:r w:rsidRPr="00F07C87">
        <w:rPr>
          <w:rFonts w:asciiTheme="minorHAnsi" w:hAnsiTheme="minorHAnsi"/>
          <w:b w:val="0"/>
          <w:sz w:val="24"/>
          <w:szCs w:val="24"/>
        </w:rPr>
        <w:t xml:space="preserve">Rises in consumer credit, added to rises in interest rates may expose the unaffordability of housing inflation. </w:t>
      </w:r>
    </w:p>
    <w:p w:rsidR="00B93ADA" w:rsidRDefault="00F07C87" w:rsidP="00B93ADA">
      <w:pPr>
        <w:ind w:left="2280"/>
        <w:contextualSpacing/>
        <w:jc w:val="both"/>
      </w:pPr>
      <w:r w:rsidRPr="00F07C87">
        <w:rPr>
          <w:rFonts w:asciiTheme="minorHAnsi" w:hAnsiTheme="minorHAnsi"/>
          <w:b w:val="0"/>
          <w:sz w:val="24"/>
          <w:szCs w:val="24"/>
        </w:rPr>
        <w:t>The eight biggest banks have been stress-tested by the European Banking Authority so that they can withstand house price falls of 35%, unemployment soaring to 12% and interest rates jumping to 4%.</w:t>
      </w:r>
    </w:p>
    <w:p w:rsidR="00F07C87" w:rsidRDefault="00B93ADA" w:rsidP="00B93ADA">
      <w:pPr>
        <w:ind w:left="2280"/>
        <w:contextualSpacing/>
        <w:jc w:val="both"/>
        <w:rPr>
          <w:rFonts w:asciiTheme="minorHAnsi" w:hAnsiTheme="minorHAnsi"/>
          <w:b w:val="0"/>
          <w:sz w:val="24"/>
          <w:szCs w:val="24"/>
        </w:rPr>
      </w:pPr>
      <w:r>
        <w:rPr>
          <w:rFonts w:asciiTheme="minorHAnsi" w:hAnsiTheme="minorHAnsi"/>
          <w:b w:val="0"/>
          <w:sz w:val="24"/>
          <w:szCs w:val="24"/>
        </w:rPr>
        <w:t>(</w:t>
      </w:r>
      <w:r w:rsidRPr="00B93ADA">
        <w:rPr>
          <w:rFonts w:asciiTheme="minorHAnsi" w:hAnsiTheme="minorHAnsi"/>
          <w:b w:val="0"/>
          <w:sz w:val="24"/>
          <w:szCs w:val="24"/>
        </w:rPr>
        <w:t>Col</w:t>
      </w:r>
      <w:r>
        <w:rPr>
          <w:rFonts w:asciiTheme="minorHAnsi" w:hAnsiTheme="minorHAnsi"/>
          <w:b w:val="0"/>
          <w:sz w:val="24"/>
          <w:szCs w:val="24"/>
        </w:rPr>
        <w:t xml:space="preserve">linson. P., </w:t>
      </w:r>
      <w:r w:rsidRPr="00B93ADA">
        <w:rPr>
          <w:rFonts w:asciiTheme="minorHAnsi" w:hAnsiTheme="minorHAnsi"/>
          <w:b w:val="0"/>
          <w:sz w:val="24"/>
          <w:szCs w:val="24"/>
        </w:rPr>
        <w:t>2017)</w:t>
      </w:r>
      <w:r w:rsidR="003667E4">
        <w:rPr>
          <w:rFonts w:asciiTheme="minorHAnsi" w:hAnsiTheme="minorHAnsi"/>
          <w:b w:val="0"/>
          <w:sz w:val="24"/>
          <w:szCs w:val="24"/>
        </w:rPr>
        <w:t xml:space="preserve"> </w:t>
      </w:r>
      <w:r w:rsidR="00F07C87" w:rsidRPr="00F07C87">
        <w:rPr>
          <w:rFonts w:asciiTheme="minorHAnsi" w:hAnsiTheme="minorHAnsi"/>
          <w:b w:val="0"/>
          <w:sz w:val="24"/>
          <w:szCs w:val="24"/>
        </w:rPr>
        <w:t>Precautionary measures they well may be, however the government wish to be prepared for an eventuality that sees house prices plummet. In terms of the construction industry, it is advisable considering the evidence presented that reasonable care be taken when considering housing market outcomes over the next two years to preve</w:t>
      </w:r>
      <w:r>
        <w:rPr>
          <w:rFonts w:asciiTheme="minorHAnsi" w:hAnsiTheme="minorHAnsi"/>
          <w:b w:val="0"/>
          <w:sz w:val="24"/>
          <w:szCs w:val="24"/>
        </w:rPr>
        <w:t>nt expensive inventory overhang.</w:t>
      </w:r>
    </w:p>
    <w:p w:rsidR="00F07C87" w:rsidRPr="00F07C87" w:rsidRDefault="00F07C87" w:rsidP="00F07C87">
      <w:pPr>
        <w:numPr>
          <w:ilvl w:val="2"/>
          <w:numId w:val="1"/>
        </w:numPr>
        <w:contextualSpacing/>
        <w:jc w:val="both"/>
        <w:rPr>
          <w:rFonts w:asciiTheme="minorHAnsi" w:hAnsiTheme="minorHAnsi"/>
          <w:sz w:val="24"/>
          <w:szCs w:val="24"/>
          <w:u w:val="single"/>
        </w:rPr>
      </w:pPr>
      <w:r w:rsidRPr="00F07C87">
        <w:rPr>
          <w:rFonts w:asciiTheme="minorHAnsi" w:hAnsiTheme="minorHAnsi"/>
          <w:sz w:val="24"/>
          <w:szCs w:val="24"/>
          <w:u w:val="single"/>
        </w:rPr>
        <w:t>Recommendations</w:t>
      </w:r>
    </w:p>
    <w:p w:rsidR="00F07C87" w:rsidRPr="00F07C87" w:rsidRDefault="00F07C87" w:rsidP="00F07C87">
      <w:pPr>
        <w:numPr>
          <w:ilvl w:val="3"/>
          <w:numId w:val="1"/>
        </w:numPr>
        <w:contextualSpacing/>
        <w:jc w:val="both"/>
        <w:rPr>
          <w:rFonts w:asciiTheme="minorHAnsi" w:hAnsiTheme="minorHAnsi"/>
          <w:sz w:val="24"/>
          <w:szCs w:val="24"/>
          <w:u w:val="single"/>
        </w:rPr>
      </w:pPr>
      <w:r w:rsidRPr="00F07C87">
        <w:rPr>
          <w:rFonts w:asciiTheme="minorHAnsi" w:hAnsiTheme="minorHAnsi"/>
          <w:sz w:val="24"/>
          <w:szCs w:val="24"/>
          <w:u w:val="single"/>
        </w:rPr>
        <w:t>High development potential areas</w:t>
      </w:r>
    </w:p>
    <w:p w:rsidR="00B93ADA" w:rsidRPr="00F07C87" w:rsidRDefault="00F07C87" w:rsidP="00B93ADA">
      <w:pPr>
        <w:ind w:left="2280"/>
        <w:contextualSpacing/>
        <w:jc w:val="both"/>
        <w:rPr>
          <w:rFonts w:asciiTheme="minorHAnsi" w:hAnsiTheme="minorHAnsi"/>
          <w:b w:val="0"/>
          <w:sz w:val="24"/>
          <w:szCs w:val="24"/>
        </w:rPr>
      </w:pPr>
      <w:r w:rsidRPr="00F07C87">
        <w:rPr>
          <w:rFonts w:asciiTheme="minorHAnsi" w:hAnsiTheme="minorHAnsi"/>
          <w:b w:val="0"/>
          <w:sz w:val="24"/>
          <w:szCs w:val="24"/>
        </w:rPr>
        <w:t xml:space="preserve">Prosperous areas in Wales with high population densities such as Cardiff, Swansea and Newport would be advisable areas to focus housing projects around, as the data collected for this report shows that demand is high, and likely to increase. </w:t>
      </w:r>
    </w:p>
    <w:p w:rsidR="00F07C87" w:rsidRPr="00F07C87" w:rsidRDefault="00F07C87" w:rsidP="00F07C87">
      <w:pPr>
        <w:numPr>
          <w:ilvl w:val="3"/>
          <w:numId w:val="1"/>
        </w:numPr>
        <w:contextualSpacing/>
        <w:jc w:val="both"/>
        <w:rPr>
          <w:rFonts w:asciiTheme="minorHAnsi" w:hAnsiTheme="minorHAnsi"/>
          <w:sz w:val="24"/>
          <w:szCs w:val="24"/>
          <w:u w:val="single"/>
        </w:rPr>
      </w:pPr>
      <w:r w:rsidRPr="00F07C87">
        <w:rPr>
          <w:rFonts w:asciiTheme="minorHAnsi" w:hAnsiTheme="minorHAnsi"/>
          <w:sz w:val="24"/>
          <w:szCs w:val="24"/>
          <w:u w:val="single"/>
        </w:rPr>
        <w:t>Advisable demographic markets</w:t>
      </w:r>
    </w:p>
    <w:p w:rsidR="00F07C87" w:rsidRPr="00F07C87" w:rsidRDefault="00F07C87" w:rsidP="00B93ADA">
      <w:pPr>
        <w:ind w:left="2268"/>
        <w:contextualSpacing/>
        <w:jc w:val="both"/>
        <w:rPr>
          <w:rFonts w:asciiTheme="minorHAnsi" w:hAnsiTheme="minorHAnsi"/>
          <w:b w:val="0"/>
          <w:sz w:val="24"/>
          <w:szCs w:val="24"/>
        </w:rPr>
      </w:pPr>
      <w:r w:rsidRPr="00F07C87">
        <w:rPr>
          <w:rFonts w:asciiTheme="minorHAnsi" w:hAnsiTheme="minorHAnsi"/>
          <w:b w:val="0"/>
          <w:sz w:val="24"/>
          <w:szCs w:val="24"/>
        </w:rPr>
        <w:t xml:space="preserve">From the researched data it can be concluded that demand for certain property types have strong relations to certain demographics. The most suitable have been suggested due to current and possible future rises in interest rates, coupled with market uncertainty. </w:t>
      </w:r>
    </w:p>
    <w:p w:rsidR="00F07C87" w:rsidRPr="00F07C87" w:rsidRDefault="00F07C87" w:rsidP="00F07C87">
      <w:pPr>
        <w:numPr>
          <w:ilvl w:val="4"/>
          <w:numId w:val="1"/>
        </w:numPr>
        <w:contextualSpacing/>
        <w:jc w:val="both"/>
        <w:rPr>
          <w:rFonts w:asciiTheme="minorHAnsi" w:hAnsiTheme="minorHAnsi"/>
          <w:sz w:val="24"/>
          <w:szCs w:val="24"/>
          <w:u w:val="single"/>
        </w:rPr>
      </w:pPr>
      <w:r w:rsidRPr="00F07C87">
        <w:rPr>
          <w:rFonts w:asciiTheme="minorHAnsi" w:hAnsiTheme="minorHAnsi"/>
          <w:sz w:val="24"/>
          <w:szCs w:val="24"/>
          <w:u w:val="single"/>
        </w:rPr>
        <w:lastRenderedPageBreak/>
        <w:t>One-person properties for ages 65+</w:t>
      </w:r>
    </w:p>
    <w:p w:rsidR="00F07C87" w:rsidRPr="00F07C87" w:rsidRDefault="00F07C87" w:rsidP="00F07C87">
      <w:pPr>
        <w:ind w:left="2988"/>
        <w:contextualSpacing/>
        <w:jc w:val="both"/>
        <w:rPr>
          <w:rFonts w:asciiTheme="minorHAnsi" w:hAnsiTheme="minorHAnsi"/>
          <w:b w:val="0"/>
          <w:sz w:val="24"/>
          <w:szCs w:val="24"/>
        </w:rPr>
      </w:pPr>
      <w:r w:rsidRPr="00F07C87">
        <w:rPr>
          <w:rFonts w:asciiTheme="minorHAnsi" w:hAnsiTheme="minorHAnsi"/>
          <w:b w:val="0"/>
          <w:sz w:val="24"/>
          <w:szCs w:val="24"/>
        </w:rPr>
        <w:t>Taking up more than half the one-person properties, this demographic will likely be, or approaching retirement. Any accrued savings or annuity schemes they may have will likely have their values rise with interest rates, therefore this demographic may have access to more disposable income.</w:t>
      </w:r>
    </w:p>
    <w:p w:rsidR="00F07C87" w:rsidRPr="00F07C87" w:rsidRDefault="00F07C87" w:rsidP="00F07C87">
      <w:pPr>
        <w:numPr>
          <w:ilvl w:val="4"/>
          <w:numId w:val="1"/>
        </w:numPr>
        <w:contextualSpacing/>
        <w:jc w:val="both"/>
        <w:rPr>
          <w:rFonts w:asciiTheme="minorHAnsi" w:hAnsiTheme="minorHAnsi"/>
          <w:sz w:val="24"/>
          <w:szCs w:val="24"/>
          <w:u w:val="single"/>
        </w:rPr>
      </w:pPr>
      <w:r w:rsidRPr="00F07C87">
        <w:rPr>
          <w:rFonts w:asciiTheme="minorHAnsi" w:hAnsiTheme="minorHAnsi"/>
          <w:sz w:val="24"/>
          <w:szCs w:val="24"/>
          <w:u w:val="single"/>
        </w:rPr>
        <w:t>Collective lets</w:t>
      </w:r>
    </w:p>
    <w:p w:rsidR="00F07C87" w:rsidRDefault="00F07C87" w:rsidP="00F07C87">
      <w:pPr>
        <w:ind w:left="2988"/>
        <w:contextualSpacing/>
        <w:jc w:val="both"/>
        <w:rPr>
          <w:rFonts w:asciiTheme="minorHAnsi" w:hAnsiTheme="minorHAnsi"/>
          <w:b w:val="0"/>
          <w:sz w:val="24"/>
          <w:szCs w:val="24"/>
        </w:rPr>
      </w:pPr>
      <w:r w:rsidRPr="00F07C87">
        <w:rPr>
          <w:rFonts w:asciiTheme="minorHAnsi" w:hAnsiTheme="minorHAnsi"/>
          <w:b w:val="0"/>
          <w:sz w:val="24"/>
          <w:szCs w:val="24"/>
        </w:rPr>
        <w:t>Collective lets are usually utilised by a younger demographic, in areas that demand a higher rent. If interest rates continue to rise then accommodation may become increasingly unaffordable, therefore this market may see exponential growth as a result.</w:t>
      </w:r>
    </w:p>
    <w:p w:rsidR="005268B7" w:rsidRPr="00164AD8" w:rsidRDefault="005268B7" w:rsidP="005268B7">
      <w:pPr>
        <w:pStyle w:val="ListParagraph"/>
        <w:numPr>
          <w:ilvl w:val="4"/>
          <w:numId w:val="1"/>
        </w:numPr>
        <w:jc w:val="both"/>
        <w:rPr>
          <w:b/>
          <w:u w:val="single"/>
        </w:rPr>
      </w:pPr>
      <w:r w:rsidRPr="00164AD8">
        <w:rPr>
          <w:b/>
          <w:u w:val="single"/>
        </w:rPr>
        <w:t>Strategic re-modelling</w:t>
      </w:r>
    </w:p>
    <w:p w:rsidR="005268B7" w:rsidRDefault="005268B7" w:rsidP="00B93ADA">
      <w:pPr>
        <w:ind w:left="2977"/>
        <w:jc w:val="both"/>
        <w:rPr>
          <w:b w:val="0"/>
          <w:sz w:val="24"/>
          <w:szCs w:val="24"/>
        </w:rPr>
      </w:pPr>
      <w:r w:rsidRPr="00B93ADA">
        <w:rPr>
          <w:b w:val="0"/>
          <w:sz w:val="24"/>
          <w:szCs w:val="24"/>
        </w:rPr>
        <w:t xml:space="preserve">Legislative changes may have the effect of opening up different </w:t>
      </w:r>
      <w:r w:rsidR="00164AD8" w:rsidRPr="00B93ADA">
        <w:rPr>
          <w:b w:val="0"/>
          <w:sz w:val="24"/>
          <w:szCs w:val="24"/>
        </w:rPr>
        <w:t>markets that</w:t>
      </w:r>
      <w:r w:rsidRPr="00B93ADA">
        <w:rPr>
          <w:b w:val="0"/>
          <w:sz w:val="24"/>
          <w:szCs w:val="24"/>
        </w:rPr>
        <w:t xml:space="preserve"> may not be as </w:t>
      </w:r>
      <w:r w:rsidR="00164AD8" w:rsidRPr="00B93ADA">
        <w:rPr>
          <w:b w:val="0"/>
          <w:sz w:val="24"/>
          <w:szCs w:val="24"/>
        </w:rPr>
        <w:t>vulnerable</w:t>
      </w:r>
      <w:r w:rsidRPr="00B93ADA">
        <w:rPr>
          <w:b w:val="0"/>
          <w:sz w:val="24"/>
          <w:szCs w:val="24"/>
        </w:rPr>
        <w:t xml:space="preserve"> to </w:t>
      </w:r>
      <w:r w:rsidR="00164AD8" w:rsidRPr="00B93ADA">
        <w:rPr>
          <w:b w:val="0"/>
          <w:sz w:val="24"/>
          <w:szCs w:val="24"/>
        </w:rPr>
        <w:t xml:space="preserve">economic changes as other sectors of the housing market may be. This applies to changes in building regulations such as the domestic sprinkler system, and also governmental policies toward housing initiatives. </w:t>
      </w:r>
    </w:p>
    <w:p w:rsidR="00B93ADA" w:rsidRDefault="00B93ADA" w:rsidP="00B93ADA">
      <w:pPr>
        <w:ind w:left="2977"/>
        <w:jc w:val="both"/>
        <w:rPr>
          <w:b w:val="0"/>
          <w:sz w:val="24"/>
          <w:szCs w:val="24"/>
        </w:rPr>
      </w:pPr>
    </w:p>
    <w:p w:rsidR="00B93ADA" w:rsidRDefault="00B93ADA" w:rsidP="00B93ADA">
      <w:pPr>
        <w:ind w:left="2977"/>
        <w:jc w:val="both"/>
        <w:rPr>
          <w:b w:val="0"/>
          <w:sz w:val="24"/>
          <w:szCs w:val="24"/>
        </w:rPr>
      </w:pPr>
    </w:p>
    <w:p w:rsidR="00B93ADA" w:rsidRPr="00B93ADA" w:rsidRDefault="00B93ADA" w:rsidP="00010E49">
      <w:pPr>
        <w:jc w:val="both"/>
        <w:rPr>
          <w:rFonts w:asciiTheme="minorHAnsi" w:hAnsiTheme="minorHAnsi"/>
          <w:b w:val="0"/>
          <w:sz w:val="24"/>
          <w:szCs w:val="24"/>
        </w:rPr>
      </w:pPr>
    </w:p>
    <w:p w:rsidR="00F07C87" w:rsidRPr="007F2050" w:rsidRDefault="007F2050" w:rsidP="007F2050">
      <w:pPr>
        <w:pStyle w:val="ListParagraph"/>
        <w:numPr>
          <w:ilvl w:val="0"/>
          <w:numId w:val="1"/>
        </w:numPr>
        <w:jc w:val="both"/>
        <w:rPr>
          <w:b/>
          <w:u w:val="single"/>
        </w:rPr>
      </w:pPr>
      <w:r w:rsidRPr="007F2050">
        <w:rPr>
          <w:b/>
          <w:u w:val="single"/>
        </w:rPr>
        <w:lastRenderedPageBreak/>
        <w:t>Reference list</w:t>
      </w:r>
    </w:p>
    <w:p w:rsidR="00B93ADA" w:rsidRPr="00B93ADA" w:rsidRDefault="00B93ADA" w:rsidP="00B93ADA">
      <w:pPr>
        <w:pStyle w:val="ListParagraph"/>
        <w:numPr>
          <w:ilvl w:val="0"/>
          <w:numId w:val="3"/>
        </w:numPr>
        <w:jc w:val="both"/>
      </w:pPr>
      <w:r w:rsidRPr="00B93ADA">
        <w:t xml:space="preserve">BoE (2017) Statistical Interactive Database - official Bank Rate history. Available: </w:t>
      </w:r>
      <w:hyperlink r:id="rId17" w:history="1">
        <w:r w:rsidRPr="00B93ADA">
          <w:rPr>
            <w:rStyle w:val="Hyperlink"/>
          </w:rPr>
          <w:t>http://www.bankofengland.co.uk/boeapps/iadb/Repo.asp</w:t>
        </w:r>
      </w:hyperlink>
      <w:r w:rsidRPr="00B93ADA">
        <w:t xml:space="preserve"> </w:t>
      </w:r>
    </w:p>
    <w:p w:rsidR="00B93ADA" w:rsidRPr="00B93ADA" w:rsidRDefault="00B93ADA" w:rsidP="00B93ADA">
      <w:pPr>
        <w:pStyle w:val="ListParagraph"/>
        <w:numPr>
          <w:ilvl w:val="0"/>
          <w:numId w:val="3"/>
        </w:numPr>
        <w:jc w:val="both"/>
      </w:pPr>
      <w:r w:rsidRPr="00B93ADA">
        <w:t xml:space="preserve">BRWM (2015) The decline and fall of buy-to-let? Available: </w:t>
      </w:r>
      <w:hyperlink r:id="rId18" w:history="1">
        <w:r w:rsidRPr="00B93ADA">
          <w:rPr>
            <w:rStyle w:val="Hyperlink"/>
          </w:rPr>
          <w:t>https://www.brwm.co.uk/pages/9d7426d8-eaf1-4807-bab0-556447c9a7e5/articles/9d7426d8-eaf1-4807-bab0-556447c9a7e5.pdf</w:t>
        </w:r>
      </w:hyperlink>
    </w:p>
    <w:p w:rsidR="00B93ADA" w:rsidRDefault="00B93ADA" w:rsidP="00B93ADA">
      <w:pPr>
        <w:pStyle w:val="ListParagraph"/>
        <w:numPr>
          <w:ilvl w:val="0"/>
          <w:numId w:val="3"/>
        </w:numPr>
        <w:jc w:val="both"/>
      </w:pPr>
      <w:r w:rsidRPr="00B93ADA">
        <w:t xml:space="preserve">Collinson. P. (2017) The Guardian - Some might pray for a house price crash, but be careful what you wish for. Available: </w:t>
      </w:r>
      <w:hyperlink r:id="rId19" w:history="1">
        <w:r w:rsidRPr="00B93ADA">
          <w:rPr>
            <w:rStyle w:val="Hyperlink"/>
          </w:rPr>
          <w:t>https://www.theguardian.com/money/2017/aug/29/house-price-crash-price-dublin-economy</w:t>
        </w:r>
      </w:hyperlink>
    </w:p>
    <w:p w:rsidR="00B93ADA" w:rsidRPr="00B93ADA" w:rsidRDefault="00B93ADA" w:rsidP="00B93ADA">
      <w:pPr>
        <w:pStyle w:val="ListParagraph"/>
        <w:numPr>
          <w:ilvl w:val="0"/>
          <w:numId w:val="3"/>
        </w:numPr>
        <w:jc w:val="both"/>
      </w:pPr>
      <w:r w:rsidRPr="00B93ADA">
        <w:t xml:space="preserve">Dhingra. S., Ottaviano. G., Sampson. T., Van Reenen. J. (2016) The consequences of Brexit form UK trade and living standards. Available: </w:t>
      </w:r>
      <w:hyperlink r:id="rId20" w:history="1">
        <w:r w:rsidRPr="00B93ADA">
          <w:rPr>
            <w:rStyle w:val="Hyperlink"/>
          </w:rPr>
          <w:t>http://cep.lse.ac.uk/pubs/download/brexit02.pdf</w:t>
        </w:r>
      </w:hyperlink>
    </w:p>
    <w:p w:rsidR="00B93ADA" w:rsidRPr="00B93ADA" w:rsidRDefault="00B93ADA" w:rsidP="00B93ADA">
      <w:pPr>
        <w:pStyle w:val="ListParagraph"/>
        <w:numPr>
          <w:ilvl w:val="0"/>
          <w:numId w:val="3"/>
        </w:numPr>
        <w:jc w:val="both"/>
      </w:pPr>
      <w:r w:rsidRPr="00B93ADA">
        <w:t xml:space="preserve">HM Revenue &amp; Customs (2016) News story - Changes to tax relief for residential landlords. Available: </w:t>
      </w:r>
      <w:hyperlink r:id="rId21" w:history="1">
        <w:r w:rsidRPr="00B93ADA">
          <w:rPr>
            <w:rStyle w:val="Hyperlink"/>
          </w:rPr>
          <w:t>https://www.gov.uk/government/news/changes-to-tax-relief-for-residential-landlords</w:t>
        </w:r>
      </w:hyperlink>
    </w:p>
    <w:p w:rsidR="00B93ADA" w:rsidRPr="00B93ADA" w:rsidRDefault="00B93ADA" w:rsidP="00B93ADA">
      <w:pPr>
        <w:pStyle w:val="ListParagraph"/>
        <w:numPr>
          <w:ilvl w:val="0"/>
          <w:numId w:val="3"/>
        </w:numPr>
        <w:jc w:val="both"/>
      </w:pPr>
      <w:r w:rsidRPr="00B93ADA">
        <w:t xml:space="preserve">HM treasury (2017) Policy paper - Autumn Budget 2017. Available: </w:t>
      </w:r>
      <w:hyperlink r:id="rId22" w:anchor="housing" w:history="1">
        <w:r w:rsidRPr="00B93ADA">
          <w:rPr>
            <w:rStyle w:val="Hyperlink"/>
          </w:rPr>
          <w:t>https://www.gov.uk/government/publications/autumn-budget-2017-documents/autumn-budget-2017#housing</w:t>
        </w:r>
      </w:hyperlink>
      <w:r w:rsidRPr="00B93ADA">
        <w:t xml:space="preserve"> </w:t>
      </w:r>
    </w:p>
    <w:p w:rsidR="00B93ADA" w:rsidRPr="00B93ADA" w:rsidRDefault="00B93ADA" w:rsidP="00B93ADA">
      <w:pPr>
        <w:pStyle w:val="ListParagraph"/>
        <w:numPr>
          <w:ilvl w:val="0"/>
          <w:numId w:val="3"/>
        </w:numPr>
        <w:jc w:val="both"/>
      </w:pPr>
      <w:r w:rsidRPr="00B93ADA">
        <w:t xml:space="preserve">Ipsos (2016) Economists' Views on Brexit. Available: </w:t>
      </w:r>
      <w:hyperlink r:id="rId23" w:history="1">
        <w:r w:rsidRPr="00B93ADA">
          <w:rPr>
            <w:rStyle w:val="Hyperlink"/>
          </w:rPr>
          <w:t>https://www.ipsos.com/ipsos-mori/en-uk/economists-views-brexit</w:t>
        </w:r>
      </w:hyperlink>
    </w:p>
    <w:p w:rsidR="00B93ADA" w:rsidRPr="00B93ADA" w:rsidRDefault="00B93ADA" w:rsidP="00B93ADA">
      <w:pPr>
        <w:pStyle w:val="ListParagraph"/>
        <w:numPr>
          <w:ilvl w:val="0"/>
          <w:numId w:val="3"/>
        </w:numPr>
        <w:jc w:val="both"/>
      </w:pPr>
      <w:r w:rsidRPr="00B93ADA">
        <w:t>OfBR (2017) Recent trends in consumer credit. Available: http://budgetresponsibility.org.uk/box/recent-trends-in-consumer-credit/</w:t>
      </w:r>
    </w:p>
    <w:p w:rsidR="00B93ADA" w:rsidRPr="00B93ADA" w:rsidRDefault="00B93ADA" w:rsidP="00B93ADA">
      <w:pPr>
        <w:pStyle w:val="ListParagraph"/>
        <w:numPr>
          <w:ilvl w:val="0"/>
          <w:numId w:val="3"/>
        </w:numPr>
        <w:jc w:val="both"/>
      </w:pPr>
      <w:r w:rsidRPr="00B93ADA">
        <w:lastRenderedPageBreak/>
        <w:t xml:space="preserve">ONS (2016) Statistical bulletin - Housing affordability in England and Wales: 1997 to 2016. Available: </w:t>
      </w:r>
      <w:hyperlink r:id="rId24" w:history="1">
        <w:r w:rsidRPr="00B93ADA">
          <w:rPr>
            <w:rStyle w:val="Hyperlink"/>
          </w:rPr>
          <w:t>https://www.ons.gov.uk/peoplepopulationandcommunity/housing/bulletins/housingaffordabilityinenglandandwales/1997to2016</w:t>
        </w:r>
      </w:hyperlink>
    </w:p>
    <w:p w:rsidR="00B93ADA" w:rsidRPr="00B93ADA" w:rsidRDefault="00B93ADA" w:rsidP="00B93ADA">
      <w:pPr>
        <w:pStyle w:val="ListParagraph"/>
        <w:numPr>
          <w:ilvl w:val="0"/>
          <w:numId w:val="3"/>
        </w:numPr>
        <w:jc w:val="both"/>
      </w:pPr>
      <w:r w:rsidRPr="00B93ADA">
        <w:t xml:space="preserve">ONS (2017) Inflation and price indices. Available: </w:t>
      </w:r>
      <w:hyperlink r:id="rId25" w:history="1">
        <w:r w:rsidRPr="00B93ADA">
          <w:rPr>
            <w:rStyle w:val="Hyperlink"/>
          </w:rPr>
          <w:t>https://www.ons.gov.uk/economy/inflationandpriceindices</w:t>
        </w:r>
      </w:hyperlink>
      <w:r w:rsidRPr="00B93ADA">
        <w:t xml:space="preserve"> </w:t>
      </w:r>
    </w:p>
    <w:p w:rsidR="00B93ADA" w:rsidRPr="00B93ADA" w:rsidRDefault="00B93ADA" w:rsidP="00B93ADA">
      <w:pPr>
        <w:pStyle w:val="ListParagraph"/>
        <w:numPr>
          <w:ilvl w:val="0"/>
          <w:numId w:val="3"/>
        </w:numPr>
        <w:jc w:val="both"/>
      </w:pPr>
      <w:r w:rsidRPr="00B93ADA">
        <w:t xml:space="preserve">RICS (2017) Skills shortages biting construction sector once more. Available: </w:t>
      </w:r>
      <w:hyperlink r:id="rId26" w:history="1">
        <w:r w:rsidRPr="00B93ADA">
          <w:rPr>
            <w:rStyle w:val="Hyperlink"/>
          </w:rPr>
          <w:t>http://www.rics.org/uk/news/news-insight/press-releases/skills-shortages-biting-construction-sector-once-more-/</w:t>
        </w:r>
      </w:hyperlink>
    </w:p>
    <w:p w:rsidR="00B93ADA" w:rsidRPr="00B93ADA" w:rsidRDefault="00B93ADA" w:rsidP="00B93ADA">
      <w:pPr>
        <w:pStyle w:val="ListParagraph"/>
        <w:numPr>
          <w:ilvl w:val="0"/>
          <w:numId w:val="3"/>
        </w:numPr>
        <w:jc w:val="both"/>
      </w:pPr>
      <w:r w:rsidRPr="00B93ADA">
        <w:t xml:space="preserve">RICS (2017) UK construction industry could lose 8% of workforce post-Brexit. Available: </w:t>
      </w:r>
      <w:hyperlink r:id="rId27" w:history="1">
        <w:r w:rsidRPr="00B93ADA">
          <w:rPr>
            <w:rStyle w:val="Hyperlink"/>
          </w:rPr>
          <w:t>http://www.rics.org/uk/news/news-insight/press-releases/uk-construction-industry-could-lose-8-of-workforce-post-brexit-new-rics-figures-reveal-/</w:t>
        </w:r>
      </w:hyperlink>
    </w:p>
    <w:p w:rsidR="00B93ADA" w:rsidRPr="00B93ADA" w:rsidRDefault="00B93ADA" w:rsidP="00B93ADA">
      <w:pPr>
        <w:pStyle w:val="ListParagraph"/>
        <w:numPr>
          <w:ilvl w:val="0"/>
          <w:numId w:val="3"/>
        </w:numPr>
        <w:jc w:val="both"/>
      </w:pPr>
      <w:r w:rsidRPr="00B93ADA">
        <w:t xml:space="preserve">Sargeant. C. (2017) Projects developing ‘homes of the future’ announced. Available: </w:t>
      </w:r>
      <w:hyperlink r:id="rId28" w:history="1">
        <w:r w:rsidRPr="00B93ADA">
          <w:rPr>
            <w:rStyle w:val="Hyperlink"/>
          </w:rPr>
          <w:t>http://gov.wales/newsroom/housing-and-regeneration/2017/171024-projects-developing-homes-of-the-future-announced/?lang=en</w:t>
        </w:r>
      </w:hyperlink>
    </w:p>
    <w:p w:rsidR="00B93ADA" w:rsidRPr="00B93ADA" w:rsidRDefault="00B93ADA" w:rsidP="00B93ADA">
      <w:pPr>
        <w:pStyle w:val="ListParagraph"/>
        <w:numPr>
          <w:ilvl w:val="0"/>
          <w:numId w:val="3"/>
        </w:numPr>
        <w:jc w:val="both"/>
      </w:pPr>
      <w:r w:rsidRPr="00B93ADA">
        <w:t xml:space="preserve">StatsWales (2017) Average household size (persons) by local authority and year. Available: </w:t>
      </w:r>
      <w:hyperlink r:id="rId29" w:history="1">
        <w:r w:rsidRPr="00B93ADA">
          <w:rPr>
            <w:rStyle w:val="Hyperlink"/>
          </w:rPr>
          <w:t>https://statswales.gov.wales/Catalogue/Housing/Households/Estimates/averagehouseholdsize-by-localauthority-year</w:t>
        </w:r>
      </w:hyperlink>
    </w:p>
    <w:p w:rsidR="00B93ADA" w:rsidRPr="00B93ADA" w:rsidRDefault="00B93ADA" w:rsidP="00B93ADA">
      <w:pPr>
        <w:pStyle w:val="ListParagraph"/>
        <w:numPr>
          <w:ilvl w:val="0"/>
          <w:numId w:val="3"/>
        </w:numPr>
        <w:jc w:val="both"/>
      </w:pPr>
      <w:r w:rsidRPr="00B93ADA">
        <w:t xml:space="preserve">StatsWales (2017) Households by Local Authority and Year. Available:  </w:t>
      </w:r>
      <w:hyperlink r:id="rId30" w:history="1">
        <w:r w:rsidRPr="00B93ADA">
          <w:rPr>
            <w:rStyle w:val="Hyperlink"/>
          </w:rPr>
          <w:t>https://statswales.gov.wales/Catalogue/Housing/Households/Estimates/households-by-localauthority-year</w:t>
        </w:r>
      </w:hyperlink>
    </w:p>
    <w:p w:rsidR="00B93ADA" w:rsidRPr="00B93ADA" w:rsidRDefault="00B93ADA" w:rsidP="00B93ADA">
      <w:pPr>
        <w:pStyle w:val="ListParagraph"/>
        <w:numPr>
          <w:ilvl w:val="0"/>
          <w:numId w:val="3"/>
        </w:numPr>
        <w:jc w:val="both"/>
      </w:pPr>
      <w:r w:rsidRPr="00B93ADA">
        <w:lastRenderedPageBreak/>
        <w:t xml:space="preserve">StatsWales (2017) Households by Type and Year. Available: </w:t>
      </w:r>
      <w:hyperlink r:id="rId31" w:history="1">
        <w:r w:rsidRPr="00B93ADA">
          <w:rPr>
            <w:rStyle w:val="Hyperlink"/>
          </w:rPr>
          <w:t>https://statswales.gov.wales/Catalogue/Housing/Households/Estimates/households-by-type-year</w:t>
        </w:r>
      </w:hyperlink>
      <w:r w:rsidRPr="00B93ADA">
        <w:t xml:space="preserve"> </w:t>
      </w:r>
    </w:p>
    <w:p w:rsidR="00B93ADA" w:rsidRPr="00B93ADA" w:rsidRDefault="00B93ADA" w:rsidP="00B93ADA">
      <w:pPr>
        <w:pStyle w:val="ListParagraph"/>
        <w:numPr>
          <w:ilvl w:val="0"/>
          <w:numId w:val="3"/>
        </w:numPr>
        <w:jc w:val="both"/>
      </w:pPr>
      <w:r w:rsidRPr="00B93ADA">
        <w:t xml:space="preserve">StatsWales (2017) Private Household Population by Local Authority and Year. Available: </w:t>
      </w:r>
      <w:hyperlink r:id="rId32" w:history="1">
        <w:r w:rsidRPr="00B93ADA">
          <w:rPr>
            <w:rStyle w:val="Hyperlink"/>
          </w:rPr>
          <w:t>https://statswales.gov.wales/Catalogue/Housing/Households/Estimates/privatehouseholdpopulation-by-localauthority-year</w:t>
        </w:r>
      </w:hyperlink>
      <w:r w:rsidRPr="00B93ADA">
        <w:t xml:space="preserve"> </w:t>
      </w:r>
    </w:p>
    <w:p w:rsidR="00B93ADA" w:rsidRPr="00B93ADA" w:rsidRDefault="00B93ADA" w:rsidP="00B93ADA">
      <w:pPr>
        <w:pStyle w:val="ListParagraph"/>
        <w:numPr>
          <w:ilvl w:val="0"/>
          <w:numId w:val="3"/>
        </w:numPr>
        <w:jc w:val="both"/>
      </w:pPr>
      <w:r w:rsidRPr="00B93ADA">
        <w:t xml:space="preserve">Welsh Government (2016) Statistics and research - UK house price index. Available: </w:t>
      </w:r>
      <w:hyperlink r:id="rId33" w:history="1">
        <w:r w:rsidRPr="00B93ADA">
          <w:rPr>
            <w:rStyle w:val="Hyperlink"/>
          </w:rPr>
          <w:t>http://gov.wales/statistics-and-research/house-price-index/?lang=en</w:t>
        </w:r>
      </w:hyperlink>
      <w:r w:rsidRPr="00B93ADA">
        <w:t xml:space="preserve"> </w:t>
      </w:r>
    </w:p>
    <w:p w:rsidR="00B93ADA" w:rsidRPr="00B93ADA" w:rsidRDefault="00B93ADA" w:rsidP="00B93ADA">
      <w:pPr>
        <w:pStyle w:val="ListParagraph"/>
        <w:numPr>
          <w:ilvl w:val="0"/>
          <w:numId w:val="3"/>
        </w:numPr>
        <w:jc w:val="both"/>
      </w:pPr>
      <w:r w:rsidRPr="00B93ADA">
        <w:t xml:space="preserve">Welsh Government (2017) Building regulations - Part B (Fire safety). Available: </w:t>
      </w:r>
      <w:hyperlink r:id="rId34" w:history="1">
        <w:r w:rsidRPr="00B93ADA">
          <w:rPr>
            <w:rStyle w:val="Hyperlink"/>
          </w:rPr>
          <w:t>http://gov.wales/topics/planning/buildingregs/approved-documents/part-b-fire/?lang=en</w:t>
        </w:r>
      </w:hyperlink>
    </w:p>
    <w:p w:rsidR="00B93ADA" w:rsidRPr="00B93ADA" w:rsidRDefault="00B93ADA" w:rsidP="00B93ADA">
      <w:pPr>
        <w:pStyle w:val="ListParagraph"/>
        <w:numPr>
          <w:ilvl w:val="0"/>
          <w:numId w:val="3"/>
        </w:numPr>
        <w:jc w:val="both"/>
      </w:pPr>
      <w:r w:rsidRPr="00B93ADA">
        <w:t xml:space="preserve">Welsh Government (2017) Projects developing ‘homes of the future’ announced. Available: </w:t>
      </w:r>
      <w:hyperlink r:id="rId35" w:history="1">
        <w:r w:rsidRPr="00B93ADA">
          <w:rPr>
            <w:rStyle w:val="Hyperlink"/>
          </w:rPr>
          <w:t>http://gov.wales/newsroom/housing-and-regeneration/2017/171024-projects-developing-homes-of-the-future-announced/?lang=en</w:t>
        </w:r>
      </w:hyperlink>
    </w:p>
    <w:p w:rsidR="00B93ADA" w:rsidRPr="00B93ADA" w:rsidRDefault="00B93ADA" w:rsidP="00B93ADA">
      <w:pPr>
        <w:pStyle w:val="ListParagraph"/>
        <w:numPr>
          <w:ilvl w:val="0"/>
          <w:numId w:val="3"/>
        </w:numPr>
        <w:jc w:val="both"/>
      </w:pPr>
      <w:r w:rsidRPr="00B93ADA">
        <w:t xml:space="preserve">Welsh Government (2017) Statistics and research - Annual survey of hours and earnings. Available: </w:t>
      </w:r>
      <w:hyperlink r:id="rId36" w:history="1">
        <w:r w:rsidRPr="00B93ADA">
          <w:rPr>
            <w:rStyle w:val="Hyperlink"/>
          </w:rPr>
          <w:t>http://gov.wales/statistics-and-research/annual-survey-hours-earnings/?lang=en</w:t>
        </w:r>
      </w:hyperlink>
      <w:r w:rsidRPr="00B93ADA">
        <w:t xml:space="preserve"> </w:t>
      </w:r>
    </w:p>
    <w:p w:rsidR="00B93ADA" w:rsidRDefault="00706AAF" w:rsidP="00B93ADA">
      <w:pPr>
        <w:pStyle w:val="ListParagraph"/>
        <w:numPr>
          <w:ilvl w:val="0"/>
          <w:numId w:val="3"/>
        </w:numPr>
        <w:jc w:val="both"/>
      </w:pPr>
      <w:r>
        <w:t>ONS (2017) Statistical bulletin: House Price Index. Available</w:t>
      </w:r>
      <w:r w:rsidR="00C01AEC">
        <w:t xml:space="preserve">: </w:t>
      </w:r>
      <w:hyperlink r:id="rId37" w:history="1">
        <w:r w:rsidR="00C01AEC" w:rsidRPr="008147F2">
          <w:rPr>
            <w:rStyle w:val="Hyperlink"/>
          </w:rPr>
          <w:t>https://www.ons.gov.uk/economy/inflationandpriceindices/bulletins/housepriceindex/apr2017</w:t>
        </w:r>
      </w:hyperlink>
      <w:r w:rsidR="00C01AEC">
        <w:t xml:space="preserve"> </w:t>
      </w:r>
    </w:p>
    <w:p w:rsidR="00C01AEC" w:rsidRPr="00C01AEC" w:rsidRDefault="00C01AEC" w:rsidP="00C01AEC">
      <w:pPr>
        <w:pStyle w:val="ListParagraph"/>
        <w:ind w:left="1429"/>
        <w:jc w:val="both"/>
      </w:pPr>
    </w:p>
    <w:p w:rsidR="00F07C87" w:rsidRPr="00B93ADA" w:rsidRDefault="00B66BF7" w:rsidP="00B66BF7">
      <w:pPr>
        <w:pStyle w:val="ListParagraph"/>
        <w:numPr>
          <w:ilvl w:val="0"/>
          <w:numId w:val="1"/>
        </w:numPr>
        <w:rPr>
          <w:b/>
          <w:u w:val="single"/>
        </w:rPr>
      </w:pPr>
      <w:r w:rsidRPr="00B93ADA">
        <w:rPr>
          <w:b/>
          <w:u w:val="single"/>
        </w:rPr>
        <w:lastRenderedPageBreak/>
        <w:t xml:space="preserve">Bibliography </w:t>
      </w:r>
    </w:p>
    <w:p w:rsidR="00B93ADA" w:rsidRPr="00B93ADA" w:rsidRDefault="00B93ADA" w:rsidP="00B93ADA">
      <w:pPr>
        <w:pStyle w:val="ListParagraph"/>
        <w:numPr>
          <w:ilvl w:val="0"/>
          <w:numId w:val="4"/>
        </w:numPr>
      </w:pPr>
      <w:r w:rsidRPr="00B93ADA">
        <w:t xml:space="preserve">Investopedia (2017) 4 Key Factors That Drive the Real Estate Market. Available: </w:t>
      </w:r>
      <w:hyperlink r:id="rId38" w:history="1">
        <w:r w:rsidRPr="00B93ADA">
          <w:rPr>
            <w:rStyle w:val="Hyperlink"/>
          </w:rPr>
          <w:t>https://www.investopedia.com/articles/mortages-real-estate/11/factors-affecting-real-estate-market.asp</w:t>
        </w:r>
      </w:hyperlink>
    </w:p>
    <w:p w:rsidR="00B93ADA" w:rsidRPr="00B93ADA" w:rsidRDefault="00B93ADA" w:rsidP="00B93ADA">
      <w:pPr>
        <w:pStyle w:val="ListParagraph"/>
        <w:numPr>
          <w:ilvl w:val="0"/>
          <w:numId w:val="4"/>
        </w:numPr>
      </w:pPr>
      <w:r w:rsidRPr="00B93ADA">
        <w:t xml:space="preserve">Investopedia (2017) How Interest Rates Affect Property Values. Available: </w:t>
      </w:r>
      <w:hyperlink r:id="rId39" w:history="1">
        <w:r w:rsidRPr="00B93ADA">
          <w:rPr>
            <w:rStyle w:val="Hyperlink"/>
          </w:rPr>
          <w:t>https://www.investopedia.com/articles/mortgages-real-estate/08/interest-rates-affect-property-values.asp</w:t>
        </w:r>
      </w:hyperlink>
    </w:p>
    <w:p w:rsidR="00B93ADA" w:rsidRPr="00B93ADA" w:rsidRDefault="00B93ADA" w:rsidP="00B93ADA">
      <w:pPr>
        <w:pStyle w:val="ListParagraph"/>
        <w:numPr>
          <w:ilvl w:val="0"/>
          <w:numId w:val="4"/>
        </w:numPr>
      </w:pPr>
      <w:proofErr w:type="spellStart"/>
      <w:r w:rsidRPr="00B93ADA">
        <w:t>Kishtainy</w:t>
      </w:r>
      <w:proofErr w:type="spellEnd"/>
      <w:r w:rsidRPr="00B93ADA">
        <w:t xml:space="preserve">. N., (2012) The Economics Book. DK ltd. </w:t>
      </w:r>
    </w:p>
    <w:p w:rsidR="00B93ADA" w:rsidRPr="00B93ADA" w:rsidRDefault="00B93ADA" w:rsidP="00B93ADA">
      <w:pPr>
        <w:pStyle w:val="ListParagraph"/>
        <w:numPr>
          <w:ilvl w:val="0"/>
          <w:numId w:val="4"/>
        </w:numPr>
      </w:pPr>
      <w:r w:rsidRPr="00B93ADA">
        <w:t xml:space="preserve">RICS (2017) RICS UK Economy and Property Market Chart Book Q4 2017. Available: </w:t>
      </w:r>
      <w:hyperlink r:id="rId40" w:history="1">
        <w:r w:rsidRPr="00B93ADA">
          <w:rPr>
            <w:rStyle w:val="Hyperlink"/>
          </w:rPr>
          <w:t>https://www.rics.org/Global/Q4%202017%20RICS%20UK%20Chart%20Book.pdf</w:t>
        </w:r>
      </w:hyperlink>
    </w:p>
    <w:p w:rsidR="00B66BF7" w:rsidRDefault="00137696" w:rsidP="00137696">
      <w:pPr>
        <w:pStyle w:val="ListParagraph"/>
        <w:numPr>
          <w:ilvl w:val="0"/>
          <w:numId w:val="4"/>
        </w:numPr>
      </w:pPr>
      <w:r>
        <w:t xml:space="preserve">Bolton. R., (2011) </w:t>
      </w:r>
      <w:r w:rsidRPr="00137696">
        <w:t>Housing Markets and the Economy</w:t>
      </w:r>
      <w:r>
        <w:t>. Journal of regional Science.</w:t>
      </w:r>
    </w:p>
    <w:p w:rsidR="00137696" w:rsidRDefault="00137696" w:rsidP="00137696">
      <w:pPr>
        <w:pStyle w:val="ListParagraph"/>
        <w:numPr>
          <w:ilvl w:val="0"/>
          <w:numId w:val="4"/>
        </w:numPr>
      </w:pPr>
      <w:r>
        <w:t>Marshall. A., (2013) Principles of economics. Palgrave Macmillan.</w:t>
      </w:r>
    </w:p>
    <w:p w:rsidR="00137696" w:rsidRPr="00B66BF7" w:rsidRDefault="00137696" w:rsidP="00137696">
      <w:pPr>
        <w:pStyle w:val="ListParagraph"/>
        <w:ind w:left="1080"/>
      </w:pPr>
    </w:p>
    <w:p w:rsidR="00F07C87" w:rsidRDefault="00F07C87" w:rsidP="00F07C87">
      <w:pPr>
        <w:ind w:left="3708"/>
        <w:contextualSpacing/>
        <w:rPr>
          <w:rFonts w:asciiTheme="minorHAnsi" w:hAnsiTheme="minorHAnsi"/>
          <w:b w:val="0"/>
          <w:sz w:val="24"/>
          <w:szCs w:val="24"/>
        </w:rPr>
      </w:pPr>
    </w:p>
    <w:p w:rsidR="00F07C87" w:rsidRDefault="00F07C87" w:rsidP="00F07C87">
      <w:pPr>
        <w:ind w:left="3708"/>
        <w:contextualSpacing/>
        <w:rPr>
          <w:rFonts w:asciiTheme="minorHAnsi" w:hAnsiTheme="minorHAnsi"/>
          <w:b w:val="0"/>
          <w:sz w:val="24"/>
          <w:szCs w:val="24"/>
        </w:rPr>
      </w:pPr>
    </w:p>
    <w:p w:rsidR="00F07C87" w:rsidRDefault="00F07C87" w:rsidP="00F07C87">
      <w:pPr>
        <w:ind w:left="3708"/>
        <w:contextualSpacing/>
        <w:rPr>
          <w:rFonts w:asciiTheme="minorHAnsi" w:hAnsiTheme="minorHAnsi"/>
          <w:b w:val="0"/>
          <w:sz w:val="24"/>
          <w:szCs w:val="24"/>
        </w:rPr>
      </w:pPr>
    </w:p>
    <w:p w:rsidR="00F07C87" w:rsidRDefault="00F07C87" w:rsidP="00F07C87">
      <w:pPr>
        <w:ind w:left="3708"/>
        <w:contextualSpacing/>
        <w:rPr>
          <w:rFonts w:asciiTheme="minorHAnsi" w:hAnsiTheme="minorHAnsi"/>
          <w:b w:val="0"/>
          <w:sz w:val="24"/>
          <w:szCs w:val="24"/>
        </w:rPr>
      </w:pPr>
    </w:p>
    <w:p w:rsidR="00F07C87" w:rsidRDefault="00F07C87" w:rsidP="00F07C87">
      <w:pPr>
        <w:ind w:left="3708"/>
        <w:contextualSpacing/>
        <w:rPr>
          <w:rFonts w:asciiTheme="minorHAnsi" w:hAnsiTheme="minorHAnsi"/>
          <w:b w:val="0"/>
          <w:sz w:val="24"/>
          <w:szCs w:val="24"/>
        </w:rPr>
      </w:pPr>
    </w:p>
    <w:p w:rsidR="00F07C87" w:rsidRDefault="00F07C87" w:rsidP="00F07C87">
      <w:pPr>
        <w:ind w:left="3708"/>
        <w:contextualSpacing/>
        <w:rPr>
          <w:rFonts w:asciiTheme="minorHAnsi" w:hAnsiTheme="minorHAnsi"/>
          <w:b w:val="0"/>
          <w:sz w:val="24"/>
          <w:szCs w:val="24"/>
        </w:rPr>
      </w:pPr>
    </w:p>
    <w:p w:rsidR="00F07C87" w:rsidRDefault="00F07C87" w:rsidP="00F07C87">
      <w:pPr>
        <w:ind w:left="3708"/>
        <w:contextualSpacing/>
        <w:rPr>
          <w:rFonts w:asciiTheme="minorHAnsi" w:hAnsiTheme="minorHAnsi"/>
          <w:b w:val="0"/>
          <w:sz w:val="24"/>
          <w:szCs w:val="24"/>
        </w:rPr>
      </w:pPr>
    </w:p>
    <w:p w:rsidR="00F07C87" w:rsidRPr="00F07C87" w:rsidRDefault="00F07C87" w:rsidP="00F07C87">
      <w:pPr>
        <w:ind w:left="3708"/>
        <w:contextualSpacing/>
        <w:rPr>
          <w:rFonts w:asciiTheme="minorHAnsi" w:hAnsiTheme="minorHAnsi"/>
          <w:b w:val="0"/>
          <w:sz w:val="24"/>
          <w:szCs w:val="24"/>
        </w:rPr>
      </w:pPr>
    </w:p>
    <w:p w:rsidR="00F07C87" w:rsidRDefault="00F07C87" w:rsidP="00192023">
      <w:pPr>
        <w:ind w:left="1080"/>
        <w:contextualSpacing/>
        <w:jc w:val="both"/>
        <w:rPr>
          <w:rFonts w:asciiTheme="minorHAnsi" w:hAnsiTheme="minorHAnsi"/>
          <w:b w:val="0"/>
          <w:sz w:val="24"/>
          <w:szCs w:val="24"/>
        </w:rPr>
      </w:pPr>
    </w:p>
    <w:p w:rsidR="000D0084" w:rsidRDefault="000D0084" w:rsidP="00192023">
      <w:pPr>
        <w:ind w:left="1080"/>
        <w:contextualSpacing/>
        <w:jc w:val="both"/>
        <w:rPr>
          <w:rFonts w:asciiTheme="minorHAnsi" w:hAnsiTheme="minorHAnsi"/>
          <w:b w:val="0"/>
          <w:sz w:val="24"/>
          <w:szCs w:val="24"/>
        </w:rPr>
      </w:pPr>
    </w:p>
    <w:p w:rsidR="000D0084" w:rsidRPr="00E35F79" w:rsidRDefault="00137696" w:rsidP="00137696">
      <w:pPr>
        <w:pStyle w:val="ListParagraph"/>
        <w:numPr>
          <w:ilvl w:val="0"/>
          <w:numId w:val="1"/>
        </w:numPr>
        <w:jc w:val="both"/>
        <w:rPr>
          <w:b/>
          <w:u w:val="single"/>
        </w:rPr>
      </w:pPr>
      <w:r w:rsidRPr="00E35F79">
        <w:rPr>
          <w:b/>
          <w:u w:val="single"/>
        </w:rPr>
        <w:lastRenderedPageBreak/>
        <w:t>APPENDICES</w:t>
      </w:r>
    </w:p>
    <w:p w:rsidR="00E35F79" w:rsidRDefault="00E35F79" w:rsidP="00E35F79">
      <w:pPr>
        <w:pStyle w:val="ListParagraph"/>
        <w:numPr>
          <w:ilvl w:val="1"/>
          <w:numId w:val="1"/>
        </w:numPr>
        <w:jc w:val="both"/>
        <w:rPr>
          <w:b/>
          <w:u w:val="single"/>
        </w:rPr>
      </w:pPr>
      <w:r w:rsidRPr="00E35F79">
        <w:rPr>
          <w:b/>
          <w:u w:val="single"/>
        </w:rPr>
        <w:t>APPENDIX A</w:t>
      </w:r>
    </w:p>
    <w:tbl>
      <w:tblPr>
        <w:tblStyle w:val="TableGrid"/>
        <w:tblpPr w:leftFromText="180" w:rightFromText="180" w:horzAnchor="page" w:tblpX="2491" w:tblpY="1740"/>
        <w:tblW w:w="0" w:type="auto"/>
        <w:tblLook w:val="04A0" w:firstRow="1" w:lastRow="0" w:firstColumn="1" w:lastColumn="0" w:noHBand="0" w:noVBand="1"/>
      </w:tblPr>
      <w:tblGrid>
        <w:gridCol w:w="3269"/>
        <w:gridCol w:w="4061"/>
      </w:tblGrid>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Year</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2002</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67500</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2003</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82500</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2004</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108000</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2005</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123950</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2006</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130000</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2007</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139000</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2008</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138000</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2009</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130000</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2010</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135000</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2011</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130000</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2012</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133000</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2013</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133447.5</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2014</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138000</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2015</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142500</w:t>
            </w:r>
          </w:p>
        </w:tc>
      </w:tr>
      <w:tr w:rsidR="00706AAF" w:rsidRPr="00706AAF" w:rsidTr="00706AAF">
        <w:trPr>
          <w:trHeight w:val="461"/>
        </w:trPr>
        <w:tc>
          <w:tcPr>
            <w:tcW w:w="3269" w:type="dxa"/>
            <w:noWrap/>
            <w:hideMark/>
          </w:tcPr>
          <w:p w:rsidR="00706AAF" w:rsidRPr="00706AAF" w:rsidRDefault="00706AAF" w:rsidP="00706AAF">
            <w:pPr>
              <w:pStyle w:val="ListParagraph"/>
              <w:ind w:left="1069"/>
              <w:jc w:val="both"/>
              <w:rPr>
                <w:b/>
                <w:u w:val="single"/>
              </w:rPr>
            </w:pPr>
            <w:r w:rsidRPr="00706AAF">
              <w:rPr>
                <w:b/>
                <w:u w:val="single"/>
              </w:rPr>
              <w:t>2016</w:t>
            </w:r>
          </w:p>
        </w:tc>
        <w:tc>
          <w:tcPr>
            <w:tcW w:w="4061" w:type="dxa"/>
            <w:noWrap/>
            <w:hideMark/>
          </w:tcPr>
          <w:p w:rsidR="00706AAF" w:rsidRPr="00706AAF" w:rsidRDefault="00706AAF" w:rsidP="00706AAF">
            <w:pPr>
              <w:pStyle w:val="ListParagraph"/>
              <w:ind w:left="1069"/>
              <w:jc w:val="both"/>
              <w:rPr>
                <w:b/>
                <w:u w:val="single"/>
              </w:rPr>
            </w:pPr>
            <w:r w:rsidRPr="00706AAF">
              <w:rPr>
                <w:b/>
                <w:u w:val="single"/>
              </w:rPr>
              <w:t>147000</w:t>
            </w:r>
          </w:p>
        </w:tc>
      </w:tr>
    </w:tbl>
    <w:p w:rsidR="00E35F79" w:rsidRDefault="00706AAF" w:rsidP="00E35F79">
      <w:pPr>
        <w:pStyle w:val="ListParagraph"/>
        <w:ind w:left="1069"/>
        <w:jc w:val="both"/>
        <w:rPr>
          <w:b/>
          <w:u w:val="single"/>
        </w:rPr>
      </w:pPr>
      <w:r>
        <w:rPr>
          <w:b/>
          <w:u w:val="single"/>
        </w:rPr>
        <w:t>Average house prices Wales by year</w:t>
      </w: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C01AEC" w:rsidRPr="00932F43" w:rsidRDefault="00C01AEC" w:rsidP="00C01AEC">
      <w:pPr>
        <w:ind w:left="2160"/>
        <w:contextualSpacing/>
        <w:jc w:val="both"/>
        <w:rPr>
          <w:rFonts w:asciiTheme="minorHAnsi" w:hAnsiTheme="minorHAnsi"/>
          <w:b w:val="0"/>
          <w:sz w:val="24"/>
          <w:szCs w:val="24"/>
        </w:rPr>
      </w:pPr>
      <w:r>
        <w:rPr>
          <w:rFonts w:asciiTheme="minorHAnsi" w:hAnsiTheme="minorHAnsi"/>
          <w:b w:val="0"/>
          <w:sz w:val="24"/>
          <w:szCs w:val="24"/>
        </w:rPr>
        <w:t xml:space="preserve">(ONS, </w:t>
      </w:r>
      <w:r w:rsidRPr="00932F43">
        <w:rPr>
          <w:rFonts w:asciiTheme="minorHAnsi" w:hAnsiTheme="minorHAnsi"/>
          <w:b w:val="0"/>
          <w:sz w:val="24"/>
          <w:szCs w:val="24"/>
        </w:rPr>
        <w:t>2017)</w:t>
      </w:r>
    </w:p>
    <w:p w:rsidR="00706AAF" w:rsidRDefault="00706AAF" w:rsidP="00E35F79">
      <w:pPr>
        <w:pStyle w:val="ListParagraph"/>
        <w:ind w:left="1069"/>
        <w:jc w:val="both"/>
        <w:rPr>
          <w:b/>
          <w:u w:val="single"/>
        </w:rPr>
      </w:pPr>
    </w:p>
    <w:p w:rsidR="00706AAF" w:rsidRDefault="00706AAF" w:rsidP="00E35F79">
      <w:pPr>
        <w:pStyle w:val="ListParagraph"/>
        <w:ind w:left="1069"/>
        <w:jc w:val="both"/>
        <w:rPr>
          <w:b/>
          <w:u w:val="single"/>
        </w:rPr>
      </w:pPr>
    </w:p>
    <w:p w:rsidR="00C01AEC" w:rsidRDefault="00C01AEC" w:rsidP="00B42998">
      <w:pPr>
        <w:jc w:val="both"/>
      </w:pPr>
    </w:p>
    <w:p w:rsidR="00010E49" w:rsidRDefault="00010E49" w:rsidP="00E35F79">
      <w:pPr>
        <w:pStyle w:val="ListParagraph"/>
        <w:ind w:left="1069"/>
        <w:jc w:val="both"/>
      </w:pPr>
    </w:p>
    <w:p w:rsidR="00010E49" w:rsidRDefault="00010E49" w:rsidP="00E35F79">
      <w:pPr>
        <w:pStyle w:val="ListParagraph"/>
        <w:ind w:left="1069"/>
        <w:jc w:val="both"/>
      </w:pPr>
    </w:p>
    <w:p w:rsidR="00C01AEC" w:rsidRPr="001C2D6E" w:rsidRDefault="00B42998" w:rsidP="00C01AEC">
      <w:pPr>
        <w:pStyle w:val="ListParagraph"/>
        <w:numPr>
          <w:ilvl w:val="1"/>
          <w:numId w:val="1"/>
        </w:numPr>
        <w:jc w:val="both"/>
        <w:rPr>
          <w:b/>
          <w:u w:val="single"/>
        </w:rPr>
      </w:pPr>
      <w:r>
        <w:rPr>
          <w:b/>
          <w:u w:val="single"/>
        </w:rPr>
        <w:lastRenderedPageBreak/>
        <w:t>APPENDIX B</w:t>
      </w:r>
    </w:p>
    <w:p w:rsidR="001C2D6E" w:rsidRPr="001C2D6E" w:rsidRDefault="001C2D6E" w:rsidP="001C2D6E">
      <w:pPr>
        <w:pStyle w:val="ListParagraph"/>
        <w:ind w:left="1069"/>
        <w:jc w:val="both"/>
        <w:rPr>
          <w:b/>
          <w:u w:val="single"/>
        </w:rPr>
      </w:pPr>
      <w:r w:rsidRPr="001C2D6E">
        <w:rPr>
          <w:b/>
          <w:u w:val="single"/>
        </w:rPr>
        <w:t>Ratio of median house price to median earnings</w:t>
      </w:r>
    </w:p>
    <w:tbl>
      <w:tblPr>
        <w:tblStyle w:val="TableGrid"/>
        <w:tblW w:w="0" w:type="auto"/>
        <w:tblLook w:val="04A0" w:firstRow="1" w:lastRow="0" w:firstColumn="1" w:lastColumn="0" w:noHBand="0" w:noVBand="1"/>
      </w:tblPr>
      <w:tblGrid>
        <w:gridCol w:w="4099"/>
        <w:gridCol w:w="4187"/>
      </w:tblGrid>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Year</w:t>
            </w:r>
          </w:p>
        </w:tc>
        <w:tc>
          <w:tcPr>
            <w:tcW w:w="4187" w:type="dxa"/>
            <w:noWrap/>
            <w:hideMark/>
          </w:tcPr>
          <w:p w:rsidR="001C2D6E" w:rsidRPr="001C2D6E" w:rsidRDefault="001C2D6E" w:rsidP="001C2D6E">
            <w:pPr>
              <w:pStyle w:val="ListParagraph"/>
              <w:ind w:left="1069"/>
              <w:jc w:val="both"/>
              <w:rPr>
                <w:b/>
              </w:rPr>
            </w:pPr>
            <w:r w:rsidRPr="001C2D6E">
              <w:rPr>
                <w:b/>
              </w:rPr>
              <w:t>Ratio</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2002</w:t>
            </w:r>
          </w:p>
        </w:tc>
        <w:tc>
          <w:tcPr>
            <w:tcW w:w="4187" w:type="dxa"/>
            <w:noWrap/>
            <w:hideMark/>
          </w:tcPr>
          <w:p w:rsidR="001C2D6E" w:rsidRPr="001C2D6E" w:rsidRDefault="001C2D6E" w:rsidP="001C2D6E">
            <w:pPr>
              <w:pStyle w:val="ListParagraph"/>
              <w:ind w:left="1069"/>
              <w:jc w:val="both"/>
              <w:rPr>
                <w:b/>
              </w:rPr>
            </w:pPr>
            <w:r w:rsidRPr="001C2D6E">
              <w:rPr>
                <w:b/>
              </w:rPr>
              <w:t>3.71</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2003</w:t>
            </w:r>
          </w:p>
        </w:tc>
        <w:tc>
          <w:tcPr>
            <w:tcW w:w="4187" w:type="dxa"/>
            <w:noWrap/>
            <w:hideMark/>
          </w:tcPr>
          <w:p w:rsidR="001C2D6E" w:rsidRPr="001C2D6E" w:rsidRDefault="001C2D6E" w:rsidP="001C2D6E">
            <w:pPr>
              <w:pStyle w:val="ListParagraph"/>
              <w:ind w:left="1069"/>
              <w:jc w:val="both"/>
              <w:rPr>
                <w:b/>
              </w:rPr>
            </w:pPr>
            <w:r w:rsidRPr="001C2D6E">
              <w:rPr>
                <w:b/>
              </w:rPr>
              <w:t>4.31</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2004</w:t>
            </w:r>
          </w:p>
        </w:tc>
        <w:tc>
          <w:tcPr>
            <w:tcW w:w="4187" w:type="dxa"/>
            <w:noWrap/>
            <w:hideMark/>
          </w:tcPr>
          <w:p w:rsidR="001C2D6E" w:rsidRPr="001C2D6E" w:rsidRDefault="001C2D6E" w:rsidP="001C2D6E">
            <w:pPr>
              <w:pStyle w:val="ListParagraph"/>
              <w:ind w:left="1069"/>
              <w:jc w:val="both"/>
              <w:rPr>
                <w:b/>
              </w:rPr>
            </w:pPr>
            <w:r w:rsidRPr="001C2D6E">
              <w:rPr>
                <w:b/>
              </w:rPr>
              <w:t>5.38</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2005</w:t>
            </w:r>
          </w:p>
        </w:tc>
        <w:tc>
          <w:tcPr>
            <w:tcW w:w="4187" w:type="dxa"/>
            <w:noWrap/>
            <w:hideMark/>
          </w:tcPr>
          <w:p w:rsidR="001C2D6E" w:rsidRPr="001C2D6E" w:rsidRDefault="001C2D6E" w:rsidP="001C2D6E">
            <w:pPr>
              <w:pStyle w:val="ListParagraph"/>
              <w:ind w:left="1069"/>
              <w:jc w:val="both"/>
              <w:rPr>
                <w:b/>
              </w:rPr>
            </w:pPr>
            <w:r w:rsidRPr="001C2D6E">
              <w:rPr>
                <w:b/>
              </w:rPr>
              <w:t>6.01</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2006</w:t>
            </w:r>
          </w:p>
        </w:tc>
        <w:tc>
          <w:tcPr>
            <w:tcW w:w="4187" w:type="dxa"/>
            <w:noWrap/>
            <w:hideMark/>
          </w:tcPr>
          <w:p w:rsidR="001C2D6E" w:rsidRPr="001C2D6E" w:rsidRDefault="001C2D6E" w:rsidP="001C2D6E">
            <w:pPr>
              <w:pStyle w:val="ListParagraph"/>
              <w:ind w:left="1069"/>
              <w:jc w:val="both"/>
              <w:rPr>
                <w:b/>
              </w:rPr>
            </w:pPr>
            <w:r w:rsidRPr="001C2D6E">
              <w:rPr>
                <w:b/>
              </w:rPr>
              <w:t>6.25</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2007</w:t>
            </w:r>
          </w:p>
        </w:tc>
        <w:tc>
          <w:tcPr>
            <w:tcW w:w="4187" w:type="dxa"/>
            <w:noWrap/>
            <w:hideMark/>
          </w:tcPr>
          <w:p w:rsidR="001C2D6E" w:rsidRPr="001C2D6E" w:rsidRDefault="001C2D6E" w:rsidP="001C2D6E">
            <w:pPr>
              <w:pStyle w:val="ListParagraph"/>
              <w:ind w:left="1069"/>
              <w:jc w:val="both"/>
              <w:rPr>
                <w:b/>
              </w:rPr>
            </w:pPr>
            <w:r w:rsidRPr="001C2D6E">
              <w:rPr>
                <w:b/>
              </w:rPr>
              <w:t>6.59</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2008</w:t>
            </w:r>
          </w:p>
        </w:tc>
        <w:tc>
          <w:tcPr>
            <w:tcW w:w="4187" w:type="dxa"/>
            <w:noWrap/>
            <w:hideMark/>
          </w:tcPr>
          <w:p w:rsidR="001C2D6E" w:rsidRPr="001C2D6E" w:rsidRDefault="001C2D6E" w:rsidP="001C2D6E">
            <w:pPr>
              <w:pStyle w:val="ListParagraph"/>
              <w:ind w:left="1069"/>
              <w:jc w:val="both"/>
              <w:rPr>
                <w:b/>
              </w:rPr>
            </w:pPr>
            <w:r w:rsidRPr="001C2D6E">
              <w:rPr>
                <w:b/>
              </w:rPr>
              <w:t>6.32</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2009</w:t>
            </w:r>
          </w:p>
        </w:tc>
        <w:tc>
          <w:tcPr>
            <w:tcW w:w="4187" w:type="dxa"/>
            <w:noWrap/>
            <w:hideMark/>
          </w:tcPr>
          <w:p w:rsidR="001C2D6E" w:rsidRPr="001C2D6E" w:rsidRDefault="001C2D6E" w:rsidP="001C2D6E">
            <w:pPr>
              <w:pStyle w:val="ListParagraph"/>
              <w:ind w:left="1069"/>
              <w:jc w:val="both"/>
              <w:rPr>
                <w:b/>
              </w:rPr>
            </w:pPr>
            <w:r w:rsidRPr="001C2D6E">
              <w:rPr>
                <w:b/>
              </w:rPr>
              <w:t>5.70</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2010</w:t>
            </w:r>
          </w:p>
        </w:tc>
        <w:tc>
          <w:tcPr>
            <w:tcW w:w="4187" w:type="dxa"/>
            <w:noWrap/>
            <w:hideMark/>
          </w:tcPr>
          <w:p w:rsidR="001C2D6E" w:rsidRPr="001C2D6E" w:rsidRDefault="001C2D6E" w:rsidP="001C2D6E">
            <w:pPr>
              <w:pStyle w:val="ListParagraph"/>
              <w:ind w:left="1069"/>
              <w:jc w:val="both"/>
              <w:rPr>
                <w:b/>
              </w:rPr>
            </w:pPr>
            <w:r w:rsidRPr="001C2D6E">
              <w:rPr>
                <w:b/>
              </w:rPr>
              <w:t>5.82</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2011</w:t>
            </w:r>
          </w:p>
        </w:tc>
        <w:tc>
          <w:tcPr>
            <w:tcW w:w="4187" w:type="dxa"/>
            <w:noWrap/>
            <w:hideMark/>
          </w:tcPr>
          <w:p w:rsidR="001C2D6E" w:rsidRPr="001C2D6E" w:rsidRDefault="001C2D6E" w:rsidP="001C2D6E">
            <w:pPr>
              <w:pStyle w:val="ListParagraph"/>
              <w:ind w:left="1069"/>
              <w:jc w:val="both"/>
              <w:rPr>
                <w:b/>
              </w:rPr>
            </w:pPr>
            <w:r w:rsidRPr="001C2D6E">
              <w:rPr>
                <w:b/>
              </w:rPr>
              <w:t>5.56</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2012</w:t>
            </w:r>
          </w:p>
        </w:tc>
        <w:tc>
          <w:tcPr>
            <w:tcW w:w="4187" w:type="dxa"/>
            <w:noWrap/>
            <w:hideMark/>
          </w:tcPr>
          <w:p w:rsidR="001C2D6E" w:rsidRPr="001C2D6E" w:rsidRDefault="001C2D6E" w:rsidP="001C2D6E">
            <w:pPr>
              <w:pStyle w:val="ListParagraph"/>
              <w:ind w:left="1069"/>
              <w:jc w:val="both"/>
              <w:rPr>
                <w:b/>
              </w:rPr>
            </w:pPr>
            <w:r w:rsidRPr="001C2D6E">
              <w:rPr>
                <w:b/>
              </w:rPr>
              <w:t>5.63</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2013</w:t>
            </w:r>
          </w:p>
        </w:tc>
        <w:tc>
          <w:tcPr>
            <w:tcW w:w="4187" w:type="dxa"/>
            <w:noWrap/>
            <w:hideMark/>
          </w:tcPr>
          <w:p w:rsidR="001C2D6E" w:rsidRPr="001C2D6E" w:rsidRDefault="001C2D6E" w:rsidP="001C2D6E">
            <w:pPr>
              <w:pStyle w:val="ListParagraph"/>
              <w:ind w:left="1069"/>
              <w:jc w:val="both"/>
              <w:rPr>
                <w:b/>
              </w:rPr>
            </w:pPr>
            <w:r w:rsidRPr="001C2D6E">
              <w:rPr>
                <w:b/>
              </w:rPr>
              <w:t>5.54</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2014</w:t>
            </w:r>
          </w:p>
        </w:tc>
        <w:tc>
          <w:tcPr>
            <w:tcW w:w="4187" w:type="dxa"/>
            <w:noWrap/>
            <w:hideMark/>
          </w:tcPr>
          <w:p w:rsidR="001C2D6E" w:rsidRPr="001C2D6E" w:rsidRDefault="001C2D6E" w:rsidP="001C2D6E">
            <w:pPr>
              <w:pStyle w:val="ListParagraph"/>
              <w:ind w:left="1069"/>
              <w:jc w:val="both"/>
              <w:rPr>
                <w:b/>
              </w:rPr>
            </w:pPr>
            <w:r w:rsidRPr="001C2D6E">
              <w:rPr>
                <w:b/>
              </w:rPr>
              <w:t>5.64</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2015</w:t>
            </w:r>
          </w:p>
        </w:tc>
        <w:tc>
          <w:tcPr>
            <w:tcW w:w="4187" w:type="dxa"/>
            <w:noWrap/>
            <w:hideMark/>
          </w:tcPr>
          <w:p w:rsidR="001C2D6E" w:rsidRPr="001C2D6E" w:rsidRDefault="001C2D6E" w:rsidP="001C2D6E">
            <w:pPr>
              <w:pStyle w:val="ListParagraph"/>
              <w:ind w:left="1069"/>
              <w:jc w:val="both"/>
              <w:rPr>
                <w:b/>
              </w:rPr>
            </w:pPr>
            <w:r w:rsidRPr="001C2D6E">
              <w:rPr>
                <w:b/>
              </w:rPr>
              <w:t>5.73</w:t>
            </w:r>
          </w:p>
        </w:tc>
      </w:tr>
      <w:tr w:rsidR="001C2D6E" w:rsidRPr="001C2D6E" w:rsidTr="001C2D6E">
        <w:trPr>
          <w:trHeight w:val="550"/>
        </w:trPr>
        <w:tc>
          <w:tcPr>
            <w:tcW w:w="4099" w:type="dxa"/>
            <w:noWrap/>
            <w:hideMark/>
          </w:tcPr>
          <w:p w:rsidR="001C2D6E" w:rsidRPr="001C2D6E" w:rsidRDefault="001C2D6E" w:rsidP="001C2D6E">
            <w:pPr>
              <w:pStyle w:val="ListParagraph"/>
              <w:ind w:left="1069"/>
              <w:jc w:val="both"/>
              <w:rPr>
                <w:b/>
              </w:rPr>
            </w:pPr>
            <w:r w:rsidRPr="001C2D6E">
              <w:rPr>
                <w:b/>
              </w:rPr>
              <w:t>2016</w:t>
            </w:r>
          </w:p>
        </w:tc>
        <w:tc>
          <w:tcPr>
            <w:tcW w:w="4187" w:type="dxa"/>
            <w:noWrap/>
            <w:hideMark/>
          </w:tcPr>
          <w:p w:rsidR="001C2D6E" w:rsidRPr="001C2D6E" w:rsidRDefault="001C2D6E" w:rsidP="001C2D6E">
            <w:pPr>
              <w:pStyle w:val="ListParagraph"/>
              <w:ind w:left="1069"/>
              <w:jc w:val="both"/>
              <w:rPr>
                <w:b/>
              </w:rPr>
            </w:pPr>
            <w:r w:rsidRPr="001C2D6E">
              <w:rPr>
                <w:b/>
              </w:rPr>
              <w:t>5.79</w:t>
            </w:r>
          </w:p>
        </w:tc>
      </w:tr>
    </w:tbl>
    <w:p w:rsidR="00C01AEC" w:rsidRDefault="00C01AEC" w:rsidP="00C01AEC">
      <w:pPr>
        <w:pStyle w:val="ListParagraph"/>
        <w:ind w:left="1069"/>
        <w:jc w:val="both"/>
      </w:pPr>
    </w:p>
    <w:p w:rsidR="001C2D6E" w:rsidRPr="00137696" w:rsidRDefault="001C2D6E" w:rsidP="00C01AEC">
      <w:pPr>
        <w:pStyle w:val="ListParagraph"/>
        <w:ind w:left="1069"/>
        <w:jc w:val="both"/>
      </w:pPr>
      <w:r>
        <w:t>(ONS, 2016)</w:t>
      </w:r>
    </w:p>
    <w:p w:rsidR="00137696" w:rsidRPr="00137696" w:rsidRDefault="00137696" w:rsidP="00137696">
      <w:pPr>
        <w:pStyle w:val="ListParagraph"/>
        <w:ind w:left="360"/>
        <w:jc w:val="both"/>
      </w:pPr>
    </w:p>
    <w:p w:rsidR="000D0084" w:rsidRDefault="000D0084" w:rsidP="00192023">
      <w:pPr>
        <w:ind w:left="1080"/>
        <w:contextualSpacing/>
        <w:jc w:val="both"/>
        <w:rPr>
          <w:rFonts w:asciiTheme="minorHAnsi" w:hAnsiTheme="minorHAnsi"/>
          <w:b w:val="0"/>
          <w:sz w:val="24"/>
          <w:szCs w:val="24"/>
        </w:rPr>
      </w:pPr>
    </w:p>
    <w:p w:rsidR="000D0084" w:rsidRDefault="000D0084" w:rsidP="00192023">
      <w:pPr>
        <w:ind w:left="1080"/>
        <w:contextualSpacing/>
        <w:jc w:val="both"/>
        <w:rPr>
          <w:rFonts w:asciiTheme="minorHAnsi" w:hAnsiTheme="minorHAnsi"/>
          <w:b w:val="0"/>
          <w:sz w:val="24"/>
          <w:szCs w:val="24"/>
        </w:rPr>
      </w:pPr>
    </w:p>
    <w:p w:rsidR="000D0084" w:rsidRDefault="000D0084" w:rsidP="00192023">
      <w:pPr>
        <w:ind w:left="1080"/>
        <w:contextualSpacing/>
        <w:jc w:val="both"/>
        <w:rPr>
          <w:rFonts w:asciiTheme="minorHAnsi" w:hAnsiTheme="minorHAnsi"/>
          <w:b w:val="0"/>
          <w:sz w:val="24"/>
          <w:szCs w:val="24"/>
        </w:rPr>
      </w:pPr>
    </w:p>
    <w:p w:rsidR="001C2D6E" w:rsidRDefault="001C2D6E" w:rsidP="001C2D6E">
      <w:pPr>
        <w:pStyle w:val="ListParagraph"/>
        <w:numPr>
          <w:ilvl w:val="1"/>
          <w:numId w:val="1"/>
        </w:numPr>
        <w:jc w:val="both"/>
        <w:sectPr w:rsidR="001C2D6E" w:rsidSect="00192023">
          <w:footerReference w:type="default" r:id="rId41"/>
          <w:pgSz w:w="11906" w:h="16838"/>
          <w:pgMar w:top="1440" w:right="1440" w:bottom="1440" w:left="1440" w:header="708" w:footer="708" w:gutter="0"/>
          <w:pgNumType w:start="1"/>
          <w:cols w:space="708"/>
          <w:docGrid w:linePitch="360"/>
        </w:sectPr>
      </w:pPr>
    </w:p>
    <w:p w:rsidR="000D0084" w:rsidRPr="001C2D6E" w:rsidRDefault="00B42998" w:rsidP="001C2D6E">
      <w:pPr>
        <w:pStyle w:val="ListParagraph"/>
        <w:numPr>
          <w:ilvl w:val="1"/>
          <w:numId w:val="1"/>
        </w:numPr>
        <w:jc w:val="both"/>
        <w:rPr>
          <w:b/>
          <w:u w:val="single"/>
        </w:rPr>
      </w:pPr>
      <w:r>
        <w:rPr>
          <w:b/>
          <w:u w:val="single"/>
        </w:rPr>
        <w:lastRenderedPageBreak/>
        <w:t>APPENDIX C</w:t>
      </w:r>
    </w:p>
    <w:tbl>
      <w:tblPr>
        <w:tblpPr w:leftFromText="180" w:rightFromText="180" w:vertAnchor="text" w:horzAnchor="margin" w:tblpXSpec="center" w:tblpY="661"/>
        <w:tblW w:w="14646" w:type="dxa"/>
        <w:tblLook w:val="04A0" w:firstRow="1" w:lastRow="0" w:firstColumn="1" w:lastColumn="0" w:noHBand="0" w:noVBand="1"/>
      </w:tblPr>
      <w:tblGrid>
        <w:gridCol w:w="1754"/>
        <w:gridCol w:w="1172"/>
        <w:gridCol w:w="1172"/>
        <w:gridCol w:w="1172"/>
        <w:gridCol w:w="1172"/>
        <w:gridCol w:w="1172"/>
        <w:gridCol w:w="1172"/>
        <w:gridCol w:w="1172"/>
        <w:gridCol w:w="1172"/>
        <w:gridCol w:w="1172"/>
        <w:gridCol w:w="1172"/>
        <w:gridCol w:w="1172"/>
      </w:tblGrid>
      <w:tr w:rsidR="001C2D6E" w:rsidRPr="001C2D6E" w:rsidTr="001C2D6E">
        <w:trPr>
          <w:trHeight w:val="216"/>
        </w:trPr>
        <w:tc>
          <w:tcPr>
            <w:tcW w:w="1754" w:type="dxa"/>
            <w:tcBorders>
              <w:top w:val="nil"/>
              <w:left w:val="nil"/>
              <w:bottom w:val="nil"/>
              <w:right w:val="nil"/>
            </w:tcBorders>
            <w:shd w:val="clear" w:color="auto" w:fill="auto"/>
            <w:noWrap/>
            <w:vAlign w:val="bottom"/>
            <w:hideMark/>
          </w:tcPr>
          <w:p w:rsidR="001C2D6E" w:rsidRPr="001C2D6E" w:rsidRDefault="001C2D6E" w:rsidP="001C2D6E">
            <w:pPr>
              <w:spacing w:after="0" w:line="240" w:lineRule="auto"/>
              <w:rPr>
                <w:rFonts w:ascii="Times New Roman" w:eastAsia="Times New Roman" w:hAnsi="Times New Roman" w:cs="Times New Roman"/>
                <w:b w:val="0"/>
                <w:sz w:val="24"/>
                <w:szCs w:val="24"/>
                <w:lang w:eastAsia="en-GB"/>
              </w:rPr>
            </w:pPr>
          </w:p>
        </w:tc>
        <w:tc>
          <w:tcPr>
            <w:tcW w:w="1172" w:type="dxa"/>
            <w:tcBorders>
              <w:top w:val="nil"/>
              <w:left w:val="nil"/>
              <w:bottom w:val="nil"/>
              <w:right w:val="nil"/>
            </w:tcBorders>
            <w:shd w:val="clear" w:color="auto" w:fill="auto"/>
            <w:noWrap/>
            <w:vAlign w:val="bottom"/>
            <w:hideMark/>
          </w:tcPr>
          <w:p w:rsidR="001C2D6E" w:rsidRPr="001C2D6E" w:rsidRDefault="001C2D6E" w:rsidP="001C2D6E">
            <w:pPr>
              <w:spacing w:after="0" w:line="240" w:lineRule="auto"/>
              <w:rPr>
                <w:rFonts w:eastAsia="Times New Roman" w:cs="Calibri"/>
                <w:b w:val="0"/>
                <w:color w:val="000000"/>
                <w:sz w:val="22"/>
                <w:lang w:eastAsia="en-GB"/>
              </w:rPr>
            </w:pPr>
            <w:r w:rsidRPr="001C2D6E">
              <w:rPr>
                <w:rFonts w:eastAsia="Times New Roman" w:cs="Calibri"/>
                <w:b w:val="0"/>
                <w:noProof/>
                <w:color w:val="000000"/>
                <w:sz w:val="22"/>
                <w:lang w:eastAsia="en-GB"/>
              </w:rPr>
              <mc:AlternateContent>
                <mc:Choice Requires="wps">
                  <w:drawing>
                    <wp:anchor distT="0" distB="0" distL="114300" distR="114300" simplePos="0" relativeHeight="251659264" behindDoc="0" locked="0" layoutInCell="1" allowOverlap="1" wp14:anchorId="3A25B198" wp14:editId="531AEBE2">
                      <wp:simplePos x="0" y="0"/>
                      <wp:positionH relativeFrom="column">
                        <wp:posOffset>0</wp:posOffset>
                      </wp:positionH>
                      <wp:positionV relativeFrom="paragraph">
                        <wp:posOffset>0</wp:posOffset>
                      </wp:positionV>
                      <wp:extent cx="304800" cy="304800"/>
                      <wp:effectExtent l="0" t="0" r="0" b="0"/>
                      <wp:wrapNone/>
                      <wp:docPr id="1073" name="Rectangle 1073" descr="Click here to so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C70161C" id="Rectangle 1073" o:spid="_x0000_s1026" alt="Click here to sort" style="position:absolute;margin-left:0;margin-top:0;width:24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X4SGREwIA&#10;ACAEAAAOAAAAAAAAAAAAAAAAAC4CAABkcnMvZTJvRG9jLnhtbFBLAQItABQABgAIAAAAIQBMoOks&#10;2AAAAAMBAAAPAAAAAAAAAAAAAAAAAG0EAABkcnMvZG93bnJldi54bWxQSwUGAAAAAAQABADzAAAA&#10;cgUAAAAA&#10;" filled="f" stroked="f">
                      <o:lock v:ext="edit" aspectratio="t"/>
                    </v:rect>
                  </w:pict>
                </mc:Fallback>
              </mc:AlternateContent>
            </w:r>
            <w:r w:rsidRPr="001C2D6E">
              <w:rPr>
                <w:rFonts w:eastAsia="Times New Roman" w:cs="Calibri"/>
                <w:b w:val="0"/>
                <w:noProof/>
                <w:color w:val="000000"/>
                <w:sz w:val="22"/>
                <w:lang w:eastAsia="en-GB"/>
              </w:rPr>
              <mc:AlternateContent>
                <mc:Choice Requires="wps">
                  <w:drawing>
                    <wp:anchor distT="0" distB="0" distL="114300" distR="114300" simplePos="0" relativeHeight="251660288" behindDoc="0" locked="0" layoutInCell="1" allowOverlap="1" wp14:anchorId="4AD82ADF" wp14:editId="61F18AD2">
                      <wp:simplePos x="0" y="0"/>
                      <wp:positionH relativeFrom="column">
                        <wp:posOffset>0</wp:posOffset>
                      </wp:positionH>
                      <wp:positionV relativeFrom="paragraph">
                        <wp:posOffset>0</wp:posOffset>
                      </wp:positionV>
                      <wp:extent cx="304800" cy="304800"/>
                      <wp:effectExtent l="0" t="0" r="0" b="0"/>
                      <wp:wrapNone/>
                      <wp:docPr id="1074" name="Rectangle 1074" descr="Click here to so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5648E17" id="Rectangle 1074" o:spid="_x0000_s1026" alt="Click here to sort" style="position:absolute;margin-left:0;margin-top:0;width:24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k/6fSEwIA&#10;ACAEAAAOAAAAAAAAAAAAAAAAAC4CAABkcnMvZTJvRG9jLnhtbFBLAQItABQABgAIAAAAIQBMoOks&#10;2AAAAAMBAAAPAAAAAAAAAAAAAAAAAG0EAABkcnMvZG93bnJldi54bWxQSwUGAAAAAAQABADzAAAA&#10;cgUAAAAA&#10;" filled="f" stroked="f">
                      <o:lock v:ext="edit" aspectratio="t"/>
                    </v:rect>
                  </w:pict>
                </mc:Fallback>
              </mc:AlternateContent>
            </w:r>
          </w:p>
          <w:tbl>
            <w:tblPr>
              <w:tblW w:w="750" w:type="dxa"/>
              <w:tblCellSpacing w:w="0" w:type="dxa"/>
              <w:tblInd w:w="2" w:type="dxa"/>
              <w:tblCellMar>
                <w:left w:w="0" w:type="dxa"/>
                <w:right w:w="0" w:type="dxa"/>
              </w:tblCellMar>
              <w:tblLook w:val="04A0" w:firstRow="1" w:lastRow="0" w:firstColumn="1" w:lastColumn="0" w:noHBand="0" w:noVBand="1"/>
            </w:tblPr>
            <w:tblGrid>
              <w:gridCol w:w="750"/>
            </w:tblGrid>
            <w:tr w:rsidR="001C2D6E" w:rsidRPr="001C2D6E" w:rsidTr="001C2D6E">
              <w:trPr>
                <w:trHeight w:val="216"/>
                <w:tblCellSpacing w:w="0" w:type="dxa"/>
              </w:trPr>
              <w:tc>
                <w:tcPr>
                  <w:tcW w:w="750" w:type="dxa"/>
                  <w:tcBorders>
                    <w:top w:val="nil"/>
                    <w:left w:val="single" w:sz="8" w:space="0" w:color="9F9F9F"/>
                    <w:bottom w:val="single" w:sz="8" w:space="0" w:color="9F9F9F"/>
                    <w:right w:val="nil"/>
                  </w:tcBorders>
                  <w:shd w:val="clear" w:color="000000" w:fill="EAD1EF"/>
                  <w:hideMark/>
                </w:tcPr>
                <w:p w:rsidR="001C2D6E" w:rsidRPr="001C2D6E" w:rsidRDefault="001C2D6E" w:rsidP="00B62A1B">
                  <w:pPr>
                    <w:framePr w:hSpace="180" w:wrap="around" w:vAnchor="text" w:hAnchor="margin" w:xAlign="center" w:y="661"/>
                    <w:spacing w:after="0" w:line="240" w:lineRule="auto"/>
                    <w:jc w:val="center"/>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2001</w:t>
                  </w:r>
                </w:p>
              </w:tc>
            </w:tr>
          </w:tbl>
          <w:p w:rsidR="001C2D6E" w:rsidRPr="001C2D6E" w:rsidRDefault="001C2D6E" w:rsidP="001C2D6E">
            <w:pPr>
              <w:spacing w:after="0" w:line="240" w:lineRule="auto"/>
              <w:rPr>
                <w:rFonts w:eastAsia="Times New Roman" w:cs="Calibri"/>
                <w:b w:val="0"/>
                <w:color w:val="000000"/>
                <w:sz w:val="22"/>
                <w:lang w:eastAsia="en-GB"/>
              </w:rPr>
            </w:pPr>
          </w:p>
        </w:tc>
        <w:tc>
          <w:tcPr>
            <w:tcW w:w="1172" w:type="dxa"/>
            <w:tcBorders>
              <w:top w:val="nil"/>
              <w:left w:val="nil"/>
              <w:bottom w:val="nil"/>
              <w:right w:val="nil"/>
            </w:tcBorders>
            <w:shd w:val="clear" w:color="auto" w:fill="auto"/>
            <w:noWrap/>
            <w:vAlign w:val="bottom"/>
            <w:hideMark/>
          </w:tcPr>
          <w:p w:rsidR="001C2D6E" w:rsidRPr="001C2D6E" w:rsidRDefault="001C2D6E" w:rsidP="001C2D6E">
            <w:pPr>
              <w:spacing w:after="0" w:line="240" w:lineRule="auto"/>
              <w:rPr>
                <w:rFonts w:eastAsia="Times New Roman" w:cs="Calibri"/>
                <w:b w:val="0"/>
                <w:color w:val="000000"/>
                <w:sz w:val="22"/>
                <w:lang w:eastAsia="en-GB"/>
              </w:rPr>
            </w:pPr>
            <w:r w:rsidRPr="001C2D6E">
              <w:rPr>
                <w:rFonts w:eastAsia="Times New Roman" w:cs="Calibri"/>
                <w:b w:val="0"/>
                <w:noProof/>
                <w:color w:val="000000"/>
                <w:sz w:val="22"/>
                <w:lang w:eastAsia="en-GB"/>
              </w:rPr>
              <w:drawing>
                <wp:anchor distT="0" distB="0" distL="114300" distR="114300" simplePos="0" relativeHeight="251661312" behindDoc="0" locked="0" layoutInCell="1" allowOverlap="1" wp14:anchorId="0A678404" wp14:editId="40404C3E">
                  <wp:simplePos x="0" y="0"/>
                  <wp:positionH relativeFrom="column">
                    <wp:posOffset>0</wp:posOffset>
                  </wp:positionH>
                  <wp:positionV relativeFrom="paragraph">
                    <wp:posOffset>0</wp:posOffset>
                  </wp:positionV>
                  <wp:extent cx="304800" cy="304800"/>
                  <wp:effectExtent l="0" t="0" r="0" b="0"/>
                  <wp:wrapNone/>
                  <wp:docPr id="19" name="Picture 19"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1"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750" w:type="dxa"/>
              <w:tblCellSpacing w:w="0" w:type="dxa"/>
              <w:tblInd w:w="2" w:type="dxa"/>
              <w:tblCellMar>
                <w:left w:w="0" w:type="dxa"/>
                <w:right w:w="0" w:type="dxa"/>
              </w:tblCellMar>
              <w:tblLook w:val="04A0" w:firstRow="1" w:lastRow="0" w:firstColumn="1" w:lastColumn="0" w:noHBand="0" w:noVBand="1"/>
            </w:tblPr>
            <w:tblGrid>
              <w:gridCol w:w="750"/>
            </w:tblGrid>
            <w:tr w:rsidR="001C2D6E" w:rsidRPr="001C2D6E" w:rsidTr="001C2D6E">
              <w:trPr>
                <w:trHeight w:val="216"/>
                <w:tblCellSpacing w:w="0" w:type="dxa"/>
              </w:trPr>
              <w:tc>
                <w:tcPr>
                  <w:tcW w:w="750" w:type="dxa"/>
                  <w:tcBorders>
                    <w:top w:val="nil"/>
                    <w:left w:val="single" w:sz="8" w:space="0" w:color="9F9F9F"/>
                    <w:bottom w:val="single" w:sz="8" w:space="0" w:color="9F9F9F"/>
                    <w:right w:val="nil"/>
                  </w:tcBorders>
                  <w:shd w:val="clear" w:color="000000" w:fill="EAD1EF"/>
                  <w:hideMark/>
                </w:tcPr>
                <w:p w:rsidR="001C2D6E" w:rsidRPr="001C2D6E" w:rsidRDefault="001C2D6E" w:rsidP="00B62A1B">
                  <w:pPr>
                    <w:framePr w:hSpace="180" w:wrap="around" w:vAnchor="text" w:hAnchor="margin" w:xAlign="center" w:y="661"/>
                    <w:spacing w:after="0" w:line="240" w:lineRule="auto"/>
                    <w:jc w:val="center"/>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2007</w:t>
                  </w:r>
                </w:p>
              </w:tc>
            </w:tr>
          </w:tbl>
          <w:p w:rsidR="001C2D6E" w:rsidRPr="001C2D6E" w:rsidRDefault="001C2D6E" w:rsidP="001C2D6E">
            <w:pPr>
              <w:spacing w:after="0" w:line="240" w:lineRule="auto"/>
              <w:rPr>
                <w:rFonts w:eastAsia="Times New Roman" w:cs="Calibri"/>
                <w:b w:val="0"/>
                <w:color w:val="000000"/>
                <w:sz w:val="22"/>
                <w:lang w:eastAsia="en-GB"/>
              </w:rPr>
            </w:pPr>
          </w:p>
        </w:tc>
        <w:tc>
          <w:tcPr>
            <w:tcW w:w="1172" w:type="dxa"/>
            <w:tcBorders>
              <w:top w:val="nil"/>
              <w:left w:val="nil"/>
              <w:bottom w:val="nil"/>
              <w:right w:val="nil"/>
            </w:tcBorders>
            <w:shd w:val="clear" w:color="auto" w:fill="auto"/>
            <w:noWrap/>
            <w:vAlign w:val="bottom"/>
            <w:hideMark/>
          </w:tcPr>
          <w:p w:rsidR="001C2D6E" w:rsidRPr="001C2D6E" w:rsidRDefault="001C2D6E" w:rsidP="001C2D6E">
            <w:pPr>
              <w:spacing w:after="0" w:line="240" w:lineRule="auto"/>
              <w:rPr>
                <w:rFonts w:eastAsia="Times New Roman" w:cs="Calibri"/>
                <w:b w:val="0"/>
                <w:color w:val="000000"/>
                <w:sz w:val="22"/>
                <w:lang w:eastAsia="en-GB"/>
              </w:rPr>
            </w:pPr>
            <w:r w:rsidRPr="001C2D6E">
              <w:rPr>
                <w:rFonts w:eastAsia="Times New Roman" w:cs="Calibri"/>
                <w:b w:val="0"/>
                <w:noProof/>
                <w:color w:val="000000"/>
                <w:sz w:val="22"/>
                <w:lang w:eastAsia="en-GB"/>
              </w:rPr>
              <w:drawing>
                <wp:anchor distT="0" distB="0" distL="114300" distR="114300" simplePos="0" relativeHeight="251662336" behindDoc="0" locked="0" layoutInCell="1" allowOverlap="1" wp14:anchorId="7DB9C89A" wp14:editId="5B51B33B">
                  <wp:simplePos x="0" y="0"/>
                  <wp:positionH relativeFrom="column">
                    <wp:posOffset>0</wp:posOffset>
                  </wp:positionH>
                  <wp:positionV relativeFrom="paragraph">
                    <wp:posOffset>0</wp:posOffset>
                  </wp:positionV>
                  <wp:extent cx="304800" cy="304800"/>
                  <wp:effectExtent l="0" t="0" r="0" b="0"/>
                  <wp:wrapNone/>
                  <wp:docPr id="18" name="Picture 18"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2"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750" w:type="dxa"/>
              <w:tblCellSpacing w:w="0" w:type="dxa"/>
              <w:tblInd w:w="2" w:type="dxa"/>
              <w:tblCellMar>
                <w:left w:w="0" w:type="dxa"/>
                <w:right w:w="0" w:type="dxa"/>
              </w:tblCellMar>
              <w:tblLook w:val="04A0" w:firstRow="1" w:lastRow="0" w:firstColumn="1" w:lastColumn="0" w:noHBand="0" w:noVBand="1"/>
            </w:tblPr>
            <w:tblGrid>
              <w:gridCol w:w="750"/>
            </w:tblGrid>
            <w:tr w:rsidR="001C2D6E" w:rsidRPr="001C2D6E" w:rsidTr="001C2D6E">
              <w:trPr>
                <w:trHeight w:val="216"/>
                <w:tblCellSpacing w:w="0" w:type="dxa"/>
              </w:trPr>
              <w:tc>
                <w:tcPr>
                  <w:tcW w:w="750" w:type="dxa"/>
                  <w:tcBorders>
                    <w:top w:val="nil"/>
                    <w:left w:val="single" w:sz="8" w:space="0" w:color="9F9F9F"/>
                    <w:bottom w:val="single" w:sz="8" w:space="0" w:color="9F9F9F"/>
                    <w:right w:val="nil"/>
                  </w:tcBorders>
                  <w:shd w:val="clear" w:color="000000" w:fill="EAD1EF"/>
                  <w:hideMark/>
                </w:tcPr>
                <w:p w:rsidR="001C2D6E" w:rsidRPr="001C2D6E" w:rsidRDefault="001C2D6E" w:rsidP="00B62A1B">
                  <w:pPr>
                    <w:framePr w:hSpace="180" w:wrap="around" w:vAnchor="text" w:hAnchor="margin" w:xAlign="center" w:y="661"/>
                    <w:spacing w:after="0" w:line="240" w:lineRule="auto"/>
                    <w:jc w:val="center"/>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2008</w:t>
                  </w:r>
                </w:p>
              </w:tc>
            </w:tr>
          </w:tbl>
          <w:p w:rsidR="001C2D6E" w:rsidRPr="001C2D6E" w:rsidRDefault="001C2D6E" w:rsidP="001C2D6E">
            <w:pPr>
              <w:spacing w:after="0" w:line="240" w:lineRule="auto"/>
              <w:rPr>
                <w:rFonts w:eastAsia="Times New Roman" w:cs="Calibri"/>
                <w:b w:val="0"/>
                <w:color w:val="000000"/>
                <w:sz w:val="22"/>
                <w:lang w:eastAsia="en-GB"/>
              </w:rPr>
            </w:pPr>
          </w:p>
        </w:tc>
        <w:tc>
          <w:tcPr>
            <w:tcW w:w="1172" w:type="dxa"/>
            <w:tcBorders>
              <w:top w:val="nil"/>
              <w:left w:val="nil"/>
              <w:bottom w:val="nil"/>
              <w:right w:val="nil"/>
            </w:tcBorders>
            <w:shd w:val="clear" w:color="auto" w:fill="auto"/>
            <w:noWrap/>
            <w:vAlign w:val="bottom"/>
            <w:hideMark/>
          </w:tcPr>
          <w:p w:rsidR="001C2D6E" w:rsidRPr="001C2D6E" w:rsidRDefault="001C2D6E" w:rsidP="001C2D6E">
            <w:pPr>
              <w:spacing w:after="0" w:line="240" w:lineRule="auto"/>
              <w:rPr>
                <w:rFonts w:eastAsia="Times New Roman" w:cs="Calibri"/>
                <w:b w:val="0"/>
                <w:color w:val="000000"/>
                <w:sz w:val="22"/>
                <w:lang w:eastAsia="en-GB"/>
              </w:rPr>
            </w:pPr>
            <w:r w:rsidRPr="001C2D6E">
              <w:rPr>
                <w:rFonts w:eastAsia="Times New Roman" w:cs="Calibri"/>
                <w:b w:val="0"/>
                <w:noProof/>
                <w:color w:val="000000"/>
                <w:sz w:val="22"/>
                <w:lang w:eastAsia="en-GB"/>
              </w:rPr>
              <w:drawing>
                <wp:anchor distT="0" distB="0" distL="114300" distR="114300" simplePos="0" relativeHeight="251663360" behindDoc="0" locked="0" layoutInCell="1" allowOverlap="1" wp14:anchorId="6855BEDD" wp14:editId="3C881BB9">
                  <wp:simplePos x="0" y="0"/>
                  <wp:positionH relativeFrom="column">
                    <wp:posOffset>0</wp:posOffset>
                  </wp:positionH>
                  <wp:positionV relativeFrom="paragraph">
                    <wp:posOffset>0</wp:posOffset>
                  </wp:positionV>
                  <wp:extent cx="304800" cy="304800"/>
                  <wp:effectExtent l="0" t="0" r="0" b="0"/>
                  <wp:wrapNone/>
                  <wp:docPr id="17" name="Picture 17"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3"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750" w:type="dxa"/>
              <w:tblCellSpacing w:w="0" w:type="dxa"/>
              <w:tblInd w:w="2" w:type="dxa"/>
              <w:tblCellMar>
                <w:left w:w="0" w:type="dxa"/>
                <w:right w:w="0" w:type="dxa"/>
              </w:tblCellMar>
              <w:tblLook w:val="04A0" w:firstRow="1" w:lastRow="0" w:firstColumn="1" w:lastColumn="0" w:noHBand="0" w:noVBand="1"/>
            </w:tblPr>
            <w:tblGrid>
              <w:gridCol w:w="750"/>
            </w:tblGrid>
            <w:tr w:rsidR="001C2D6E" w:rsidRPr="001C2D6E" w:rsidTr="001C2D6E">
              <w:trPr>
                <w:trHeight w:val="216"/>
                <w:tblCellSpacing w:w="0" w:type="dxa"/>
              </w:trPr>
              <w:tc>
                <w:tcPr>
                  <w:tcW w:w="750" w:type="dxa"/>
                  <w:tcBorders>
                    <w:top w:val="nil"/>
                    <w:left w:val="single" w:sz="8" w:space="0" w:color="9F9F9F"/>
                    <w:bottom w:val="single" w:sz="8" w:space="0" w:color="9F9F9F"/>
                    <w:right w:val="nil"/>
                  </w:tcBorders>
                  <w:shd w:val="clear" w:color="000000" w:fill="EAD1EF"/>
                  <w:hideMark/>
                </w:tcPr>
                <w:p w:rsidR="001C2D6E" w:rsidRPr="001C2D6E" w:rsidRDefault="001C2D6E" w:rsidP="00B62A1B">
                  <w:pPr>
                    <w:framePr w:hSpace="180" w:wrap="around" w:vAnchor="text" w:hAnchor="margin" w:xAlign="center" w:y="661"/>
                    <w:spacing w:after="0" w:line="240" w:lineRule="auto"/>
                    <w:jc w:val="center"/>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2009</w:t>
                  </w:r>
                </w:p>
              </w:tc>
            </w:tr>
          </w:tbl>
          <w:p w:rsidR="001C2D6E" w:rsidRPr="001C2D6E" w:rsidRDefault="001C2D6E" w:rsidP="001C2D6E">
            <w:pPr>
              <w:spacing w:after="0" w:line="240" w:lineRule="auto"/>
              <w:rPr>
                <w:rFonts w:eastAsia="Times New Roman" w:cs="Calibri"/>
                <w:b w:val="0"/>
                <w:color w:val="000000"/>
                <w:sz w:val="22"/>
                <w:lang w:eastAsia="en-GB"/>
              </w:rPr>
            </w:pPr>
          </w:p>
        </w:tc>
        <w:tc>
          <w:tcPr>
            <w:tcW w:w="1172" w:type="dxa"/>
            <w:tcBorders>
              <w:top w:val="nil"/>
              <w:left w:val="nil"/>
              <w:bottom w:val="nil"/>
              <w:right w:val="nil"/>
            </w:tcBorders>
            <w:shd w:val="clear" w:color="auto" w:fill="auto"/>
            <w:noWrap/>
            <w:vAlign w:val="bottom"/>
            <w:hideMark/>
          </w:tcPr>
          <w:p w:rsidR="001C2D6E" w:rsidRPr="001C2D6E" w:rsidRDefault="001C2D6E" w:rsidP="001C2D6E">
            <w:pPr>
              <w:spacing w:after="0" w:line="240" w:lineRule="auto"/>
              <w:rPr>
                <w:rFonts w:eastAsia="Times New Roman" w:cs="Calibri"/>
                <w:b w:val="0"/>
                <w:color w:val="000000"/>
                <w:sz w:val="22"/>
                <w:lang w:eastAsia="en-GB"/>
              </w:rPr>
            </w:pPr>
            <w:r w:rsidRPr="001C2D6E">
              <w:rPr>
                <w:rFonts w:eastAsia="Times New Roman" w:cs="Calibri"/>
                <w:b w:val="0"/>
                <w:noProof/>
                <w:color w:val="000000"/>
                <w:sz w:val="22"/>
                <w:lang w:eastAsia="en-GB"/>
              </w:rPr>
              <w:drawing>
                <wp:anchor distT="0" distB="0" distL="114300" distR="114300" simplePos="0" relativeHeight="251664384" behindDoc="0" locked="0" layoutInCell="1" allowOverlap="1" wp14:anchorId="4C9C5036" wp14:editId="23BE16D0">
                  <wp:simplePos x="0" y="0"/>
                  <wp:positionH relativeFrom="column">
                    <wp:posOffset>0</wp:posOffset>
                  </wp:positionH>
                  <wp:positionV relativeFrom="paragraph">
                    <wp:posOffset>0</wp:posOffset>
                  </wp:positionV>
                  <wp:extent cx="304800" cy="304800"/>
                  <wp:effectExtent l="0" t="0" r="0" b="0"/>
                  <wp:wrapNone/>
                  <wp:docPr id="16" name="Picture 16"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4"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750" w:type="dxa"/>
              <w:tblCellSpacing w:w="0" w:type="dxa"/>
              <w:tblInd w:w="2" w:type="dxa"/>
              <w:tblCellMar>
                <w:left w:w="0" w:type="dxa"/>
                <w:right w:w="0" w:type="dxa"/>
              </w:tblCellMar>
              <w:tblLook w:val="04A0" w:firstRow="1" w:lastRow="0" w:firstColumn="1" w:lastColumn="0" w:noHBand="0" w:noVBand="1"/>
            </w:tblPr>
            <w:tblGrid>
              <w:gridCol w:w="750"/>
            </w:tblGrid>
            <w:tr w:rsidR="001C2D6E" w:rsidRPr="001C2D6E" w:rsidTr="001C2D6E">
              <w:trPr>
                <w:trHeight w:val="216"/>
                <w:tblCellSpacing w:w="0" w:type="dxa"/>
              </w:trPr>
              <w:tc>
                <w:tcPr>
                  <w:tcW w:w="750" w:type="dxa"/>
                  <w:tcBorders>
                    <w:top w:val="nil"/>
                    <w:left w:val="single" w:sz="8" w:space="0" w:color="9F9F9F"/>
                    <w:bottom w:val="single" w:sz="8" w:space="0" w:color="9F9F9F"/>
                    <w:right w:val="nil"/>
                  </w:tcBorders>
                  <w:shd w:val="clear" w:color="000000" w:fill="EAD1EF"/>
                  <w:hideMark/>
                </w:tcPr>
                <w:p w:rsidR="001C2D6E" w:rsidRPr="001C2D6E" w:rsidRDefault="001C2D6E" w:rsidP="00B62A1B">
                  <w:pPr>
                    <w:framePr w:hSpace="180" w:wrap="around" w:vAnchor="text" w:hAnchor="margin" w:xAlign="center" w:y="661"/>
                    <w:spacing w:after="0" w:line="240" w:lineRule="auto"/>
                    <w:jc w:val="center"/>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2010</w:t>
                  </w:r>
                </w:p>
              </w:tc>
            </w:tr>
          </w:tbl>
          <w:p w:rsidR="001C2D6E" w:rsidRPr="001C2D6E" w:rsidRDefault="001C2D6E" w:rsidP="001C2D6E">
            <w:pPr>
              <w:spacing w:after="0" w:line="240" w:lineRule="auto"/>
              <w:rPr>
                <w:rFonts w:eastAsia="Times New Roman" w:cs="Calibri"/>
                <w:b w:val="0"/>
                <w:color w:val="000000"/>
                <w:sz w:val="22"/>
                <w:lang w:eastAsia="en-GB"/>
              </w:rPr>
            </w:pPr>
          </w:p>
        </w:tc>
        <w:tc>
          <w:tcPr>
            <w:tcW w:w="1172" w:type="dxa"/>
            <w:tcBorders>
              <w:top w:val="nil"/>
              <w:left w:val="nil"/>
              <w:bottom w:val="nil"/>
              <w:right w:val="nil"/>
            </w:tcBorders>
            <w:shd w:val="clear" w:color="auto" w:fill="auto"/>
            <w:noWrap/>
            <w:vAlign w:val="bottom"/>
            <w:hideMark/>
          </w:tcPr>
          <w:p w:rsidR="001C2D6E" w:rsidRPr="001C2D6E" w:rsidRDefault="001C2D6E" w:rsidP="001C2D6E">
            <w:pPr>
              <w:spacing w:after="0" w:line="240" w:lineRule="auto"/>
              <w:rPr>
                <w:rFonts w:eastAsia="Times New Roman" w:cs="Calibri"/>
                <w:b w:val="0"/>
                <w:color w:val="000000"/>
                <w:sz w:val="22"/>
                <w:lang w:eastAsia="en-GB"/>
              </w:rPr>
            </w:pPr>
            <w:r w:rsidRPr="001C2D6E">
              <w:rPr>
                <w:rFonts w:eastAsia="Times New Roman" w:cs="Calibri"/>
                <w:b w:val="0"/>
                <w:noProof/>
                <w:color w:val="000000"/>
                <w:sz w:val="22"/>
                <w:lang w:eastAsia="en-GB"/>
              </w:rPr>
              <w:drawing>
                <wp:anchor distT="0" distB="0" distL="114300" distR="114300" simplePos="0" relativeHeight="251665408" behindDoc="0" locked="0" layoutInCell="1" allowOverlap="1" wp14:anchorId="4E7DF251" wp14:editId="50C5F593">
                  <wp:simplePos x="0" y="0"/>
                  <wp:positionH relativeFrom="column">
                    <wp:posOffset>0</wp:posOffset>
                  </wp:positionH>
                  <wp:positionV relativeFrom="paragraph">
                    <wp:posOffset>0</wp:posOffset>
                  </wp:positionV>
                  <wp:extent cx="304800" cy="304800"/>
                  <wp:effectExtent l="0" t="0" r="0" b="0"/>
                  <wp:wrapNone/>
                  <wp:docPr id="15" name="Picture 15"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5"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750" w:type="dxa"/>
              <w:tblCellSpacing w:w="0" w:type="dxa"/>
              <w:tblInd w:w="2" w:type="dxa"/>
              <w:tblCellMar>
                <w:left w:w="0" w:type="dxa"/>
                <w:right w:w="0" w:type="dxa"/>
              </w:tblCellMar>
              <w:tblLook w:val="04A0" w:firstRow="1" w:lastRow="0" w:firstColumn="1" w:lastColumn="0" w:noHBand="0" w:noVBand="1"/>
            </w:tblPr>
            <w:tblGrid>
              <w:gridCol w:w="750"/>
            </w:tblGrid>
            <w:tr w:rsidR="001C2D6E" w:rsidRPr="001C2D6E" w:rsidTr="001C2D6E">
              <w:trPr>
                <w:trHeight w:val="216"/>
                <w:tblCellSpacing w:w="0" w:type="dxa"/>
              </w:trPr>
              <w:tc>
                <w:tcPr>
                  <w:tcW w:w="750" w:type="dxa"/>
                  <w:tcBorders>
                    <w:top w:val="nil"/>
                    <w:left w:val="single" w:sz="8" w:space="0" w:color="9F9F9F"/>
                    <w:bottom w:val="single" w:sz="8" w:space="0" w:color="9F9F9F"/>
                    <w:right w:val="nil"/>
                  </w:tcBorders>
                  <w:shd w:val="clear" w:color="000000" w:fill="EAD1EF"/>
                  <w:hideMark/>
                </w:tcPr>
                <w:p w:rsidR="001C2D6E" w:rsidRPr="001C2D6E" w:rsidRDefault="001C2D6E" w:rsidP="00B62A1B">
                  <w:pPr>
                    <w:framePr w:hSpace="180" w:wrap="around" w:vAnchor="text" w:hAnchor="margin" w:xAlign="center" w:y="661"/>
                    <w:spacing w:after="0" w:line="240" w:lineRule="auto"/>
                    <w:jc w:val="center"/>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2011</w:t>
                  </w:r>
                </w:p>
              </w:tc>
            </w:tr>
          </w:tbl>
          <w:p w:rsidR="001C2D6E" w:rsidRPr="001C2D6E" w:rsidRDefault="001C2D6E" w:rsidP="001C2D6E">
            <w:pPr>
              <w:spacing w:after="0" w:line="240" w:lineRule="auto"/>
              <w:rPr>
                <w:rFonts w:eastAsia="Times New Roman" w:cs="Calibri"/>
                <w:b w:val="0"/>
                <w:color w:val="000000"/>
                <w:sz w:val="22"/>
                <w:lang w:eastAsia="en-GB"/>
              </w:rPr>
            </w:pPr>
          </w:p>
        </w:tc>
        <w:tc>
          <w:tcPr>
            <w:tcW w:w="1172" w:type="dxa"/>
            <w:tcBorders>
              <w:top w:val="nil"/>
              <w:left w:val="nil"/>
              <w:bottom w:val="nil"/>
              <w:right w:val="nil"/>
            </w:tcBorders>
            <w:shd w:val="clear" w:color="auto" w:fill="auto"/>
            <w:noWrap/>
            <w:vAlign w:val="bottom"/>
            <w:hideMark/>
          </w:tcPr>
          <w:p w:rsidR="001C2D6E" w:rsidRPr="001C2D6E" w:rsidRDefault="001C2D6E" w:rsidP="001C2D6E">
            <w:pPr>
              <w:spacing w:after="0" w:line="240" w:lineRule="auto"/>
              <w:rPr>
                <w:rFonts w:eastAsia="Times New Roman" w:cs="Calibri"/>
                <w:b w:val="0"/>
                <w:color w:val="000000"/>
                <w:sz w:val="22"/>
                <w:lang w:eastAsia="en-GB"/>
              </w:rPr>
            </w:pPr>
            <w:r w:rsidRPr="001C2D6E">
              <w:rPr>
                <w:rFonts w:eastAsia="Times New Roman" w:cs="Calibri"/>
                <w:b w:val="0"/>
                <w:noProof/>
                <w:color w:val="000000"/>
                <w:sz w:val="22"/>
                <w:lang w:eastAsia="en-GB"/>
              </w:rPr>
              <w:drawing>
                <wp:anchor distT="0" distB="0" distL="114300" distR="114300" simplePos="0" relativeHeight="251666432" behindDoc="0" locked="0" layoutInCell="1" allowOverlap="1" wp14:anchorId="556AF4AC" wp14:editId="03395663">
                  <wp:simplePos x="0" y="0"/>
                  <wp:positionH relativeFrom="column">
                    <wp:posOffset>0</wp:posOffset>
                  </wp:positionH>
                  <wp:positionV relativeFrom="paragraph">
                    <wp:posOffset>0</wp:posOffset>
                  </wp:positionV>
                  <wp:extent cx="304800" cy="304800"/>
                  <wp:effectExtent l="0" t="0" r="0" b="0"/>
                  <wp:wrapNone/>
                  <wp:docPr id="14" name="Picture 14"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750" w:type="dxa"/>
              <w:tblCellSpacing w:w="0" w:type="dxa"/>
              <w:tblInd w:w="2" w:type="dxa"/>
              <w:tblCellMar>
                <w:left w:w="0" w:type="dxa"/>
                <w:right w:w="0" w:type="dxa"/>
              </w:tblCellMar>
              <w:tblLook w:val="04A0" w:firstRow="1" w:lastRow="0" w:firstColumn="1" w:lastColumn="0" w:noHBand="0" w:noVBand="1"/>
            </w:tblPr>
            <w:tblGrid>
              <w:gridCol w:w="750"/>
            </w:tblGrid>
            <w:tr w:rsidR="001C2D6E" w:rsidRPr="001C2D6E" w:rsidTr="001C2D6E">
              <w:trPr>
                <w:trHeight w:val="216"/>
                <w:tblCellSpacing w:w="0" w:type="dxa"/>
              </w:trPr>
              <w:tc>
                <w:tcPr>
                  <w:tcW w:w="750" w:type="dxa"/>
                  <w:tcBorders>
                    <w:top w:val="nil"/>
                    <w:left w:val="single" w:sz="8" w:space="0" w:color="9F9F9F"/>
                    <w:bottom w:val="single" w:sz="8" w:space="0" w:color="9F9F9F"/>
                    <w:right w:val="nil"/>
                  </w:tcBorders>
                  <w:shd w:val="clear" w:color="000000" w:fill="EAD1EF"/>
                  <w:hideMark/>
                </w:tcPr>
                <w:p w:rsidR="001C2D6E" w:rsidRPr="001C2D6E" w:rsidRDefault="001C2D6E" w:rsidP="00B62A1B">
                  <w:pPr>
                    <w:framePr w:hSpace="180" w:wrap="around" w:vAnchor="text" w:hAnchor="margin" w:xAlign="center" w:y="661"/>
                    <w:spacing w:after="0" w:line="240" w:lineRule="auto"/>
                    <w:jc w:val="center"/>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2012</w:t>
                  </w:r>
                </w:p>
              </w:tc>
            </w:tr>
          </w:tbl>
          <w:p w:rsidR="001C2D6E" w:rsidRPr="001C2D6E" w:rsidRDefault="001C2D6E" w:rsidP="001C2D6E">
            <w:pPr>
              <w:spacing w:after="0" w:line="240" w:lineRule="auto"/>
              <w:rPr>
                <w:rFonts w:eastAsia="Times New Roman" w:cs="Calibri"/>
                <w:b w:val="0"/>
                <w:color w:val="000000"/>
                <w:sz w:val="22"/>
                <w:lang w:eastAsia="en-GB"/>
              </w:rPr>
            </w:pPr>
          </w:p>
        </w:tc>
        <w:tc>
          <w:tcPr>
            <w:tcW w:w="1172" w:type="dxa"/>
            <w:tcBorders>
              <w:top w:val="nil"/>
              <w:left w:val="nil"/>
              <w:bottom w:val="nil"/>
              <w:right w:val="nil"/>
            </w:tcBorders>
            <w:shd w:val="clear" w:color="auto" w:fill="auto"/>
            <w:noWrap/>
            <w:vAlign w:val="bottom"/>
            <w:hideMark/>
          </w:tcPr>
          <w:p w:rsidR="001C2D6E" w:rsidRPr="001C2D6E" w:rsidRDefault="001C2D6E" w:rsidP="001C2D6E">
            <w:pPr>
              <w:spacing w:after="0" w:line="240" w:lineRule="auto"/>
              <w:rPr>
                <w:rFonts w:eastAsia="Times New Roman" w:cs="Calibri"/>
                <w:b w:val="0"/>
                <w:color w:val="000000"/>
                <w:sz w:val="22"/>
                <w:lang w:eastAsia="en-GB"/>
              </w:rPr>
            </w:pPr>
            <w:r w:rsidRPr="001C2D6E">
              <w:rPr>
                <w:rFonts w:eastAsia="Times New Roman" w:cs="Calibri"/>
                <w:b w:val="0"/>
                <w:noProof/>
                <w:color w:val="000000"/>
                <w:sz w:val="22"/>
                <w:lang w:eastAsia="en-GB"/>
              </w:rPr>
              <w:drawing>
                <wp:anchor distT="0" distB="0" distL="114300" distR="114300" simplePos="0" relativeHeight="251667456" behindDoc="0" locked="0" layoutInCell="1" allowOverlap="1" wp14:anchorId="49B3B6A8" wp14:editId="0E7328B3">
                  <wp:simplePos x="0" y="0"/>
                  <wp:positionH relativeFrom="column">
                    <wp:posOffset>0</wp:posOffset>
                  </wp:positionH>
                  <wp:positionV relativeFrom="paragraph">
                    <wp:posOffset>0</wp:posOffset>
                  </wp:positionV>
                  <wp:extent cx="304800" cy="304800"/>
                  <wp:effectExtent l="0" t="0" r="0" b="0"/>
                  <wp:wrapNone/>
                  <wp:docPr id="13" name="Picture 13"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7"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750" w:type="dxa"/>
              <w:tblCellSpacing w:w="0" w:type="dxa"/>
              <w:tblInd w:w="2" w:type="dxa"/>
              <w:tblCellMar>
                <w:left w:w="0" w:type="dxa"/>
                <w:right w:w="0" w:type="dxa"/>
              </w:tblCellMar>
              <w:tblLook w:val="04A0" w:firstRow="1" w:lastRow="0" w:firstColumn="1" w:lastColumn="0" w:noHBand="0" w:noVBand="1"/>
            </w:tblPr>
            <w:tblGrid>
              <w:gridCol w:w="750"/>
            </w:tblGrid>
            <w:tr w:rsidR="001C2D6E" w:rsidRPr="001C2D6E" w:rsidTr="001C2D6E">
              <w:trPr>
                <w:trHeight w:val="216"/>
                <w:tblCellSpacing w:w="0" w:type="dxa"/>
              </w:trPr>
              <w:tc>
                <w:tcPr>
                  <w:tcW w:w="750" w:type="dxa"/>
                  <w:tcBorders>
                    <w:top w:val="nil"/>
                    <w:left w:val="single" w:sz="8" w:space="0" w:color="9F9F9F"/>
                    <w:bottom w:val="single" w:sz="8" w:space="0" w:color="9F9F9F"/>
                    <w:right w:val="nil"/>
                  </w:tcBorders>
                  <w:shd w:val="clear" w:color="000000" w:fill="EAD1EF"/>
                  <w:hideMark/>
                </w:tcPr>
                <w:p w:rsidR="001C2D6E" w:rsidRPr="001C2D6E" w:rsidRDefault="001C2D6E" w:rsidP="00B62A1B">
                  <w:pPr>
                    <w:framePr w:hSpace="180" w:wrap="around" w:vAnchor="text" w:hAnchor="margin" w:xAlign="center" w:y="661"/>
                    <w:spacing w:after="0" w:line="240" w:lineRule="auto"/>
                    <w:jc w:val="center"/>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2013</w:t>
                  </w:r>
                </w:p>
              </w:tc>
            </w:tr>
          </w:tbl>
          <w:p w:rsidR="001C2D6E" w:rsidRPr="001C2D6E" w:rsidRDefault="001C2D6E" w:rsidP="001C2D6E">
            <w:pPr>
              <w:spacing w:after="0" w:line="240" w:lineRule="auto"/>
              <w:rPr>
                <w:rFonts w:eastAsia="Times New Roman" w:cs="Calibri"/>
                <w:b w:val="0"/>
                <w:color w:val="000000"/>
                <w:sz w:val="22"/>
                <w:lang w:eastAsia="en-GB"/>
              </w:rPr>
            </w:pPr>
          </w:p>
        </w:tc>
        <w:tc>
          <w:tcPr>
            <w:tcW w:w="1172" w:type="dxa"/>
            <w:tcBorders>
              <w:top w:val="nil"/>
              <w:left w:val="nil"/>
              <w:bottom w:val="nil"/>
              <w:right w:val="nil"/>
            </w:tcBorders>
            <w:shd w:val="clear" w:color="auto" w:fill="auto"/>
            <w:noWrap/>
            <w:vAlign w:val="bottom"/>
            <w:hideMark/>
          </w:tcPr>
          <w:p w:rsidR="001C2D6E" w:rsidRPr="001C2D6E" w:rsidRDefault="001C2D6E" w:rsidP="001C2D6E">
            <w:pPr>
              <w:spacing w:after="0" w:line="240" w:lineRule="auto"/>
              <w:rPr>
                <w:rFonts w:eastAsia="Times New Roman" w:cs="Calibri"/>
                <w:b w:val="0"/>
                <w:color w:val="000000"/>
                <w:sz w:val="22"/>
                <w:lang w:eastAsia="en-GB"/>
              </w:rPr>
            </w:pPr>
            <w:r w:rsidRPr="001C2D6E">
              <w:rPr>
                <w:rFonts w:eastAsia="Times New Roman" w:cs="Calibri"/>
                <w:b w:val="0"/>
                <w:noProof/>
                <w:color w:val="000000"/>
                <w:sz w:val="22"/>
                <w:lang w:eastAsia="en-GB"/>
              </w:rPr>
              <w:drawing>
                <wp:anchor distT="0" distB="0" distL="114300" distR="114300" simplePos="0" relativeHeight="251668480" behindDoc="0" locked="0" layoutInCell="1" allowOverlap="1" wp14:anchorId="72ED0117" wp14:editId="094FB3B0">
                  <wp:simplePos x="0" y="0"/>
                  <wp:positionH relativeFrom="column">
                    <wp:posOffset>0</wp:posOffset>
                  </wp:positionH>
                  <wp:positionV relativeFrom="paragraph">
                    <wp:posOffset>0</wp:posOffset>
                  </wp:positionV>
                  <wp:extent cx="304800" cy="304800"/>
                  <wp:effectExtent l="0" t="0" r="0" b="0"/>
                  <wp:wrapNone/>
                  <wp:docPr id="12" name="Picture 12"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8"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750" w:type="dxa"/>
              <w:tblCellSpacing w:w="0" w:type="dxa"/>
              <w:tblInd w:w="2" w:type="dxa"/>
              <w:tblCellMar>
                <w:left w:w="0" w:type="dxa"/>
                <w:right w:w="0" w:type="dxa"/>
              </w:tblCellMar>
              <w:tblLook w:val="04A0" w:firstRow="1" w:lastRow="0" w:firstColumn="1" w:lastColumn="0" w:noHBand="0" w:noVBand="1"/>
            </w:tblPr>
            <w:tblGrid>
              <w:gridCol w:w="750"/>
            </w:tblGrid>
            <w:tr w:rsidR="001C2D6E" w:rsidRPr="001C2D6E" w:rsidTr="001C2D6E">
              <w:trPr>
                <w:trHeight w:val="216"/>
                <w:tblCellSpacing w:w="0" w:type="dxa"/>
              </w:trPr>
              <w:tc>
                <w:tcPr>
                  <w:tcW w:w="750" w:type="dxa"/>
                  <w:tcBorders>
                    <w:top w:val="nil"/>
                    <w:left w:val="single" w:sz="8" w:space="0" w:color="9F9F9F"/>
                    <w:bottom w:val="single" w:sz="8" w:space="0" w:color="9F9F9F"/>
                    <w:right w:val="nil"/>
                  </w:tcBorders>
                  <w:shd w:val="clear" w:color="000000" w:fill="EAD1EF"/>
                  <w:hideMark/>
                </w:tcPr>
                <w:p w:rsidR="001C2D6E" w:rsidRPr="001C2D6E" w:rsidRDefault="001C2D6E" w:rsidP="00B62A1B">
                  <w:pPr>
                    <w:framePr w:hSpace="180" w:wrap="around" w:vAnchor="text" w:hAnchor="margin" w:xAlign="center" w:y="661"/>
                    <w:spacing w:after="0" w:line="240" w:lineRule="auto"/>
                    <w:jc w:val="center"/>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2014</w:t>
                  </w:r>
                </w:p>
              </w:tc>
            </w:tr>
          </w:tbl>
          <w:p w:rsidR="001C2D6E" w:rsidRPr="001C2D6E" w:rsidRDefault="001C2D6E" w:rsidP="001C2D6E">
            <w:pPr>
              <w:spacing w:after="0" w:line="240" w:lineRule="auto"/>
              <w:rPr>
                <w:rFonts w:eastAsia="Times New Roman" w:cs="Calibri"/>
                <w:b w:val="0"/>
                <w:color w:val="000000"/>
                <w:sz w:val="22"/>
                <w:lang w:eastAsia="en-GB"/>
              </w:rPr>
            </w:pPr>
          </w:p>
        </w:tc>
        <w:tc>
          <w:tcPr>
            <w:tcW w:w="1172" w:type="dxa"/>
            <w:tcBorders>
              <w:top w:val="nil"/>
              <w:left w:val="nil"/>
              <w:bottom w:val="nil"/>
              <w:right w:val="nil"/>
            </w:tcBorders>
            <w:shd w:val="clear" w:color="auto" w:fill="auto"/>
            <w:noWrap/>
            <w:vAlign w:val="bottom"/>
            <w:hideMark/>
          </w:tcPr>
          <w:p w:rsidR="001C2D6E" w:rsidRPr="001C2D6E" w:rsidRDefault="001C2D6E" w:rsidP="001C2D6E">
            <w:pPr>
              <w:spacing w:after="0" w:line="240" w:lineRule="auto"/>
              <w:rPr>
                <w:rFonts w:eastAsia="Times New Roman" w:cs="Calibri"/>
                <w:b w:val="0"/>
                <w:color w:val="000000"/>
                <w:sz w:val="22"/>
                <w:lang w:eastAsia="en-GB"/>
              </w:rPr>
            </w:pPr>
            <w:r w:rsidRPr="001C2D6E">
              <w:rPr>
                <w:rFonts w:eastAsia="Times New Roman" w:cs="Calibri"/>
                <w:b w:val="0"/>
                <w:noProof/>
                <w:color w:val="000000"/>
                <w:sz w:val="22"/>
                <w:lang w:eastAsia="en-GB"/>
              </w:rPr>
              <w:drawing>
                <wp:anchor distT="0" distB="0" distL="114300" distR="114300" simplePos="0" relativeHeight="251669504" behindDoc="0" locked="0" layoutInCell="1" allowOverlap="1" wp14:anchorId="51AD22CE" wp14:editId="7A1D17B1">
                  <wp:simplePos x="0" y="0"/>
                  <wp:positionH relativeFrom="column">
                    <wp:posOffset>0</wp:posOffset>
                  </wp:positionH>
                  <wp:positionV relativeFrom="paragraph">
                    <wp:posOffset>0</wp:posOffset>
                  </wp:positionV>
                  <wp:extent cx="304800" cy="304800"/>
                  <wp:effectExtent l="0" t="0" r="0" b="0"/>
                  <wp:wrapNone/>
                  <wp:docPr id="11" name="Picture 11"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9"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750" w:type="dxa"/>
              <w:tblCellSpacing w:w="0" w:type="dxa"/>
              <w:tblInd w:w="2" w:type="dxa"/>
              <w:tblCellMar>
                <w:left w:w="0" w:type="dxa"/>
                <w:right w:w="0" w:type="dxa"/>
              </w:tblCellMar>
              <w:tblLook w:val="04A0" w:firstRow="1" w:lastRow="0" w:firstColumn="1" w:lastColumn="0" w:noHBand="0" w:noVBand="1"/>
            </w:tblPr>
            <w:tblGrid>
              <w:gridCol w:w="750"/>
            </w:tblGrid>
            <w:tr w:rsidR="001C2D6E" w:rsidRPr="001C2D6E" w:rsidTr="001C2D6E">
              <w:trPr>
                <w:trHeight w:val="216"/>
                <w:tblCellSpacing w:w="0" w:type="dxa"/>
              </w:trPr>
              <w:tc>
                <w:tcPr>
                  <w:tcW w:w="750" w:type="dxa"/>
                  <w:tcBorders>
                    <w:top w:val="nil"/>
                    <w:left w:val="single" w:sz="8" w:space="0" w:color="9F9F9F"/>
                    <w:bottom w:val="single" w:sz="8" w:space="0" w:color="9F9F9F"/>
                    <w:right w:val="nil"/>
                  </w:tcBorders>
                  <w:shd w:val="clear" w:color="000000" w:fill="EAD1EF"/>
                  <w:hideMark/>
                </w:tcPr>
                <w:p w:rsidR="001C2D6E" w:rsidRPr="001C2D6E" w:rsidRDefault="001C2D6E" w:rsidP="00B62A1B">
                  <w:pPr>
                    <w:framePr w:hSpace="180" w:wrap="around" w:vAnchor="text" w:hAnchor="margin" w:xAlign="center" w:y="661"/>
                    <w:spacing w:after="0" w:line="240" w:lineRule="auto"/>
                    <w:jc w:val="center"/>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2015</w:t>
                  </w:r>
                </w:p>
              </w:tc>
            </w:tr>
          </w:tbl>
          <w:p w:rsidR="001C2D6E" w:rsidRPr="001C2D6E" w:rsidRDefault="001C2D6E" w:rsidP="001C2D6E">
            <w:pPr>
              <w:spacing w:after="0" w:line="240" w:lineRule="auto"/>
              <w:rPr>
                <w:rFonts w:eastAsia="Times New Roman" w:cs="Calibri"/>
                <w:b w:val="0"/>
                <w:color w:val="000000"/>
                <w:sz w:val="22"/>
                <w:lang w:eastAsia="en-GB"/>
              </w:rPr>
            </w:pPr>
          </w:p>
        </w:tc>
        <w:tc>
          <w:tcPr>
            <w:tcW w:w="1172" w:type="dxa"/>
            <w:tcBorders>
              <w:top w:val="nil"/>
              <w:left w:val="nil"/>
              <w:bottom w:val="nil"/>
              <w:right w:val="nil"/>
            </w:tcBorders>
            <w:shd w:val="clear" w:color="auto" w:fill="auto"/>
            <w:noWrap/>
            <w:vAlign w:val="bottom"/>
            <w:hideMark/>
          </w:tcPr>
          <w:p w:rsidR="001C2D6E" w:rsidRPr="001C2D6E" w:rsidRDefault="001C2D6E" w:rsidP="001C2D6E">
            <w:pPr>
              <w:spacing w:after="0" w:line="240" w:lineRule="auto"/>
              <w:rPr>
                <w:rFonts w:eastAsia="Times New Roman" w:cs="Calibri"/>
                <w:b w:val="0"/>
                <w:color w:val="000000"/>
                <w:sz w:val="22"/>
                <w:lang w:eastAsia="en-GB"/>
              </w:rPr>
            </w:pPr>
            <w:r w:rsidRPr="001C2D6E">
              <w:rPr>
                <w:rFonts w:eastAsia="Times New Roman" w:cs="Calibri"/>
                <w:b w:val="0"/>
                <w:noProof/>
                <w:color w:val="000000"/>
                <w:sz w:val="22"/>
                <w:lang w:eastAsia="en-GB"/>
              </w:rPr>
              <w:drawing>
                <wp:anchor distT="0" distB="0" distL="114300" distR="114300" simplePos="0" relativeHeight="251670528" behindDoc="0" locked="0" layoutInCell="1" allowOverlap="1" wp14:anchorId="4922DFDB" wp14:editId="59F2A674">
                  <wp:simplePos x="0" y="0"/>
                  <wp:positionH relativeFrom="column">
                    <wp:posOffset>0</wp:posOffset>
                  </wp:positionH>
                  <wp:positionV relativeFrom="paragraph">
                    <wp:posOffset>0</wp:posOffset>
                  </wp:positionV>
                  <wp:extent cx="304800" cy="304800"/>
                  <wp:effectExtent l="0" t="0" r="0" b="0"/>
                  <wp:wrapNone/>
                  <wp:docPr id="7" name="Picture 7"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750" w:type="dxa"/>
              <w:tblCellSpacing w:w="0" w:type="dxa"/>
              <w:tblInd w:w="2" w:type="dxa"/>
              <w:tblCellMar>
                <w:left w:w="0" w:type="dxa"/>
                <w:right w:w="0" w:type="dxa"/>
              </w:tblCellMar>
              <w:tblLook w:val="04A0" w:firstRow="1" w:lastRow="0" w:firstColumn="1" w:lastColumn="0" w:noHBand="0" w:noVBand="1"/>
            </w:tblPr>
            <w:tblGrid>
              <w:gridCol w:w="750"/>
            </w:tblGrid>
            <w:tr w:rsidR="001C2D6E" w:rsidRPr="001C2D6E" w:rsidTr="001C2D6E">
              <w:trPr>
                <w:trHeight w:val="216"/>
                <w:tblCellSpacing w:w="0" w:type="dxa"/>
              </w:trPr>
              <w:tc>
                <w:tcPr>
                  <w:tcW w:w="750" w:type="dxa"/>
                  <w:tcBorders>
                    <w:top w:val="nil"/>
                    <w:left w:val="single" w:sz="8" w:space="0" w:color="9F9F9F"/>
                    <w:bottom w:val="single" w:sz="8" w:space="0" w:color="9F9F9F"/>
                    <w:right w:val="nil"/>
                  </w:tcBorders>
                  <w:shd w:val="clear" w:color="000000" w:fill="EAD1EF"/>
                  <w:hideMark/>
                </w:tcPr>
                <w:p w:rsidR="001C2D6E" w:rsidRPr="001C2D6E" w:rsidRDefault="001C2D6E" w:rsidP="00B62A1B">
                  <w:pPr>
                    <w:framePr w:hSpace="180" w:wrap="around" w:vAnchor="text" w:hAnchor="margin" w:xAlign="center" w:y="661"/>
                    <w:spacing w:after="0" w:line="240" w:lineRule="auto"/>
                    <w:jc w:val="center"/>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2016</w:t>
                  </w:r>
                </w:p>
              </w:tc>
            </w:tr>
          </w:tbl>
          <w:p w:rsidR="001C2D6E" w:rsidRPr="001C2D6E" w:rsidRDefault="001C2D6E" w:rsidP="001C2D6E">
            <w:pPr>
              <w:spacing w:after="0" w:line="240" w:lineRule="auto"/>
              <w:rPr>
                <w:rFonts w:eastAsia="Times New Roman" w:cs="Calibri"/>
                <w:b w:val="0"/>
                <w:color w:val="000000"/>
                <w:sz w:val="22"/>
                <w:lang w:eastAsia="en-GB"/>
              </w:rPr>
            </w:pPr>
          </w:p>
        </w:tc>
      </w:tr>
      <w:tr w:rsidR="001C2D6E" w:rsidRPr="001C2D6E" w:rsidTr="001C2D6E">
        <w:trPr>
          <w:trHeight w:val="216"/>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Wales</w:t>
            </w:r>
          </w:p>
        </w:tc>
        <w:tc>
          <w:tcPr>
            <w:tcW w:w="1172" w:type="dxa"/>
            <w:tcBorders>
              <w:top w:val="nil"/>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2,866,634</w:t>
            </w:r>
          </w:p>
        </w:tc>
        <w:tc>
          <w:tcPr>
            <w:tcW w:w="1172" w:type="dxa"/>
            <w:tcBorders>
              <w:top w:val="nil"/>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2,957,334</w:t>
            </w:r>
          </w:p>
        </w:tc>
        <w:tc>
          <w:tcPr>
            <w:tcW w:w="1172" w:type="dxa"/>
            <w:tcBorders>
              <w:top w:val="nil"/>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2,976,024</w:t>
            </w:r>
          </w:p>
        </w:tc>
        <w:tc>
          <w:tcPr>
            <w:tcW w:w="1172" w:type="dxa"/>
            <w:tcBorders>
              <w:top w:val="nil"/>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2,988,203</w:t>
            </w:r>
          </w:p>
        </w:tc>
        <w:tc>
          <w:tcPr>
            <w:tcW w:w="1172" w:type="dxa"/>
            <w:tcBorders>
              <w:top w:val="nil"/>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2,998,427</w:t>
            </w:r>
          </w:p>
        </w:tc>
        <w:tc>
          <w:tcPr>
            <w:tcW w:w="1172" w:type="dxa"/>
            <w:tcBorders>
              <w:top w:val="nil"/>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3,011,355</w:t>
            </w:r>
          </w:p>
        </w:tc>
        <w:tc>
          <w:tcPr>
            <w:tcW w:w="1172" w:type="dxa"/>
            <w:tcBorders>
              <w:top w:val="nil"/>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3,021,394</w:t>
            </w:r>
          </w:p>
        </w:tc>
        <w:tc>
          <w:tcPr>
            <w:tcW w:w="1172" w:type="dxa"/>
            <w:tcBorders>
              <w:top w:val="nil"/>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3,029,638</w:t>
            </w:r>
          </w:p>
        </w:tc>
        <w:tc>
          <w:tcPr>
            <w:tcW w:w="1172" w:type="dxa"/>
            <w:tcBorders>
              <w:top w:val="nil"/>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3,038,960</w:t>
            </w:r>
          </w:p>
        </w:tc>
        <w:tc>
          <w:tcPr>
            <w:tcW w:w="1172" w:type="dxa"/>
            <w:tcBorders>
              <w:top w:val="nil"/>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3,045,943</w:t>
            </w:r>
          </w:p>
        </w:tc>
        <w:tc>
          <w:tcPr>
            <w:tcW w:w="1172" w:type="dxa"/>
            <w:tcBorders>
              <w:top w:val="nil"/>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3,059,800</w:t>
            </w:r>
          </w:p>
        </w:tc>
      </w:tr>
      <w:tr w:rsidR="001C2D6E" w:rsidRPr="001C2D6E" w:rsidTr="001C2D6E">
        <w:trPr>
          <w:trHeight w:val="299"/>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Isle of Anglesey</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67,142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68,941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69,136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69,093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69,031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69,103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69,225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69,262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69,326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69,139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68,876</w:t>
            </w:r>
          </w:p>
        </w:tc>
      </w:tr>
      <w:tr w:rsidR="001C2D6E" w:rsidRPr="001C2D6E" w:rsidTr="001C2D6E">
        <w:trPr>
          <w:trHeight w:val="216"/>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Gwynedd</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113,835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115,843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116,110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116,619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117,342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117,615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118,217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117,978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118,321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118,909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119,664</w:t>
            </w:r>
          </w:p>
        </w:tc>
      </w:tr>
      <w:tr w:rsidR="001C2D6E" w:rsidRPr="001C2D6E" w:rsidTr="001C2D6E">
        <w:trPr>
          <w:trHeight w:val="216"/>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Conwy</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107,312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111,245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111,796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112,005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112,022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112,616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112,791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113,101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113,524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113,442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113,740</w:t>
            </w:r>
          </w:p>
        </w:tc>
      </w:tr>
      <w:tr w:rsidR="001C2D6E" w:rsidRPr="001C2D6E" w:rsidTr="001C2D6E">
        <w:trPr>
          <w:trHeight w:val="299"/>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Denbighshire</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91,229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93,020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93,288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93,061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92,835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92,666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92,809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93,247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93,527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93,434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93,542</w:t>
            </w:r>
          </w:p>
        </w:tc>
      </w:tr>
      <w:tr w:rsidR="001C2D6E" w:rsidRPr="001C2D6E" w:rsidTr="001C2D6E">
        <w:trPr>
          <w:trHeight w:val="216"/>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Flintshire</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147,597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149,902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150,607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151,107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151,225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151,833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151,901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152,397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152,934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153,194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153,529</w:t>
            </w:r>
          </w:p>
        </w:tc>
      </w:tr>
      <w:tr w:rsidR="001C2D6E" w:rsidRPr="001C2D6E" w:rsidTr="001C2D6E">
        <w:trPr>
          <w:trHeight w:val="216"/>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Wrexham</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126,890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129,635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130,745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131,680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132,402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133,461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134,288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134,758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135,056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134,999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135,048</w:t>
            </w:r>
          </w:p>
        </w:tc>
      </w:tr>
      <w:tr w:rsidR="001C2D6E" w:rsidRPr="001C2D6E" w:rsidTr="001C2D6E">
        <w:trPr>
          <w:trHeight w:val="216"/>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Powys</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124,816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130,188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131,031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131,225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130,977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131,130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130,988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130,728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130,674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130,625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130,126</w:t>
            </w:r>
          </w:p>
        </w:tc>
      </w:tr>
      <w:tr w:rsidR="001C2D6E" w:rsidRPr="001C2D6E" w:rsidTr="001C2D6E">
        <w:trPr>
          <w:trHeight w:val="216"/>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Ceredigion</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72,583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71,496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70,972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70,479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70,894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70,812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71,553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71,468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70,922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70,139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69,636</w:t>
            </w:r>
          </w:p>
        </w:tc>
      </w:tr>
      <w:tr w:rsidR="001C2D6E" w:rsidRPr="001C2D6E" w:rsidTr="001C2D6E">
        <w:trPr>
          <w:trHeight w:val="299"/>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Pembrokeshire</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111,696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117,953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119,391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119,768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120,125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120,706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121,116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121,329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121,709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121,493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121,960</w:t>
            </w:r>
          </w:p>
        </w:tc>
      </w:tr>
      <w:tr w:rsidR="001C2D6E" w:rsidRPr="001C2D6E" w:rsidTr="001C2D6E">
        <w:trPr>
          <w:trHeight w:val="299"/>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Carmarthenshire</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171,060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178,748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179,946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180,286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180,441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181,403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181,747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182,104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182,305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182,537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183,025</w:t>
            </w:r>
          </w:p>
        </w:tc>
      </w:tr>
      <w:tr w:rsidR="001C2D6E" w:rsidRPr="001C2D6E" w:rsidTr="001C2D6E">
        <w:trPr>
          <w:trHeight w:val="216"/>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Swansea</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219,847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228,207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229,782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231,148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232,754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234,026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234,941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235,623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236,560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237,641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239,768</w:t>
            </w:r>
          </w:p>
        </w:tc>
      </w:tr>
      <w:tr w:rsidR="001C2D6E" w:rsidRPr="001C2D6E" w:rsidTr="001C2D6E">
        <w:trPr>
          <w:trHeight w:val="299"/>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Neath Port Talbot</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133,244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137,811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138,334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138,395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138,496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138,745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138,966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138,756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139,339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139,842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140,434</w:t>
            </w:r>
          </w:p>
        </w:tc>
      </w:tr>
      <w:tr w:rsidR="001C2D6E" w:rsidRPr="001C2D6E" w:rsidTr="001C2D6E">
        <w:trPr>
          <w:trHeight w:val="216"/>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Bridgend</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127,197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133,934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135,074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135,603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136,211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137,072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137,400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138,132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138,851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139,727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140,794</w:t>
            </w:r>
          </w:p>
        </w:tc>
      </w:tr>
      <w:tr w:rsidR="001C2D6E" w:rsidRPr="001C2D6E" w:rsidTr="001C2D6E">
        <w:trPr>
          <w:trHeight w:val="299"/>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Vale of Glamorgan</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117,370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122,724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123,678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124,117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124,374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124,595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124,726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125,051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125,560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125,458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126,321</w:t>
            </w:r>
          </w:p>
        </w:tc>
      </w:tr>
      <w:tr w:rsidR="001C2D6E" w:rsidRPr="001C2D6E" w:rsidTr="001C2D6E">
        <w:trPr>
          <w:trHeight w:val="299"/>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Rhondda Cynon Taf</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229,318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231,913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232,178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232,204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231,923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231,841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233,062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233,573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234,344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234,871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235,758</w:t>
            </w:r>
          </w:p>
        </w:tc>
      </w:tr>
      <w:tr w:rsidR="001C2D6E" w:rsidRPr="001C2D6E" w:rsidTr="001C2D6E">
        <w:trPr>
          <w:trHeight w:val="299"/>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Merthyr Tydfil</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55,864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56,753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57,257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57,709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58,028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58,380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58,423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58,545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58,586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58,841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59,323</w:t>
            </w:r>
          </w:p>
        </w:tc>
      </w:tr>
      <w:tr w:rsidR="001C2D6E" w:rsidRPr="001C2D6E" w:rsidTr="001C2D6E">
        <w:trPr>
          <w:trHeight w:val="216"/>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Caerphilly</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168,438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173,892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175,183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176,089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177,037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177,726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177,958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178,183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178,866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179,092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179,381</w:t>
            </w:r>
          </w:p>
        </w:tc>
      </w:tr>
      <w:tr w:rsidR="001C2D6E" w:rsidRPr="001C2D6E" w:rsidTr="001C2D6E">
        <w:trPr>
          <w:trHeight w:val="299"/>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Blaenau Gwent</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69,319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69,055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69,202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69,246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69,203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69,236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69,243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69,217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69,098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68,964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69,046</w:t>
            </w:r>
          </w:p>
        </w:tc>
      </w:tr>
      <w:tr w:rsidR="001C2D6E" w:rsidRPr="001C2D6E" w:rsidTr="001C2D6E">
        <w:trPr>
          <w:trHeight w:val="216"/>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Torfaen</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90,138</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90,207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90,342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90,455</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90,330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90,472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90,647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90,682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90,881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91,104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91,310</w:t>
            </w:r>
          </w:p>
        </w:tc>
      </w:tr>
      <w:tr w:rsidR="001C2D6E" w:rsidRPr="001C2D6E" w:rsidTr="001C2D6E">
        <w:trPr>
          <w:trHeight w:val="299"/>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Monmouthshire</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83,594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88,054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88,546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88,971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89,410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89,874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90,007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90,440</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90,673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90,801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91,150</w:t>
            </w:r>
          </w:p>
        </w:tc>
      </w:tr>
      <w:tr w:rsidR="001C2D6E" w:rsidRPr="001C2D6E" w:rsidTr="001C2D6E">
        <w:trPr>
          <w:trHeight w:val="216"/>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Newport</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136,014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139,713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141,093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142,109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143,159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144,149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144,461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144,919</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145,197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146,124</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147,499</w:t>
            </w:r>
          </w:p>
        </w:tc>
      </w:tr>
      <w:tr w:rsidR="001C2D6E" w:rsidRPr="001C2D6E" w:rsidTr="001C2D6E">
        <w:trPr>
          <w:trHeight w:val="206"/>
        </w:trPr>
        <w:tc>
          <w:tcPr>
            <w:tcW w:w="1754" w:type="dxa"/>
            <w:tcBorders>
              <w:top w:val="single" w:sz="8" w:space="0" w:color="9F9F9F"/>
              <w:left w:val="nil"/>
              <w:bottom w:val="nil"/>
              <w:right w:val="single" w:sz="8" w:space="0" w:color="9F9F9F"/>
            </w:tcBorders>
            <w:shd w:val="clear" w:color="000000" w:fill="EAD1EF"/>
            <w:vAlign w:val="center"/>
            <w:hideMark/>
          </w:tcPr>
          <w:p w:rsidR="001C2D6E" w:rsidRPr="001C2D6E" w:rsidRDefault="001C2D6E" w:rsidP="001C2D6E">
            <w:pPr>
              <w:spacing w:after="0" w:line="240" w:lineRule="auto"/>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Cardiff</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302,133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318,101</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322,333</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326,832</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330,206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333,896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336,927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340,146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342,707</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345,566</w:t>
            </w:r>
          </w:p>
        </w:tc>
        <w:tc>
          <w:tcPr>
            <w:tcW w:w="1172" w:type="dxa"/>
            <w:tcBorders>
              <w:top w:val="single" w:sz="8" w:space="0" w:color="CECECE"/>
              <w:left w:val="single" w:sz="8" w:space="0" w:color="CECECE"/>
              <w:bottom w:val="nil"/>
              <w:right w:val="nil"/>
            </w:tcBorders>
            <w:shd w:val="clear" w:color="000000" w:fill="FFFFFF"/>
            <w:noWrap/>
            <w:vAlign w:val="center"/>
            <w:hideMark/>
          </w:tcPr>
          <w:p w:rsidR="001C2D6E" w:rsidRPr="001C2D6E" w:rsidRDefault="001C2D6E" w:rsidP="001C2D6E">
            <w:pPr>
              <w:spacing w:after="0" w:line="240" w:lineRule="auto"/>
              <w:jc w:val="right"/>
              <w:rPr>
                <w:rFonts w:ascii="Tahoma" w:eastAsia="Times New Roman" w:hAnsi="Tahoma" w:cs="Tahoma"/>
                <w:b w:val="0"/>
                <w:color w:val="000000"/>
                <w:sz w:val="16"/>
                <w:szCs w:val="16"/>
                <w:lang w:eastAsia="en-GB"/>
              </w:rPr>
            </w:pPr>
            <w:r w:rsidRPr="001C2D6E">
              <w:rPr>
                <w:rFonts w:ascii="Tahoma" w:eastAsia="Times New Roman" w:hAnsi="Tahoma" w:cs="Tahoma"/>
                <w:b w:val="0"/>
                <w:color w:val="000000"/>
                <w:sz w:val="16"/>
                <w:szCs w:val="16"/>
                <w:lang w:eastAsia="en-GB"/>
              </w:rPr>
              <w:t>349,870</w:t>
            </w:r>
          </w:p>
        </w:tc>
      </w:tr>
    </w:tbl>
    <w:p w:rsidR="001C2D6E" w:rsidRPr="00C16308" w:rsidRDefault="001C2D6E" w:rsidP="001C2D6E">
      <w:pPr>
        <w:pStyle w:val="ListParagraph"/>
        <w:ind w:left="1069"/>
        <w:jc w:val="both"/>
      </w:pPr>
      <w:r w:rsidRPr="001C2D6E">
        <w:rPr>
          <w:b/>
          <w:u w:val="single"/>
        </w:rPr>
        <w:t>Private household population by local authority and year</w:t>
      </w:r>
      <w:r w:rsidR="00C16308">
        <w:rPr>
          <w:b/>
          <w:u w:val="single"/>
        </w:rPr>
        <w:t xml:space="preserve"> </w:t>
      </w:r>
      <w:r w:rsidR="00C16308">
        <w:t>(StatsWales, 2017)</w:t>
      </w:r>
    </w:p>
    <w:p w:rsidR="001C2D6E" w:rsidRDefault="001C2D6E" w:rsidP="001C2D6E">
      <w:pPr>
        <w:pStyle w:val="ListParagraph"/>
        <w:ind w:left="1069"/>
        <w:jc w:val="both"/>
      </w:pPr>
    </w:p>
    <w:p w:rsidR="001C2D6E" w:rsidRPr="00C16308" w:rsidRDefault="00B42998" w:rsidP="00017E3D">
      <w:pPr>
        <w:pStyle w:val="ListParagraph"/>
        <w:numPr>
          <w:ilvl w:val="1"/>
          <w:numId w:val="1"/>
        </w:numPr>
        <w:jc w:val="both"/>
        <w:rPr>
          <w:b/>
          <w:u w:val="single"/>
        </w:rPr>
      </w:pPr>
      <w:r>
        <w:rPr>
          <w:b/>
          <w:u w:val="single"/>
        </w:rPr>
        <w:lastRenderedPageBreak/>
        <w:t>APPENDIX D</w:t>
      </w:r>
    </w:p>
    <w:p w:rsidR="00017E3D" w:rsidRDefault="00017E3D" w:rsidP="00017E3D">
      <w:pPr>
        <w:pStyle w:val="ListParagraph"/>
        <w:ind w:left="1069"/>
        <w:jc w:val="both"/>
      </w:pPr>
      <w:r w:rsidRPr="00C16308">
        <w:rPr>
          <w:b/>
          <w:u w:val="single"/>
        </w:rPr>
        <w:t>Average household size</w:t>
      </w:r>
      <w:r w:rsidR="00C16308">
        <w:t xml:space="preserve"> </w:t>
      </w:r>
      <w:r w:rsidR="00C16308" w:rsidRPr="00C16308">
        <w:t>(StatsWales, 2017)</w:t>
      </w:r>
    </w:p>
    <w:tbl>
      <w:tblPr>
        <w:tblW w:w="13562" w:type="dxa"/>
        <w:tblLook w:val="04A0" w:firstRow="1" w:lastRow="0" w:firstColumn="1" w:lastColumn="0" w:noHBand="0" w:noVBand="1"/>
      </w:tblPr>
      <w:tblGrid>
        <w:gridCol w:w="1385"/>
        <w:gridCol w:w="641"/>
        <w:gridCol w:w="962"/>
        <w:gridCol w:w="962"/>
        <w:gridCol w:w="962"/>
        <w:gridCol w:w="962"/>
        <w:gridCol w:w="962"/>
        <w:gridCol w:w="962"/>
        <w:gridCol w:w="962"/>
        <w:gridCol w:w="962"/>
        <w:gridCol w:w="962"/>
        <w:gridCol w:w="962"/>
        <w:gridCol w:w="962"/>
        <w:gridCol w:w="962"/>
      </w:tblGrid>
      <w:tr w:rsidR="00017E3D" w:rsidRPr="00017E3D" w:rsidTr="00017E3D">
        <w:trPr>
          <w:trHeight w:val="232"/>
        </w:trPr>
        <w:tc>
          <w:tcPr>
            <w:tcW w:w="137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4"/>
                <w:szCs w:val="24"/>
                <w:lang w:eastAsia="en-GB"/>
              </w:rPr>
            </w:pPr>
          </w:p>
        </w:tc>
        <w:tc>
          <w:tcPr>
            <w:tcW w:w="641"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1991</w:t>
            </w:r>
          </w:p>
        </w:tc>
        <w:tc>
          <w:tcPr>
            <w:tcW w:w="962"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304800" cy="304800"/>
                  <wp:effectExtent l="0" t="0" r="0" b="0"/>
                  <wp:wrapNone/>
                  <wp:docPr id="31" name="Picture 31"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31"/>
            </w:tblGrid>
            <w:tr w:rsidR="00017E3D" w:rsidRPr="00017E3D" w:rsidTr="00017E3D">
              <w:trPr>
                <w:trHeight w:val="232"/>
                <w:tblCellSpacing w:w="0" w:type="dxa"/>
              </w:trPr>
              <w:tc>
                <w:tcPr>
                  <w:tcW w:w="731"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1996</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962"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304800" cy="304800"/>
                  <wp:effectExtent l="0" t="0" r="0" b="0"/>
                  <wp:wrapNone/>
                  <wp:docPr id="30" name="Picture 30"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31"/>
            </w:tblGrid>
            <w:tr w:rsidR="00017E3D" w:rsidRPr="00017E3D" w:rsidTr="00017E3D">
              <w:trPr>
                <w:trHeight w:val="232"/>
                <w:tblCellSpacing w:w="0" w:type="dxa"/>
              </w:trPr>
              <w:tc>
                <w:tcPr>
                  <w:tcW w:w="731"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2001</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962"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304800" cy="304800"/>
                  <wp:effectExtent l="0" t="0" r="0" b="0"/>
                  <wp:wrapNone/>
                  <wp:docPr id="29" name="Picture 29"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31"/>
            </w:tblGrid>
            <w:tr w:rsidR="00017E3D" w:rsidRPr="00017E3D" w:rsidTr="00017E3D">
              <w:trPr>
                <w:trHeight w:val="232"/>
                <w:tblCellSpacing w:w="0" w:type="dxa"/>
              </w:trPr>
              <w:tc>
                <w:tcPr>
                  <w:tcW w:w="731"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2007</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962"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304800" cy="304800"/>
                  <wp:effectExtent l="0" t="0" r="0" b="0"/>
                  <wp:wrapNone/>
                  <wp:docPr id="28" name="Picture 28"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31"/>
            </w:tblGrid>
            <w:tr w:rsidR="00017E3D" w:rsidRPr="00017E3D" w:rsidTr="00017E3D">
              <w:trPr>
                <w:trHeight w:val="232"/>
                <w:tblCellSpacing w:w="0" w:type="dxa"/>
              </w:trPr>
              <w:tc>
                <w:tcPr>
                  <w:tcW w:w="731"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2008</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962"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304800" cy="304800"/>
                  <wp:effectExtent l="0" t="0" r="0" b="0"/>
                  <wp:wrapNone/>
                  <wp:docPr id="27" name="Picture 27"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31"/>
            </w:tblGrid>
            <w:tr w:rsidR="00017E3D" w:rsidRPr="00017E3D" w:rsidTr="00017E3D">
              <w:trPr>
                <w:trHeight w:val="232"/>
                <w:tblCellSpacing w:w="0" w:type="dxa"/>
              </w:trPr>
              <w:tc>
                <w:tcPr>
                  <w:tcW w:w="731"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2009</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962"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304800" cy="304800"/>
                  <wp:effectExtent l="0" t="0" r="0" b="0"/>
                  <wp:wrapNone/>
                  <wp:docPr id="26" name="Picture 26"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31"/>
            </w:tblGrid>
            <w:tr w:rsidR="00017E3D" w:rsidRPr="00017E3D" w:rsidTr="00017E3D">
              <w:trPr>
                <w:trHeight w:val="232"/>
                <w:tblCellSpacing w:w="0" w:type="dxa"/>
              </w:trPr>
              <w:tc>
                <w:tcPr>
                  <w:tcW w:w="731"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2010</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962"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304800" cy="304800"/>
                  <wp:effectExtent l="0" t="0" r="0" b="0"/>
                  <wp:wrapNone/>
                  <wp:docPr id="25" name="Picture 25"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31"/>
            </w:tblGrid>
            <w:tr w:rsidR="00017E3D" w:rsidRPr="00017E3D" w:rsidTr="00017E3D">
              <w:trPr>
                <w:trHeight w:val="232"/>
                <w:tblCellSpacing w:w="0" w:type="dxa"/>
              </w:trPr>
              <w:tc>
                <w:tcPr>
                  <w:tcW w:w="731"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2011</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962"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304800" cy="304800"/>
                  <wp:effectExtent l="0" t="0" r="0" b="0"/>
                  <wp:wrapNone/>
                  <wp:docPr id="24" name="Picture 24"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31"/>
            </w:tblGrid>
            <w:tr w:rsidR="00017E3D" w:rsidRPr="00017E3D" w:rsidTr="00017E3D">
              <w:trPr>
                <w:trHeight w:val="232"/>
                <w:tblCellSpacing w:w="0" w:type="dxa"/>
              </w:trPr>
              <w:tc>
                <w:tcPr>
                  <w:tcW w:w="731"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2012</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962"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304800" cy="304800"/>
                  <wp:effectExtent l="0" t="0" r="0" b="0"/>
                  <wp:wrapNone/>
                  <wp:docPr id="23" name="Picture 23"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31"/>
            </w:tblGrid>
            <w:tr w:rsidR="00017E3D" w:rsidRPr="00017E3D" w:rsidTr="00017E3D">
              <w:trPr>
                <w:trHeight w:val="232"/>
                <w:tblCellSpacing w:w="0" w:type="dxa"/>
              </w:trPr>
              <w:tc>
                <w:tcPr>
                  <w:tcW w:w="731"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2013</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962"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304800" cy="304800"/>
                  <wp:effectExtent l="0" t="0" r="0" b="0"/>
                  <wp:wrapNone/>
                  <wp:docPr id="22" name="Picture 22"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2"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31"/>
            </w:tblGrid>
            <w:tr w:rsidR="00017E3D" w:rsidRPr="00017E3D" w:rsidTr="00017E3D">
              <w:trPr>
                <w:trHeight w:val="232"/>
                <w:tblCellSpacing w:w="0" w:type="dxa"/>
              </w:trPr>
              <w:tc>
                <w:tcPr>
                  <w:tcW w:w="731"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2014</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962"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304800" cy="304800"/>
                  <wp:effectExtent l="0" t="0" r="0" b="0"/>
                  <wp:wrapNone/>
                  <wp:docPr id="21" name="Picture 21"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3"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31"/>
            </w:tblGrid>
            <w:tr w:rsidR="00017E3D" w:rsidRPr="00017E3D" w:rsidTr="00017E3D">
              <w:trPr>
                <w:trHeight w:val="232"/>
                <w:tblCellSpacing w:w="0" w:type="dxa"/>
              </w:trPr>
              <w:tc>
                <w:tcPr>
                  <w:tcW w:w="731"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2015</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962"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304800" cy="304800"/>
                  <wp:effectExtent l="0" t="0" r="0" b="0"/>
                  <wp:wrapNone/>
                  <wp:docPr id="20" name="Picture 20"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31"/>
            </w:tblGrid>
            <w:tr w:rsidR="00017E3D" w:rsidRPr="00017E3D" w:rsidTr="00017E3D">
              <w:trPr>
                <w:trHeight w:val="232"/>
                <w:tblCellSpacing w:w="0" w:type="dxa"/>
              </w:trPr>
              <w:tc>
                <w:tcPr>
                  <w:tcW w:w="731"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2016</w:t>
                  </w:r>
                </w:p>
              </w:tc>
            </w:tr>
          </w:tbl>
          <w:p w:rsidR="00017E3D" w:rsidRPr="00017E3D" w:rsidRDefault="00017E3D" w:rsidP="00017E3D">
            <w:pPr>
              <w:spacing w:after="0" w:line="240" w:lineRule="auto"/>
              <w:rPr>
                <w:rFonts w:eastAsia="Times New Roman" w:cs="Calibri"/>
                <w:b w:val="0"/>
                <w:color w:val="000000"/>
                <w:sz w:val="22"/>
                <w:lang w:eastAsia="en-GB"/>
              </w:rPr>
            </w:pPr>
          </w:p>
        </w:tc>
      </w:tr>
      <w:tr w:rsidR="00017E3D" w:rsidRPr="00017E3D" w:rsidTr="00017E3D">
        <w:trPr>
          <w:trHeight w:val="232"/>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Wales</w:t>
            </w:r>
          </w:p>
        </w:tc>
        <w:tc>
          <w:tcPr>
            <w:tcW w:w="641" w:type="dxa"/>
            <w:tcBorders>
              <w:top w:val="nil"/>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2.52</w:t>
            </w:r>
          </w:p>
        </w:tc>
        <w:tc>
          <w:tcPr>
            <w:tcW w:w="962" w:type="dxa"/>
            <w:tcBorders>
              <w:top w:val="nil"/>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2.44</w:t>
            </w:r>
          </w:p>
        </w:tc>
        <w:tc>
          <w:tcPr>
            <w:tcW w:w="962" w:type="dxa"/>
            <w:tcBorders>
              <w:top w:val="nil"/>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nil"/>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nil"/>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nil"/>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nil"/>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nil"/>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2.31</w:t>
            </w:r>
          </w:p>
        </w:tc>
        <w:tc>
          <w:tcPr>
            <w:tcW w:w="962" w:type="dxa"/>
            <w:tcBorders>
              <w:top w:val="nil"/>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nil"/>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nil"/>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nil"/>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nil"/>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r>
      <w:tr w:rsidR="00017E3D" w:rsidRPr="00017E3D" w:rsidTr="00017E3D">
        <w:trPr>
          <w:trHeight w:val="320"/>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Isle of Anglesey</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2.23</w:t>
            </w:r>
          </w:p>
        </w:tc>
      </w:tr>
      <w:tr w:rsidR="00017E3D" w:rsidRPr="00017E3D" w:rsidTr="00017E3D">
        <w:trPr>
          <w:trHeight w:val="232"/>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Gwynedd</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2.22</w:t>
            </w:r>
          </w:p>
        </w:tc>
      </w:tr>
      <w:tr w:rsidR="00017E3D" w:rsidRPr="00017E3D" w:rsidTr="00017E3D">
        <w:trPr>
          <w:trHeight w:val="232"/>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Conwy</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2.19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2.19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2.19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2.18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2.17</w:t>
            </w:r>
          </w:p>
        </w:tc>
      </w:tr>
      <w:tr w:rsidR="00017E3D" w:rsidRPr="00017E3D" w:rsidTr="00017E3D">
        <w:trPr>
          <w:trHeight w:val="320"/>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Denbighshire</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2.27</w:t>
            </w:r>
          </w:p>
        </w:tc>
      </w:tr>
      <w:tr w:rsidR="00017E3D" w:rsidRPr="00017E3D" w:rsidTr="00017E3D">
        <w:trPr>
          <w:trHeight w:val="232"/>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Flintshire</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2.62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r>
      <w:tr w:rsidR="00017E3D" w:rsidRPr="00017E3D" w:rsidTr="00017E3D">
        <w:trPr>
          <w:trHeight w:val="232"/>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Wrexham</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r>
      <w:tr w:rsidR="00017E3D" w:rsidRPr="00017E3D" w:rsidTr="00017E3D">
        <w:trPr>
          <w:trHeight w:val="232"/>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Powys</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w:t>
            </w:r>
          </w:p>
        </w:tc>
      </w:tr>
      <w:tr w:rsidR="00017E3D" w:rsidRPr="00017E3D" w:rsidTr="00017E3D">
        <w:trPr>
          <w:trHeight w:val="232"/>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Ceredigion</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2.22</w:t>
            </w:r>
          </w:p>
        </w:tc>
      </w:tr>
      <w:tr w:rsidR="00017E3D" w:rsidRPr="00017E3D" w:rsidTr="00017E3D">
        <w:trPr>
          <w:trHeight w:val="320"/>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Pembrokeshire</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2.23</w:t>
            </w:r>
          </w:p>
        </w:tc>
      </w:tr>
      <w:tr w:rsidR="00017E3D" w:rsidRPr="00017E3D" w:rsidTr="00017E3D">
        <w:trPr>
          <w:trHeight w:val="320"/>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Carmarthenshire</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r>
      <w:tr w:rsidR="00017E3D" w:rsidRPr="00017E3D" w:rsidTr="00017E3D">
        <w:trPr>
          <w:trHeight w:val="232"/>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Swansea</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2.23</w:t>
            </w:r>
          </w:p>
        </w:tc>
      </w:tr>
      <w:tr w:rsidR="00017E3D" w:rsidRPr="00017E3D" w:rsidTr="00017E3D">
        <w:trPr>
          <w:trHeight w:val="320"/>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Neath Port Talbot</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r>
      <w:tr w:rsidR="00017E3D" w:rsidRPr="00017E3D" w:rsidTr="00017E3D">
        <w:trPr>
          <w:trHeight w:val="232"/>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Bridgend</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2.31</w:t>
            </w:r>
          </w:p>
        </w:tc>
      </w:tr>
      <w:tr w:rsidR="00017E3D" w:rsidRPr="00017E3D" w:rsidTr="00017E3D">
        <w:trPr>
          <w:trHeight w:val="320"/>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Vale of Glamorgan</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r>
      <w:tr w:rsidR="00017E3D" w:rsidRPr="00017E3D" w:rsidTr="00017E3D">
        <w:trPr>
          <w:trHeight w:val="320"/>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Rhondda Cynon Taf</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r>
      <w:tr w:rsidR="00017E3D" w:rsidRPr="00017E3D" w:rsidTr="00017E3D">
        <w:trPr>
          <w:trHeight w:val="320"/>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Merthyr Tydfil</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r>
      <w:tr w:rsidR="00017E3D" w:rsidRPr="00017E3D" w:rsidTr="00017E3D">
        <w:trPr>
          <w:trHeight w:val="232"/>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Caerphilly</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2.64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r>
      <w:tr w:rsidR="00017E3D" w:rsidRPr="00017E3D" w:rsidTr="00017E3D">
        <w:trPr>
          <w:trHeight w:val="320"/>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Blaenau Gwent</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2.24</w:t>
            </w:r>
          </w:p>
        </w:tc>
      </w:tr>
      <w:tr w:rsidR="00017E3D" w:rsidRPr="00017E3D" w:rsidTr="00017E3D">
        <w:trPr>
          <w:trHeight w:val="232"/>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Torfaen</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r>
      <w:tr w:rsidR="00017E3D" w:rsidRPr="00017E3D" w:rsidTr="00017E3D">
        <w:trPr>
          <w:trHeight w:val="320"/>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Monmouthshire</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2.31</w:t>
            </w:r>
          </w:p>
        </w:tc>
      </w:tr>
      <w:tr w:rsidR="00017E3D" w:rsidRPr="00017E3D" w:rsidTr="00017E3D">
        <w:trPr>
          <w:trHeight w:val="232"/>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Newport</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2.51</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2.39</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r>
      <w:tr w:rsidR="00017E3D" w:rsidRPr="00017E3D" w:rsidTr="00017E3D">
        <w:trPr>
          <w:trHeight w:val="221"/>
        </w:trPr>
        <w:tc>
          <w:tcPr>
            <w:tcW w:w="137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Cardiff</w:t>
            </w:r>
          </w:p>
        </w:tc>
        <w:tc>
          <w:tcPr>
            <w:tcW w:w="641"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2.48</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2.37</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2.36</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2.35</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2.34</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2.33</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2.32</w:t>
            </w:r>
          </w:p>
        </w:tc>
        <w:tc>
          <w:tcPr>
            <w:tcW w:w="962"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2.31</w:t>
            </w:r>
          </w:p>
        </w:tc>
      </w:tr>
    </w:tbl>
    <w:p w:rsidR="00017E3D" w:rsidRDefault="00017E3D" w:rsidP="00017E3D">
      <w:pPr>
        <w:pStyle w:val="ListParagraph"/>
        <w:ind w:left="1069"/>
        <w:jc w:val="both"/>
      </w:pPr>
    </w:p>
    <w:p w:rsidR="00017E3D" w:rsidRPr="00646280" w:rsidRDefault="00B42998" w:rsidP="00017E3D">
      <w:pPr>
        <w:pStyle w:val="ListParagraph"/>
        <w:numPr>
          <w:ilvl w:val="1"/>
          <w:numId w:val="1"/>
        </w:numPr>
        <w:jc w:val="both"/>
        <w:rPr>
          <w:b/>
          <w:u w:val="single"/>
        </w:rPr>
      </w:pPr>
      <w:r>
        <w:rPr>
          <w:b/>
          <w:u w:val="single"/>
        </w:rPr>
        <w:lastRenderedPageBreak/>
        <w:t>APPENDIX E</w:t>
      </w:r>
    </w:p>
    <w:p w:rsidR="00017E3D" w:rsidRDefault="00017E3D" w:rsidP="00017E3D">
      <w:pPr>
        <w:pStyle w:val="ListParagraph"/>
        <w:ind w:left="1069"/>
        <w:jc w:val="both"/>
      </w:pPr>
      <w:r w:rsidRPr="00646280">
        <w:rPr>
          <w:b/>
          <w:u w:val="single"/>
        </w:rPr>
        <w:t>Households by type and year</w:t>
      </w:r>
      <w:r w:rsidR="00646280">
        <w:t xml:space="preserve"> (StatsWales, 2017)</w:t>
      </w:r>
    </w:p>
    <w:tbl>
      <w:tblPr>
        <w:tblW w:w="14260" w:type="dxa"/>
        <w:tblLook w:val="04A0" w:firstRow="1" w:lastRow="0" w:firstColumn="1" w:lastColumn="0" w:noHBand="0" w:noVBand="1"/>
      </w:tblPr>
      <w:tblGrid>
        <w:gridCol w:w="1027"/>
        <w:gridCol w:w="909"/>
        <w:gridCol w:w="1027"/>
        <w:gridCol w:w="1027"/>
        <w:gridCol w:w="1027"/>
        <w:gridCol w:w="1027"/>
        <w:gridCol w:w="1027"/>
        <w:gridCol w:w="1027"/>
        <w:gridCol w:w="1027"/>
        <w:gridCol w:w="1027"/>
        <w:gridCol w:w="1027"/>
        <w:gridCol w:w="1027"/>
        <w:gridCol w:w="1027"/>
        <w:gridCol w:w="1027"/>
      </w:tblGrid>
      <w:tr w:rsidR="00017E3D" w:rsidRPr="00017E3D" w:rsidTr="00646280">
        <w:trPr>
          <w:trHeight w:val="189"/>
        </w:trPr>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4"/>
                <w:szCs w:val="24"/>
                <w:lang w:eastAsia="en-GB"/>
              </w:rPr>
            </w:pPr>
          </w:p>
        </w:tc>
        <w:tc>
          <w:tcPr>
            <w:tcW w:w="909"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1991</w:t>
            </w: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35" name="Picture 1035"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68"/>
            </w:tblGrid>
            <w:tr w:rsidR="00017E3D" w:rsidRPr="00017E3D" w:rsidTr="00646280">
              <w:trPr>
                <w:trHeight w:val="189"/>
                <w:tblCellSpacing w:w="0" w:type="dxa"/>
              </w:trPr>
              <w:tc>
                <w:tcPr>
                  <w:tcW w:w="768"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1996</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34" name="Picture 1034"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68"/>
            </w:tblGrid>
            <w:tr w:rsidR="00017E3D" w:rsidRPr="00017E3D" w:rsidTr="00646280">
              <w:trPr>
                <w:trHeight w:val="189"/>
                <w:tblCellSpacing w:w="0" w:type="dxa"/>
              </w:trPr>
              <w:tc>
                <w:tcPr>
                  <w:tcW w:w="768"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2001</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33" name="Picture 1033"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68"/>
            </w:tblGrid>
            <w:tr w:rsidR="00017E3D" w:rsidRPr="00017E3D" w:rsidTr="00646280">
              <w:trPr>
                <w:trHeight w:val="189"/>
                <w:tblCellSpacing w:w="0" w:type="dxa"/>
              </w:trPr>
              <w:tc>
                <w:tcPr>
                  <w:tcW w:w="768"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2007</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32" name="Picture 1032"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68"/>
            </w:tblGrid>
            <w:tr w:rsidR="00017E3D" w:rsidRPr="00017E3D" w:rsidTr="00646280">
              <w:trPr>
                <w:trHeight w:val="189"/>
                <w:tblCellSpacing w:w="0" w:type="dxa"/>
              </w:trPr>
              <w:tc>
                <w:tcPr>
                  <w:tcW w:w="768"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2008</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31" name="Picture 1031"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68"/>
            </w:tblGrid>
            <w:tr w:rsidR="00017E3D" w:rsidRPr="00017E3D" w:rsidTr="00646280">
              <w:trPr>
                <w:trHeight w:val="189"/>
                <w:tblCellSpacing w:w="0" w:type="dxa"/>
              </w:trPr>
              <w:tc>
                <w:tcPr>
                  <w:tcW w:w="768"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2009</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30" name="Picture 1030"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68"/>
            </w:tblGrid>
            <w:tr w:rsidR="00017E3D" w:rsidRPr="00017E3D" w:rsidTr="00646280">
              <w:trPr>
                <w:trHeight w:val="189"/>
                <w:tblCellSpacing w:w="0" w:type="dxa"/>
              </w:trPr>
              <w:tc>
                <w:tcPr>
                  <w:tcW w:w="768"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2010</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29" name="Picture 1029"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68"/>
            </w:tblGrid>
            <w:tr w:rsidR="00017E3D" w:rsidRPr="00017E3D" w:rsidTr="00646280">
              <w:trPr>
                <w:trHeight w:val="189"/>
                <w:tblCellSpacing w:w="0" w:type="dxa"/>
              </w:trPr>
              <w:tc>
                <w:tcPr>
                  <w:tcW w:w="768"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2011</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28" name="Picture 1028"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68"/>
            </w:tblGrid>
            <w:tr w:rsidR="00017E3D" w:rsidRPr="00017E3D" w:rsidTr="00646280">
              <w:trPr>
                <w:trHeight w:val="189"/>
                <w:tblCellSpacing w:w="0" w:type="dxa"/>
              </w:trPr>
              <w:tc>
                <w:tcPr>
                  <w:tcW w:w="768"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2012</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27" name="Picture 1027"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68"/>
            </w:tblGrid>
            <w:tr w:rsidR="00017E3D" w:rsidRPr="00017E3D" w:rsidTr="00646280">
              <w:trPr>
                <w:trHeight w:val="189"/>
                <w:tblCellSpacing w:w="0" w:type="dxa"/>
              </w:trPr>
              <w:tc>
                <w:tcPr>
                  <w:tcW w:w="768"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2013</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26" name="Picture 1026"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68"/>
            </w:tblGrid>
            <w:tr w:rsidR="00017E3D" w:rsidRPr="00017E3D" w:rsidTr="00646280">
              <w:trPr>
                <w:trHeight w:val="189"/>
                <w:tblCellSpacing w:w="0" w:type="dxa"/>
              </w:trPr>
              <w:tc>
                <w:tcPr>
                  <w:tcW w:w="768"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2014</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25" name="Picture 1025"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68"/>
            </w:tblGrid>
            <w:tr w:rsidR="00017E3D" w:rsidRPr="00017E3D" w:rsidTr="00646280">
              <w:trPr>
                <w:trHeight w:val="189"/>
                <w:tblCellSpacing w:w="0" w:type="dxa"/>
              </w:trPr>
              <w:tc>
                <w:tcPr>
                  <w:tcW w:w="768"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2015</w:t>
                  </w:r>
                </w:p>
              </w:tc>
            </w:tr>
          </w:tbl>
          <w:p w:rsidR="00017E3D" w:rsidRPr="00017E3D" w:rsidRDefault="00017E3D" w:rsidP="00017E3D">
            <w:pPr>
              <w:spacing w:after="0" w:line="240" w:lineRule="auto"/>
              <w:rPr>
                <w:rFonts w:eastAsia="Times New Roman" w:cs="Calibri"/>
                <w:b w:val="0"/>
                <w:color w:val="000000"/>
                <w:sz w:val="22"/>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eastAsia="Times New Roman" w:cs="Calibri"/>
                <w:b w:val="0"/>
                <w:color w:val="000000"/>
                <w:sz w:val="22"/>
                <w:lang w:eastAsia="en-GB"/>
              </w:rPr>
            </w:pPr>
            <w:r w:rsidRPr="00017E3D">
              <w:rPr>
                <w:rFonts w:eastAsia="Times New Roman" w:cs="Calibri"/>
                <w:b w:val="0"/>
                <w:noProof/>
                <w:color w:val="000000"/>
                <w:sz w:val="22"/>
                <w:lang w:eastAsia="en-GB"/>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24" name="Picture 1024" descr="Click here to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 descr="Click here to so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68"/>
            </w:tblGrid>
            <w:tr w:rsidR="00017E3D" w:rsidRPr="00017E3D" w:rsidTr="00646280">
              <w:trPr>
                <w:trHeight w:val="189"/>
                <w:tblCellSpacing w:w="0" w:type="dxa"/>
              </w:trPr>
              <w:tc>
                <w:tcPr>
                  <w:tcW w:w="768" w:type="dxa"/>
                  <w:tcBorders>
                    <w:top w:val="nil"/>
                    <w:left w:val="single" w:sz="8" w:space="0" w:color="9F9F9F"/>
                    <w:bottom w:val="single" w:sz="8" w:space="0" w:color="9F9F9F"/>
                    <w:right w:val="nil"/>
                  </w:tcBorders>
                  <w:shd w:val="clear" w:color="000000" w:fill="EAD1EF"/>
                  <w:hideMark/>
                </w:tcPr>
                <w:p w:rsidR="00017E3D" w:rsidRPr="00017E3D" w:rsidRDefault="00017E3D" w:rsidP="00017E3D">
                  <w:pPr>
                    <w:spacing w:after="0" w:line="240" w:lineRule="auto"/>
                    <w:jc w:val="center"/>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2016</w:t>
                  </w:r>
                </w:p>
              </w:tc>
            </w:tr>
          </w:tbl>
          <w:p w:rsidR="00017E3D" w:rsidRPr="00017E3D" w:rsidRDefault="00017E3D" w:rsidP="00017E3D">
            <w:pPr>
              <w:spacing w:after="0" w:line="240" w:lineRule="auto"/>
              <w:rPr>
                <w:rFonts w:eastAsia="Times New Roman" w:cs="Calibri"/>
                <w:b w:val="0"/>
                <w:color w:val="000000"/>
                <w:sz w:val="22"/>
                <w:lang w:eastAsia="en-GB"/>
              </w:rPr>
            </w:pPr>
          </w:p>
        </w:tc>
      </w:tr>
      <w:tr w:rsidR="00017E3D" w:rsidRPr="00017E3D" w:rsidTr="00646280">
        <w:trPr>
          <w:trHeight w:val="189"/>
        </w:trPr>
        <w:tc>
          <w:tcPr>
            <w:tcW w:w="102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 person</w:t>
            </w:r>
          </w:p>
        </w:tc>
        <w:tc>
          <w:tcPr>
            <w:tcW w:w="909"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283,649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318,575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353,685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381,103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386,682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391,668</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396,642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401,667</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406,499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410,934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415,969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419,783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424,900</w:t>
            </w:r>
          </w:p>
        </w:tc>
      </w:tr>
      <w:tr w:rsidR="00017E3D" w:rsidRPr="00017E3D" w:rsidTr="00646280">
        <w:trPr>
          <w:trHeight w:val="389"/>
        </w:trPr>
        <w:tc>
          <w:tcPr>
            <w:tcW w:w="102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 person (no children)</w:t>
            </w:r>
          </w:p>
        </w:tc>
        <w:tc>
          <w:tcPr>
            <w:tcW w:w="909"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344,799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359,118</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376,476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393,511</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397,176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399,897</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402,440</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405,022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407,583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410,193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413,069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415,149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418,376</w:t>
            </w:r>
          </w:p>
        </w:tc>
      </w:tr>
      <w:tr w:rsidR="00017E3D" w:rsidRPr="00017E3D" w:rsidTr="00646280">
        <w:trPr>
          <w:trHeight w:val="389"/>
        </w:trPr>
        <w:tc>
          <w:tcPr>
            <w:tcW w:w="102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 person (1 adult, 1 child)</w:t>
            </w:r>
          </w:p>
        </w:tc>
        <w:tc>
          <w:tcPr>
            <w:tcW w:w="909"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22,586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32,111</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41,098</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46,103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47,086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47,913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48,626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49,421</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50,130</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50,744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51,365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51,994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52,660</w:t>
            </w:r>
          </w:p>
        </w:tc>
      </w:tr>
      <w:tr w:rsidR="00017E3D" w:rsidRPr="00017E3D" w:rsidTr="00646280">
        <w:trPr>
          <w:trHeight w:val="389"/>
        </w:trPr>
        <w:tc>
          <w:tcPr>
            <w:tcW w:w="102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 person (no children)</w:t>
            </w:r>
          </w:p>
        </w:tc>
        <w:tc>
          <w:tcPr>
            <w:tcW w:w="909"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92,370</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88,030</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84,696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88,589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89,268</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89,682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90,091</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90,542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90,759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90,965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91,136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91,177</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91,505</w:t>
            </w:r>
          </w:p>
        </w:tc>
      </w:tr>
      <w:tr w:rsidR="00017E3D" w:rsidRPr="00017E3D" w:rsidTr="00646280">
        <w:trPr>
          <w:trHeight w:val="389"/>
        </w:trPr>
        <w:tc>
          <w:tcPr>
            <w:tcW w:w="102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 person (2 adults, 1 child)</w:t>
            </w:r>
          </w:p>
        </w:tc>
        <w:tc>
          <w:tcPr>
            <w:tcW w:w="909"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81,623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84,231</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85,364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86,365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86,813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87,000</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87,015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87,075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86,864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86,644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86,408</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86,154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86,027</w:t>
            </w:r>
          </w:p>
        </w:tc>
      </w:tr>
      <w:tr w:rsidR="00017E3D" w:rsidRPr="00017E3D" w:rsidTr="00646280">
        <w:trPr>
          <w:trHeight w:val="389"/>
        </w:trPr>
        <w:tc>
          <w:tcPr>
            <w:tcW w:w="102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 person (1 adult, 2 children)</w:t>
            </w:r>
          </w:p>
        </w:tc>
        <w:tc>
          <w:tcPr>
            <w:tcW w:w="909"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17,054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22,786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27,862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26,611</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26,462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26,278</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26,059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25,910</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25,767</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25,604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25,484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25,401</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25,350</w:t>
            </w:r>
          </w:p>
        </w:tc>
      </w:tr>
      <w:tr w:rsidR="00017E3D" w:rsidRPr="00017E3D" w:rsidTr="00646280">
        <w:trPr>
          <w:trHeight w:val="389"/>
        </w:trPr>
        <w:tc>
          <w:tcPr>
            <w:tcW w:w="102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 person (no children)</w:t>
            </w:r>
          </w:p>
        </w:tc>
        <w:tc>
          <w:tcPr>
            <w:tcW w:w="909"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33,243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28,350</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24,986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28,570</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29,167</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29,655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30,178</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30,717</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31,208</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31,632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31,963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32,252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32,669</w:t>
            </w:r>
          </w:p>
        </w:tc>
      </w:tr>
      <w:tr w:rsidR="00017E3D" w:rsidRPr="00017E3D" w:rsidTr="00646280">
        <w:trPr>
          <w:trHeight w:val="515"/>
        </w:trPr>
        <w:tc>
          <w:tcPr>
            <w:tcW w:w="102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 person (2+ adults, 1+ children)</w:t>
            </w:r>
          </w:p>
        </w:tc>
        <w:tc>
          <w:tcPr>
            <w:tcW w:w="909"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138,516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133,793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127,225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126,031</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125,803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125,342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124,663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124,188</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123,490</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122,769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122,142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121,625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121,234</w:t>
            </w:r>
          </w:p>
        </w:tc>
      </w:tr>
      <w:tr w:rsidR="00017E3D" w:rsidRPr="00017E3D" w:rsidTr="00646280">
        <w:trPr>
          <w:trHeight w:val="389"/>
        </w:trPr>
        <w:tc>
          <w:tcPr>
            <w:tcW w:w="102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4 person (1 adult, 3 children)</w:t>
            </w:r>
          </w:p>
        </w:tc>
        <w:tc>
          <w:tcPr>
            <w:tcW w:w="909"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6,104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7,986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9,572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9,232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9,195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9,155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9,109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9,092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9,081</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9,064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9,065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9,081</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9,109</w:t>
            </w:r>
          </w:p>
        </w:tc>
      </w:tr>
      <w:tr w:rsidR="00017E3D" w:rsidRPr="00017E3D" w:rsidTr="00646280">
        <w:trPr>
          <w:trHeight w:val="389"/>
        </w:trPr>
        <w:tc>
          <w:tcPr>
            <w:tcW w:w="102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5+ person (no children)</w:t>
            </w:r>
          </w:p>
        </w:tc>
        <w:tc>
          <w:tcPr>
            <w:tcW w:w="909"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7,269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6,775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6,912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8,696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8,909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9,102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9,385</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9,681</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10,062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10,313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10,473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10,674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10,921</w:t>
            </w:r>
          </w:p>
        </w:tc>
      </w:tr>
      <w:tr w:rsidR="00017E3D" w:rsidRPr="00017E3D" w:rsidTr="00646280">
        <w:trPr>
          <w:trHeight w:val="515"/>
        </w:trPr>
        <w:tc>
          <w:tcPr>
            <w:tcW w:w="102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5+ person (2+ adults, 1+ children)</w:t>
            </w:r>
          </w:p>
        </w:tc>
        <w:tc>
          <w:tcPr>
            <w:tcW w:w="909"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83,520</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77,349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71,167</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68,974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68,591</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68,104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67,532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67,108</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66,706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66,287</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65,933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65,619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65,402</w:t>
            </w:r>
          </w:p>
        </w:tc>
      </w:tr>
      <w:tr w:rsidR="00017E3D" w:rsidRPr="00017E3D" w:rsidTr="00646280">
        <w:trPr>
          <w:trHeight w:val="507"/>
        </w:trPr>
        <w:tc>
          <w:tcPr>
            <w:tcW w:w="1027" w:type="dxa"/>
            <w:tcBorders>
              <w:top w:val="single" w:sz="8" w:space="0" w:color="9F9F9F"/>
              <w:left w:val="nil"/>
              <w:bottom w:val="nil"/>
              <w:right w:val="single" w:sz="8" w:space="0" w:color="9F9F9F"/>
            </w:tcBorders>
            <w:shd w:val="clear" w:color="000000" w:fill="EAD1EF"/>
            <w:vAlign w:val="center"/>
            <w:hideMark/>
          </w:tcPr>
          <w:p w:rsidR="00017E3D" w:rsidRPr="00017E3D" w:rsidRDefault="00017E3D" w:rsidP="00017E3D">
            <w:pPr>
              <w:spacing w:after="0" w:line="240" w:lineRule="auto"/>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5+ person (1 adult,4+ children)</w:t>
            </w:r>
          </w:p>
        </w:tc>
        <w:tc>
          <w:tcPr>
            <w:tcW w:w="909" w:type="dxa"/>
            <w:tcBorders>
              <w:top w:val="single" w:sz="8" w:space="0" w:color="CECECE"/>
              <w:left w:val="nil"/>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2,191</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2,928</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3,526</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3,408</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3,402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3,397</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3,394</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3,403</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3,412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3,419</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3,432</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3,450</w:t>
            </w:r>
          </w:p>
        </w:tc>
        <w:tc>
          <w:tcPr>
            <w:tcW w:w="1027" w:type="dxa"/>
            <w:tcBorders>
              <w:top w:val="single" w:sz="8" w:space="0" w:color="CECECE"/>
              <w:left w:val="single" w:sz="8" w:space="0" w:color="CECECE"/>
              <w:bottom w:val="nil"/>
              <w:right w:val="nil"/>
            </w:tcBorders>
            <w:shd w:val="clear" w:color="000000" w:fill="FFFFFF"/>
            <w:noWrap/>
            <w:vAlign w:val="center"/>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r w:rsidRPr="00017E3D">
              <w:rPr>
                <w:rFonts w:ascii="Tahoma" w:eastAsia="Times New Roman" w:hAnsi="Tahoma" w:cs="Tahoma"/>
                <w:b w:val="0"/>
                <w:color w:val="000000"/>
                <w:sz w:val="16"/>
                <w:szCs w:val="16"/>
                <w:lang w:eastAsia="en-GB"/>
              </w:rPr>
              <w:t>3,470</w:t>
            </w:r>
          </w:p>
        </w:tc>
      </w:tr>
      <w:tr w:rsidR="00017E3D" w:rsidRPr="00017E3D" w:rsidTr="00646280">
        <w:trPr>
          <w:trHeight w:val="179"/>
        </w:trPr>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jc w:val="right"/>
              <w:rPr>
                <w:rFonts w:ascii="Tahoma" w:eastAsia="Times New Roman" w:hAnsi="Tahoma" w:cs="Tahoma"/>
                <w:b w:val="0"/>
                <w:color w:val="000000"/>
                <w:sz w:val="16"/>
                <w:szCs w:val="16"/>
                <w:lang w:eastAsia="en-GB"/>
              </w:rPr>
            </w:pPr>
          </w:p>
        </w:tc>
        <w:tc>
          <w:tcPr>
            <w:tcW w:w="909"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0"/>
                <w:szCs w:val="20"/>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0"/>
                <w:szCs w:val="20"/>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0"/>
                <w:szCs w:val="20"/>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0"/>
                <w:szCs w:val="20"/>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0"/>
                <w:szCs w:val="20"/>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0"/>
                <w:szCs w:val="20"/>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0"/>
                <w:szCs w:val="20"/>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0"/>
                <w:szCs w:val="20"/>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0"/>
                <w:szCs w:val="20"/>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0"/>
                <w:szCs w:val="20"/>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0"/>
                <w:szCs w:val="20"/>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0"/>
                <w:szCs w:val="20"/>
                <w:lang w:eastAsia="en-GB"/>
              </w:rPr>
            </w:pPr>
          </w:p>
        </w:tc>
        <w:tc>
          <w:tcPr>
            <w:tcW w:w="1027" w:type="dxa"/>
            <w:tcBorders>
              <w:top w:val="nil"/>
              <w:left w:val="nil"/>
              <w:bottom w:val="nil"/>
              <w:right w:val="nil"/>
            </w:tcBorders>
            <w:shd w:val="clear" w:color="auto" w:fill="auto"/>
            <w:noWrap/>
            <w:vAlign w:val="bottom"/>
            <w:hideMark/>
          </w:tcPr>
          <w:p w:rsidR="00017E3D" w:rsidRPr="00017E3D" w:rsidRDefault="00017E3D" w:rsidP="00017E3D">
            <w:pPr>
              <w:spacing w:after="0" w:line="240" w:lineRule="auto"/>
              <w:rPr>
                <w:rFonts w:ascii="Times New Roman" w:eastAsia="Times New Roman" w:hAnsi="Times New Roman" w:cs="Times New Roman"/>
                <w:b w:val="0"/>
                <w:sz w:val="20"/>
                <w:szCs w:val="20"/>
                <w:lang w:eastAsia="en-GB"/>
              </w:rPr>
            </w:pPr>
          </w:p>
        </w:tc>
      </w:tr>
    </w:tbl>
    <w:p w:rsidR="00017E3D" w:rsidRPr="001C2D6E" w:rsidRDefault="00017E3D" w:rsidP="00017E3D">
      <w:pPr>
        <w:pStyle w:val="ListParagraph"/>
        <w:ind w:left="1069"/>
        <w:jc w:val="both"/>
      </w:pPr>
    </w:p>
    <w:p w:rsidR="00192023" w:rsidRPr="00192023" w:rsidRDefault="00192023" w:rsidP="00192023">
      <w:pPr>
        <w:ind w:left="360"/>
        <w:contextualSpacing/>
        <w:jc w:val="both"/>
        <w:rPr>
          <w:rFonts w:asciiTheme="minorHAnsi" w:hAnsiTheme="minorHAnsi"/>
          <w:b w:val="0"/>
          <w:sz w:val="24"/>
          <w:szCs w:val="24"/>
        </w:rPr>
      </w:pPr>
    </w:p>
    <w:p w:rsidR="00192023" w:rsidRDefault="00192023"/>
    <w:sectPr w:rsidR="00192023" w:rsidSect="005D7B8A">
      <w:pgSz w:w="16838" w:h="11906" w:orient="landscape"/>
      <w:pgMar w:top="1440" w:right="1440" w:bottom="1440" w:left="1440" w:header="709" w:footer="709" w:gutter="0"/>
      <w:pgNumType w:start="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7ACC" w:rsidRDefault="00177ACC" w:rsidP="00F87A9F">
      <w:pPr>
        <w:spacing w:after="0" w:line="240" w:lineRule="auto"/>
      </w:pPr>
      <w:r>
        <w:separator/>
      </w:r>
    </w:p>
  </w:endnote>
  <w:endnote w:type="continuationSeparator" w:id="0">
    <w:p w:rsidR="00177ACC" w:rsidRDefault="00177ACC" w:rsidP="00F87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0673071"/>
      <w:docPartObj>
        <w:docPartGallery w:val="Page Numbers (Bottom of Page)"/>
        <w:docPartUnique/>
      </w:docPartObj>
    </w:sdtPr>
    <w:sdtEndPr>
      <w:rPr>
        <w:noProof/>
      </w:rPr>
    </w:sdtEndPr>
    <w:sdtContent>
      <w:p w:rsidR="00C16308" w:rsidRDefault="00C16308">
        <w:pPr>
          <w:pStyle w:val="Footer"/>
          <w:jc w:val="center"/>
        </w:pPr>
        <w:r>
          <w:fldChar w:fldCharType="begin"/>
        </w:r>
        <w:r>
          <w:instrText xml:space="preserve"> PAGE   \* MERGEFORMAT </w:instrText>
        </w:r>
        <w:r>
          <w:fldChar w:fldCharType="separate"/>
        </w:r>
        <w:r w:rsidR="0079481C">
          <w:rPr>
            <w:noProof/>
          </w:rPr>
          <w:t>20</w:t>
        </w:r>
        <w:r>
          <w:rPr>
            <w:noProof/>
          </w:rPr>
          <w:fldChar w:fldCharType="end"/>
        </w:r>
      </w:p>
    </w:sdtContent>
  </w:sdt>
  <w:p w:rsidR="00C16308" w:rsidRDefault="00C163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7ACC" w:rsidRDefault="00177ACC" w:rsidP="00F87A9F">
      <w:pPr>
        <w:spacing w:after="0" w:line="240" w:lineRule="auto"/>
      </w:pPr>
      <w:r>
        <w:separator/>
      </w:r>
    </w:p>
  </w:footnote>
  <w:footnote w:type="continuationSeparator" w:id="0">
    <w:p w:rsidR="00177ACC" w:rsidRDefault="00177ACC" w:rsidP="00F87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D573D"/>
    <w:multiLevelType w:val="hybridMultilevel"/>
    <w:tmpl w:val="0C8CCBB0"/>
    <w:lvl w:ilvl="0" w:tplc="08090001">
      <w:start w:val="1"/>
      <w:numFmt w:val="bullet"/>
      <w:lvlText w:val=""/>
      <w:lvlJc w:val="left"/>
      <w:pPr>
        <w:ind w:left="3708" w:hanging="360"/>
      </w:pPr>
      <w:rPr>
        <w:rFonts w:ascii="Symbol" w:hAnsi="Symbol" w:hint="default"/>
      </w:rPr>
    </w:lvl>
    <w:lvl w:ilvl="1" w:tplc="08090003" w:tentative="1">
      <w:start w:val="1"/>
      <w:numFmt w:val="bullet"/>
      <w:lvlText w:val="o"/>
      <w:lvlJc w:val="left"/>
      <w:pPr>
        <w:ind w:left="4428" w:hanging="360"/>
      </w:pPr>
      <w:rPr>
        <w:rFonts w:ascii="Courier New" w:hAnsi="Courier New" w:cs="Courier New" w:hint="default"/>
      </w:rPr>
    </w:lvl>
    <w:lvl w:ilvl="2" w:tplc="08090005" w:tentative="1">
      <w:start w:val="1"/>
      <w:numFmt w:val="bullet"/>
      <w:lvlText w:val=""/>
      <w:lvlJc w:val="left"/>
      <w:pPr>
        <w:ind w:left="5148" w:hanging="360"/>
      </w:pPr>
      <w:rPr>
        <w:rFonts w:ascii="Wingdings" w:hAnsi="Wingdings" w:hint="default"/>
      </w:rPr>
    </w:lvl>
    <w:lvl w:ilvl="3" w:tplc="08090001" w:tentative="1">
      <w:start w:val="1"/>
      <w:numFmt w:val="bullet"/>
      <w:lvlText w:val=""/>
      <w:lvlJc w:val="left"/>
      <w:pPr>
        <w:ind w:left="5868" w:hanging="360"/>
      </w:pPr>
      <w:rPr>
        <w:rFonts w:ascii="Symbol" w:hAnsi="Symbol" w:hint="default"/>
      </w:rPr>
    </w:lvl>
    <w:lvl w:ilvl="4" w:tplc="08090003" w:tentative="1">
      <w:start w:val="1"/>
      <w:numFmt w:val="bullet"/>
      <w:lvlText w:val="o"/>
      <w:lvlJc w:val="left"/>
      <w:pPr>
        <w:ind w:left="6588" w:hanging="360"/>
      </w:pPr>
      <w:rPr>
        <w:rFonts w:ascii="Courier New" w:hAnsi="Courier New" w:cs="Courier New" w:hint="default"/>
      </w:rPr>
    </w:lvl>
    <w:lvl w:ilvl="5" w:tplc="08090005" w:tentative="1">
      <w:start w:val="1"/>
      <w:numFmt w:val="bullet"/>
      <w:lvlText w:val=""/>
      <w:lvlJc w:val="left"/>
      <w:pPr>
        <w:ind w:left="7308" w:hanging="360"/>
      </w:pPr>
      <w:rPr>
        <w:rFonts w:ascii="Wingdings" w:hAnsi="Wingdings" w:hint="default"/>
      </w:rPr>
    </w:lvl>
    <w:lvl w:ilvl="6" w:tplc="08090001" w:tentative="1">
      <w:start w:val="1"/>
      <w:numFmt w:val="bullet"/>
      <w:lvlText w:val=""/>
      <w:lvlJc w:val="left"/>
      <w:pPr>
        <w:ind w:left="8028" w:hanging="360"/>
      </w:pPr>
      <w:rPr>
        <w:rFonts w:ascii="Symbol" w:hAnsi="Symbol" w:hint="default"/>
      </w:rPr>
    </w:lvl>
    <w:lvl w:ilvl="7" w:tplc="08090003" w:tentative="1">
      <w:start w:val="1"/>
      <w:numFmt w:val="bullet"/>
      <w:lvlText w:val="o"/>
      <w:lvlJc w:val="left"/>
      <w:pPr>
        <w:ind w:left="8748" w:hanging="360"/>
      </w:pPr>
      <w:rPr>
        <w:rFonts w:ascii="Courier New" w:hAnsi="Courier New" w:cs="Courier New" w:hint="default"/>
      </w:rPr>
    </w:lvl>
    <w:lvl w:ilvl="8" w:tplc="08090005" w:tentative="1">
      <w:start w:val="1"/>
      <w:numFmt w:val="bullet"/>
      <w:lvlText w:val=""/>
      <w:lvlJc w:val="left"/>
      <w:pPr>
        <w:ind w:left="9468" w:hanging="360"/>
      </w:pPr>
      <w:rPr>
        <w:rFonts w:ascii="Wingdings" w:hAnsi="Wingdings" w:hint="default"/>
      </w:rPr>
    </w:lvl>
  </w:abstractNum>
  <w:abstractNum w:abstractNumId="1" w15:restartNumberingAfterBreak="0">
    <w:nsid w:val="0E1B659C"/>
    <w:multiLevelType w:val="hybridMultilevel"/>
    <w:tmpl w:val="D5D8540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5803E34"/>
    <w:multiLevelType w:val="hybridMultilevel"/>
    <w:tmpl w:val="1068DF68"/>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591550B9"/>
    <w:multiLevelType w:val="multilevel"/>
    <w:tmpl w:val="46963BEE"/>
    <w:lvl w:ilvl="0">
      <w:start w:val="1"/>
      <w:numFmt w:val="decimal"/>
      <w:lvlText w:val="%1.0"/>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2988" w:hanging="720"/>
      </w:pPr>
      <w:rPr>
        <w:rFonts w:hint="default"/>
        <w:b/>
      </w:rPr>
    </w:lvl>
    <w:lvl w:ilvl="4">
      <w:start w:val="1"/>
      <w:numFmt w:val="decimal"/>
      <w:lvlText w:val="%1.%2.%3.%4.%5"/>
      <w:lvlJc w:val="left"/>
      <w:pPr>
        <w:ind w:left="4057" w:hanging="1080"/>
      </w:pPr>
      <w:rPr>
        <w:rFonts w:hint="default"/>
        <w:b/>
        <w:u w:val="none"/>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A9F"/>
    <w:rsid w:val="00010E49"/>
    <w:rsid w:val="00017E3D"/>
    <w:rsid w:val="000D0084"/>
    <w:rsid w:val="00137696"/>
    <w:rsid w:val="00164AD8"/>
    <w:rsid w:val="00177ACC"/>
    <w:rsid w:val="00183A85"/>
    <w:rsid w:val="00192023"/>
    <w:rsid w:val="001C2D6E"/>
    <w:rsid w:val="00282059"/>
    <w:rsid w:val="003667E4"/>
    <w:rsid w:val="003B4318"/>
    <w:rsid w:val="005268B7"/>
    <w:rsid w:val="005D7B8A"/>
    <w:rsid w:val="00646280"/>
    <w:rsid w:val="00706AAF"/>
    <w:rsid w:val="0079481C"/>
    <w:rsid w:val="007B3C4E"/>
    <w:rsid w:val="007C145E"/>
    <w:rsid w:val="007C1DDB"/>
    <w:rsid w:val="007F2050"/>
    <w:rsid w:val="0084578F"/>
    <w:rsid w:val="00932F43"/>
    <w:rsid w:val="00A2285F"/>
    <w:rsid w:val="00A9392A"/>
    <w:rsid w:val="00AA4445"/>
    <w:rsid w:val="00AB5D09"/>
    <w:rsid w:val="00B42998"/>
    <w:rsid w:val="00B62A1B"/>
    <w:rsid w:val="00B63E6F"/>
    <w:rsid w:val="00B66BF7"/>
    <w:rsid w:val="00B93ADA"/>
    <w:rsid w:val="00C01AEC"/>
    <w:rsid w:val="00C16308"/>
    <w:rsid w:val="00CC1AB1"/>
    <w:rsid w:val="00D61B4E"/>
    <w:rsid w:val="00DD52DF"/>
    <w:rsid w:val="00E35F79"/>
    <w:rsid w:val="00ED75D7"/>
    <w:rsid w:val="00F07C87"/>
    <w:rsid w:val="00F87A9F"/>
    <w:rsid w:val="00F93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0519A"/>
  <w15:chartTrackingRefBased/>
  <w15:docId w15:val="{DE5D267D-3B00-4EFD-A89C-21E3D3840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b/>
        <w:sz w:val="28"/>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1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7A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87A9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F87A9F"/>
    <w:pPr>
      <w:ind w:left="720"/>
      <w:contextualSpacing/>
    </w:pPr>
    <w:rPr>
      <w:rFonts w:asciiTheme="minorHAnsi" w:hAnsiTheme="minorHAnsi"/>
      <w:b w:val="0"/>
      <w:sz w:val="24"/>
      <w:szCs w:val="24"/>
    </w:rPr>
  </w:style>
  <w:style w:type="paragraph" w:styleId="Header">
    <w:name w:val="header"/>
    <w:basedOn w:val="Normal"/>
    <w:link w:val="HeaderChar"/>
    <w:uiPriority w:val="99"/>
    <w:unhideWhenUsed/>
    <w:rsid w:val="00F87A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A9F"/>
  </w:style>
  <w:style w:type="paragraph" w:styleId="Footer">
    <w:name w:val="footer"/>
    <w:basedOn w:val="Normal"/>
    <w:link w:val="FooterChar"/>
    <w:uiPriority w:val="99"/>
    <w:unhideWhenUsed/>
    <w:rsid w:val="00F87A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A9F"/>
  </w:style>
  <w:style w:type="character" w:styleId="Hyperlink">
    <w:name w:val="Hyperlink"/>
    <w:basedOn w:val="DefaultParagraphFont"/>
    <w:uiPriority w:val="99"/>
    <w:unhideWhenUsed/>
    <w:rsid w:val="007F2050"/>
    <w:rPr>
      <w:color w:val="0563C1" w:themeColor="hyperlink"/>
      <w:u w:val="single"/>
    </w:rPr>
  </w:style>
  <w:style w:type="character" w:styleId="FollowedHyperlink">
    <w:name w:val="FollowedHyperlink"/>
    <w:basedOn w:val="DefaultParagraphFont"/>
    <w:uiPriority w:val="99"/>
    <w:semiHidden/>
    <w:unhideWhenUsed/>
    <w:rsid w:val="00ED75D7"/>
    <w:rPr>
      <w:color w:val="954F72" w:themeColor="followedHyperlink"/>
      <w:u w:val="single"/>
    </w:rPr>
  </w:style>
  <w:style w:type="paragraph" w:styleId="BalloonText">
    <w:name w:val="Balloon Text"/>
    <w:basedOn w:val="Normal"/>
    <w:link w:val="BalloonTextChar"/>
    <w:uiPriority w:val="99"/>
    <w:semiHidden/>
    <w:unhideWhenUsed/>
    <w:rsid w:val="005D7B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B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479806">
      <w:bodyDiv w:val="1"/>
      <w:marLeft w:val="0"/>
      <w:marRight w:val="0"/>
      <w:marTop w:val="0"/>
      <w:marBottom w:val="0"/>
      <w:divBdr>
        <w:top w:val="none" w:sz="0" w:space="0" w:color="auto"/>
        <w:left w:val="none" w:sz="0" w:space="0" w:color="auto"/>
        <w:bottom w:val="none" w:sz="0" w:space="0" w:color="auto"/>
        <w:right w:val="none" w:sz="0" w:space="0" w:color="auto"/>
      </w:divBdr>
    </w:div>
    <w:div w:id="839081847">
      <w:bodyDiv w:val="1"/>
      <w:marLeft w:val="0"/>
      <w:marRight w:val="0"/>
      <w:marTop w:val="0"/>
      <w:marBottom w:val="0"/>
      <w:divBdr>
        <w:top w:val="none" w:sz="0" w:space="0" w:color="auto"/>
        <w:left w:val="none" w:sz="0" w:space="0" w:color="auto"/>
        <w:bottom w:val="none" w:sz="0" w:space="0" w:color="auto"/>
        <w:right w:val="none" w:sz="0" w:space="0" w:color="auto"/>
      </w:divBdr>
    </w:div>
    <w:div w:id="1166675868">
      <w:bodyDiv w:val="1"/>
      <w:marLeft w:val="0"/>
      <w:marRight w:val="0"/>
      <w:marTop w:val="0"/>
      <w:marBottom w:val="0"/>
      <w:divBdr>
        <w:top w:val="none" w:sz="0" w:space="0" w:color="auto"/>
        <w:left w:val="none" w:sz="0" w:space="0" w:color="auto"/>
        <w:bottom w:val="none" w:sz="0" w:space="0" w:color="auto"/>
        <w:right w:val="none" w:sz="0" w:space="0" w:color="auto"/>
      </w:divBdr>
    </w:div>
    <w:div w:id="1406730435">
      <w:bodyDiv w:val="1"/>
      <w:marLeft w:val="0"/>
      <w:marRight w:val="0"/>
      <w:marTop w:val="0"/>
      <w:marBottom w:val="0"/>
      <w:divBdr>
        <w:top w:val="none" w:sz="0" w:space="0" w:color="auto"/>
        <w:left w:val="none" w:sz="0" w:space="0" w:color="auto"/>
        <w:bottom w:val="none" w:sz="0" w:space="0" w:color="auto"/>
        <w:right w:val="none" w:sz="0" w:space="0" w:color="auto"/>
      </w:divBdr>
    </w:div>
    <w:div w:id="1661613160">
      <w:bodyDiv w:val="1"/>
      <w:marLeft w:val="0"/>
      <w:marRight w:val="0"/>
      <w:marTop w:val="0"/>
      <w:marBottom w:val="0"/>
      <w:divBdr>
        <w:top w:val="none" w:sz="0" w:space="0" w:color="auto"/>
        <w:left w:val="none" w:sz="0" w:space="0" w:color="auto"/>
        <w:bottom w:val="none" w:sz="0" w:space="0" w:color="auto"/>
        <w:right w:val="none" w:sz="0" w:space="0" w:color="auto"/>
      </w:divBdr>
    </w:div>
    <w:div w:id="211982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www.brwm.co.uk/pages/9d7426d8-eaf1-4807-bab0-556447c9a7e5/articles/9d7426d8-eaf1-4807-bab0-556447c9a7e5.pdf" TargetMode="External"/><Relationship Id="rId26" Type="http://schemas.openxmlformats.org/officeDocument/2006/relationships/hyperlink" Target="http://www.rics.org/uk/news/news-insight/press-releases/skills-shortages-biting-construction-sector-once-more-/" TargetMode="External"/><Relationship Id="rId39" Type="http://schemas.openxmlformats.org/officeDocument/2006/relationships/hyperlink" Target="https://www.investopedia.com/articles/mortgages-real-estate/08/interest-rates-affect-property-values.asp" TargetMode="External"/><Relationship Id="rId3" Type="http://schemas.openxmlformats.org/officeDocument/2006/relationships/styles" Target="styles.xml"/><Relationship Id="rId21" Type="http://schemas.openxmlformats.org/officeDocument/2006/relationships/hyperlink" Target="https://www.gov.uk/government/news/changes-to-tax-relief-for-residential-landlords" TargetMode="External"/><Relationship Id="rId34" Type="http://schemas.openxmlformats.org/officeDocument/2006/relationships/hyperlink" Target="http://gov.wales/topics/planning/buildingregs/approved-documents/part-b-fire/?lang=en" TargetMode="External"/><Relationship Id="rId42"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http://www.bankofengland.co.uk/boeapps/iadb/Repo.asp" TargetMode="External"/><Relationship Id="rId25" Type="http://schemas.openxmlformats.org/officeDocument/2006/relationships/hyperlink" Target="https://www.ons.gov.uk/economy/inflationandpriceindices" TargetMode="External"/><Relationship Id="rId33" Type="http://schemas.openxmlformats.org/officeDocument/2006/relationships/hyperlink" Target="http://gov.wales/statistics-and-research/house-price-index/?lang=en" TargetMode="External"/><Relationship Id="rId38" Type="http://schemas.openxmlformats.org/officeDocument/2006/relationships/hyperlink" Target="https://www.investopedia.com/articles/mortages-real-estate/11/factors-affecting-real-estate-market.asp" TargetMode="Externa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yperlink" Target="http://cep.lse.ac.uk/pubs/download/brexit02.pdf" TargetMode="External"/><Relationship Id="rId29" Type="http://schemas.openxmlformats.org/officeDocument/2006/relationships/hyperlink" Target="https://statswales.gov.wales/Catalogue/Housing/Households/Estimates/averagehouseholdsize-by-localauthority-year"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www.ons.gov.uk/peoplepopulationandcommunity/housing/bulletins/housingaffordabilityinenglandandwales/1997to2016" TargetMode="External"/><Relationship Id="rId32" Type="http://schemas.openxmlformats.org/officeDocument/2006/relationships/hyperlink" Target="https://statswales.gov.wales/Catalogue/Housing/Households/Estimates/privatehouseholdpopulation-by-localauthority-year" TargetMode="External"/><Relationship Id="rId37" Type="http://schemas.openxmlformats.org/officeDocument/2006/relationships/hyperlink" Target="https://www.ons.gov.uk/economy/inflationandpriceindices/bulletins/housepriceindex/apr2017" TargetMode="External"/><Relationship Id="rId40" Type="http://schemas.openxmlformats.org/officeDocument/2006/relationships/hyperlink" Target="https://www.rics.org/Global/Q4%202017%20RICS%20UK%20Chart%20Book.pdf" TargetMode="Externa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s://www.ipsos.com/ipsos-mori/en-uk/economists-views-brexit" TargetMode="External"/><Relationship Id="rId28" Type="http://schemas.openxmlformats.org/officeDocument/2006/relationships/hyperlink" Target="http://gov.wales/newsroom/housing-and-regeneration/2017/171024-projects-developing-homes-of-the-future-announced/?lang=en" TargetMode="External"/><Relationship Id="rId36" Type="http://schemas.openxmlformats.org/officeDocument/2006/relationships/hyperlink" Target="http://gov.wales/statistics-and-research/annual-survey-hours-earnings/?lang=en" TargetMode="External"/><Relationship Id="rId10" Type="http://schemas.openxmlformats.org/officeDocument/2006/relationships/chart" Target="charts/chart3.xml"/><Relationship Id="rId19" Type="http://schemas.openxmlformats.org/officeDocument/2006/relationships/hyperlink" Target="https://www.theguardian.com/money/2017/aug/29/house-price-crash-price-dublin-economy" TargetMode="External"/><Relationship Id="rId31" Type="http://schemas.openxmlformats.org/officeDocument/2006/relationships/hyperlink" Target="https://statswales.gov.wales/Catalogue/Housing/Households/Estimates/households-by-type-year"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www.gov.uk/government/publications/autumn-budget-2017-documents/autumn-budget-2017" TargetMode="External"/><Relationship Id="rId27" Type="http://schemas.openxmlformats.org/officeDocument/2006/relationships/hyperlink" Target="http://www.rics.org/uk/news/news-insight/press-releases/uk-construction-industry-could-lose-8-of-workforce-post-brexit-new-rics-figures-reveal-/" TargetMode="External"/><Relationship Id="rId30" Type="http://schemas.openxmlformats.org/officeDocument/2006/relationships/hyperlink" Target="https://statswales.gov.wales/Catalogue/Housing/Households/Estimates/households-by-localauthority-year" TargetMode="External"/><Relationship Id="rId35" Type="http://schemas.openxmlformats.org/officeDocument/2006/relationships/hyperlink" Target="http://gov.wales/newsroom/housing-and-regeneration/2017/171024-projects-developing-homes-of-the-future-announced/?lang=en" TargetMode="External"/><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Sheet1!$A$2</c:f>
              <c:strCache>
                <c:ptCount val="1"/>
                <c:pt idx="0">
                  <c:v>Housing prices Wales (Avg)</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Sheet1!$B$1:$P$1</c:f>
              <c:numCache>
                <c:formatCode>General</c:formatCode>
                <c:ptCount val="15"/>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numCache>
            </c:numRef>
          </c:cat>
          <c:val>
            <c:numRef>
              <c:f>Sheet1!$B$2:$P$2</c:f>
              <c:numCache>
                <c:formatCode>General</c:formatCode>
                <c:ptCount val="15"/>
                <c:pt idx="0">
                  <c:v>67500</c:v>
                </c:pt>
                <c:pt idx="1">
                  <c:v>82500</c:v>
                </c:pt>
                <c:pt idx="2">
                  <c:v>108000</c:v>
                </c:pt>
                <c:pt idx="3">
                  <c:v>123950</c:v>
                </c:pt>
                <c:pt idx="4">
                  <c:v>130000</c:v>
                </c:pt>
                <c:pt idx="5">
                  <c:v>139000</c:v>
                </c:pt>
                <c:pt idx="6">
                  <c:v>138000</c:v>
                </c:pt>
                <c:pt idx="7">
                  <c:v>130000</c:v>
                </c:pt>
                <c:pt idx="8">
                  <c:v>135000</c:v>
                </c:pt>
                <c:pt idx="9">
                  <c:v>130000</c:v>
                </c:pt>
                <c:pt idx="10">
                  <c:v>133000</c:v>
                </c:pt>
                <c:pt idx="11">
                  <c:v>133447.5</c:v>
                </c:pt>
                <c:pt idx="12">
                  <c:v>138000</c:v>
                </c:pt>
                <c:pt idx="13">
                  <c:v>142500</c:v>
                </c:pt>
                <c:pt idx="14">
                  <c:v>147000</c:v>
                </c:pt>
              </c:numCache>
            </c:numRef>
          </c:val>
          <c:smooth val="0"/>
          <c:extLst>
            <c:ext xmlns:c16="http://schemas.microsoft.com/office/drawing/2014/chart" uri="{C3380CC4-5D6E-409C-BE32-E72D297353CC}">
              <c16:uniqueId val="{00000000-12D4-4044-8E0E-176DA6DC895E}"/>
            </c:ext>
          </c:extLst>
        </c:ser>
        <c:dLbls>
          <c:showLegendKey val="0"/>
          <c:showVal val="0"/>
          <c:showCatName val="0"/>
          <c:showSerName val="0"/>
          <c:showPercent val="0"/>
          <c:showBubbleSize val="0"/>
        </c:dLbls>
        <c:marker val="1"/>
        <c:smooth val="0"/>
        <c:axId val="533485984"/>
        <c:axId val="533486968"/>
      </c:lineChart>
      <c:catAx>
        <c:axId val="5334859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486968"/>
        <c:crosses val="autoZero"/>
        <c:auto val="1"/>
        <c:lblAlgn val="ctr"/>
        <c:lblOffset val="100"/>
        <c:noMultiLvlLbl val="0"/>
      </c:catAx>
      <c:valAx>
        <c:axId val="5334869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Prices in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485984"/>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Sheet1!$A$9:$B$9</c:f>
              <c:strCache>
                <c:ptCount val="2"/>
                <c:pt idx="0">
                  <c:v>Salary growth by % (Avg)</c:v>
                </c:pt>
              </c:strCache>
            </c:strRef>
          </c:tx>
          <c:spPr>
            <a:ln w="28575" cap="rnd">
              <a:solidFill>
                <a:schemeClr val="accent1"/>
              </a:solidFill>
              <a:round/>
            </a:ln>
            <a:effectLst/>
          </c:spPr>
          <c:marker>
            <c:symbol val="none"/>
          </c:marker>
          <c:cat>
            <c:numRef>
              <c:f>Sheet1!$C$8:$P$8</c:f>
              <c:numCache>
                <c:formatCode>General</c:formatCode>
                <c:ptCount val="14"/>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numCache>
            </c:numRef>
          </c:cat>
          <c:val>
            <c:numRef>
              <c:f>Sheet1!$C$9:$P$9</c:f>
              <c:numCache>
                <c:formatCode>0.00%</c:formatCode>
                <c:ptCount val="14"/>
                <c:pt idx="0">
                  <c:v>4.0464939438379144E-2</c:v>
                </c:pt>
                <c:pt idx="1">
                  <c:v>5.5074128210482298E-2</c:v>
                </c:pt>
                <c:pt idx="2">
                  <c:v>3.8939191529365091E-2</c:v>
                </c:pt>
                <c:pt idx="3">
                  <c:v>7.476902562148835E-3</c:v>
                </c:pt>
                <c:pt idx="4">
                  <c:v>2.0515244623020568E-2</c:v>
                </c:pt>
                <c:pt idx="5">
                  <c:v>3.4045115568113404E-2</c:v>
                </c:pt>
                <c:pt idx="6">
                  <c:v>3.5835871707579292E-2</c:v>
                </c:pt>
                <c:pt idx="7">
                  <c:v>1.5827711468604067E-2</c:v>
                </c:pt>
                <c:pt idx="8">
                  <c:v>4.9382716049382047E-3</c:v>
                </c:pt>
                <c:pt idx="9">
                  <c:v>1.3216978734220008E-2</c:v>
                </c:pt>
                <c:pt idx="10">
                  <c:v>2.1281043565515523E-2</c:v>
                </c:pt>
                <c:pt idx="11">
                  <c:v>1.7235026814590437E-2</c:v>
                </c:pt>
                <c:pt idx="12">
                  <c:v>1.6339343206696721E-2</c:v>
                </c:pt>
                <c:pt idx="13">
                  <c:v>1.6353844935455664E-2</c:v>
                </c:pt>
              </c:numCache>
            </c:numRef>
          </c:val>
          <c:smooth val="0"/>
          <c:extLst>
            <c:ext xmlns:c16="http://schemas.microsoft.com/office/drawing/2014/chart" uri="{C3380CC4-5D6E-409C-BE32-E72D297353CC}">
              <c16:uniqueId val="{00000000-CA0D-467B-82B7-FA765282BC40}"/>
            </c:ext>
          </c:extLst>
        </c:ser>
        <c:ser>
          <c:idx val="1"/>
          <c:order val="1"/>
          <c:tx>
            <c:strRef>
              <c:f>Sheet1!$A$10:$B$10</c:f>
              <c:strCache>
                <c:ptCount val="2"/>
                <c:pt idx="0">
                  <c:v>CPI growth by %</c:v>
                </c:pt>
              </c:strCache>
            </c:strRef>
          </c:tx>
          <c:spPr>
            <a:ln w="28575" cap="rnd">
              <a:solidFill>
                <a:schemeClr val="accent2"/>
              </a:solidFill>
              <a:round/>
            </a:ln>
            <a:effectLst/>
          </c:spPr>
          <c:marker>
            <c:symbol val="none"/>
          </c:marker>
          <c:cat>
            <c:numRef>
              <c:f>Sheet1!$C$8:$P$8</c:f>
              <c:numCache>
                <c:formatCode>General</c:formatCode>
                <c:ptCount val="14"/>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numCache>
            </c:numRef>
          </c:cat>
          <c:val>
            <c:numRef>
              <c:f>Sheet1!$C$10:$P$10</c:f>
              <c:numCache>
                <c:formatCode>0.00%</c:formatCode>
                <c:ptCount val="14"/>
                <c:pt idx="0">
                  <c:v>1.4E-2</c:v>
                </c:pt>
                <c:pt idx="1">
                  <c:v>1.2999999999999999E-2</c:v>
                </c:pt>
                <c:pt idx="2">
                  <c:v>2.1000000000000001E-2</c:v>
                </c:pt>
                <c:pt idx="3">
                  <c:v>2.3E-2</c:v>
                </c:pt>
                <c:pt idx="4">
                  <c:v>2.3E-2</c:v>
                </c:pt>
                <c:pt idx="5">
                  <c:v>3.5999999999999997E-2</c:v>
                </c:pt>
                <c:pt idx="6">
                  <c:v>2.1999999999999999E-2</c:v>
                </c:pt>
                <c:pt idx="7">
                  <c:v>3.3000000000000002E-2</c:v>
                </c:pt>
                <c:pt idx="8">
                  <c:v>4.4999999999999998E-2</c:v>
                </c:pt>
                <c:pt idx="9">
                  <c:v>2.8000000000000001E-2</c:v>
                </c:pt>
                <c:pt idx="10">
                  <c:v>2.5999999999999999E-2</c:v>
                </c:pt>
                <c:pt idx="11">
                  <c:v>1.4999999999999999E-2</c:v>
                </c:pt>
                <c:pt idx="12">
                  <c:v>0</c:v>
                </c:pt>
                <c:pt idx="13">
                  <c:v>7.0000000000000001E-3</c:v>
                </c:pt>
              </c:numCache>
            </c:numRef>
          </c:val>
          <c:smooth val="0"/>
          <c:extLst>
            <c:ext xmlns:c16="http://schemas.microsoft.com/office/drawing/2014/chart" uri="{C3380CC4-5D6E-409C-BE32-E72D297353CC}">
              <c16:uniqueId val="{00000001-CA0D-467B-82B7-FA765282BC40}"/>
            </c:ext>
          </c:extLst>
        </c:ser>
        <c:dLbls>
          <c:showLegendKey val="0"/>
          <c:showVal val="0"/>
          <c:showCatName val="0"/>
          <c:showSerName val="0"/>
          <c:showPercent val="0"/>
          <c:showBubbleSize val="0"/>
        </c:dLbls>
        <c:smooth val="0"/>
        <c:axId val="529185536"/>
        <c:axId val="529186192"/>
      </c:lineChart>
      <c:catAx>
        <c:axId val="529185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9186192"/>
        <c:crosses val="autoZero"/>
        <c:auto val="1"/>
        <c:lblAlgn val="ctr"/>
        <c:lblOffset val="100"/>
        <c:noMultiLvlLbl val="0"/>
      </c:catAx>
      <c:valAx>
        <c:axId val="5291861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9185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Sheet1!$A$2</c:f>
              <c:strCache>
                <c:ptCount val="1"/>
                <c:pt idx="0">
                  <c:v>Ratio of average house prices in Wales to average gross annual earnings in Wales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Sheet1!$B$1:$P$1</c:f>
              <c:numCache>
                <c:formatCode>General</c:formatCode>
                <c:ptCount val="15"/>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numCache>
            </c:numRef>
          </c:cat>
          <c:val>
            <c:numRef>
              <c:f>Sheet1!$B$2:$P$2</c:f>
              <c:numCache>
                <c:formatCode>General</c:formatCode>
                <c:ptCount val="15"/>
                <c:pt idx="0">
                  <c:v>3.67</c:v>
                </c:pt>
                <c:pt idx="1">
                  <c:v>4.3099999999999996</c:v>
                </c:pt>
                <c:pt idx="2">
                  <c:v>5.34</c:v>
                </c:pt>
                <c:pt idx="3">
                  <c:v>5.9</c:v>
                </c:pt>
                <c:pt idx="4">
                  <c:v>6.15</c:v>
                </c:pt>
                <c:pt idx="5">
                  <c:v>6.44</c:v>
                </c:pt>
                <c:pt idx="6">
                  <c:v>6.18</c:v>
                </c:pt>
                <c:pt idx="7">
                  <c:v>5.62</c:v>
                </c:pt>
                <c:pt idx="8">
                  <c:v>5.75</c:v>
                </c:pt>
                <c:pt idx="9">
                  <c:v>5.51</c:v>
                </c:pt>
                <c:pt idx="10">
                  <c:v>5.56</c:v>
                </c:pt>
                <c:pt idx="11">
                  <c:v>5.46</c:v>
                </c:pt>
                <c:pt idx="12">
                  <c:v>5.55</c:v>
                </c:pt>
                <c:pt idx="13">
                  <c:v>5.64</c:v>
                </c:pt>
                <c:pt idx="14">
                  <c:v>5.73</c:v>
                </c:pt>
              </c:numCache>
            </c:numRef>
          </c:val>
          <c:smooth val="0"/>
          <c:extLst>
            <c:ext xmlns:c16="http://schemas.microsoft.com/office/drawing/2014/chart" uri="{C3380CC4-5D6E-409C-BE32-E72D297353CC}">
              <c16:uniqueId val="{00000000-A178-49AE-9042-B2A105C3E76C}"/>
            </c:ext>
          </c:extLst>
        </c:ser>
        <c:dLbls>
          <c:showLegendKey val="0"/>
          <c:showVal val="0"/>
          <c:showCatName val="0"/>
          <c:showSerName val="0"/>
          <c:showPercent val="0"/>
          <c:showBubbleSize val="0"/>
        </c:dLbls>
        <c:marker val="1"/>
        <c:smooth val="0"/>
        <c:axId val="622465856"/>
        <c:axId val="549756536"/>
      </c:lineChart>
      <c:catAx>
        <c:axId val="6224658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756536"/>
        <c:crosses val="autoZero"/>
        <c:auto val="1"/>
        <c:lblAlgn val="ctr"/>
        <c:lblOffset val="100"/>
        <c:noMultiLvlLbl val="0"/>
      </c:catAx>
      <c:valAx>
        <c:axId val="549756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Ratio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24658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Sheet1!$A$2</c:f>
              <c:strCache>
                <c:ptCount val="1"/>
                <c:pt idx="0">
                  <c:v>Bank rate changes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Sheet1!$B$1:$Z$1</c:f>
              <c:numCache>
                <c:formatCode>mmm\-yy</c:formatCode>
                <c:ptCount val="25"/>
                <c:pt idx="0">
                  <c:v>37196</c:v>
                </c:pt>
                <c:pt idx="1">
                  <c:v>37653</c:v>
                </c:pt>
                <c:pt idx="2">
                  <c:v>37803</c:v>
                </c:pt>
                <c:pt idx="3">
                  <c:v>37926</c:v>
                </c:pt>
                <c:pt idx="4">
                  <c:v>38018</c:v>
                </c:pt>
                <c:pt idx="5">
                  <c:v>38108</c:v>
                </c:pt>
                <c:pt idx="6">
                  <c:v>38139</c:v>
                </c:pt>
                <c:pt idx="7">
                  <c:v>38200</c:v>
                </c:pt>
                <c:pt idx="8">
                  <c:v>38565</c:v>
                </c:pt>
                <c:pt idx="9">
                  <c:v>38930</c:v>
                </c:pt>
                <c:pt idx="10">
                  <c:v>39022</c:v>
                </c:pt>
                <c:pt idx="11">
                  <c:v>39083</c:v>
                </c:pt>
                <c:pt idx="12">
                  <c:v>39203</c:v>
                </c:pt>
                <c:pt idx="13">
                  <c:v>39264</c:v>
                </c:pt>
                <c:pt idx="14">
                  <c:v>39417</c:v>
                </c:pt>
                <c:pt idx="15">
                  <c:v>39479</c:v>
                </c:pt>
                <c:pt idx="16">
                  <c:v>39539</c:v>
                </c:pt>
                <c:pt idx="17">
                  <c:v>39722</c:v>
                </c:pt>
                <c:pt idx="18">
                  <c:v>39753</c:v>
                </c:pt>
                <c:pt idx="19">
                  <c:v>39783</c:v>
                </c:pt>
                <c:pt idx="20">
                  <c:v>39814</c:v>
                </c:pt>
                <c:pt idx="21">
                  <c:v>39845</c:v>
                </c:pt>
                <c:pt idx="22">
                  <c:v>39873</c:v>
                </c:pt>
                <c:pt idx="23">
                  <c:v>42583</c:v>
                </c:pt>
                <c:pt idx="24">
                  <c:v>43040</c:v>
                </c:pt>
              </c:numCache>
            </c:numRef>
          </c:cat>
          <c:val>
            <c:numRef>
              <c:f>Sheet1!$B$2:$Z$2</c:f>
              <c:numCache>
                <c:formatCode>General</c:formatCode>
                <c:ptCount val="25"/>
                <c:pt idx="0">
                  <c:v>4</c:v>
                </c:pt>
                <c:pt idx="1">
                  <c:v>3.75</c:v>
                </c:pt>
                <c:pt idx="2">
                  <c:v>3.5</c:v>
                </c:pt>
                <c:pt idx="3">
                  <c:v>3.75</c:v>
                </c:pt>
                <c:pt idx="4">
                  <c:v>4</c:v>
                </c:pt>
                <c:pt idx="5">
                  <c:v>4.25</c:v>
                </c:pt>
                <c:pt idx="6">
                  <c:v>4.5</c:v>
                </c:pt>
                <c:pt idx="7">
                  <c:v>4.75</c:v>
                </c:pt>
                <c:pt idx="8">
                  <c:v>4.5</c:v>
                </c:pt>
                <c:pt idx="9">
                  <c:v>4.75</c:v>
                </c:pt>
                <c:pt idx="10">
                  <c:v>5</c:v>
                </c:pt>
                <c:pt idx="11">
                  <c:v>5.25</c:v>
                </c:pt>
                <c:pt idx="12">
                  <c:v>5.5</c:v>
                </c:pt>
                <c:pt idx="13">
                  <c:v>5.75</c:v>
                </c:pt>
                <c:pt idx="14">
                  <c:v>5.5</c:v>
                </c:pt>
                <c:pt idx="15">
                  <c:v>5.25</c:v>
                </c:pt>
                <c:pt idx="16">
                  <c:v>5</c:v>
                </c:pt>
                <c:pt idx="17">
                  <c:v>4.5</c:v>
                </c:pt>
                <c:pt idx="18">
                  <c:v>3</c:v>
                </c:pt>
                <c:pt idx="19">
                  <c:v>2</c:v>
                </c:pt>
                <c:pt idx="20">
                  <c:v>1.5</c:v>
                </c:pt>
                <c:pt idx="21">
                  <c:v>1</c:v>
                </c:pt>
                <c:pt idx="22">
                  <c:v>0.5</c:v>
                </c:pt>
                <c:pt idx="23">
                  <c:v>0.25</c:v>
                </c:pt>
                <c:pt idx="24">
                  <c:v>0.5</c:v>
                </c:pt>
              </c:numCache>
            </c:numRef>
          </c:val>
          <c:smooth val="0"/>
          <c:extLst>
            <c:ext xmlns:c16="http://schemas.microsoft.com/office/drawing/2014/chart" uri="{C3380CC4-5D6E-409C-BE32-E72D297353CC}">
              <c16:uniqueId val="{00000000-BB89-4D19-A40E-25AE0AA009B4}"/>
            </c:ext>
          </c:extLst>
        </c:ser>
        <c:dLbls>
          <c:showLegendKey val="0"/>
          <c:showVal val="0"/>
          <c:showCatName val="0"/>
          <c:showSerName val="0"/>
          <c:showPercent val="0"/>
          <c:showBubbleSize val="0"/>
        </c:dLbls>
        <c:marker val="1"/>
        <c:smooth val="0"/>
        <c:axId val="613569648"/>
        <c:axId val="613569976"/>
      </c:lineChart>
      <c:dateAx>
        <c:axId val="6135696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a:t>
                </a:r>
                <a:r>
                  <a:rPr lang="en-GB" baseline="0"/>
                  <a:t> of change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569976"/>
        <c:crosses val="autoZero"/>
        <c:auto val="1"/>
        <c:lblOffset val="100"/>
        <c:baseTimeUnit val="months"/>
      </c:dateAx>
      <c:valAx>
        <c:axId val="613569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Interest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5696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Welsh private household</a:t>
            </a:r>
            <a:r>
              <a:rPr lang="en-GB" baseline="0"/>
              <a:t> population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Sheet1!$J$74</c:f>
              <c:strCache>
                <c:ptCount val="1"/>
                <c:pt idx="0">
                  <c:v>Wales</c:v>
                </c:pt>
              </c:strCache>
            </c:strRef>
          </c:tx>
          <c:spPr>
            <a:ln w="28575" cap="rnd">
              <a:solidFill>
                <a:schemeClr val="accent1"/>
              </a:solidFill>
              <a:round/>
            </a:ln>
            <a:effectLst/>
          </c:spPr>
          <c:marker>
            <c:symbol val="none"/>
          </c:marker>
          <c:cat>
            <c:numRef>
              <c:f>Sheet1!$K$73:$U$73</c:f>
              <c:numCache>
                <c:formatCode>General</c:formatCode>
                <c:ptCount val="11"/>
                <c:pt idx="0">
                  <c:v>2001</c:v>
                </c:pt>
                <c:pt idx="1">
                  <c:v>2007</c:v>
                </c:pt>
                <c:pt idx="2">
                  <c:v>2008</c:v>
                </c:pt>
                <c:pt idx="3">
                  <c:v>2009</c:v>
                </c:pt>
                <c:pt idx="4">
                  <c:v>2010</c:v>
                </c:pt>
                <c:pt idx="5">
                  <c:v>2011</c:v>
                </c:pt>
                <c:pt idx="6">
                  <c:v>2012</c:v>
                </c:pt>
                <c:pt idx="7">
                  <c:v>2013</c:v>
                </c:pt>
                <c:pt idx="8">
                  <c:v>2014</c:v>
                </c:pt>
                <c:pt idx="9">
                  <c:v>2015</c:v>
                </c:pt>
                <c:pt idx="10">
                  <c:v>2016</c:v>
                </c:pt>
              </c:numCache>
            </c:numRef>
          </c:cat>
          <c:val>
            <c:numRef>
              <c:f>Sheet1!$K$74:$U$74</c:f>
              <c:numCache>
                <c:formatCode>General</c:formatCode>
                <c:ptCount val="11"/>
                <c:pt idx="0">
                  <c:v>2866634</c:v>
                </c:pt>
                <c:pt idx="1">
                  <c:v>2957334</c:v>
                </c:pt>
                <c:pt idx="2">
                  <c:v>2976024</c:v>
                </c:pt>
                <c:pt idx="3">
                  <c:v>2988203</c:v>
                </c:pt>
                <c:pt idx="4">
                  <c:v>2998427</c:v>
                </c:pt>
                <c:pt idx="5">
                  <c:v>3011355</c:v>
                </c:pt>
                <c:pt idx="6">
                  <c:v>3021394</c:v>
                </c:pt>
                <c:pt idx="7">
                  <c:v>3029638</c:v>
                </c:pt>
                <c:pt idx="8">
                  <c:v>3038960</c:v>
                </c:pt>
                <c:pt idx="9">
                  <c:v>3045943</c:v>
                </c:pt>
                <c:pt idx="10">
                  <c:v>3059800</c:v>
                </c:pt>
              </c:numCache>
            </c:numRef>
          </c:val>
          <c:smooth val="0"/>
          <c:extLst>
            <c:ext xmlns:c16="http://schemas.microsoft.com/office/drawing/2014/chart" uri="{C3380CC4-5D6E-409C-BE32-E72D297353CC}">
              <c16:uniqueId val="{00000000-78D5-4E86-B4AB-72D81C2727EB}"/>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726463568"/>
        <c:axId val="726463896"/>
      </c:lineChart>
      <c:catAx>
        <c:axId val="7264635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463896"/>
        <c:crosses val="autoZero"/>
        <c:auto val="1"/>
        <c:lblAlgn val="ctr"/>
        <c:lblOffset val="100"/>
        <c:noMultiLvlLbl val="0"/>
      </c:catAx>
      <c:valAx>
        <c:axId val="7264638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Population</a:t>
                </a:r>
                <a:r>
                  <a:rPr lang="en-GB" baseline="0"/>
                  <a:t> in millions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463568"/>
        <c:crosses val="autoZero"/>
        <c:crossBetween val="between"/>
        <c:dispUnits>
          <c:builtInUnit val="millions"/>
        </c:dispUnits>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household</a:t>
            </a:r>
            <a:r>
              <a:rPr lang="en-GB" baseline="0"/>
              <a:t> changes between 2015 to 2016</a:t>
            </a:r>
            <a:endParaRPr lang="en-GB"/>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6.5642933411398471E-2"/>
          <c:y val="0.14878338960124929"/>
          <c:w val="0.89712231814123722"/>
          <c:h val="0.73687612719114959"/>
        </c:manualLayout>
      </c:layout>
      <c:barChart>
        <c:barDir val="bar"/>
        <c:grouping val="clustered"/>
        <c:varyColors val="0"/>
        <c:ser>
          <c:idx val="0"/>
          <c:order val="0"/>
          <c:tx>
            <c:strRef>
              <c:f>Sheet1!$B$36</c:f>
              <c:strCache>
                <c:ptCount val="1"/>
                <c:pt idx="0">
                  <c:v>2015-2016</c:v>
                </c:pt>
              </c:strCache>
            </c:strRef>
          </c:tx>
          <c:spPr>
            <a:solidFill>
              <a:schemeClr val="accent1"/>
            </a:solidFill>
            <a:ln>
              <a:noFill/>
            </a:ln>
            <a:effectLst/>
          </c:spPr>
          <c:invertIfNegative val="0"/>
          <c:cat>
            <c:strRef>
              <c:f>Sheet1!$A$37:$A$58</c:f>
              <c:strCache>
                <c:ptCount val="22"/>
                <c:pt idx="0">
                  <c:v>Isle of Anglesey</c:v>
                </c:pt>
                <c:pt idx="1">
                  <c:v>Gwynedd</c:v>
                </c:pt>
                <c:pt idx="2">
                  <c:v>Conwy</c:v>
                </c:pt>
                <c:pt idx="3">
                  <c:v>Denbighshire</c:v>
                </c:pt>
                <c:pt idx="4">
                  <c:v>Flintshire</c:v>
                </c:pt>
                <c:pt idx="5">
                  <c:v>Wrexham</c:v>
                </c:pt>
                <c:pt idx="6">
                  <c:v>Powys</c:v>
                </c:pt>
                <c:pt idx="7">
                  <c:v>Ceredigion</c:v>
                </c:pt>
                <c:pt idx="8">
                  <c:v>Pembrokeshire</c:v>
                </c:pt>
                <c:pt idx="9">
                  <c:v>Carmarthenshire</c:v>
                </c:pt>
                <c:pt idx="10">
                  <c:v>Swansea</c:v>
                </c:pt>
                <c:pt idx="11">
                  <c:v>Neath Port Talbot</c:v>
                </c:pt>
                <c:pt idx="12">
                  <c:v>Bridgend</c:v>
                </c:pt>
                <c:pt idx="13">
                  <c:v>Vale of Glamorgan</c:v>
                </c:pt>
                <c:pt idx="14">
                  <c:v>Rhondda Cynon Taf</c:v>
                </c:pt>
                <c:pt idx="15">
                  <c:v>Merthyr Tydfil</c:v>
                </c:pt>
                <c:pt idx="16">
                  <c:v>Caerphilly</c:v>
                </c:pt>
                <c:pt idx="17">
                  <c:v>Blaenau Gwent</c:v>
                </c:pt>
                <c:pt idx="18">
                  <c:v>Torfaen</c:v>
                </c:pt>
                <c:pt idx="19">
                  <c:v>Monmouthshire</c:v>
                </c:pt>
                <c:pt idx="20">
                  <c:v>Newport</c:v>
                </c:pt>
                <c:pt idx="21">
                  <c:v>Cardiff</c:v>
                </c:pt>
              </c:strCache>
            </c:strRef>
          </c:cat>
          <c:val>
            <c:numRef>
              <c:f>Sheet1!$B$37:$B$58</c:f>
              <c:numCache>
                <c:formatCode>0.0%</c:formatCode>
                <c:ptCount val="22"/>
                <c:pt idx="0">
                  <c:v>-3.8039312110386136E-3</c:v>
                </c:pt>
                <c:pt idx="1">
                  <c:v>6.3493932334810488E-3</c:v>
                </c:pt>
                <c:pt idx="2">
                  <c:v>2.6268930378519073E-3</c:v>
                </c:pt>
                <c:pt idx="3">
                  <c:v>1.155896140591306E-3</c:v>
                </c:pt>
                <c:pt idx="4">
                  <c:v>2.1867697168296285E-3</c:v>
                </c:pt>
                <c:pt idx="5">
                  <c:v>3.6296565159732452E-4</c:v>
                </c:pt>
                <c:pt idx="6">
                  <c:v>-3.8200956937799457E-3</c:v>
                </c:pt>
                <c:pt idx="7">
                  <c:v>-7.171473787764282E-3</c:v>
                </c:pt>
                <c:pt idx="8">
                  <c:v>3.8438428551439419E-3</c:v>
                </c:pt>
                <c:pt idx="9">
                  <c:v>2.6734305921538581E-3</c:v>
                </c:pt>
                <c:pt idx="10">
                  <c:v>8.9504757175740135E-3</c:v>
                </c:pt>
                <c:pt idx="11">
                  <c:v>4.2333490653738703E-3</c:v>
                </c:pt>
                <c:pt idx="12">
                  <c:v>7.6363193942472485E-3</c:v>
                </c:pt>
                <c:pt idx="13">
                  <c:v>6.8787960911220747E-3</c:v>
                </c:pt>
                <c:pt idx="14">
                  <c:v>3.776541165150249E-3</c:v>
                </c:pt>
                <c:pt idx="15">
                  <c:v>8.19156710457003E-3</c:v>
                </c:pt>
                <c:pt idx="16">
                  <c:v>1.6136957541375008E-3</c:v>
                </c:pt>
                <c:pt idx="17">
                  <c:v>1.1890261585754125E-3</c:v>
                </c:pt>
                <c:pt idx="18">
                  <c:v>2.2611520899191717E-3</c:v>
                </c:pt>
                <c:pt idx="19">
                  <c:v>3.8435700047356747E-3</c:v>
                </c:pt>
                <c:pt idx="20">
                  <c:v>9.4098163203855112E-3</c:v>
                </c:pt>
                <c:pt idx="21">
                  <c:v>1.2454929015007332E-2</c:v>
                </c:pt>
              </c:numCache>
            </c:numRef>
          </c:val>
          <c:extLst>
            <c:ext xmlns:c16="http://schemas.microsoft.com/office/drawing/2014/chart" uri="{C3380CC4-5D6E-409C-BE32-E72D297353CC}">
              <c16:uniqueId val="{00000000-61F6-4DA2-B3AE-79C0B262B1CA}"/>
            </c:ext>
          </c:extLst>
        </c:ser>
        <c:dLbls>
          <c:showLegendKey val="0"/>
          <c:showVal val="0"/>
          <c:showCatName val="0"/>
          <c:showSerName val="0"/>
          <c:showPercent val="0"/>
          <c:showBubbleSize val="0"/>
        </c:dLbls>
        <c:gapWidth val="247"/>
        <c:axId val="652444664"/>
        <c:axId val="652444008"/>
      </c:barChart>
      <c:catAx>
        <c:axId val="65244466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out"/>
        <c:tickLblPos val="low"/>
        <c:spPr>
          <a:noFill/>
          <a:ln w="9525" cap="flat" cmpd="sng" algn="ctr">
            <a:solidFill>
              <a:schemeClr val="dk1">
                <a:lumMod val="15000"/>
                <a:lumOff val="85000"/>
              </a:schemeClr>
            </a:solidFill>
            <a:round/>
          </a:ln>
          <a:effectLst/>
        </c:spPr>
        <c:txPr>
          <a:bodyPr rot="0" spcFirstLastPara="1" vertOverflow="ellipsis" wrap="square" anchor="ctr" anchorCtr="0"/>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52444008"/>
        <c:crosses val="autoZero"/>
        <c:auto val="0"/>
        <c:lblAlgn val="ctr"/>
        <c:lblOffset val="1000"/>
        <c:tickLblSkip val="1"/>
        <c:tickMarkSkip val="10"/>
        <c:noMultiLvlLbl val="0"/>
      </c:catAx>
      <c:valAx>
        <c:axId val="652444008"/>
        <c:scaling>
          <c:orientation val="minMax"/>
        </c:scaling>
        <c:delete val="0"/>
        <c:axPos val="b"/>
        <c:majorGridlines>
          <c:spPr>
            <a:ln w="9525" cap="flat" cmpd="sng" algn="ctr">
              <a:solidFill>
                <a:schemeClr val="dk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5244466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household size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Sheet1!$A$2</c:f>
              <c:strCache>
                <c:ptCount val="1"/>
                <c:pt idx="0">
                  <c:v>Wales</c:v>
                </c:pt>
              </c:strCache>
            </c:strRef>
          </c:tx>
          <c:spPr>
            <a:ln w="28575" cap="rnd">
              <a:solidFill>
                <a:schemeClr val="accent1"/>
              </a:solidFill>
              <a:round/>
            </a:ln>
            <a:effectLst/>
          </c:spPr>
          <c:marker>
            <c:symbol val="none"/>
          </c:marker>
          <c:cat>
            <c:numRef>
              <c:f>Sheet1!$B$1:$L$1</c:f>
              <c:numCache>
                <c:formatCode>General</c:formatCode>
                <c:ptCount val="11"/>
                <c:pt idx="0">
                  <c:v>2001</c:v>
                </c:pt>
                <c:pt idx="1">
                  <c:v>2007</c:v>
                </c:pt>
                <c:pt idx="2">
                  <c:v>2008</c:v>
                </c:pt>
                <c:pt idx="3">
                  <c:v>2009</c:v>
                </c:pt>
                <c:pt idx="4">
                  <c:v>2010</c:v>
                </c:pt>
                <c:pt idx="5">
                  <c:v>2011</c:v>
                </c:pt>
                <c:pt idx="6">
                  <c:v>2012</c:v>
                </c:pt>
                <c:pt idx="7">
                  <c:v>2013</c:v>
                </c:pt>
                <c:pt idx="8">
                  <c:v>2014</c:v>
                </c:pt>
                <c:pt idx="9">
                  <c:v>2015</c:v>
                </c:pt>
                <c:pt idx="10">
                  <c:v>2016</c:v>
                </c:pt>
              </c:numCache>
            </c:numRef>
          </c:cat>
          <c:val>
            <c:numRef>
              <c:f>Sheet1!$B$2:$L$2</c:f>
              <c:numCache>
                <c:formatCode>General</c:formatCode>
                <c:ptCount val="11"/>
                <c:pt idx="0">
                  <c:v>2.36</c:v>
                </c:pt>
                <c:pt idx="1">
                  <c:v>2.33</c:v>
                </c:pt>
                <c:pt idx="2">
                  <c:v>2.33</c:v>
                </c:pt>
                <c:pt idx="3">
                  <c:v>2.3199999999999998</c:v>
                </c:pt>
                <c:pt idx="4">
                  <c:v>2.3199999999999998</c:v>
                </c:pt>
                <c:pt idx="5">
                  <c:v>2.31</c:v>
                </c:pt>
                <c:pt idx="6">
                  <c:v>2.2999999999999998</c:v>
                </c:pt>
                <c:pt idx="7">
                  <c:v>2.2999999999999998</c:v>
                </c:pt>
                <c:pt idx="8">
                  <c:v>2.29</c:v>
                </c:pt>
                <c:pt idx="9">
                  <c:v>2.29</c:v>
                </c:pt>
                <c:pt idx="10">
                  <c:v>2.2799999999999998</c:v>
                </c:pt>
              </c:numCache>
            </c:numRef>
          </c:val>
          <c:smooth val="0"/>
          <c:extLst>
            <c:ext xmlns:c16="http://schemas.microsoft.com/office/drawing/2014/chart" uri="{C3380CC4-5D6E-409C-BE32-E72D297353CC}">
              <c16:uniqueId val="{00000000-60E1-4C9E-BB70-1106722C1D62}"/>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620182160"/>
        <c:axId val="842717992"/>
      </c:lineChart>
      <c:catAx>
        <c:axId val="6201821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2717992"/>
        <c:crosses val="autoZero"/>
        <c:auto val="1"/>
        <c:lblAlgn val="ctr"/>
        <c:lblOffset val="100"/>
        <c:noMultiLvlLbl val="0"/>
      </c:catAx>
      <c:valAx>
        <c:axId val="842717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Houshold size (persons)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018216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Households</a:t>
            </a:r>
            <a:r>
              <a:rPr lang="en-GB" baseline="0"/>
              <a:t> by type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Sheet1!$B$2:$B$13</c:f>
            </c:numRef>
          </c:val>
          <c:extLst>
            <c:ext xmlns:c16="http://schemas.microsoft.com/office/drawing/2014/chart" uri="{C3380CC4-5D6E-409C-BE32-E72D297353CC}">
              <c16:uniqueId val="{00000000-B2F2-4D72-86C1-B07DF52BAD9C}"/>
            </c:ext>
          </c:extLst>
        </c:ser>
        <c:ser>
          <c:idx val="1"/>
          <c:order val="1"/>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Sheet1!$C$2:$C$13</c:f>
            </c:numRef>
          </c:val>
          <c:extLst>
            <c:ext xmlns:c16="http://schemas.microsoft.com/office/drawing/2014/chart" uri="{C3380CC4-5D6E-409C-BE32-E72D297353CC}">
              <c16:uniqueId val="{00000001-B2F2-4D72-86C1-B07DF52BAD9C}"/>
            </c:ext>
          </c:extLst>
        </c:ser>
        <c:ser>
          <c:idx val="2"/>
          <c:order val="2"/>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Sheet1!$D$2:$D$13</c:f>
            </c:numRef>
          </c:val>
          <c:extLst>
            <c:ext xmlns:c16="http://schemas.microsoft.com/office/drawing/2014/chart" uri="{C3380CC4-5D6E-409C-BE32-E72D297353CC}">
              <c16:uniqueId val="{00000002-B2F2-4D72-86C1-B07DF52BAD9C}"/>
            </c:ext>
          </c:extLst>
        </c:ser>
        <c:ser>
          <c:idx val="3"/>
          <c:order val="3"/>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Sheet1!$E$2:$E$13</c:f>
            </c:numRef>
          </c:val>
          <c:extLst>
            <c:ext xmlns:c16="http://schemas.microsoft.com/office/drawing/2014/chart" uri="{C3380CC4-5D6E-409C-BE32-E72D297353CC}">
              <c16:uniqueId val="{00000003-B2F2-4D72-86C1-B07DF52BAD9C}"/>
            </c:ext>
          </c:extLst>
        </c:ser>
        <c:ser>
          <c:idx val="4"/>
          <c:order val="4"/>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Sheet1!$F$2:$F$13</c:f>
            </c:numRef>
          </c:val>
          <c:extLst>
            <c:ext xmlns:c16="http://schemas.microsoft.com/office/drawing/2014/chart" uri="{C3380CC4-5D6E-409C-BE32-E72D297353CC}">
              <c16:uniqueId val="{00000004-B2F2-4D72-86C1-B07DF52BAD9C}"/>
            </c:ext>
          </c:extLst>
        </c:ser>
        <c:ser>
          <c:idx val="5"/>
          <c:order val="5"/>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Sheet1!$G$2:$G$13</c:f>
            </c:numRef>
          </c:val>
          <c:extLst>
            <c:ext xmlns:c16="http://schemas.microsoft.com/office/drawing/2014/chart" uri="{C3380CC4-5D6E-409C-BE32-E72D297353CC}">
              <c16:uniqueId val="{00000005-B2F2-4D72-86C1-B07DF52BAD9C}"/>
            </c:ext>
          </c:extLst>
        </c:ser>
        <c:ser>
          <c:idx val="6"/>
          <c:order val="6"/>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Sheet1!$H$2:$H$13</c:f>
            </c:numRef>
          </c:val>
          <c:extLst>
            <c:ext xmlns:c16="http://schemas.microsoft.com/office/drawing/2014/chart" uri="{C3380CC4-5D6E-409C-BE32-E72D297353CC}">
              <c16:uniqueId val="{00000006-B2F2-4D72-86C1-B07DF52BAD9C}"/>
            </c:ext>
          </c:extLst>
        </c:ser>
        <c:ser>
          <c:idx val="7"/>
          <c:order val="7"/>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Sheet1!$I$2:$I$13</c:f>
            </c:numRef>
          </c:val>
          <c:extLst>
            <c:ext xmlns:c16="http://schemas.microsoft.com/office/drawing/2014/chart" uri="{C3380CC4-5D6E-409C-BE32-E72D297353CC}">
              <c16:uniqueId val="{00000007-B2F2-4D72-86C1-B07DF52BAD9C}"/>
            </c:ext>
          </c:extLst>
        </c:ser>
        <c:ser>
          <c:idx val="8"/>
          <c:order val="8"/>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Sheet1!$J$2:$J$13</c:f>
            </c:numRef>
          </c:val>
          <c:extLst>
            <c:ext xmlns:c16="http://schemas.microsoft.com/office/drawing/2014/chart" uri="{C3380CC4-5D6E-409C-BE32-E72D297353CC}">
              <c16:uniqueId val="{00000008-B2F2-4D72-86C1-B07DF52BAD9C}"/>
            </c:ext>
          </c:extLst>
        </c:ser>
        <c:ser>
          <c:idx val="9"/>
          <c:order val="9"/>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Sheet1!$K$2:$K$13</c:f>
            </c:numRef>
          </c:val>
          <c:extLst>
            <c:ext xmlns:c16="http://schemas.microsoft.com/office/drawing/2014/chart" uri="{C3380CC4-5D6E-409C-BE32-E72D297353CC}">
              <c16:uniqueId val="{00000009-B2F2-4D72-86C1-B07DF52BAD9C}"/>
            </c:ext>
          </c:extLst>
        </c:ser>
        <c:ser>
          <c:idx val="10"/>
          <c:order val="10"/>
          <c:dPt>
            <c:idx val="0"/>
            <c:bubble3D val="0"/>
            <c:spPr>
              <a:solidFill>
                <a:schemeClr val="accent1"/>
              </a:solidFill>
              <a:ln w="19050">
                <a:solidFill>
                  <a:schemeClr val="lt1"/>
                </a:solidFill>
              </a:ln>
              <a:effectLst/>
            </c:spPr>
            <c:extLst>
              <c:ext xmlns:c16="http://schemas.microsoft.com/office/drawing/2014/chart" uri="{C3380CC4-5D6E-409C-BE32-E72D297353CC}">
                <c16:uniqueId val="{0000000B-B2F2-4D72-86C1-B07DF52BAD9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D-B2F2-4D72-86C1-B07DF52BAD9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F-B2F2-4D72-86C1-B07DF52BAD9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1-B2F2-4D72-86C1-B07DF52BAD9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3-B2F2-4D72-86C1-B07DF52BAD9C}"/>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5-B2F2-4D72-86C1-B07DF52BAD9C}"/>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17-B2F2-4D72-86C1-B07DF52BAD9C}"/>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19-B2F2-4D72-86C1-B07DF52BAD9C}"/>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B-B2F2-4D72-86C1-B07DF52BAD9C}"/>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D-B2F2-4D72-86C1-B07DF52BAD9C}"/>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F-B2F2-4D72-86C1-B07DF52BAD9C}"/>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21-B2F2-4D72-86C1-B07DF52BAD9C}"/>
              </c:ext>
            </c:extLst>
          </c:dPt>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Sheet1!$L$2:$L$13</c:f>
              <c:numCache>
                <c:formatCode>#,##0</c:formatCode>
                <c:ptCount val="12"/>
                <c:pt idx="0">
                  <c:v>424900</c:v>
                </c:pt>
                <c:pt idx="1">
                  <c:v>418376</c:v>
                </c:pt>
                <c:pt idx="2">
                  <c:v>52660</c:v>
                </c:pt>
                <c:pt idx="3">
                  <c:v>91505</c:v>
                </c:pt>
                <c:pt idx="4">
                  <c:v>86027</c:v>
                </c:pt>
                <c:pt idx="5">
                  <c:v>25350</c:v>
                </c:pt>
                <c:pt idx="6">
                  <c:v>32669</c:v>
                </c:pt>
                <c:pt idx="7">
                  <c:v>121234</c:v>
                </c:pt>
                <c:pt idx="8">
                  <c:v>9109</c:v>
                </c:pt>
                <c:pt idx="9">
                  <c:v>10921</c:v>
                </c:pt>
                <c:pt idx="10">
                  <c:v>65402</c:v>
                </c:pt>
                <c:pt idx="11">
                  <c:v>3470</c:v>
                </c:pt>
              </c:numCache>
            </c:numRef>
          </c:val>
          <c:extLst>
            <c:ext xmlns:c16="http://schemas.microsoft.com/office/drawing/2014/chart" uri="{C3380CC4-5D6E-409C-BE32-E72D297353CC}">
              <c16:uniqueId val="{00000022-B2F2-4D72-86C1-B07DF52BAD9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Household type</a:t>
            </a:r>
            <a:r>
              <a:rPr lang="en-GB" baseline="0"/>
              <a:t> changes between 2015 to 2016</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2001</c:v>
                </c:pt>
              </c:strCache>
            </c:strRef>
          </c:tx>
          <c:spPr>
            <a:solidFill>
              <a:schemeClr val="accent1"/>
            </a:solidFill>
            <a:ln>
              <a:noFill/>
            </a:ln>
            <a:effectLst/>
          </c:spPr>
          <c:invertIfNegative val="0"/>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Sheet1!$B$2:$B$13</c:f>
            </c:numRef>
          </c:val>
          <c:extLst>
            <c:ext xmlns:c16="http://schemas.microsoft.com/office/drawing/2014/chart" uri="{C3380CC4-5D6E-409C-BE32-E72D297353CC}">
              <c16:uniqueId val="{00000000-B317-4E05-87BA-83A3F969821A}"/>
            </c:ext>
          </c:extLst>
        </c:ser>
        <c:ser>
          <c:idx val="1"/>
          <c:order val="1"/>
          <c:tx>
            <c:strRef>
              <c:f>Sheet1!$C$1</c:f>
              <c:strCache>
                <c:ptCount val="1"/>
                <c:pt idx="0">
                  <c:v>2007</c:v>
                </c:pt>
              </c:strCache>
            </c:strRef>
          </c:tx>
          <c:spPr>
            <a:solidFill>
              <a:schemeClr val="accent2"/>
            </a:solidFill>
            <a:ln>
              <a:noFill/>
            </a:ln>
            <a:effectLst/>
          </c:spPr>
          <c:invertIfNegative val="0"/>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Sheet1!$C$2:$C$13</c:f>
            </c:numRef>
          </c:val>
          <c:extLst>
            <c:ext xmlns:c16="http://schemas.microsoft.com/office/drawing/2014/chart" uri="{C3380CC4-5D6E-409C-BE32-E72D297353CC}">
              <c16:uniqueId val="{00000001-B317-4E05-87BA-83A3F969821A}"/>
            </c:ext>
          </c:extLst>
        </c:ser>
        <c:ser>
          <c:idx val="2"/>
          <c:order val="2"/>
          <c:tx>
            <c:strRef>
              <c:f>Sheet1!$D$1</c:f>
              <c:strCache>
                <c:ptCount val="1"/>
                <c:pt idx="0">
                  <c:v>2008</c:v>
                </c:pt>
              </c:strCache>
            </c:strRef>
          </c:tx>
          <c:spPr>
            <a:solidFill>
              <a:schemeClr val="accent3"/>
            </a:solidFill>
            <a:ln>
              <a:noFill/>
            </a:ln>
            <a:effectLst/>
          </c:spPr>
          <c:invertIfNegative val="0"/>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Sheet1!$D$2:$D$13</c:f>
            </c:numRef>
          </c:val>
          <c:extLst>
            <c:ext xmlns:c16="http://schemas.microsoft.com/office/drawing/2014/chart" uri="{C3380CC4-5D6E-409C-BE32-E72D297353CC}">
              <c16:uniqueId val="{00000002-B317-4E05-87BA-83A3F969821A}"/>
            </c:ext>
          </c:extLst>
        </c:ser>
        <c:ser>
          <c:idx val="3"/>
          <c:order val="3"/>
          <c:tx>
            <c:strRef>
              <c:f>Sheet1!$E$1</c:f>
              <c:strCache>
                <c:ptCount val="1"/>
                <c:pt idx="0">
                  <c:v>2009</c:v>
                </c:pt>
              </c:strCache>
            </c:strRef>
          </c:tx>
          <c:spPr>
            <a:solidFill>
              <a:schemeClr val="accent4"/>
            </a:solidFill>
            <a:ln>
              <a:noFill/>
            </a:ln>
            <a:effectLst/>
          </c:spPr>
          <c:invertIfNegative val="0"/>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Sheet1!$E$2:$E$13</c:f>
            </c:numRef>
          </c:val>
          <c:extLst>
            <c:ext xmlns:c16="http://schemas.microsoft.com/office/drawing/2014/chart" uri="{C3380CC4-5D6E-409C-BE32-E72D297353CC}">
              <c16:uniqueId val="{00000003-B317-4E05-87BA-83A3F969821A}"/>
            </c:ext>
          </c:extLst>
        </c:ser>
        <c:ser>
          <c:idx val="4"/>
          <c:order val="4"/>
          <c:tx>
            <c:strRef>
              <c:f>Sheet1!$F$1</c:f>
              <c:strCache>
                <c:ptCount val="1"/>
                <c:pt idx="0">
                  <c:v>2010</c:v>
                </c:pt>
              </c:strCache>
            </c:strRef>
          </c:tx>
          <c:spPr>
            <a:solidFill>
              <a:schemeClr val="accent5"/>
            </a:solidFill>
            <a:ln>
              <a:noFill/>
            </a:ln>
            <a:effectLst/>
          </c:spPr>
          <c:invertIfNegative val="0"/>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Sheet1!$F$2:$F$13</c:f>
            </c:numRef>
          </c:val>
          <c:extLst>
            <c:ext xmlns:c16="http://schemas.microsoft.com/office/drawing/2014/chart" uri="{C3380CC4-5D6E-409C-BE32-E72D297353CC}">
              <c16:uniqueId val="{00000004-B317-4E05-87BA-83A3F969821A}"/>
            </c:ext>
          </c:extLst>
        </c:ser>
        <c:ser>
          <c:idx val="5"/>
          <c:order val="5"/>
          <c:tx>
            <c:strRef>
              <c:f>Sheet1!$G$1</c:f>
              <c:strCache>
                <c:ptCount val="1"/>
                <c:pt idx="0">
                  <c:v>2011</c:v>
                </c:pt>
              </c:strCache>
            </c:strRef>
          </c:tx>
          <c:spPr>
            <a:solidFill>
              <a:schemeClr val="accent6"/>
            </a:solidFill>
            <a:ln>
              <a:noFill/>
            </a:ln>
            <a:effectLst/>
          </c:spPr>
          <c:invertIfNegative val="0"/>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Sheet1!$G$2:$G$13</c:f>
            </c:numRef>
          </c:val>
          <c:extLst>
            <c:ext xmlns:c16="http://schemas.microsoft.com/office/drawing/2014/chart" uri="{C3380CC4-5D6E-409C-BE32-E72D297353CC}">
              <c16:uniqueId val="{00000005-B317-4E05-87BA-83A3F969821A}"/>
            </c:ext>
          </c:extLst>
        </c:ser>
        <c:ser>
          <c:idx val="6"/>
          <c:order val="6"/>
          <c:tx>
            <c:strRef>
              <c:f>Sheet1!$H$1</c:f>
              <c:strCache>
                <c:ptCount val="1"/>
                <c:pt idx="0">
                  <c:v>2012</c:v>
                </c:pt>
              </c:strCache>
            </c:strRef>
          </c:tx>
          <c:spPr>
            <a:solidFill>
              <a:schemeClr val="accent1">
                <a:lumMod val="60000"/>
              </a:schemeClr>
            </a:solidFill>
            <a:ln>
              <a:noFill/>
            </a:ln>
            <a:effectLst/>
          </c:spPr>
          <c:invertIfNegative val="0"/>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Sheet1!$H$2:$H$13</c:f>
            </c:numRef>
          </c:val>
          <c:extLst>
            <c:ext xmlns:c16="http://schemas.microsoft.com/office/drawing/2014/chart" uri="{C3380CC4-5D6E-409C-BE32-E72D297353CC}">
              <c16:uniqueId val="{00000006-B317-4E05-87BA-83A3F969821A}"/>
            </c:ext>
          </c:extLst>
        </c:ser>
        <c:ser>
          <c:idx val="7"/>
          <c:order val="7"/>
          <c:tx>
            <c:strRef>
              <c:f>Sheet1!$I$1</c:f>
              <c:strCache>
                <c:ptCount val="1"/>
                <c:pt idx="0">
                  <c:v>2013</c:v>
                </c:pt>
              </c:strCache>
            </c:strRef>
          </c:tx>
          <c:spPr>
            <a:solidFill>
              <a:schemeClr val="accent2">
                <a:lumMod val="60000"/>
              </a:schemeClr>
            </a:solidFill>
            <a:ln>
              <a:noFill/>
            </a:ln>
            <a:effectLst/>
          </c:spPr>
          <c:invertIfNegative val="0"/>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Sheet1!$I$2:$I$13</c:f>
            </c:numRef>
          </c:val>
          <c:extLst>
            <c:ext xmlns:c16="http://schemas.microsoft.com/office/drawing/2014/chart" uri="{C3380CC4-5D6E-409C-BE32-E72D297353CC}">
              <c16:uniqueId val="{00000007-B317-4E05-87BA-83A3F969821A}"/>
            </c:ext>
          </c:extLst>
        </c:ser>
        <c:ser>
          <c:idx val="8"/>
          <c:order val="8"/>
          <c:tx>
            <c:strRef>
              <c:f>Sheet1!$J$1</c:f>
              <c:strCache>
                <c:ptCount val="1"/>
                <c:pt idx="0">
                  <c:v>2014</c:v>
                </c:pt>
              </c:strCache>
            </c:strRef>
          </c:tx>
          <c:spPr>
            <a:solidFill>
              <a:schemeClr val="accent3">
                <a:lumMod val="60000"/>
              </a:schemeClr>
            </a:solidFill>
            <a:ln>
              <a:noFill/>
            </a:ln>
            <a:effectLst/>
          </c:spPr>
          <c:invertIfNegative val="0"/>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Sheet1!$J$2:$J$13</c:f>
            </c:numRef>
          </c:val>
          <c:extLst>
            <c:ext xmlns:c16="http://schemas.microsoft.com/office/drawing/2014/chart" uri="{C3380CC4-5D6E-409C-BE32-E72D297353CC}">
              <c16:uniqueId val="{00000008-B317-4E05-87BA-83A3F969821A}"/>
            </c:ext>
          </c:extLst>
        </c:ser>
        <c:ser>
          <c:idx val="9"/>
          <c:order val="9"/>
          <c:tx>
            <c:strRef>
              <c:f>Sheet1!$K$1</c:f>
              <c:strCache>
                <c:ptCount val="1"/>
                <c:pt idx="0">
                  <c:v>2015</c:v>
                </c:pt>
              </c:strCache>
            </c:strRef>
          </c:tx>
          <c:spPr>
            <a:solidFill>
              <a:schemeClr val="accent4">
                <a:lumMod val="60000"/>
              </a:schemeClr>
            </a:solidFill>
            <a:ln>
              <a:noFill/>
            </a:ln>
            <a:effectLst/>
          </c:spPr>
          <c:invertIfNegative val="0"/>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Sheet1!$K$2:$K$13</c:f>
            </c:numRef>
          </c:val>
          <c:extLst>
            <c:ext xmlns:c16="http://schemas.microsoft.com/office/drawing/2014/chart" uri="{C3380CC4-5D6E-409C-BE32-E72D297353CC}">
              <c16:uniqueId val="{00000009-B317-4E05-87BA-83A3F969821A}"/>
            </c:ext>
          </c:extLst>
        </c:ser>
        <c:ser>
          <c:idx val="10"/>
          <c:order val="10"/>
          <c:tx>
            <c:strRef>
              <c:f>Sheet1!$L$1</c:f>
              <c:strCache>
                <c:ptCount val="1"/>
                <c:pt idx="0">
                  <c:v>2016</c:v>
                </c:pt>
              </c:strCache>
            </c:strRef>
          </c:tx>
          <c:spPr>
            <a:solidFill>
              <a:schemeClr val="accent5">
                <a:lumMod val="60000"/>
              </a:schemeClr>
            </a:solidFill>
            <a:ln>
              <a:noFill/>
            </a:ln>
            <a:effectLst/>
          </c:spPr>
          <c:invertIfNegative val="0"/>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Sheet1!$L$2:$L$13</c:f>
            </c:numRef>
          </c:val>
          <c:extLst>
            <c:ext xmlns:c16="http://schemas.microsoft.com/office/drawing/2014/chart" uri="{C3380CC4-5D6E-409C-BE32-E72D297353CC}">
              <c16:uniqueId val="{0000000A-B317-4E05-87BA-83A3F969821A}"/>
            </c:ext>
          </c:extLst>
        </c:ser>
        <c:ser>
          <c:idx val="11"/>
          <c:order val="11"/>
          <c:tx>
            <c:strRef>
              <c:f>Sheet1!$M$1</c:f>
              <c:strCache>
                <c:ptCount val="1"/>
                <c:pt idx="0">
                  <c:v>2015-2016</c:v>
                </c:pt>
              </c:strCache>
            </c:strRef>
          </c:tx>
          <c:spPr>
            <a:solidFill>
              <a:schemeClr val="accent6">
                <a:lumMod val="60000"/>
              </a:schemeClr>
            </a:solidFill>
            <a:ln>
              <a:noFill/>
            </a:ln>
            <a:effectLst/>
          </c:spPr>
          <c:invertIfNegative val="0"/>
          <c:cat>
            <c:strRef>
              <c:f>Sheet1!$A$2:$A$13</c:f>
              <c:strCache>
                <c:ptCount val="12"/>
                <c:pt idx="0">
                  <c:v>1 person</c:v>
                </c:pt>
                <c:pt idx="1">
                  <c:v>2 person (no children)</c:v>
                </c:pt>
                <c:pt idx="2">
                  <c:v>2 person (1 adult, 1 child)</c:v>
                </c:pt>
                <c:pt idx="3">
                  <c:v>3 person (no children)</c:v>
                </c:pt>
                <c:pt idx="4">
                  <c:v>3 person (2 adults, 1 child)</c:v>
                </c:pt>
                <c:pt idx="5">
                  <c:v>3 person (1 adult, 2 children)</c:v>
                </c:pt>
                <c:pt idx="6">
                  <c:v>4 person (no children)</c:v>
                </c:pt>
                <c:pt idx="7">
                  <c:v>4 person (2+ adults, 1+ children)</c:v>
                </c:pt>
                <c:pt idx="8">
                  <c:v>4 person (1 adult, 3 children)</c:v>
                </c:pt>
                <c:pt idx="9">
                  <c:v>5+ person (no children)</c:v>
                </c:pt>
                <c:pt idx="10">
                  <c:v>5+ person (2+ adults, 1+ children)</c:v>
                </c:pt>
                <c:pt idx="11">
                  <c:v>5+ person (1 adult, 4+ children)</c:v>
                </c:pt>
              </c:strCache>
            </c:strRef>
          </c:cat>
          <c:val>
            <c:numRef>
              <c:f>Sheet1!$M$2:$M$13</c:f>
              <c:numCache>
                <c:formatCode>0.0%</c:formatCode>
                <c:ptCount val="12"/>
                <c:pt idx="0">
                  <c:v>1.2189631309510007E-2</c:v>
                </c:pt>
                <c:pt idx="1">
                  <c:v>7.7731127860116711E-3</c:v>
                </c:pt>
                <c:pt idx="2">
                  <c:v>1.2809170288879512E-2</c:v>
                </c:pt>
                <c:pt idx="3">
                  <c:v>3.5973984667185821E-3</c:v>
                </c:pt>
                <c:pt idx="4">
                  <c:v>-1.4741045105276518E-3</c:v>
                </c:pt>
                <c:pt idx="5">
                  <c:v>-2.0077949687020702E-3</c:v>
                </c:pt>
                <c:pt idx="6">
                  <c:v>1.2929430732977698E-2</c:v>
                </c:pt>
                <c:pt idx="7">
                  <c:v>-3.2147995889003633E-3</c:v>
                </c:pt>
                <c:pt idx="8">
                  <c:v>3.0833608633409337E-3</c:v>
                </c:pt>
                <c:pt idx="9">
                  <c:v>2.3140341015551735E-2</c:v>
                </c:pt>
                <c:pt idx="10">
                  <c:v>-3.3069690181197764E-3</c:v>
                </c:pt>
                <c:pt idx="11">
                  <c:v>5.7971014492752548E-3</c:v>
                </c:pt>
              </c:numCache>
            </c:numRef>
          </c:val>
          <c:extLst>
            <c:ext xmlns:c16="http://schemas.microsoft.com/office/drawing/2014/chart" uri="{C3380CC4-5D6E-409C-BE32-E72D297353CC}">
              <c16:uniqueId val="{0000000B-B317-4E05-87BA-83A3F969821A}"/>
            </c:ext>
          </c:extLst>
        </c:ser>
        <c:dLbls>
          <c:showLegendKey val="0"/>
          <c:showVal val="0"/>
          <c:showCatName val="0"/>
          <c:showSerName val="0"/>
          <c:showPercent val="0"/>
          <c:showBubbleSize val="0"/>
        </c:dLbls>
        <c:gapWidth val="182"/>
        <c:axId val="621654496"/>
        <c:axId val="846019856"/>
      </c:barChart>
      <c:catAx>
        <c:axId val="621654496"/>
        <c:scaling>
          <c:orientation val="minMax"/>
        </c:scaling>
        <c:delete val="0"/>
        <c:axPos val="l"/>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6019856"/>
        <c:crosses val="autoZero"/>
        <c:auto val="1"/>
        <c:lblAlgn val="ctr"/>
        <c:lblOffset val="100"/>
        <c:noMultiLvlLbl val="0"/>
      </c:catAx>
      <c:valAx>
        <c:axId val="846019856"/>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1654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1B500-424B-4B3E-B831-2F6C723CB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4285</Words>
  <Characters>24428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allport</dc:creator>
  <cp:keywords/>
  <dc:description/>
  <cp:lastModifiedBy>robbie allport</cp:lastModifiedBy>
  <cp:revision>2</cp:revision>
  <cp:lastPrinted>2017-12-12T15:15:00Z</cp:lastPrinted>
  <dcterms:created xsi:type="dcterms:W3CDTF">2017-12-14T21:11:00Z</dcterms:created>
  <dcterms:modified xsi:type="dcterms:W3CDTF">2017-12-14T21:11:00Z</dcterms:modified>
</cp:coreProperties>
</file>