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5822D8" w14:textId="77777777" w:rsidR="00201FFE" w:rsidRDefault="00201FFE" w:rsidP="00201FFE">
      <w:pPr>
        <w:rPr>
          <w:b/>
          <w:bCs/>
          <w:sz w:val="28"/>
          <w:szCs w:val="28"/>
        </w:rPr>
      </w:pPr>
    </w:p>
    <w:p w14:paraId="193D8F2A" w14:textId="77777777" w:rsidR="00201FFE" w:rsidRDefault="00201FFE" w:rsidP="00201FFE">
      <w:pPr>
        <w:spacing w:line="360" w:lineRule="auto"/>
      </w:pPr>
      <w:r>
        <w:rPr>
          <w:noProof/>
        </w:rPr>
        <w:drawing>
          <wp:inline distT="0" distB="0" distL="0" distR="0" wp14:anchorId="285FBB82" wp14:editId="7BA92EC8">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69A9F7CD" w14:textId="77777777" w:rsidR="00201FFE" w:rsidRDefault="00201FFE" w:rsidP="00201FFE">
      <w:pPr>
        <w:spacing w:line="360" w:lineRule="auto"/>
      </w:pPr>
    </w:p>
    <w:p w14:paraId="447334B2" w14:textId="77777777" w:rsidR="00201FFE" w:rsidRPr="00093E89" w:rsidRDefault="00201FFE" w:rsidP="00201FFE">
      <w:pPr>
        <w:spacing w:line="360" w:lineRule="auto"/>
        <w:rPr>
          <w:sz w:val="32"/>
          <w:szCs w:val="32"/>
        </w:rPr>
      </w:pPr>
    </w:p>
    <w:p w14:paraId="12B97213" w14:textId="77777777" w:rsidR="00201FFE" w:rsidRPr="00093E89" w:rsidRDefault="00201FFE" w:rsidP="00201FFE">
      <w:pPr>
        <w:spacing w:line="360" w:lineRule="auto"/>
        <w:jc w:val="center"/>
        <w:rPr>
          <w:b/>
          <w:bCs/>
          <w:sz w:val="32"/>
          <w:szCs w:val="32"/>
        </w:rPr>
      </w:pPr>
      <w:r w:rsidRPr="00093E89">
        <w:rPr>
          <w:b/>
          <w:bCs/>
          <w:sz w:val="32"/>
          <w:szCs w:val="32"/>
        </w:rPr>
        <w:t>BA BUSINESS MANAGEMENT</w:t>
      </w:r>
    </w:p>
    <w:p w14:paraId="6F59FB78" w14:textId="54A59E90" w:rsidR="00201FFE" w:rsidRPr="00093E89" w:rsidRDefault="00201FFE" w:rsidP="00201FFE">
      <w:pPr>
        <w:spacing w:line="360" w:lineRule="auto"/>
        <w:jc w:val="center"/>
        <w:rPr>
          <w:b/>
          <w:bCs/>
          <w:sz w:val="32"/>
          <w:szCs w:val="32"/>
        </w:rPr>
      </w:pPr>
      <w:r w:rsidRPr="00093E89">
        <w:rPr>
          <w:b/>
          <w:bCs/>
          <w:sz w:val="32"/>
          <w:szCs w:val="32"/>
        </w:rPr>
        <w:t xml:space="preserve">Assignment </w:t>
      </w:r>
      <w:r>
        <w:rPr>
          <w:b/>
          <w:bCs/>
          <w:sz w:val="32"/>
          <w:szCs w:val="32"/>
        </w:rPr>
        <w:t>1</w:t>
      </w:r>
    </w:p>
    <w:p w14:paraId="6A11301D" w14:textId="77777777" w:rsidR="00201FFE" w:rsidRPr="00093E89" w:rsidRDefault="00201FFE" w:rsidP="00201FFE">
      <w:pPr>
        <w:spacing w:line="360" w:lineRule="auto"/>
        <w:rPr>
          <w:b/>
          <w:bCs/>
          <w:sz w:val="32"/>
          <w:szCs w:val="32"/>
        </w:rPr>
      </w:pPr>
    </w:p>
    <w:p w14:paraId="306FBCC0" w14:textId="6F7ACB57" w:rsidR="00201FFE" w:rsidRPr="00093E89" w:rsidRDefault="00201FFE" w:rsidP="00201FFE">
      <w:pPr>
        <w:spacing w:line="360" w:lineRule="auto"/>
        <w:rPr>
          <w:sz w:val="32"/>
          <w:szCs w:val="32"/>
        </w:rPr>
      </w:pPr>
      <w:r w:rsidRPr="00093E89">
        <w:rPr>
          <w:b/>
          <w:bCs/>
          <w:sz w:val="32"/>
          <w:szCs w:val="32"/>
        </w:rPr>
        <w:t>Module</w:t>
      </w:r>
      <w:r w:rsidRPr="00093E89">
        <w:rPr>
          <w:sz w:val="32"/>
          <w:szCs w:val="32"/>
        </w:rPr>
        <w:t xml:space="preserve">: </w:t>
      </w:r>
      <w:r>
        <w:rPr>
          <w:sz w:val="32"/>
          <w:szCs w:val="32"/>
        </w:rPr>
        <w:t>Management Economics</w:t>
      </w:r>
    </w:p>
    <w:p w14:paraId="49A8E106" w14:textId="70DB916F" w:rsidR="00201FFE" w:rsidRPr="00093E89" w:rsidRDefault="00201FFE" w:rsidP="00201FFE">
      <w:pPr>
        <w:spacing w:line="360" w:lineRule="auto"/>
        <w:rPr>
          <w:sz w:val="32"/>
          <w:szCs w:val="32"/>
        </w:rPr>
      </w:pPr>
      <w:r w:rsidRPr="00093E89">
        <w:rPr>
          <w:b/>
          <w:bCs/>
          <w:sz w:val="32"/>
          <w:szCs w:val="32"/>
        </w:rPr>
        <w:t>Code</w:t>
      </w:r>
      <w:r w:rsidRPr="00093E89">
        <w:rPr>
          <w:sz w:val="32"/>
          <w:szCs w:val="32"/>
        </w:rPr>
        <w:t>: LCBB500</w:t>
      </w:r>
      <w:r>
        <w:rPr>
          <w:sz w:val="32"/>
          <w:szCs w:val="32"/>
        </w:rPr>
        <w:t>8</w:t>
      </w:r>
    </w:p>
    <w:p w14:paraId="6ECD83C2" w14:textId="21CF585F" w:rsidR="00201FFE" w:rsidRPr="00093E89" w:rsidRDefault="00201FFE" w:rsidP="00201FFE">
      <w:pPr>
        <w:spacing w:line="360" w:lineRule="auto"/>
        <w:rPr>
          <w:sz w:val="32"/>
          <w:szCs w:val="32"/>
        </w:rPr>
      </w:pPr>
      <w:r w:rsidRPr="00093E89">
        <w:rPr>
          <w:b/>
          <w:bCs/>
          <w:sz w:val="32"/>
          <w:szCs w:val="32"/>
        </w:rPr>
        <w:t>Lecturer</w:t>
      </w:r>
      <w:r w:rsidRPr="00093E89">
        <w:rPr>
          <w:sz w:val="32"/>
          <w:szCs w:val="32"/>
        </w:rPr>
        <w:t xml:space="preserve">: </w:t>
      </w:r>
      <w:r>
        <w:rPr>
          <w:sz w:val="32"/>
          <w:szCs w:val="32"/>
        </w:rPr>
        <w:t>Dr</w:t>
      </w:r>
      <w:r>
        <w:rPr>
          <w:sz w:val="32"/>
          <w:szCs w:val="32"/>
        </w:rPr>
        <w:t>.</w:t>
      </w:r>
      <w:r>
        <w:rPr>
          <w:sz w:val="32"/>
          <w:szCs w:val="32"/>
        </w:rPr>
        <w:t xml:space="preserve"> </w:t>
      </w:r>
      <w:r>
        <w:rPr>
          <w:sz w:val="32"/>
          <w:szCs w:val="32"/>
        </w:rPr>
        <w:t xml:space="preserve">Taye </w:t>
      </w:r>
      <w:proofErr w:type="spellStart"/>
      <w:r>
        <w:rPr>
          <w:sz w:val="32"/>
          <w:szCs w:val="32"/>
        </w:rPr>
        <w:t>Osadiya</w:t>
      </w:r>
      <w:proofErr w:type="spellEnd"/>
    </w:p>
    <w:p w14:paraId="5D44AED9" w14:textId="77777777" w:rsidR="00201FFE" w:rsidRPr="00093E89" w:rsidRDefault="00201FFE" w:rsidP="00201FFE">
      <w:pPr>
        <w:spacing w:line="360" w:lineRule="auto"/>
        <w:rPr>
          <w:sz w:val="32"/>
          <w:szCs w:val="32"/>
        </w:rPr>
      </w:pPr>
      <w:r w:rsidRPr="00093E89">
        <w:rPr>
          <w:b/>
          <w:bCs/>
          <w:sz w:val="32"/>
          <w:szCs w:val="32"/>
        </w:rPr>
        <w:t xml:space="preserve">Name: </w:t>
      </w:r>
      <w:r w:rsidRPr="00093E89">
        <w:rPr>
          <w:sz w:val="32"/>
          <w:szCs w:val="32"/>
        </w:rPr>
        <w:t>Nezabravka Vasileva</w:t>
      </w:r>
    </w:p>
    <w:p w14:paraId="2EF4A0F6" w14:textId="77777777" w:rsidR="00201FFE" w:rsidRPr="00093E89" w:rsidRDefault="00201FFE" w:rsidP="00201FFE">
      <w:pPr>
        <w:spacing w:line="360" w:lineRule="auto"/>
        <w:rPr>
          <w:b/>
          <w:bCs/>
          <w:sz w:val="32"/>
          <w:szCs w:val="32"/>
        </w:rPr>
      </w:pPr>
      <w:r w:rsidRPr="00093E89">
        <w:rPr>
          <w:b/>
          <w:bCs/>
          <w:sz w:val="32"/>
          <w:szCs w:val="32"/>
        </w:rPr>
        <w:t xml:space="preserve">Student ID: </w:t>
      </w:r>
      <w:r w:rsidRPr="00093E89">
        <w:rPr>
          <w:sz w:val="32"/>
          <w:szCs w:val="32"/>
        </w:rPr>
        <w:t>2129046</w:t>
      </w:r>
    </w:p>
    <w:p w14:paraId="79CFC6F2" w14:textId="77777777" w:rsidR="00201FFE" w:rsidRPr="00093E89" w:rsidRDefault="00201FFE" w:rsidP="00201FFE">
      <w:pPr>
        <w:spacing w:line="360" w:lineRule="auto"/>
        <w:rPr>
          <w:b/>
          <w:bCs/>
          <w:sz w:val="32"/>
          <w:szCs w:val="32"/>
        </w:rPr>
      </w:pPr>
    </w:p>
    <w:p w14:paraId="331019FE" w14:textId="77777777" w:rsidR="00201FFE" w:rsidRPr="00093E89" w:rsidRDefault="00201FFE" w:rsidP="00201FFE">
      <w:pPr>
        <w:spacing w:line="360" w:lineRule="auto"/>
        <w:rPr>
          <w:b/>
          <w:bCs/>
          <w:sz w:val="32"/>
          <w:szCs w:val="32"/>
        </w:rPr>
      </w:pPr>
    </w:p>
    <w:p w14:paraId="4BA0A8A8" w14:textId="092BF3BC" w:rsidR="000418BB" w:rsidRPr="00201FFE" w:rsidRDefault="00201FFE" w:rsidP="00201FFE">
      <w:pPr>
        <w:jc w:val="center"/>
        <w:rPr>
          <w:b/>
          <w:bCs/>
          <w:sz w:val="32"/>
          <w:szCs w:val="32"/>
        </w:rPr>
      </w:pPr>
      <w:r w:rsidRPr="00093E89">
        <w:rPr>
          <w:b/>
          <w:bCs/>
          <w:sz w:val="32"/>
          <w:szCs w:val="32"/>
        </w:rPr>
        <w:t xml:space="preserve">SUBMITTED ON THE </w:t>
      </w:r>
      <w:r>
        <w:rPr>
          <w:b/>
          <w:bCs/>
          <w:sz w:val="32"/>
          <w:szCs w:val="32"/>
        </w:rPr>
        <w:t>27</w:t>
      </w:r>
      <w:r w:rsidRPr="00093E89">
        <w:rPr>
          <w:b/>
          <w:bCs/>
          <w:sz w:val="32"/>
          <w:szCs w:val="32"/>
        </w:rPr>
        <w:t>/</w:t>
      </w:r>
      <w:r>
        <w:rPr>
          <w:b/>
          <w:bCs/>
          <w:sz w:val="32"/>
          <w:szCs w:val="32"/>
        </w:rPr>
        <w:t>04</w:t>
      </w:r>
      <w:r w:rsidRPr="00093E89">
        <w:rPr>
          <w:b/>
          <w:bCs/>
          <w:sz w:val="32"/>
          <w:szCs w:val="32"/>
        </w:rPr>
        <w:t>/202</w:t>
      </w:r>
      <w:r>
        <w:rPr>
          <w:b/>
          <w:bCs/>
          <w:sz w:val="32"/>
          <w:szCs w:val="32"/>
        </w:rPr>
        <w:t>4</w:t>
      </w:r>
      <w:r w:rsidR="000418BB" w:rsidRPr="003F7A62">
        <w:rPr>
          <w:rFonts w:ascii="Times New Roman" w:hAnsi="Times New Roman" w:cs="Times New Roman"/>
          <w:b/>
          <w:bCs/>
          <w:sz w:val="32"/>
          <w:szCs w:val="32"/>
        </w:rPr>
        <w:br w:type="page"/>
      </w:r>
    </w:p>
    <w:sdt>
      <w:sdtPr>
        <w:rPr>
          <w:rFonts w:ascii="Times New Roman" w:eastAsiaTheme="minorHAnsi" w:hAnsi="Times New Roman" w:cs="Times New Roman"/>
          <w:b/>
          <w:bCs/>
          <w:color w:val="auto"/>
          <w:sz w:val="22"/>
          <w:szCs w:val="22"/>
        </w:rPr>
        <w:id w:val="1093901017"/>
        <w:docPartObj>
          <w:docPartGallery w:val="Table of Contents"/>
          <w:docPartUnique/>
        </w:docPartObj>
      </w:sdtPr>
      <w:sdtEndPr>
        <w:rPr>
          <w:rFonts w:asciiTheme="minorHAnsi" w:hAnsiTheme="minorHAnsi" w:cstheme="minorBidi"/>
          <w:noProof/>
        </w:rPr>
      </w:sdtEndPr>
      <w:sdtContent>
        <w:p w14:paraId="0A17243B" w14:textId="1DFAA045" w:rsidR="003F7A62" w:rsidRPr="00201FFE" w:rsidRDefault="003F7A62" w:rsidP="003F7A62">
          <w:pPr>
            <w:pStyle w:val="TOCHeading"/>
            <w:spacing w:line="360" w:lineRule="auto"/>
            <w:jc w:val="center"/>
            <w:rPr>
              <w:rFonts w:ascii="Arial" w:hAnsi="Arial" w:cs="Arial"/>
              <w:b/>
              <w:bCs/>
              <w:color w:val="auto"/>
              <w:sz w:val="24"/>
              <w:szCs w:val="24"/>
            </w:rPr>
          </w:pPr>
          <w:r w:rsidRPr="00201FFE">
            <w:rPr>
              <w:rFonts w:ascii="Arial" w:hAnsi="Arial" w:cs="Arial"/>
              <w:b/>
              <w:bCs/>
              <w:color w:val="auto"/>
              <w:sz w:val="24"/>
              <w:szCs w:val="24"/>
            </w:rPr>
            <w:t>Table of Contents</w:t>
          </w:r>
        </w:p>
        <w:p w14:paraId="1EF61DE2" w14:textId="27A486FE" w:rsidR="00201FFE" w:rsidRDefault="003F7A62">
          <w:pPr>
            <w:pStyle w:val="TOC1"/>
            <w:tabs>
              <w:tab w:val="right" w:leader="dot" w:pos="9350"/>
            </w:tabs>
            <w:rPr>
              <w:rFonts w:eastAsiaTheme="minorEastAsia"/>
              <w:noProof/>
              <w:kern w:val="2"/>
              <w:sz w:val="24"/>
              <w:szCs w:val="24"/>
              <w:lang w:val="en-GB" w:eastAsia="en-GB"/>
              <w14:ligatures w14:val="standardContextual"/>
            </w:rPr>
          </w:pPr>
          <w:r w:rsidRPr="00201FFE">
            <w:rPr>
              <w:rFonts w:ascii="Arial" w:hAnsi="Arial" w:cs="Arial"/>
              <w:sz w:val="24"/>
              <w:szCs w:val="24"/>
            </w:rPr>
            <w:fldChar w:fldCharType="begin"/>
          </w:r>
          <w:r w:rsidRPr="00201FFE">
            <w:rPr>
              <w:rFonts w:ascii="Arial" w:hAnsi="Arial" w:cs="Arial"/>
              <w:sz w:val="24"/>
              <w:szCs w:val="24"/>
            </w:rPr>
            <w:instrText xml:space="preserve"> TOC \o "1-3" \h \z \u </w:instrText>
          </w:r>
          <w:r w:rsidRPr="00201FFE">
            <w:rPr>
              <w:rFonts w:ascii="Arial" w:hAnsi="Arial" w:cs="Arial"/>
              <w:sz w:val="24"/>
              <w:szCs w:val="24"/>
            </w:rPr>
            <w:fldChar w:fldCharType="separate"/>
          </w:r>
          <w:hyperlink w:anchor="_Toc165124365" w:history="1">
            <w:r w:rsidR="00201FFE" w:rsidRPr="00551FAB">
              <w:rPr>
                <w:rStyle w:val="Hyperlink"/>
                <w:rFonts w:ascii="Arial" w:hAnsi="Arial" w:cs="Arial"/>
                <w:b/>
                <w:bCs/>
                <w:noProof/>
              </w:rPr>
              <w:t>Introduction</w:t>
            </w:r>
            <w:r w:rsidR="00201FFE">
              <w:rPr>
                <w:noProof/>
                <w:webHidden/>
              </w:rPr>
              <w:tab/>
            </w:r>
            <w:r w:rsidR="00201FFE">
              <w:rPr>
                <w:noProof/>
                <w:webHidden/>
              </w:rPr>
              <w:fldChar w:fldCharType="begin"/>
            </w:r>
            <w:r w:rsidR="00201FFE">
              <w:rPr>
                <w:noProof/>
                <w:webHidden/>
              </w:rPr>
              <w:instrText xml:space="preserve"> PAGEREF _Toc165124365 \h </w:instrText>
            </w:r>
            <w:r w:rsidR="00201FFE">
              <w:rPr>
                <w:noProof/>
                <w:webHidden/>
              </w:rPr>
            </w:r>
            <w:r w:rsidR="00201FFE">
              <w:rPr>
                <w:noProof/>
                <w:webHidden/>
              </w:rPr>
              <w:fldChar w:fldCharType="separate"/>
            </w:r>
            <w:r w:rsidR="00201FFE">
              <w:rPr>
                <w:noProof/>
                <w:webHidden/>
              </w:rPr>
              <w:t>3</w:t>
            </w:r>
            <w:r w:rsidR="00201FFE">
              <w:rPr>
                <w:noProof/>
                <w:webHidden/>
              </w:rPr>
              <w:fldChar w:fldCharType="end"/>
            </w:r>
          </w:hyperlink>
        </w:p>
        <w:p w14:paraId="62E525D1" w14:textId="1AB8359C"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66" w:history="1">
            <w:r w:rsidRPr="00551FAB">
              <w:rPr>
                <w:rStyle w:val="Hyperlink"/>
                <w:rFonts w:ascii="Arial" w:hAnsi="Arial" w:cs="Arial"/>
                <w:b/>
                <w:bCs/>
                <w:noProof/>
              </w:rPr>
              <w:t>Answer 1(a)</w:t>
            </w:r>
            <w:r>
              <w:rPr>
                <w:noProof/>
                <w:webHidden/>
              </w:rPr>
              <w:tab/>
            </w:r>
            <w:r>
              <w:rPr>
                <w:noProof/>
                <w:webHidden/>
              </w:rPr>
              <w:fldChar w:fldCharType="begin"/>
            </w:r>
            <w:r>
              <w:rPr>
                <w:noProof/>
                <w:webHidden/>
              </w:rPr>
              <w:instrText xml:space="preserve"> PAGEREF _Toc165124366 \h </w:instrText>
            </w:r>
            <w:r>
              <w:rPr>
                <w:noProof/>
                <w:webHidden/>
              </w:rPr>
            </w:r>
            <w:r>
              <w:rPr>
                <w:noProof/>
                <w:webHidden/>
              </w:rPr>
              <w:fldChar w:fldCharType="separate"/>
            </w:r>
            <w:r>
              <w:rPr>
                <w:noProof/>
                <w:webHidden/>
              </w:rPr>
              <w:t>4</w:t>
            </w:r>
            <w:r>
              <w:rPr>
                <w:noProof/>
                <w:webHidden/>
              </w:rPr>
              <w:fldChar w:fldCharType="end"/>
            </w:r>
          </w:hyperlink>
        </w:p>
        <w:p w14:paraId="0BE89E0B" w14:textId="577DDDC0"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67" w:history="1">
            <w:r w:rsidRPr="00551FAB">
              <w:rPr>
                <w:rStyle w:val="Hyperlink"/>
                <w:rFonts w:ascii="Arial" w:hAnsi="Arial" w:cs="Arial"/>
                <w:b/>
                <w:bCs/>
                <w:noProof/>
              </w:rPr>
              <w:t>Covid-19 Rules of Doing Business</w:t>
            </w:r>
            <w:r>
              <w:rPr>
                <w:noProof/>
                <w:webHidden/>
              </w:rPr>
              <w:tab/>
            </w:r>
            <w:r>
              <w:rPr>
                <w:noProof/>
                <w:webHidden/>
              </w:rPr>
              <w:fldChar w:fldCharType="begin"/>
            </w:r>
            <w:r>
              <w:rPr>
                <w:noProof/>
                <w:webHidden/>
              </w:rPr>
              <w:instrText xml:space="preserve"> PAGEREF _Toc165124367 \h </w:instrText>
            </w:r>
            <w:r>
              <w:rPr>
                <w:noProof/>
                <w:webHidden/>
              </w:rPr>
            </w:r>
            <w:r>
              <w:rPr>
                <w:noProof/>
                <w:webHidden/>
              </w:rPr>
              <w:fldChar w:fldCharType="separate"/>
            </w:r>
            <w:r>
              <w:rPr>
                <w:noProof/>
                <w:webHidden/>
              </w:rPr>
              <w:t>4</w:t>
            </w:r>
            <w:r>
              <w:rPr>
                <w:noProof/>
                <w:webHidden/>
              </w:rPr>
              <w:fldChar w:fldCharType="end"/>
            </w:r>
          </w:hyperlink>
        </w:p>
        <w:p w14:paraId="7603BAAC" w14:textId="2A27DFE3"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68" w:history="1">
            <w:r w:rsidRPr="00551FAB">
              <w:rPr>
                <w:rStyle w:val="Hyperlink"/>
                <w:rFonts w:ascii="Arial" w:hAnsi="Arial" w:cs="Arial"/>
                <w:b/>
                <w:bCs/>
                <w:noProof/>
              </w:rPr>
              <w:t>Shortages of Demand and Supply</w:t>
            </w:r>
            <w:r>
              <w:rPr>
                <w:noProof/>
                <w:webHidden/>
              </w:rPr>
              <w:tab/>
            </w:r>
            <w:r>
              <w:rPr>
                <w:noProof/>
                <w:webHidden/>
              </w:rPr>
              <w:fldChar w:fldCharType="begin"/>
            </w:r>
            <w:r>
              <w:rPr>
                <w:noProof/>
                <w:webHidden/>
              </w:rPr>
              <w:instrText xml:space="preserve"> PAGEREF _Toc165124368 \h </w:instrText>
            </w:r>
            <w:r>
              <w:rPr>
                <w:noProof/>
                <w:webHidden/>
              </w:rPr>
            </w:r>
            <w:r>
              <w:rPr>
                <w:noProof/>
                <w:webHidden/>
              </w:rPr>
              <w:fldChar w:fldCharType="separate"/>
            </w:r>
            <w:r>
              <w:rPr>
                <w:noProof/>
                <w:webHidden/>
              </w:rPr>
              <w:t>4</w:t>
            </w:r>
            <w:r>
              <w:rPr>
                <w:noProof/>
                <w:webHidden/>
              </w:rPr>
              <w:fldChar w:fldCharType="end"/>
            </w:r>
          </w:hyperlink>
        </w:p>
        <w:p w14:paraId="081D5EE9" w14:textId="59354851"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69" w:history="1">
            <w:r w:rsidRPr="00551FAB">
              <w:rPr>
                <w:rStyle w:val="Hyperlink"/>
                <w:rFonts w:ascii="Arial" w:hAnsi="Arial" w:cs="Arial"/>
                <w:b/>
                <w:bCs/>
                <w:noProof/>
              </w:rPr>
              <w:t>Effects of BREXIT</w:t>
            </w:r>
            <w:r>
              <w:rPr>
                <w:noProof/>
                <w:webHidden/>
              </w:rPr>
              <w:tab/>
            </w:r>
            <w:r>
              <w:rPr>
                <w:noProof/>
                <w:webHidden/>
              </w:rPr>
              <w:fldChar w:fldCharType="begin"/>
            </w:r>
            <w:r>
              <w:rPr>
                <w:noProof/>
                <w:webHidden/>
              </w:rPr>
              <w:instrText xml:space="preserve"> PAGEREF _Toc165124369 \h </w:instrText>
            </w:r>
            <w:r>
              <w:rPr>
                <w:noProof/>
                <w:webHidden/>
              </w:rPr>
            </w:r>
            <w:r>
              <w:rPr>
                <w:noProof/>
                <w:webHidden/>
              </w:rPr>
              <w:fldChar w:fldCharType="separate"/>
            </w:r>
            <w:r>
              <w:rPr>
                <w:noProof/>
                <w:webHidden/>
              </w:rPr>
              <w:t>5</w:t>
            </w:r>
            <w:r>
              <w:rPr>
                <w:noProof/>
                <w:webHidden/>
              </w:rPr>
              <w:fldChar w:fldCharType="end"/>
            </w:r>
          </w:hyperlink>
        </w:p>
        <w:p w14:paraId="69CEBF06" w14:textId="45DE0386"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0" w:history="1">
            <w:r w:rsidRPr="00551FAB">
              <w:rPr>
                <w:rStyle w:val="Hyperlink"/>
                <w:rFonts w:ascii="Arial" w:hAnsi="Arial" w:cs="Arial"/>
                <w:b/>
                <w:bCs/>
                <w:noProof/>
              </w:rPr>
              <w:t>Panic Buying and Scarcity</w:t>
            </w:r>
            <w:r>
              <w:rPr>
                <w:noProof/>
                <w:webHidden/>
              </w:rPr>
              <w:tab/>
            </w:r>
            <w:r>
              <w:rPr>
                <w:noProof/>
                <w:webHidden/>
              </w:rPr>
              <w:fldChar w:fldCharType="begin"/>
            </w:r>
            <w:r>
              <w:rPr>
                <w:noProof/>
                <w:webHidden/>
              </w:rPr>
              <w:instrText xml:space="preserve"> PAGEREF _Toc165124370 \h </w:instrText>
            </w:r>
            <w:r>
              <w:rPr>
                <w:noProof/>
                <w:webHidden/>
              </w:rPr>
            </w:r>
            <w:r>
              <w:rPr>
                <w:noProof/>
                <w:webHidden/>
              </w:rPr>
              <w:fldChar w:fldCharType="separate"/>
            </w:r>
            <w:r>
              <w:rPr>
                <w:noProof/>
                <w:webHidden/>
              </w:rPr>
              <w:t>5</w:t>
            </w:r>
            <w:r>
              <w:rPr>
                <w:noProof/>
                <w:webHidden/>
              </w:rPr>
              <w:fldChar w:fldCharType="end"/>
            </w:r>
          </w:hyperlink>
        </w:p>
        <w:p w14:paraId="3B8333BA" w14:textId="5B5700F3"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1" w:history="1">
            <w:r w:rsidRPr="00551FAB">
              <w:rPr>
                <w:rStyle w:val="Hyperlink"/>
                <w:rFonts w:ascii="Arial" w:hAnsi="Arial" w:cs="Arial"/>
                <w:b/>
                <w:bCs/>
                <w:noProof/>
              </w:rPr>
              <w:t>Economic Consequences</w:t>
            </w:r>
            <w:r>
              <w:rPr>
                <w:noProof/>
                <w:webHidden/>
              </w:rPr>
              <w:tab/>
            </w:r>
            <w:r>
              <w:rPr>
                <w:noProof/>
                <w:webHidden/>
              </w:rPr>
              <w:fldChar w:fldCharType="begin"/>
            </w:r>
            <w:r>
              <w:rPr>
                <w:noProof/>
                <w:webHidden/>
              </w:rPr>
              <w:instrText xml:space="preserve"> PAGEREF _Toc165124371 \h </w:instrText>
            </w:r>
            <w:r>
              <w:rPr>
                <w:noProof/>
                <w:webHidden/>
              </w:rPr>
            </w:r>
            <w:r>
              <w:rPr>
                <w:noProof/>
                <w:webHidden/>
              </w:rPr>
              <w:fldChar w:fldCharType="separate"/>
            </w:r>
            <w:r>
              <w:rPr>
                <w:noProof/>
                <w:webHidden/>
              </w:rPr>
              <w:t>6</w:t>
            </w:r>
            <w:r>
              <w:rPr>
                <w:noProof/>
                <w:webHidden/>
              </w:rPr>
              <w:fldChar w:fldCharType="end"/>
            </w:r>
          </w:hyperlink>
        </w:p>
        <w:p w14:paraId="33644BA6" w14:textId="423AD815"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72" w:history="1">
            <w:r w:rsidRPr="00551FAB">
              <w:rPr>
                <w:rStyle w:val="Hyperlink"/>
                <w:rFonts w:ascii="Arial" w:hAnsi="Arial" w:cs="Arial"/>
                <w:b/>
                <w:bCs/>
                <w:noProof/>
              </w:rPr>
              <w:t>Answer 1(b)</w:t>
            </w:r>
            <w:r>
              <w:rPr>
                <w:noProof/>
                <w:webHidden/>
              </w:rPr>
              <w:tab/>
            </w:r>
            <w:r>
              <w:rPr>
                <w:noProof/>
                <w:webHidden/>
              </w:rPr>
              <w:fldChar w:fldCharType="begin"/>
            </w:r>
            <w:r>
              <w:rPr>
                <w:noProof/>
                <w:webHidden/>
              </w:rPr>
              <w:instrText xml:space="preserve"> PAGEREF _Toc165124372 \h </w:instrText>
            </w:r>
            <w:r>
              <w:rPr>
                <w:noProof/>
                <w:webHidden/>
              </w:rPr>
            </w:r>
            <w:r>
              <w:rPr>
                <w:noProof/>
                <w:webHidden/>
              </w:rPr>
              <w:fldChar w:fldCharType="separate"/>
            </w:r>
            <w:r>
              <w:rPr>
                <w:noProof/>
                <w:webHidden/>
              </w:rPr>
              <w:t>7</w:t>
            </w:r>
            <w:r>
              <w:rPr>
                <w:noProof/>
                <w:webHidden/>
              </w:rPr>
              <w:fldChar w:fldCharType="end"/>
            </w:r>
          </w:hyperlink>
        </w:p>
        <w:p w14:paraId="29B6FA6B" w14:textId="69A7C5EF"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3" w:history="1">
            <w:r w:rsidRPr="00551FAB">
              <w:rPr>
                <w:rStyle w:val="Hyperlink"/>
                <w:rFonts w:ascii="Arial" w:hAnsi="Arial" w:cs="Arial"/>
                <w:b/>
                <w:bCs/>
                <w:noProof/>
              </w:rPr>
              <w:t>Government Intervention</w:t>
            </w:r>
            <w:r>
              <w:rPr>
                <w:noProof/>
                <w:webHidden/>
              </w:rPr>
              <w:tab/>
            </w:r>
            <w:r>
              <w:rPr>
                <w:noProof/>
                <w:webHidden/>
              </w:rPr>
              <w:fldChar w:fldCharType="begin"/>
            </w:r>
            <w:r>
              <w:rPr>
                <w:noProof/>
                <w:webHidden/>
              </w:rPr>
              <w:instrText xml:space="preserve"> PAGEREF _Toc165124373 \h </w:instrText>
            </w:r>
            <w:r>
              <w:rPr>
                <w:noProof/>
                <w:webHidden/>
              </w:rPr>
            </w:r>
            <w:r>
              <w:rPr>
                <w:noProof/>
                <w:webHidden/>
              </w:rPr>
              <w:fldChar w:fldCharType="separate"/>
            </w:r>
            <w:r>
              <w:rPr>
                <w:noProof/>
                <w:webHidden/>
              </w:rPr>
              <w:t>7</w:t>
            </w:r>
            <w:r>
              <w:rPr>
                <w:noProof/>
                <w:webHidden/>
              </w:rPr>
              <w:fldChar w:fldCharType="end"/>
            </w:r>
          </w:hyperlink>
        </w:p>
        <w:p w14:paraId="6BB1AFEA" w14:textId="074AF499"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4" w:history="1">
            <w:r w:rsidRPr="00551FAB">
              <w:rPr>
                <w:rStyle w:val="Hyperlink"/>
                <w:rFonts w:ascii="Arial" w:hAnsi="Arial" w:cs="Arial"/>
                <w:b/>
                <w:bCs/>
                <w:noProof/>
              </w:rPr>
              <w:t>Relaxation of Covid-19 Restrictions</w:t>
            </w:r>
            <w:r>
              <w:rPr>
                <w:noProof/>
                <w:webHidden/>
              </w:rPr>
              <w:tab/>
            </w:r>
            <w:r>
              <w:rPr>
                <w:noProof/>
                <w:webHidden/>
              </w:rPr>
              <w:fldChar w:fldCharType="begin"/>
            </w:r>
            <w:r>
              <w:rPr>
                <w:noProof/>
                <w:webHidden/>
              </w:rPr>
              <w:instrText xml:space="preserve"> PAGEREF _Toc165124374 \h </w:instrText>
            </w:r>
            <w:r>
              <w:rPr>
                <w:noProof/>
                <w:webHidden/>
              </w:rPr>
            </w:r>
            <w:r>
              <w:rPr>
                <w:noProof/>
                <w:webHidden/>
              </w:rPr>
              <w:fldChar w:fldCharType="separate"/>
            </w:r>
            <w:r>
              <w:rPr>
                <w:noProof/>
                <w:webHidden/>
              </w:rPr>
              <w:t>7</w:t>
            </w:r>
            <w:r>
              <w:rPr>
                <w:noProof/>
                <w:webHidden/>
              </w:rPr>
              <w:fldChar w:fldCharType="end"/>
            </w:r>
          </w:hyperlink>
        </w:p>
        <w:p w14:paraId="1AB68412" w14:textId="5CC7636A"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5" w:history="1">
            <w:r w:rsidRPr="00551FAB">
              <w:rPr>
                <w:rStyle w:val="Hyperlink"/>
                <w:rFonts w:ascii="Arial" w:hAnsi="Arial" w:cs="Arial"/>
                <w:b/>
                <w:bCs/>
                <w:noProof/>
              </w:rPr>
              <w:t>Supply Chain Management Improvements</w:t>
            </w:r>
            <w:r>
              <w:rPr>
                <w:noProof/>
                <w:webHidden/>
              </w:rPr>
              <w:tab/>
            </w:r>
            <w:r>
              <w:rPr>
                <w:noProof/>
                <w:webHidden/>
              </w:rPr>
              <w:fldChar w:fldCharType="begin"/>
            </w:r>
            <w:r>
              <w:rPr>
                <w:noProof/>
                <w:webHidden/>
              </w:rPr>
              <w:instrText xml:space="preserve"> PAGEREF _Toc165124375 \h </w:instrText>
            </w:r>
            <w:r>
              <w:rPr>
                <w:noProof/>
                <w:webHidden/>
              </w:rPr>
            </w:r>
            <w:r>
              <w:rPr>
                <w:noProof/>
                <w:webHidden/>
              </w:rPr>
              <w:fldChar w:fldCharType="separate"/>
            </w:r>
            <w:r>
              <w:rPr>
                <w:noProof/>
                <w:webHidden/>
              </w:rPr>
              <w:t>8</w:t>
            </w:r>
            <w:r>
              <w:rPr>
                <w:noProof/>
                <w:webHidden/>
              </w:rPr>
              <w:fldChar w:fldCharType="end"/>
            </w:r>
          </w:hyperlink>
        </w:p>
        <w:p w14:paraId="66F554EB" w14:textId="22722ADE"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6" w:history="1">
            <w:r w:rsidRPr="00551FAB">
              <w:rPr>
                <w:rStyle w:val="Hyperlink"/>
                <w:rFonts w:ascii="Arial" w:hAnsi="Arial" w:cs="Arial"/>
                <w:b/>
                <w:bCs/>
                <w:noProof/>
              </w:rPr>
              <w:t>Communication and Engagement</w:t>
            </w:r>
            <w:r>
              <w:rPr>
                <w:noProof/>
                <w:webHidden/>
              </w:rPr>
              <w:tab/>
            </w:r>
            <w:r>
              <w:rPr>
                <w:noProof/>
                <w:webHidden/>
              </w:rPr>
              <w:fldChar w:fldCharType="begin"/>
            </w:r>
            <w:r>
              <w:rPr>
                <w:noProof/>
                <w:webHidden/>
              </w:rPr>
              <w:instrText xml:space="preserve"> PAGEREF _Toc165124376 \h </w:instrText>
            </w:r>
            <w:r>
              <w:rPr>
                <w:noProof/>
                <w:webHidden/>
              </w:rPr>
            </w:r>
            <w:r>
              <w:rPr>
                <w:noProof/>
                <w:webHidden/>
              </w:rPr>
              <w:fldChar w:fldCharType="separate"/>
            </w:r>
            <w:r>
              <w:rPr>
                <w:noProof/>
                <w:webHidden/>
              </w:rPr>
              <w:t>8</w:t>
            </w:r>
            <w:r>
              <w:rPr>
                <w:noProof/>
                <w:webHidden/>
              </w:rPr>
              <w:fldChar w:fldCharType="end"/>
            </w:r>
          </w:hyperlink>
        </w:p>
        <w:p w14:paraId="6CC7A5EB" w14:textId="7B644AD3"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77" w:history="1">
            <w:r w:rsidRPr="00551FAB">
              <w:rPr>
                <w:rStyle w:val="Hyperlink"/>
                <w:rFonts w:ascii="Arial" w:hAnsi="Arial" w:cs="Arial"/>
                <w:b/>
                <w:bCs/>
                <w:noProof/>
              </w:rPr>
              <w:t>Answer 2(a)</w:t>
            </w:r>
            <w:r>
              <w:rPr>
                <w:noProof/>
                <w:webHidden/>
              </w:rPr>
              <w:tab/>
            </w:r>
            <w:r>
              <w:rPr>
                <w:noProof/>
                <w:webHidden/>
              </w:rPr>
              <w:fldChar w:fldCharType="begin"/>
            </w:r>
            <w:r>
              <w:rPr>
                <w:noProof/>
                <w:webHidden/>
              </w:rPr>
              <w:instrText xml:space="preserve"> PAGEREF _Toc165124377 \h </w:instrText>
            </w:r>
            <w:r>
              <w:rPr>
                <w:noProof/>
                <w:webHidden/>
              </w:rPr>
            </w:r>
            <w:r>
              <w:rPr>
                <w:noProof/>
                <w:webHidden/>
              </w:rPr>
              <w:fldChar w:fldCharType="separate"/>
            </w:r>
            <w:r>
              <w:rPr>
                <w:noProof/>
                <w:webHidden/>
              </w:rPr>
              <w:t>9</w:t>
            </w:r>
            <w:r>
              <w:rPr>
                <w:noProof/>
                <w:webHidden/>
              </w:rPr>
              <w:fldChar w:fldCharType="end"/>
            </w:r>
          </w:hyperlink>
        </w:p>
        <w:p w14:paraId="42350D73" w14:textId="3A76B77B"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8" w:history="1">
            <w:r w:rsidRPr="00551FAB">
              <w:rPr>
                <w:rStyle w:val="Hyperlink"/>
                <w:rFonts w:ascii="Arial" w:hAnsi="Arial" w:cs="Arial"/>
                <w:b/>
                <w:bCs/>
                <w:noProof/>
              </w:rPr>
              <w:t>Pricing Strategies</w:t>
            </w:r>
            <w:r>
              <w:rPr>
                <w:noProof/>
                <w:webHidden/>
              </w:rPr>
              <w:tab/>
            </w:r>
            <w:r>
              <w:rPr>
                <w:noProof/>
                <w:webHidden/>
              </w:rPr>
              <w:fldChar w:fldCharType="begin"/>
            </w:r>
            <w:r>
              <w:rPr>
                <w:noProof/>
                <w:webHidden/>
              </w:rPr>
              <w:instrText xml:space="preserve"> PAGEREF _Toc165124378 \h </w:instrText>
            </w:r>
            <w:r>
              <w:rPr>
                <w:noProof/>
                <w:webHidden/>
              </w:rPr>
            </w:r>
            <w:r>
              <w:rPr>
                <w:noProof/>
                <w:webHidden/>
              </w:rPr>
              <w:fldChar w:fldCharType="separate"/>
            </w:r>
            <w:r>
              <w:rPr>
                <w:noProof/>
                <w:webHidden/>
              </w:rPr>
              <w:t>9</w:t>
            </w:r>
            <w:r>
              <w:rPr>
                <w:noProof/>
                <w:webHidden/>
              </w:rPr>
              <w:fldChar w:fldCharType="end"/>
            </w:r>
          </w:hyperlink>
        </w:p>
        <w:p w14:paraId="0851CFF8" w14:textId="2F146223"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79" w:history="1">
            <w:r w:rsidRPr="00551FAB">
              <w:rPr>
                <w:rStyle w:val="Hyperlink"/>
                <w:rFonts w:ascii="Arial" w:hAnsi="Arial" w:cs="Arial"/>
                <w:b/>
                <w:bCs/>
                <w:noProof/>
              </w:rPr>
              <w:t>Business Productivity and Expansion</w:t>
            </w:r>
            <w:r>
              <w:rPr>
                <w:noProof/>
                <w:webHidden/>
              </w:rPr>
              <w:tab/>
            </w:r>
            <w:r>
              <w:rPr>
                <w:noProof/>
                <w:webHidden/>
              </w:rPr>
              <w:fldChar w:fldCharType="begin"/>
            </w:r>
            <w:r>
              <w:rPr>
                <w:noProof/>
                <w:webHidden/>
              </w:rPr>
              <w:instrText xml:space="preserve"> PAGEREF _Toc165124379 \h </w:instrText>
            </w:r>
            <w:r>
              <w:rPr>
                <w:noProof/>
                <w:webHidden/>
              </w:rPr>
            </w:r>
            <w:r>
              <w:rPr>
                <w:noProof/>
                <w:webHidden/>
              </w:rPr>
              <w:fldChar w:fldCharType="separate"/>
            </w:r>
            <w:r>
              <w:rPr>
                <w:noProof/>
                <w:webHidden/>
              </w:rPr>
              <w:t>10</w:t>
            </w:r>
            <w:r>
              <w:rPr>
                <w:noProof/>
                <w:webHidden/>
              </w:rPr>
              <w:fldChar w:fldCharType="end"/>
            </w:r>
          </w:hyperlink>
        </w:p>
        <w:p w14:paraId="45A412BE" w14:textId="416C0596" w:rsidR="00201FFE" w:rsidRDefault="00201FFE">
          <w:pPr>
            <w:pStyle w:val="TOC2"/>
            <w:tabs>
              <w:tab w:val="right" w:leader="dot" w:pos="9350"/>
            </w:tabs>
            <w:rPr>
              <w:rFonts w:eastAsiaTheme="minorEastAsia"/>
              <w:noProof/>
              <w:kern w:val="2"/>
              <w:sz w:val="24"/>
              <w:szCs w:val="24"/>
              <w:lang w:val="en-GB" w:eastAsia="en-GB"/>
              <w14:ligatures w14:val="standardContextual"/>
            </w:rPr>
          </w:pPr>
          <w:hyperlink w:anchor="_Toc165124380" w:history="1">
            <w:r w:rsidRPr="00551FAB">
              <w:rPr>
                <w:rStyle w:val="Hyperlink"/>
                <w:rFonts w:ascii="Arial" w:hAnsi="Arial" w:cs="Arial"/>
                <w:b/>
                <w:bCs/>
                <w:noProof/>
              </w:rPr>
              <w:t>Marketing and Investment Strategies</w:t>
            </w:r>
            <w:r>
              <w:rPr>
                <w:noProof/>
                <w:webHidden/>
              </w:rPr>
              <w:tab/>
            </w:r>
            <w:r>
              <w:rPr>
                <w:noProof/>
                <w:webHidden/>
              </w:rPr>
              <w:fldChar w:fldCharType="begin"/>
            </w:r>
            <w:r>
              <w:rPr>
                <w:noProof/>
                <w:webHidden/>
              </w:rPr>
              <w:instrText xml:space="preserve"> PAGEREF _Toc165124380 \h </w:instrText>
            </w:r>
            <w:r>
              <w:rPr>
                <w:noProof/>
                <w:webHidden/>
              </w:rPr>
            </w:r>
            <w:r>
              <w:rPr>
                <w:noProof/>
                <w:webHidden/>
              </w:rPr>
              <w:fldChar w:fldCharType="separate"/>
            </w:r>
            <w:r>
              <w:rPr>
                <w:noProof/>
                <w:webHidden/>
              </w:rPr>
              <w:t>10</w:t>
            </w:r>
            <w:r>
              <w:rPr>
                <w:noProof/>
                <w:webHidden/>
              </w:rPr>
              <w:fldChar w:fldCharType="end"/>
            </w:r>
          </w:hyperlink>
        </w:p>
        <w:p w14:paraId="426FDEF6" w14:textId="0D7504BA"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81" w:history="1">
            <w:r w:rsidRPr="00551FAB">
              <w:rPr>
                <w:rStyle w:val="Hyperlink"/>
                <w:rFonts w:ascii="Arial" w:hAnsi="Arial" w:cs="Arial"/>
                <w:b/>
                <w:bCs/>
                <w:noProof/>
              </w:rPr>
              <w:t>Answer 2(b)</w:t>
            </w:r>
            <w:r>
              <w:rPr>
                <w:noProof/>
                <w:webHidden/>
              </w:rPr>
              <w:tab/>
            </w:r>
            <w:r>
              <w:rPr>
                <w:noProof/>
                <w:webHidden/>
              </w:rPr>
              <w:fldChar w:fldCharType="begin"/>
            </w:r>
            <w:r>
              <w:rPr>
                <w:noProof/>
                <w:webHidden/>
              </w:rPr>
              <w:instrText xml:space="preserve"> PAGEREF _Toc165124381 \h </w:instrText>
            </w:r>
            <w:r>
              <w:rPr>
                <w:noProof/>
                <w:webHidden/>
              </w:rPr>
            </w:r>
            <w:r>
              <w:rPr>
                <w:noProof/>
                <w:webHidden/>
              </w:rPr>
              <w:fldChar w:fldCharType="separate"/>
            </w:r>
            <w:r>
              <w:rPr>
                <w:noProof/>
                <w:webHidden/>
              </w:rPr>
              <w:t>11</w:t>
            </w:r>
            <w:r>
              <w:rPr>
                <w:noProof/>
                <w:webHidden/>
              </w:rPr>
              <w:fldChar w:fldCharType="end"/>
            </w:r>
          </w:hyperlink>
        </w:p>
        <w:p w14:paraId="58C95856" w14:textId="7115D626"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82" w:history="1">
            <w:r w:rsidRPr="00551FAB">
              <w:rPr>
                <w:rStyle w:val="Hyperlink"/>
                <w:rFonts w:ascii="Arial" w:hAnsi="Arial" w:cs="Arial"/>
                <w:b/>
                <w:bCs/>
                <w:noProof/>
              </w:rPr>
              <w:t>Answer 2(c)</w:t>
            </w:r>
            <w:r>
              <w:rPr>
                <w:noProof/>
                <w:webHidden/>
              </w:rPr>
              <w:tab/>
            </w:r>
            <w:r>
              <w:rPr>
                <w:noProof/>
                <w:webHidden/>
              </w:rPr>
              <w:fldChar w:fldCharType="begin"/>
            </w:r>
            <w:r>
              <w:rPr>
                <w:noProof/>
                <w:webHidden/>
              </w:rPr>
              <w:instrText xml:space="preserve"> PAGEREF _Toc165124382 \h </w:instrText>
            </w:r>
            <w:r>
              <w:rPr>
                <w:noProof/>
                <w:webHidden/>
              </w:rPr>
            </w:r>
            <w:r>
              <w:rPr>
                <w:noProof/>
                <w:webHidden/>
              </w:rPr>
              <w:fldChar w:fldCharType="separate"/>
            </w:r>
            <w:r>
              <w:rPr>
                <w:noProof/>
                <w:webHidden/>
              </w:rPr>
              <w:t>12</w:t>
            </w:r>
            <w:r>
              <w:rPr>
                <w:noProof/>
                <w:webHidden/>
              </w:rPr>
              <w:fldChar w:fldCharType="end"/>
            </w:r>
          </w:hyperlink>
        </w:p>
        <w:p w14:paraId="3F4EB455" w14:textId="46677C83"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83" w:history="1">
            <w:r w:rsidRPr="00551FA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_Toc165124383 \h </w:instrText>
            </w:r>
            <w:r>
              <w:rPr>
                <w:noProof/>
                <w:webHidden/>
              </w:rPr>
            </w:r>
            <w:r>
              <w:rPr>
                <w:noProof/>
                <w:webHidden/>
              </w:rPr>
              <w:fldChar w:fldCharType="separate"/>
            </w:r>
            <w:r>
              <w:rPr>
                <w:noProof/>
                <w:webHidden/>
              </w:rPr>
              <w:t>15</w:t>
            </w:r>
            <w:r>
              <w:rPr>
                <w:noProof/>
                <w:webHidden/>
              </w:rPr>
              <w:fldChar w:fldCharType="end"/>
            </w:r>
          </w:hyperlink>
        </w:p>
        <w:p w14:paraId="4968F998" w14:textId="7C59BD36" w:rsidR="00201FFE" w:rsidRDefault="00201FFE">
          <w:pPr>
            <w:pStyle w:val="TOC1"/>
            <w:tabs>
              <w:tab w:val="right" w:leader="dot" w:pos="9350"/>
            </w:tabs>
            <w:rPr>
              <w:rFonts w:eastAsiaTheme="minorEastAsia"/>
              <w:noProof/>
              <w:kern w:val="2"/>
              <w:sz w:val="24"/>
              <w:szCs w:val="24"/>
              <w:lang w:val="en-GB" w:eastAsia="en-GB"/>
              <w14:ligatures w14:val="standardContextual"/>
            </w:rPr>
          </w:pPr>
          <w:hyperlink w:anchor="_Toc165124384" w:history="1">
            <w:r w:rsidRPr="00551FA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_Toc165124384 \h </w:instrText>
            </w:r>
            <w:r>
              <w:rPr>
                <w:noProof/>
                <w:webHidden/>
              </w:rPr>
            </w:r>
            <w:r>
              <w:rPr>
                <w:noProof/>
                <w:webHidden/>
              </w:rPr>
              <w:fldChar w:fldCharType="separate"/>
            </w:r>
            <w:r>
              <w:rPr>
                <w:noProof/>
                <w:webHidden/>
              </w:rPr>
              <w:t>16</w:t>
            </w:r>
            <w:r>
              <w:rPr>
                <w:noProof/>
                <w:webHidden/>
              </w:rPr>
              <w:fldChar w:fldCharType="end"/>
            </w:r>
          </w:hyperlink>
        </w:p>
        <w:p w14:paraId="34D5A847" w14:textId="5B3C1874" w:rsidR="003F7A62" w:rsidRPr="003F7A62" w:rsidRDefault="003F7A62" w:rsidP="003F7A62">
          <w:pPr>
            <w:spacing w:line="360" w:lineRule="auto"/>
          </w:pPr>
          <w:r w:rsidRPr="00201FFE">
            <w:rPr>
              <w:rFonts w:ascii="Arial" w:hAnsi="Arial" w:cs="Arial"/>
              <w:noProof/>
              <w:sz w:val="24"/>
              <w:szCs w:val="24"/>
            </w:rPr>
            <w:fldChar w:fldCharType="end"/>
          </w:r>
        </w:p>
      </w:sdtContent>
    </w:sdt>
    <w:p w14:paraId="71BAF66E" w14:textId="77777777" w:rsidR="000418BB" w:rsidRPr="003F7A62" w:rsidRDefault="000418BB" w:rsidP="003F7A62">
      <w:pPr>
        <w:spacing w:line="360" w:lineRule="auto"/>
        <w:rPr>
          <w:rFonts w:ascii="Times New Roman" w:hAnsi="Times New Roman" w:cs="Times New Roman"/>
          <w:b/>
          <w:bCs/>
          <w:sz w:val="24"/>
          <w:szCs w:val="24"/>
        </w:rPr>
      </w:pPr>
      <w:r w:rsidRPr="003F7A62">
        <w:rPr>
          <w:rFonts w:ascii="Times New Roman" w:hAnsi="Times New Roman" w:cs="Times New Roman"/>
          <w:b/>
          <w:bCs/>
          <w:sz w:val="24"/>
          <w:szCs w:val="24"/>
        </w:rPr>
        <w:br w:type="page"/>
      </w:r>
    </w:p>
    <w:p w14:paraId="187785D9" w14:textId="6D730CB2" w:rsidR="000418BB" w:rsidRPr="00201FFE" w:rsidRDefault="000418BB" w:rsidP="00201FFE">
      <w:pPr>
        <w:pStyle w:val="Heading1"/>
        <w:spacing w:line="360" w:lineRule="auto"/>
        <w:rPr>
          <w:rFonts w:ascii="Arial" w:hAnsi="Arial" w:cs="Arial"/>
          <w:b/>
          <w:bCs/>
          <w:color w:val="auto"/>
          <w:sz w:val="24"/>
          <w:szCs w:val="24"/>
        </w:rPr>
      </w:pPr>
      <w:bookmarkStart w:id="0" w:name="_Toc165124365"/>
      <w:r w:rsidRPr="00201FFE">
        <w:rPr>
          <w:rFonts w:ascii="Arial" w:hAnsi="Arial" w:cs="Arial"/>
          <w:b/>
          <w:bCs/>
          <w:color w:val="auto"/>
          <w:sz w:val="24"/>
          <w:szCs w:val="24"/>
        </w:rPr>
        <w:lastRenderedPageBreak/>
        <w:t>Introduction</w:t>
      </w:r>
      <w:bookmarkEnd w:id="0"/>
    </w:p>
    <w:p w14:paraId="68875927" w14:textId="1FEC1866" w:rsidR="000418BB" w:rsidRPr="00201FFE" w:rsidRDefault="000418BB" w:rsidP="00201FFE">
      <w:pPr>
        <w:spacing w:after="240" w:line="360" w:lineRule="auto"/>
        <w:jc w:val="both"/>
        <w:rPr>
          <w:rFonts w:ascii="Arial" w:eastAsia="Times New Roman" w:hAnsi="Arial" w:cs="Arial"/>
          <w:sz w:val="24"/>
          <w:szCs w:val="24"/>
        </w:rPr>
      </w:pPr>
      <w:r w:rsidRPr="00201FFE">
        <w:rPr>
          <w:rFonts w:ascii="Arial" w:eastAsia="Times New Roman" w:hAnsi="Arial" w:cs="Arial"/>
          <w:sz w:val="24"/>
          <w:szCs w:val="24"/>
        </w:rPr>
        <w:t xml:space="preserve">International business has changed because of Covid-19. This paper examines how supply and demand have affected worldwide markets, including the UK. Poor supply chains and shifting demand afflict </w:t>
      </w:r>
      <w:r w:rsidR="00924AB7" w:rsidRPr="00201FFE">
        <w:rPr>
          <w:rFonts w:ascii="Arial" w:eastAsia="Times New Roman" w:hAnsi="Arial" w:cs="Arial"/>
          <w:sz w:val="24"/>
          <w:szCs w:val="24"/>
        </w:rPr>
        <w:t>industrialized</w:t>
      </w:r>
      <w:r w:rsidRPr="00201FFE">
        <w:rPr>
          <w:rFonts w:ascii="Arial" w:eastAsia="Times New Roman" w:hAnsi="Arial" w:cs="Arial"/>
          <w:sz w:val="24"/>
          <w:szCs w:val="24"/>
        </w:rPr>
        <w:t xml:space="preserve"> economies. Here, </w:t>
      </w:r>
      <w:r w:rsidR="00924AB7" w:rsidRPr="00201FFE">
        <w:rPr>
          <w:rFonts w:ascii="Arial" w:eastAsia="Times New Roman" w:hAnsi="Arial" w:cs="Arial"/>
          <w:sz w:val="24"/>
          <w:szCs w:val="24"/>
        </w:rPr>
        <w:t>the author</w:t>
      </w:r>
      <w:r w:rsidRPr="00201FFE">
        <w:rPr>
          <w:rFonts w:ascii="Arial" w:eastAsia="Times New Roman" w:hAnsi="Arial" w:cs="Arial"/>
          <w:sz w:val="24"/>
          <w:szCs w:val="24"/>
        </w:rPr>
        <w:t xml:space="preserve"> cover</w:t>
      </w:r>
      <w:r w:rsidR="00924AB7" w:rsidRPr="00201FFE">
        <w:rPr>
          <w:rFonts w:ascii="Arial" w:eastAsia="Times New Roman" w:hAnsi="Arial" w:cs="Arial"/>
          <w:sz w:val="24"/>
          <w:szCs w:val="24"/>
        </w:rPr>
        <w:t>s</w:t>
      </w:r>
      <w:r w:rsidRPr="00201FFE">
        <w:rPr>
          <w:rFonts w:ascii="Arial" w:eastAsia="Times New Roman" w:hAnsi="Arial" w:cs="Arial"/>
          <w:sz w:val="24"/>
          <w:szCs w:val="24"/>
        </w:rPr>
        <w:t xml:space="preserve"> sector-specific demand elasticity, supply, and demand, and how disruptions affect business strategy. This </w:t>
      </w:r>
      <w:r w:rsidR="00924AB7" w:rsidRPr="00201FFE">
        <w:rPr>
          <w:rFonts w:ascii="Arial" w:eastAsia="Times New Roman" w:hAnsi="Arial" w:cs="Arial"/>
          <w:sz w:val="24"/>
          <w:szCs w:val="24"/>
        </w:rPr>
        <w:t>report</w:t>
      </w:r>
      <w:r w:rsidRPr="00201FFE">
        <w:rPr>
          <w:rFonts w:ascii="Arial" w:eastAsia="Times New Roman" w:hAnsi="Arial" w:cs="Arial"/>
          <w:sz w:val="24"/>
          <w:szCs w:val="24"/>
        </w:rPr>
        <w:t xml:space="preserve"> uses case-specific insights and theoretical frameworks to explain how businesses and governments may build resilient futures despite economic uncertainty. </w:t>
      </w:r>
    </w:p>
    <w:p w14:paraId="09F0ED2B" w14:textId="17A67947" w:rsidR="000418BB" w:rsidRPr="00201FFE" w:rsidRDefault="000418BB" w:rsidP="00201FFE">
      <w:pPr>
        <w:spacing w:after="240" w:line="360" w:lineRule="auto"/>
        <w:jc w:val="both"/>
        <w:rPr>
          <w:rFonts w:ascii="Arial" w:eastAsia="Times New Roman" w:hAnsi="Arial" w:cs="Arial"/>
          <w:sz w:val="24"/>
          <w:szCs w:val="24"/>
        </w:rPr>
      </w:pPr>
      <w:r w:rsidRPr="00201FFE">
        <w:rPr>
          <w:rFonts w:ascii="Arial" w:eastAsia="Times New Roman" w:hAnsi="Arial" w:cs="Arial"/>
          <w:sz w:val="24"/>
          <w:szCs w:val="24"/>
        </w:rPr>
        <w:br/>
      </w:r>
    </w:p>
    <w:p w14:paraId="0E482B58" w14:textId="75C4C2F1" w:rsidR="000418BB" w:rsidRPr="00201FFE" w:rsidRDefault="000418BB" w:rsidP="00201FFE">
      <w:pPr>
        <w:spacing w:line="360" w:lineRule="auto"/>
        <w:jc w:val="both"/>
        <w:rPr>
          <w:rFonts w:ascii="Arial" w:hAnsi="Arial" w:cs="Arial"/>
          <w:b/>
          <w:bCs/>
          <w:sz w:val="24"/>
          <w:szCs w:val="24"/>
        </w:rPr>
      </w:pPr>
      <w:r w:rsidRPr="00201FFE">
        <w:rPr>
          <w:rFonts w:ascii="Arial" w:hAnsi="Arial" w:cs="Arial"/>
          <w:b/>
          <w:bCs/>
          <w:sz w:val="24"/>
          <w:szCs w:val="24"/>
        </w:rPr>
        <w:br w:type="page"/>
      </w:r>
    </w:p>
    <w:p w14:paraId="0157E914" w14:textId="691CBB3E" w:rsidR="00454749" w:rsidRPr="00201FFE" w:rsidRDefault="00922A96" w:rsidP="00201FFE">
      <w:pPr>
        <w:pStyle w:val="Heading1"/>
        <w:spacing w:line="360" w:lineRule="auto"/>
        <w:rPr>
          <w:rFonts w:ascii="Arial" w:hAnsi="Arial" w:cs="Arial"/>
          <w:b/>
          <w:bCs/>
          <w:color w:val="auto"/>
          <w:sz w:val="24"/>
          <w:szCs w:val="24"/>
        </w:rPr>
      </w:pPr>
      <w:bookmarkStart w:id="1" w:name="_Toc165124366"/>
      <w:r w:rsidRPr="00201FFE">
        <w:rPr>
          <w:rFonts w:ascii="Arial" w:hAnsi="Arial" w:cs="Arial"/>
          <w:b/>
          <w:bCs/>
          <w:color w:val="auto"/>
          <w:sz w:val="24"/>
          <w:szCs w:val="24"/>
        </w:rPr>
        <w:lastRenderedPageBreak/>
        <w:t>Answer 1(a)</w:t>
      </w:r>
      <w:bookmarkEnd w:id="1"/>
    </w:p>
    <w:p w14:paraId="528179CF" w14:textId="1390AED5" w:rsidR="00922A96" w:rsidRPr="00201FFE" w:rsidRDefault="00922A96" w:rsidP="00201FFE">
      <w:pPr>
        <w:pStyle w:val="Heading2"/>
        <w:spacing w:line="360" w:lineRule="auto"/>
        <w:rPr>
          <w:rFonts w:ascii="Arial" w:hAnsi="Arial" w:cs="Arial"/>
          <w:b/>
          <w:bCs/>
          <w:color w:val="auto"/>
          <w:sz w:val="24"/>
          <w:szCs w:val="24"/>
        </w:rPr>
      </w:pPr>
      <w:bookmarkStart w:id="2" w:name="_Toc165124367"/>
      <w:r w:rsidRPr="00201FFE">
        <w:rPr>
          <w:rFonts w:ascii="Arial" w:hAnsi="Arial" w:cs="Arial"/>
          <w:b/>
          <w:bCs/>
          <w:color w:val="auto"/>
          <w:sz w:val="24"/>
          <w:szCs w:val="24"/>
        </w:rPr>
        <w:t>Covid-19 Rules of Doing Business</w:t>
      </w:r>
      <w:bookmarkEnd w:id="2"/>
    </w:p>
    <w:p w14:paraId="638A694B" w14:textId="32170577" w:rsidR="00922A96" w:rsidRPr="00201FFE" w:rsidRDefault="00922A96" w:rsidP="00201FFE">
      <w:pPr>
        <w:spacing w:line="360" w:lineRule="auto"/>
        <w:jc w:val="both"/>
        <w:rPr>
          <w:rFonts w:ascii="Arial" w:hAnsi="Arial" w:cs="Arial"/>
          <w:sz w:val="24"/>
          <w:szCs w:val="24"/>
        </w:rPr>
      </w:pPr>
      <w:r w:rsidRPr="00201FFE">
        <w:rPr>
          <w:rFonts w:ascii="Arial" w:hAnsi="Arial" w:cs="Arial"/>
          <w:sz w:val="24"/>
          <w:szCs w:val="24"/>
        </w:rPr>
        <w:t>Covid-19 made firms, especially in wealthy countries like the UK, rethink their operations. To comply with virus-treatment public health standards, companies quickly introduced remote work. The rapid shift requires companies to create sophisticated digital platforms for collaboration and communication and new digital transaction capabilities to satisfy online consumer growth. Companies moved customer connections, transactions, and internal administration online due to less in-person encounters</w:t>
      </w:r>
      <w:r w:rsidR="00924AB7" w:rsidRPr="00201FFE">
        <w:rPr>
          <w:rFonts w:ascii="Arial" w:hAnsi="Arial" w:cs="Arial"/>
          <w:sz w:val="24"/>
          <w:szCs w:val="24"/>
        </w:rPr>
        <w:t xml:space="preserve"> (Lin et al., 2021)</w:t>
      </w:r>
      <w:r w:rsidRPr="00201FFE">
        <w:rPr>
          <w:rFonts w:ascii="Arial" w:hAnsi="Arial" w:cs="Arial"/>
          <w:sz w:val="24"/>
          <w:szCs w:val="24"/>
        </w:rPr>
        <w:t>. It supported enterprises through closures and social isolation. Safety, hygiene, social distance, and PPE logistics matter. Despite the workplace damage, several workers returned after the limitations were relaxed. Remote labour and strong digital transactional skills demonstrate a growing reliance on technology that increases company profitability beyond convenience. In an increasingly unstable virtual world, digital infrastructure and cybersecurity legislation require money to secure sensitive data and preserve operational consistency</w:t>
      </w:r>
      <w:r w:rsidR="00924AB7" w:rsidRPr="00201FFE">
        <w:rPr>
          <w:rFonts w:ascii="Arial" w:hAnsi="Arial" w:cs="Arial"/>
          <w:sz w:val="24"/>
          <w:szCs w:val="24"/>
        </w:rPr>
        <w:t xml:space="preserve"> (Aigner-Walder, 2015)</w:t>
      </w:r>
      <w:r w:rsidRPr="00201FFE">
        <w:rPr>
          <w:rFonts w:ascii="Arial" w:hAnsi="Arial" w:cs="Arial"/>
          <w:sz w:val="24"/>
          <w:szCs w:val="24"/>
        </w:rPr>
        <w:t xml:space="preserve">. Many UK companies must boost their digital skills shortly to survive Brexit and the epidemic. Consumers pick digital goods and services due </w:t>
      </w:r>
      <w:proofErr w:type="gramStart"/>
      <w:r w:rsidRPr="00201FFE">
        <w:rPr>
          <w:rFonts w:ascii="Arial" w:hAnsi="Arial" w:cs="Arial"/>
          <w:sz w:val="24"/>
          <w:szCs w:val="24"/>
        </w:rPr>
        <w:t>of</w:t>
      </w:r>
      <w:proofErr w:type="gramEnd"/>
      <w:r w:rsidRPr="00201FFE">
        <w:rPr>
          <w:rFonts w:ascii="Arial" w:hAnsi="Arial" w:cs="Arial"/>
          <w:sz w:val="24"/>
          <w:szCs w:val="24"/>
        </w:rPr>
        <w:t xml:space="preserve"> network dependence. Companies must manage supply chains and stocks to satisfy consumers. Digital technologies and post-pandemic operational flexibility affect firm strategy.</w:t>
      </w:r>
    </w:p>
    <w:p w14:paraId="4FF64FDE" w14:textId="1F6F4500" w:rsidR="00922A96" w:rsidRPr="00201FFE" w:rsidRDefault="00922A96" w:rsidP="00201FFE">
      <w:pPr>
        <w:pStyle w:val="Heading2"/>
        <w:spacing w:line="360" w:lineRule="auto"/>
        <w:rPr>
          <w:rFonts w:ascii="Arial" w:hAnsi="Arial" w:cs="Arial"/>
          <w:b/>
          <w:bCs/>
          <w:color w:val="auto"/>
          <w:sz w:val="24"/>
          <w:szCs w:val="24"/>
        </w:rPr>
      </w:pPr>
      <w:bookmarkStart w:id="3" w:name="_Toc165124368"/>
      <w:r w:rsidRPr="00201FFE">
        <w:rPr>
          <w:rFonts w:ascii="Arial" w:hAnsi="Arial" w:cs="Arial"/>
          <w:b/>
          <w:bCs/>
          <w:color w:val="auto"/>
          <w:sz w:val="24"/>
          <w:szCs w:val="24"/>
        </w:rPr>
        <w:t>Shortages of Demand and Supply</w:t>
      </w:r>
      <w:bookmarkEnd w:id="3"/>
    </w:p>
    <w:p w14:paraId="3762C786" w14:textId="2C5033B8" w:rsidR="00922A96" w:rsidRPr="00201FFE" w:rsidRDefault="00922A96" w:rsidP="00201FFE">
      <w:pPr>
        <w:spacing w:line="360" w:lineRule="auto"/>
        <w:jc w:val="both"/>
        <w:rPr>
          <w:rFonts w:ascii="Arial" w:hAnsi="Arial" w:cs="Arial"/>
          <w:sz w:val="24"/>
          <w:szCs w:val="24"/>
        </w:rPr>
      </w:pPr>
      <w:r w:rsidRPr="00201FFE">
        <w:rPr>
          <w:rFonts w:ascii="Arial" w:hAnsi="Arial" w:cs="Arial"/>
          <w:sz w:val="24"/>
          <w:szCs w:val="24"/>
        </w:rPr>
        <w:t>After COVID-19, UK chauffeur and petrol shortages generated a supply-demand gap. Worries rattled industries</w:t>
      </w:r>
      <w:r w:rsidR="003F7A62" w:rsidRPr="00201FFE">
        <w:rPr>
          <w:rFonts w:ascii="Arial" w:hAnsi="Arial" w:cs="Arial"/>
          <w:sz w:val="24"/>
          <w:szCs w:val="24"/>
        </w:rPr>
        <w:t xml:space="preserve"> and t</w:t>
      </w:r>
      <w:r w:rsidRPr="00201FFE">
        <w:rPr>
          <w:rFonts w:ascii="Arial" w:hAnsi="Arial" w:cs="Arial"/>
          <w:sz w:val="24"/>
          <w:szCs w:val="24"/>
        </w:rPr>
        <w:t>he pandemic shifted consumer goods demand from services to products, straining supply networks already battling with health issues and EU drivers fleeing following Brexit</w:t>
      </w:r>
      <w:r w:rsidR="00924AB7" w:rsidRPr="00201FFE">
        <w:rPr>
          <w:rFonts w:ascii="Arial" w:hAnsi="Arial" w:cs="Arial"/>
          <w:sz w:val="24"/>
          <w:szCs w:val="24"/>
        </w:rPr>
        <w:t xml:space="preserve"> (Andreyeva et al., 2010)</w:t>
      </w:r>
      <w:r w:rsidRPr="00201FFE">
        <w:rPr>
          <w:rFonts w:ascii="Arial" w:hAnsi="Arial" w:cs="Arial"/>
          <w:sz w:val="24"/>
          <w:szCs w:val="24"/>
        </w:rPr>
        <w:t xml:space="preserve">. More EU people leaving hampered logistics and delivery infrastructure, increasing the driver shortage. Brexit and pandemics are to blame. National gasoline shortages were driven by driver shortages. Media reports of fuel shortages sparked panic buying and boosted demand. Forecourt fuel shortages increased as people hurried to fill their automobiles. Many consumer goods and services suffer from supply restrictions. Fuel prices rose due to limited supply and high demand, raising concerns about inflation and economic instability. This incident </w:t>
      </w:r>
      <w:r w:rsidRPr="00201FFE">
        <w:rPr>
          <w:rFonts w:ascii="Arial" w:hAnsi="Arial" w:cs="Arial"/>
          <w:sz w:val="24"/>
          <w:szCs w:val="24"/>
        </w:rPr>
        <w:lastRenderedPageBreak/>
        <w:t>revealed UK logistical infrastructure issues and the need for a more robust supply chain via repeated outages</w:t>
      </w:r>
      <w:r w:rsidR="00924AB7" w:rsidRPr="00201FFE">
        <w:rPr>
          <w:rFonts w:ascii="Arial" w:hAnsi="Arial" w:cs="Arial"/>
          <w:sz w:val="24"/>
          <w:szCs w:val="24"/>
        </w:rPr>
        <w:t xml:space="preserve"> (Bagwell, 2005)</w:t>
      </w:r>
      <w:r w:rsidRPr="00201FFE">
        <w:rPr>
          <w:rFonts w:ascii="Arial" w:hAnsi="Arial" w:cs="Arial"/>
          <w:sz w:val="24"/>
          <w:szCs w:val="24"/>
        </w:rPr>
        <w:t>. Businesses and governments must rethink supply chain strategies. Brexit shows contingency preparation and supplier variety may decrease staff and geopolitical dependency. Companies need strategy and planning in an uncertain economy with variable supply and demand. Market stability, economic recovery, and supply growth are ensured.</w:t>
      </w:r>
    </w:p>
    <w:p w14:paraId="6E265012" w14:textId="406AE9A7" w:rsidR="00922A96" w:rsidRPr="00201FFE" w:rsidRDefault="00DC6114" w:rsidP="00201FFE">
      <w:pPr>
        <w:pStyle w:val="Heading2"/>
        <w:spacing w:line="360" w:lineRule="auto"/>
        <w:rPr>
          <w:rFonts w:ascii="Arial" w:hAnsi="Arial" w:cs="Arial"/>
          <w:b/>
          <w:bCs/>
          <w:color w:val="auto"/>
          <w:sz w:val="24"/>
          <w:szCs w:val="24"/>
        </w:rPr>
      </w:pPr>
      <w:bookmarkStart w:id="4" w:name="_Toc165124369"/>
      <w:r w:rsidRPr="00201FFE">
        <w:rPr>
          <w:rFonts w:ascii="Arial" w:hAnsi="Arial" w:cs="Arial"/>
          <w:b/>
          <w:bCs/>
          <w:color w:val="auto"/>
          <w:sz w:val="24"/>
          <w:szCs w:val="24"/>
        </w:rPr>
        <w:t>Effects of BREXIT</w:t>
      </w:r>
      <w:bookmarkEnd w:id="4"/>
    </w:p>
    <w:p w14:paraId="3884EF52" w14:textId="6C2093FD" w:rsidR="00922A96" w:rsidRPr="00201FFE" w:rsidRDefault="00922A96" w:rsidP="00201FFE">
      <w:pPr>
        <w:spacing w:line="360" w:lineRule="auto"/>
        <w:jc w:val="both"/>
        <w:rPr>
          <w:rFonts w:ascii="Arial" w:hAnsi="Arial" w:cs="Arial"/>
          <w:sz w:val="24"/>
          <w:szCs w:val="24"/>
        </w:rPr>
      </w:pPr>
      <w:r w:rsidRPr="00201FFE">
        <w:rPr>
          <w:rFonts w:ascii="Arial" w:hAnsi="Arial" w:cs="Arial"/>
          <w:sz w:val="24"/>
          <w:szCs w:val="24"/>
        </w:rPr>
        <w:t xml:space="preserve">Brexit's severe commodity and person movement restrictions have hampered UK COVID-19 supply. Brexit disrupted supply networks with border restrictions and customs delays. Post-regulation pandemics disrupted supply chains, generating global health and commerce issues. Driver shortages hit transport and logistics, which rely on EU citizens, after Brexit. Brexit uncertainty about EU workers' status and rights in the UK and stricter immigration restrictions rendered the British </w:t>
      </w:r>
      <w:r w:rsidR="003F7A62" w:rsidRPr="00201FFE">
        <w:rPr>
          <w:rFonts w:ascii="Arial" w:hAnsi="Arial" w:cs="Arial"/>
          <w:sz w:val="24"/>
          <w:szCs w:val="24"/>
        </w:rPr>
        <w:t>labor</w:t>
      </w:r>
      <w:r w:rsidRPr="00201FFE">
        <w:rPr>
          <w:rFonts w:ascii="Arial" w:hAnsi="Arial" w:cs="Arial"/>
          <w:sz w:val="24"/>
          <w:szCs w:val="24"/>
        </w:rPr>
        <w:t xml:space="preserve"> market unappealing, creating the employment gap</w:t>
      </w:r>
      <w:r w:rsidR="00924AB7" w:rsidRPr="00201FFE">
        <w:rPr>
          <w:rFonts w:ascii="Arial" w:hAnsi="Arial" w:cs="Arial"/>
          <w:sz w:val="24"/>
          <w:szCs w:val="24"/>
        </w:rPr>
        <w:t xml:space="preserve"> (Baker, 2003)</w:t>
      </w:r>
      <w:r w:rsidRPr="00201FFE">
        <w:rPr>
          <w:rFonts w:ascii="Arial" w:hAnsi="Arial" w:cs="Arial"/>
          <w:sz w:val="24"/>
          <w:szCs w:val="24"/>
        </w:rPr>
        <w:t xml:space="preserve">. Some sectors failed to satisfy demand due to pandemic-induced consumer </w:t>
      </w:r>
      <w:r w:rsidR="003F7A62" w:rsidRPr="00201FFE">
        <w:rPr>
          <w:rFonts w:ascii="Arial" w:hAnsi="Arial" w:cs="Arial"/>
          <w:sz w:val="24"/>
          <w:szCs w:val="24"/>
        </w:rPr>
        <w:t>behavior</w:t>
      </w:r>
      <w:r w:rsidRPr="00201FFE">
        <w:rPr>
          <w:rFonts w:ascii="Arial" w:hAnsi="Arial" w:cs="Arial"/>
          <w:sz w:val="24"/>
          <w:szCs w:val="24"/>
        </w:rPr>
        <w:t xml:space="preserve"> changes. Pandemic and Brexit altered company culture and supply chains. Changing trade agreements and customs processes clogged ports and raised admin expenses. Financially troubled companies encounter these issues. Companies faced intra-EU tariffs and non-tariff limitations. These issues interrupted supply chains and escalated import/export prices. Just-in-time delivery industries suffered since a few-hour delay might affect production and the economy</w:t>
      </w:r>
      <w:r w:rsidR="00924AB7" w:rsidRPr="00201FFE">
        <w:rPr>
          <w:rFonts w:ascii="Arial" w:hAnsi="Arial" w:cs="Arial"/>
          <w:sz w:val="24"/>
          <w:szCs w:val="24"/>
        </w:rPr>
        <w:t xml:space="preserve"> (Ellickson, 2013)</w:t>
      </w:r>
      <w:r w:rsidRPr="00201FFE">
        <w:rPr>
          <w:rFonts w:ascii="Arial" w:hAnsi="Arial" w:cs="Arial"/>
          <w:sz w:val="24"/>
          <w:szCs w:val="24"/>
        </w:rPr>
        <w:t>. Brexit and the pandemic exposed UK economic and logistical infrastructures, needing supply chain resilience. After Brexit and the pandemic, governments and businesses must balance market forces and regulation to preserve the UK economy.</w:t>
      </w:r>
    </w:p>
    <w:p w14:paraId="5EDDF8A6" w14:textId="1030913A" w:rsidR="00922A96" w:rsidRPr="00201FFE" w:rsidRDefault="00DC6114" w:rsidP="00201FFE">
      <w:pPr>
        <w:pStyle w:val="Heading2"/>
        <w:spacing w:line="360" w:lineRule="auto"/>
        <w:rPr>
          <w:rFonts w:ascii="Arial" w:hAnsi="Arial" w:cs="Arial"/>
          <w:b/>
          <w:bCs/>
          <w:color w:val="auto"/>
          <w:sz w:val="24"/>
          <w:szCs w:val="24"/>
        </w:rPr>
      </w:pPr>
      <w:bookmarkStart w:id="5" w:name="_Toc165124370"/>
      <w:r w:rsidRPr="00201FFE">
        <w:rPr>
          <w:rFonts w:ascii="Arial" w:hAnsi="Arial" w:cs="Arial"/>
          <w:b/>
          <w:bCs/>
          <w:color w:val="auto"/>
          <w:sz w:val="24"/>
          <w:szCs w:val="24"/>
        </w:rPr>
        <w:t>Panic Buying and Scarcity</w:t>
      </w:r>
      <w:bookmarkEnd w:id="5"/>
    </w:p>
    <w:p w14:paraId="0498ECAC" w14:textId="4FB127F8" w:rsidR="00922A96" w:rsidRPr="00201FFE" w:rsidRDefault="00922A96" w:rsidP="00201FFE">
      <w:pPr>
        <w:spacing w:line="360" w:lineRule="auto"/>
        <w:jc w:val="both"/>
        <w:rPr>
          <w:rFonts w:ascii="Arial" w:hAnsi="Arial" w:cs="Arial"/>
          <w:sz w:val="24"/>
          <w:szCs w:val="24"/>
        </w:rPr>
      </w:pPr>
      <w:r w:rsidRPr="00201FFE">
        <w:rPr>
          <w:rFonts w:ascii="Arial" w:hAnsi="Arial" w:cs="Arial"/>
          <w:sz w:val="24"/>
          <w:szCs w:val="24"/>
        </w:rPr>
        <w:t xml:space="preserve">Panic gasoline purchases may disrupt supplies. Fear and shortage result from this mindset. Media coverage of driver shortages, COVID-19, and Brexit heightened customer anxiety about major product shortages, pushing demand. Tank filling lines formed as customers rushed before fuel shortages. Fuel supplies depleted faster than replenishment due to transportation and distribution constraints. </w:t>
      </w:r>
      <w:r w:rsidR="00DC6114" w:rsidRPr="00201FFE">
        <w:rPr>
          <w:rFonts w:ascii="Arial" w:hAnsi="Arial" w:cs="Arial"/>
          <w:sz w:val="24"/>
          <w:szCs w:val="24"/>
        </w:rPr>
        <w:t>The supply</w:t>
      </w:r>
      <w:r w:rsidRPr="00201FFE">
        <w:rPr>
          <w:rFonts w:ascii="Arial" w:hAnsi="Arial" w:cs="Arial"/>
          <w:sz w:val="24"/>
          <w:szCs w:val="24"/>
        </w:rPr>
        <w:t>-demand balance was broken by panic purchasing, creating unsustainable demand</w:t>
      </w:r>
      <w:r w:rsidR="00924AB7" w:rsidRPr="00201FFE">
        <w:rPr>
          <w:rFonts w:ascii="Arial" w:hAnsi="Arial" w:cs="Arial"/>
          <w:sz w:val="24"/>
          <w:szCs w:val="24"/>
        </w:rPr>
        <w:t xml:space="preserve"> (Foot and </w:t>
      </w:r>
      <w:r w:rsidR="00924AB7" w:rsidRPr="00201FFE">
        <w:rPr>
          <w:rFonts w:ascii="Arial" w:hAnsi="Arial" w:cs="Arial"/>
          <w:sz w:val="24"/>
          <w:szCs w:val="24"/>
        </w:rPr>
        <w:lastRenderedPageBreak/>
        <w:t>Gomez, 2006)</w:t>
      </w:r>
      <w:r w:rsidRPr="00201FFE">
        <w:rPr>
          <w:rFonts w:ascii="Arial" w:hAnsi="Arial" w:cs="Arial"/>
          <w:sz w:val="24"/>
          <w:szCs w:val="24"/>
        </w:rPr>
        <w:t xml:space="preserve">. Frequent purchases harm supply chains and consumer trust beyond short-term shortages. Suppliers and merchants must handle crises, increased costs, and logistical challenges during irrational demand surges. Since some markets have abundant resources and others have severe shortages, supply chain managers may have problems </w:t>
      </w:r>
      <w:r w:rsidR="00DC6114" w:rsidRPr="00201FFE">
        <w:rPr>
          <w:rFonts w:ascii="Arial" w:hAnsi="Arial" w:cs="Arial"/>
          <w:sz w:val="24"/>
          <w:szCs w:val="24"/>
        </w:rPr>
        <w:t>optimizing</w:t>
      </w:r>
      <w:r w:rsidRPr="00201FFE">
        <w:rPr>
          <w:rFonts w:ascii="Arial" w:hAnsi="Arial" w:cs="Arial"/>
          <w:sz w:val="24"/>
          <w:szCs w:val="24"/>
        </w:rPr>
        <w:t xml:space="preserve"> resource allocation. </w:t>
      </w:r>
      <w:r w:rsidR="00DC6114" w:rsidRPr="00201FFE">
        <w:rPr>
          <w:rFonts w:ascii="Arial" w:hAnsi="Arial" w:cs="Arial"/>
          <w:sz w:val="24"/>
          <w:szCs w:val="24"/>
        </w:rPr>
        <w:t>The UK</w:t>
      </w:r>
      <w:r w:rsidRPr="00201FFE">
        <w:rPr>
          <w:rFonts w:ascii="Arial" w:hAnsi="Arial" w:cs="Arial"/>
          <w:sz w:val="24"/>
          <w:szCs w:val="24"/>
        </w:rPr>
        <w:t xml:space="preserve"> gasoline craze impacted firms and supply. Transport companies faced fuel shortages</w:t>
      </w:r>
      <w:r w:rsidR="00924AB7" w:rsidRPr="00201FFE">
        <w:rPr>
          <w:rFonts w:ascii="Arial" w:hAnsi="Arial" w:cs="Arial"/>
          <w:sz w:val="24"/>
          <w:szCs w:val="24"/>
        </w:rPr>
        <w:t xml:space="preserve"> (Griffith, 2003)</w:t>
      </w:r>
      <w:r w:rsidRPr="00201FFE">
        <w:rPr>
          <w:rFonts w:ascii="Arial" w:hAnsi="Arial" w:cs="Arial"/>
          <w:sz w:val="24"/>
          <w:szCs w:val="24"/>
        </w:rPr>
        <w:t>. Customer education and contingency planning may calm frantic purchasing. Understanding such behavior's origins and concerns may help companies and authorities avoid supply chain risks and preserve stability amid interruptions.</w:t>
      </w:r>
    </w:p>
    <w:p w14:paraId="79BC3954" w14:textId="164509F9" w:rsidR="00922A96" w:rsidRPr="00201FFE" w:rsidRDefault="00DC6114" w:rsidP="00201FFE">
      <w:pPr>
        <w:pStyle w:val="Heading2"/>
        <w:spacing w:line="360" w:lineRule="auto"/>
        <w:rPr>
          <w:rFonts w:ascii="Arial" w:hAnsi="Arial" w:cs="Arial"/>
          <w:b/>
          <w:bCs/>
          <w:color w:val="auto"/>
          <w:sz w:val="24"/>
          <w:szCs w:val="24"/>
        </w:rPr>
      </w:pPr>
      <w:bookmarkStart w:id="6" w:name="_Toc165124371"/>
      <w:r w:rsidRPr="00201FFE">
        <w:rPr>
          <w:rFonts w:ascii="Arial" w:hAnsi="Arial" w:cs="Arial"/>
          <w:b/>
          <w:bCs/>
          <w:color w:val="auto"/>
          <w:sz w:val="24"/>
          <w:szCs w:val="24"/>
        </w:rPr>
        <w:t>Economic Consequences</w:t>
      </w:r>
      <w:bookmarkEnd w:id="6"/>
    </w:p>
    <w:p w14:paraId="44F04A38" w14:textId="394BC1A4" w:rsidR="00922A96" w:rsidRPr="00201FFE" w:rsidRDefault="00922A96" w:rsidP="00201FFE">
      <w:pPr>
        <w:spacing w:line="360" w:lineRule="auto"/>
        <w:jc w:val="both"/>
        <w:rPr>
          <w:rFonts w:ascii="Arial" w:hAnsi="Arial" w:cs="Arial"/>
          <w:sz w:val="24"/>
          <w:szCs w:val="24"/>
        </w:rPr>
      </w:pPr>
      <w:r w:rsidRPr="00201FFE">
        <w:rPr>
          <w:rFonts w:ascii="Arial" w:hAnsi="Arial" w:cs="Arial"/>
          <w:sz w:val="24"/>
          <w:szCs w:val="24"/>
        </w:rPr>
        <w:t>Pandemics have major economic impacts. These impacts impacted consumers, businesses, and the economy. Fuel prices rose due to shortages and rushing. Petrol prices have escalated transportation-related products and services in various industries. Economic uncertainty boosts living costs. Rising operational expenses force companies to cut or pass on earnings. Businesses and individuals borrowed significantly. All industries have sought financial buffers to offset economic instability, increasing debt and financial disaster risk</w:t>
      </w:r>
      <w:r w:rsidR="00924AB7" w:rsidRPr="00201FFE">
        <w:rPr>
          <w:rFonts w:ascii="Arial" w:hAnsi="Arial" w:cs="Arial"/>
          <w:sz w:val="24"/>
          <w:szCs w:val="24"/>
        </w:rPr>
        <w:t xml:space="preserve"> (Heien and Pompelli, 1989)</w:t>
      </w:r>
      <w:r w:rsidRPr="00201FFE">
        <w:rPr>
          <w:rFonts w:ascii="Arial" w:hAnsi="Arial" w:cs="Arial"/>
          <w:sz w:val="24"/>
          <w:szCs w:val="24"/>
        </w:rPr>
        <w:t>. Rising operational costs, borrowing, and financial problems cause economic instability. The pandemic may cause debt and payback challenges due to massive financial expenditures to manage operational issues and maintain liquidity. High living expenses, economic instability, unemployment, furloughs, and the end of government assistance programmes like furloughs have lowered consumer spending power</w:t>
      </w:r>
      <w:r w:rsidR="00924AB7" w:rsidRPr="00201FFE">
        <w:rPr>
          <w:rFonts w:ascii="Arial" w:hAnsi="Arial" w:cs="Arial"/>
          <w:sz w:val="24"/>
          <w:szCs w:val="24"/>
        </w:rPr>
        <w:t xml:space="preserve"> (Shapiro, 1987)</w:t>
      </w:r>
      <w:r w:rsidRPr="00201FFE">
        <w:rPr>
          <w:rFonts w:ascii="Arial" w:hAnsi="Arial" w:cs="Arial"/>
          <w:sz w:val="24"/>
          <w:szCs w:val="24"/>
        </w:rPr>
        <w:t xml:space="preserve">. Economic recovery reduces demand. SMBs risk bankruptcy because </w:t>
      </w:r>
      <w:r w:rsidR="00DC6114" w:rsidRPr="00201FFE">
        <w:rPr>
          <w:rFonts w:ascii="Arial" w:hAnsi="Arial" w:cs="Arial"/>
          <w:sz w:val="24"/>
          <w:szCs w:val="24"/>
        </w:rPr>
        <w:t>of</w:t>
      </w:r>
      <w:r w:rsidRPr="00201FFE">
        <w:rPr>
          <w:rFonts w:ascii="Arial" w:hAnsi="Arial" w:cs="Arial"/>
          <w:sz w:val="24"/>
          <w:szCs w:val="24"/>
        </w:rPr>
        <w:t xml:space="preserve"> rising expenditures and falling client spending. Insufficient funds may prevent many from working. Our experience suggests that a sustained recovery requires short- and long-term economic resilience, employment, and consumer confidence activities.</w:t>
      </w:r>
    </w:p>
    <w:p w14:paraId="5C5D21ED" w14:textId="685BB50B" w:rsidR="00922A96" w:rsidRPr="00201FFE" w:rsidRDefault="00DC6114" w:rsidP="00201FFE">
      <w:pPr>
        <w:pStyle w:val="Heading1"/>
        <w:spacing w:line="360" w:lineRule="auto"/>
        <w:rPr>
          <w:rFonts w:ascii="Arial" w:hAnsi="Arial" w:cs="Arial"/>
          <w:b/>
          <w:bCs/>
          <w:color w:val="auto"/>
          <w:sz w:val="24"/>
          <w:szCs w:val="24"/>
        </w:rPr>
      </w:pPr>
      <w:bookmarkStart w:id="7" w:name="_Toc165124372"/>
      <w:r w:rsidRPr="00201FFE">
        <w:rPr>
          <w:rFonts w:ascii="Arial" w:hAnsi="Arial" w:cs="Arial"/>
          <w:b/>
          <w:bCs/>
          <w:color w:val="auto"/>
          <w:sz w:val="24"/>
          <w:szCs w:val="24"/>
        </w:rPr>
        <w:lastRenderedPageBreak/>
        <w:t>Answer 1(b)</w:t>
      </w:r>
      <w:bookmarkEnd w:id="7"/>
    </w:p>
    <w:p w14:paraId="6E3394CE" w14:textId="60AC219B" w:rsidR="00DC6114" w:rsidRPr="00201FFE" w:rsidRDefault="00DC6114" w:rsidP="00201FFE">
      <w:pPr>
        <w:pStyle w:val="Heading2"/>
        <w:spacing w:line="360" w:lineRule="auto"/>
        <w:rPr>
          <w:rFonts w:ascii="Arial" w:hAnsi="Arial" w:cs="Arial"/>
          <w:b/>
          <w:bCs/>
          <w:color w:val="auto"/>
          <w:sz w:val="24"/>
          <w:szCs w:val="24"/>
        </w:rPr>
      </w:pPr>
      <w:bookmarkStart w:id="8" w:name="_Toc165124373"/>
      <w:r w:rsidRPr="00201FFE">
        <w:rPr>
          <w:rFonts w:ascii="Arial" w:hAnsi="Arial" w:cs="Arial"/>
          <w:b/>
          <w:bCs/>
          <w:color w:val="auto"/>
          <w:sz w:val="24"/>
          <w:szCs w:val="24"/>
        </w:rPr>
        <w:t>Government Intervention</w:t>
      </w:r>
      <w:bookmarkEnd w:id="8"/>
    </w:p>
    <w:p w14:paraId="7B2DAACE" w14:textId="4F571929" w:rsidR="00DC6114" w:rsidRPr="00201FFE" w:rsidRDefault="00DC6114" w:rsidP="00201FFE">
      <w:pPr>
        <w:spacing w:line="360" w:lineRule="auto"/>
        <w:jc w:val="both"/>
        <w:rPr>
          <w:rFonts w:ascii="Arial" w:hAnsi="Arial" w:cs="Arial"/>
          <w:sz w:val="24"/>
          <w:szCs w:val="24"/>
        </w:rPr>
      </w:pPr>
      <w:r w:rsidRPr="00201FFE">
        <w:rPr>
          <w:rFonts w:ascii="Arial" w:hAnsi="Arial" w:cs="Arial"/>
          <w:sz w:val="24"/>
          <w:szCs w:val="24"/>
        </w:rPr>
        <w:t>Brexit and pandemics may force the government to stabilise supply chains to safeguard businesses and consumers. The turmoil has hit small and medium enterprises hardest, who need tax breaks, incentives, and financing. Finance supports liquidity, supply chain diversification, and resilience. The government may grant temporary transit and logistics subsidies during petrol shortages</w:t>
      </w:r>
      <w:r w:rsidR="00924AB7" w:rsidRPr="00201FFE">
        <w:rPr>
          <w:rFonts w:ascii="Arial" w:hAnsi="Arial" w:cs="Arial"/>
          <w:sz w:val="24"/>
          <w:szCs w:val="24"/>
        </w:rPr>
        <w:t xml:space="preserve"> and</w:t>
      </w:r>
      <w:r w:rsidRPr="00201FFE">
        <w:rPr>
          <w:rFonts w:ascii="Arial" w:hAnsi="Arial" w:cs="Arial"/>
          <w:sz w:val="24"/>
          <w:szCs w:val="24"/>
        </w:rPr>
        <w:t xml:space="preserve"> </w:t>
      </w:r>
      <w:r w:rsidR="00924AB7" w:rsidRPr="00201FFE">
        <w:rPr>
          <w:rFonts w:ascii="Arial" w:hAnsi="Arial" w:cs="Arial"/>
          <w:sz w:val="24"/>
          <w:szCs w:val="24"/>
        </w:rPr>
        <w:t>g</w:t>
      </w:r>
      <w:r w:rsidRPr="00201FFE">
        <w:rPr>
          <w:rFonts w:ascii="Arial" w:hAnsi="Arial" w:cs="Arial"/>
          <w:sz w:val="24"/>
          <w:szCs w:val="24"/>
        </w:rPr>
        <w:t>overnment alters laws</w:t>
      </w:r>
      <w:r w:rsidR="00924AB7" w:rsidRPr="00201FFE">
        <w:rPr>
          <w:rFonts w:ascii="Arial" w:hAnsi="Arial" w:cs="Arial"/>
          <w:sz w:val="24"/>
          <w:szCs w:val="24"/>
        </w:rPr>
        <w:t xml:space="preserve"> (OECD, 2015)</w:t>
      </w:r>
      <w:r w:rsidRPr="00201FFE">
        <w:rPr>
          <w:rFonts w:ascii="Arial" w:hAnsi="Arial" w:cs="Arial"/>
          <w:sz w:val="24"/>
          <w:szCs w:val="24"/>
        </w:rPr>
        <w:t>. After Brexit, streamlining customs, eliminating bureaucracy, and changing trade prohibitions may enhance global trade</w:t>
      </w:r>
      <w:r w:rsidR="003F7A62" w:rsidRPr="00201FFE">
        <w:rPr>
          <w:rFonts w:ascii="Arial" w:hAnsi="Arial" w:cs="Arial"/>
          <w:sz w:val="24"/>
          <w:szCs w:val="24"/>
        </w:rPr>
        <w:t>. It h</w:t>
      </w:r>
      <w:r w:rsidRPr="00201FFE">
        <w:rPr>
          <w:rFonts w:ascii="Arial" w:hAnsi="Arial" w:cs="Arial"/>
          <w:sz w:val="24"/>
          <w:szCs w:val="24"/>
        </w:rPr>
        <w:t xml:space="preserve">elps government supply chain logistics. Global corporations must rethink laws to reflect the economy after Brexit and the pandemic </w:t>
      </w:r>
      <w:r w:rsidR="00924AB7" w:rsidRPr="00201FFE">
        <w:rPr>
          <w:rFonts w:ascii="Arial" w:hAnsi="Arial" w:cs="Arial"/>
          <w:sz w:val="24"/>
          <w:szCs w:val="24"/>
        </w:rPr>
        <w:t>to</w:t>
      </w:r>
      <w:r w:rsidRPr="00201FFE">
        <w:rPr>
          <w:rFonts w:ascii="Arial" w:hAnsi="Arial" w:cs="Arial"/>
          <w:sz w:val="24"/>
          <w:szCs w:val="24"/>
        </w:rPr>
        <w:t xml:space="preserve"> alleviate transportation and agricultural </w:t>
      </w:r>
      <w:r w:rsidR="00924AB7" w:rsidRPr="00201FFE">
        <w:rPr>
          <w:rFonts w:ascii="Arial" w:hAnsi="Arial" w:cs="Arial"/>
          <w:sz w:val="24"/>
          <w:szCs w:val="24"/>
        </w:rPr>
        <w:t>labor</w:t>
      </w:r>
      <w:r w:rsidRPr="00201FFE">
        <w:rPr>
          <w:rFonts w:ascii="Arial" w:hAnsi="Arial" w:cs="Arial"/>
          <w:sz w:val="24"/>
          <w:szCs w:val="24"/>
        </w:rPr>
        <w:t xml:space="preserve"> shortages, assess and perhaps modify immigration regulations. The government may loosen key worker immigration or issue sector-specific permits to </w:t>
      </w:r>
      <w:r w:rsidR="00924AB7" w:rsidRPr="00201FFE">
        <w:rPr>
          <w:rFonts w:ascii="Arial" w:hAnsi="Arial" w:cs="Arial"/>
          <w:sz w:val="24"/>
          <w:szCs w:val="24"/>
        </w:rPr>
        <w:t>minimize</w:t>
      </w:r>
      <w:r w:rsidRPr="00201FFE">
        <w:rPr>
          <w:rFonts w:ascii="Arial" w:hAnsi="Arial" w:cs="Arial"/>
          <w:sz w:val="24"/>
          <w:szCs w:val="24"/>
        </w:rPr>
        <w:t xml:space="preserve"> staff shortages and supply chain problems. This method helps companies manage critical personnel shortages and strengthen the </w:t>
      </w:r>
      <w:r w:rsidR="00924AB7" w:rsidRPr="00201FFE">
        <w:rPr>
          <w:rFonts w:ascii="Arial" w:hAnsi="Arial" w:cs="Arial"/>
          <w:sz w:val="24"/>
          <w:szCs w:val="24"/>
        </w:rPr>
        <w:t>labor</w:t>
      </w:r>
      <w:r w:rsidRPr="00201FFE">
        <w:rPr>
          <w:rFonts w:ascii="Arial" w:hAnsi="Arial" w:cs="Arial"/>
          <w:sz w:val="24"/>
          <w:szCs w:val="24"/>
        </w:rPr>
        <w:t xml:space="preserve"> market during recessions</w:t>
      </w:r>
      <w:r w:rsidR="00924AB7" w:rsidRPr="00201FFE">
        <w:rPr>
          <w:rFonts w:ascii="Arial" w:hAnsi="Arial" w:cs="Arial"/>
          <w:sz w:val="24"/>
          <w:szCs w:val="24"/>
        </w:rPr>
        <w:t xml:space="preserve"> (Osadiya, 2023)</w:t>
      </w:r>
      <w:r w:rsidRPr="00201FFE">
        <w:rPr>
          <w:rFonts w:ascii="Arial" w:hAnsi="Arial" w:cs="Arial"/>
          <w:sz w:val="24"/>
          <w:szCs w:val="24"/>
        </w:rPr>
        <w:t xml:space="preserve">. Government forums and advisory committees may include industry leaders and stakeholders to ensure policy changes meet economic demands. </w:t>
      </w:r>
    </w:p>
    <w:p w14:paraId="21FE9760" w14:textId="61E184EC" w:rsidR="00DC6114" w:rsidRPr="00201FFE" w:rsidRDefault="00DC6114" w:rsidP="00201FFE">
      <w:pPr>
        <w:pStyle w:val="Heading2"/>
        <w:spacing w:line="360" w:lineRule="auto"/>
        <w:rPr>
          <w:rFonts w:ascii="Arial" w:hAnsi="Arial" w:cs="Arial"/>
          <w:b/>
          <w:bCs/>
          <w:color w:val="auto"/>
          <w:sz w:val="24"/>
          <w:szCs w:val="24"/>
        </w:rPr>
      </w:pPr>
      <w:bookmarkStart w:id="9" w:name="_Toc165124374"/>
      <w:r w:rsidRPr="00201FFE">
        <w:rPr>
          <w:rFonts w:ascii="Arial" w:hAnsi="Arial" w:cs="Arial"/>
          <w:b/>
          <w:bCs/>
          <w:color w:val="auto"/>
          <w:sz w:val="24"/>
          <w:szCs w:val="24"/>
        </w:rPr>
        <w:t>Relaxation of Covid-19 Restrictions</w:t>
      </w:r>
      <w:bookmarkEnd w:id="9"/>
    </w:p>
    <w:p w14:paraId="3F01FF23" w14:textId="3313738E" w:rsidR="00DC6114" w:rsidRPr="00201FFE" w:rsidRDefault="00DC6114" w:rsidP="00201FFE">
      <w:pPr>
        <w:spacing w:line="360" w:lineRule="auto"/>
        <w:jc w:val="both"/>
        <w:rPr>
          <w:rFonts w:ascii="Arial" w:hAnsi="Arial" w:cs="Arial"/>
          <w:sz w:val="24"/>
          <w:szCs w:val="24"/>
        </w:rPr>
      </w:pPr>
      <w:r w:rsidRPr="00201FFE">
        <w:rPr>
          <w:rFonts w:ascii="Arial" w:hAnsi="Arial" w:cs="Arial"/>
          <w:sz w:val="24"/>
          <w:szCs w:val="24"/>
        </w:rPr>
        <w:t>Lax pandemic rules may enable firms to recover during economic recovery. When businesses reopen, more customers may enhance revenues and services that dropped during the pandemic. Relaxing these regulations may help rural and jobless individuals find jobs</w:t>
      </w:r>
      <w:r w:rsidR="00924AB7" w:rsidRPr="00201FFE">
        <w:rPr>
          <w:rFonts w:ascii="Arial" w:hAnsi="Arial" w:cs="Arial"/>
          <w:sz w:val="24"/>
          <w:szCs w:val="24"/>
        </w:rPr>
        <w:t xml:space="preserve"> (Lin et al., 2021)</w:t>
      </w:r>
      <w:r w:rsidRPr="00201FFE">
        <w:rPr>
          <w:rFonts w:ascii="Arial" w:hAnsi="Arial" w:cs="Arial"/>
          <w:sz w:val="24"/>
          <w:szCs w:val="24"/>
        </w:rPr>
        <w:t>. Working in person may improve teamwork, but remote work may hinder it. Relaxing travel restrictions would promote hospitality and tourism, which are vital to many local economies and have been disproportionately harmed by domestic and international travel prohibitions. To prevent future health crises, a health-data-guided relaxing strategy is required to increase economic activity and help businesses recover from the pandemic</w:t>
      </w:r>
      <w:r w:rsidR="00924AB7" w:rsidRPr="00201FFE">
        <w:rPr>
          <w:rFonts w:ascii="Arial" w:hAnsi="Arial" w:cs="Arial"/>
          <w:sz w:val="24"/>
          <w:szCs w:val="24"/>
        </w:rPr>
        <w:t xml:space="preserve"> (Aigner-Walder, 2015)</w:t>
      </w:r>
      <w:r w:rsidRPr="00201FFE">
        <w:rPr>
          <w:rFonts w:ascii="Arial" w:hAnsi="Arial" w:cs="Arial"/>
          <w:sz w:val="24"/>
          <w:szCs w:val="24"/>
        </w:rPr>
        <w:t>. The government must set clear guidelines and monitor as limits diminish to avoid a viral comeback. Economic development and public health are interwoven in a long-term recovery limitation reduction strategy. These firms' stability may encourage consumer spending, job growth, and supply chain regeneration after the pandemic.</w:t>
      </w:r>
    </w:p>
    <w:p w14:paraId="544C9A6B" w14:textId="74B82027" w:rsidR="00DC6114" w:rsidRPr="00201FFE" w:rsidRDefault="00DC6114" w:rsidP="00201FFE">
      <w:pPr>
        <w:pStyle w:val="Heading2"/>
        <w:spacing w:line="360" w:lineRule="auto"/>
        <w:rPr>
          <w:rFonts w:ascii="Arial" w:hAnsi="Arial" w:cs="Arial"/>
          <w:b/>
          <w:bCs/>
          <w:color w:val="auto"/>
          <w:sz w:val="24"/>
          <w:szCs w:val="24"/>
        </w:rPr>
      </w:pPr>
      <w:bookmarkStart w:id="10" w:name="_Toc165124375"/>
      <w:r w:rsidRPr="00201FFE">
        <w:rPr>
          <w:rFonts w:ascii="Arial" w:hAnsi="Arial" w:cs="Arial"/>
          <w:b/>
          <w:bCs/>
          <w:color w:val="auto"/>
          <w:sz w:val="24"/>
          <w:szCs w:val="24"/>
        </w:rPr>
        <w:lastRenderedPageBreak/>
        <w:t>Supply Chain Management Improvements</w:t>
      </w:r>
      <w:bookmarkEnd w:id="10"/>
    </w:p>
    <w:p w14:paraId="19CCE7AB" w14:textId="3265C3BE" w:rsidR="00DC6114" w:rsidRPr="00201FFE" w:rsidRDefault="00DC6114" w:rsidP="00201FFE">
      <w:pPr>
        <w:spacing w:line="360" w:lineRule="auto"/>
        <w:jc w:val="both"/>
        <w:rPr>
          <w:rFonts w:ascii="Arial" w:hAnsi="Arial" w:cs="Arial"/>
          <w:sz w:val="24"/>
          <w:szCs w:val="24"/>
        </w:rPr>
      </w:pPr>
      <w:r w:rsidRPr="00201FFE">
        <w:rPr>
          <w:rFonts w:ascii="Arial" w:hAnsi="Arial" w:cs="Arial"/>
          <w:sz w:val="24"/>
          <w:szCs w:val="24"/>
        </w:rPr>
        <w:t>Supply chain improvement enterprises require a shortage management team for COVID-19 and the recession. Predictive analytics and real-time data would let this expert team identify network demand and supply limits before they disrupt supply chains. Being proactive about shortfall management helps this team discover new suppliers and alter stocks to meet demand. Businesses must enhance communication and create transparent, mutually beneficial relationships to engage suppliers</w:t>
      </w:r>
      <w:r w:rsidR="00924AB7" w:rsidRPr="00201FFE">
        <w:rPr>
          <w:rFonts w:ascii="Arial" w:hAnsi="Arial" w:cs="Arial"/>
          <w:sz w:val="24"/>
          <w:szCs w:val="24"/>
        </w:rPr>
        <w:t xml:space="preserve"> (Andreyeva et al., 2010)</w:t>
      </w:r>
      <w:r w:rsidRPr="00201FFE">
        <w:rPr>
          <w:rFonts w:ascii="Arial" w:hAnsi="Arial" w:cs="Arial"/>
          <w:sz w:val="24"/>
          <w:szCs w:val="24"/>
        </w:rPr>
        <w:t xml:space="preserve">. Sharing risk assessments, involvement, and collaborative planning may help stakeholders solve supply chain concerns. Integrated cooperation eliminates interruptions and speeds business reactions to market changes and unanticipated issues like pandemic supply chain strains. JIT inventory reduces waste and boosts supply chain efficiency. It assists pandemic market fluctuations. By coordinating supplier raw material orders with production schedules, JIT systems save inventory costs and waste. JIT </w:t>
      </w:r>
      <w:r w:rsidR="002350F6" w:rsidRPr="00201FFE">
        <w:rPr>
          <w:rFonts w:ascii="Arial" w:hAnsi="Arial" w:cs="Arial"/>
          <w:sz w:val="24"/>
          <w:szCs w:val="24"/>
        </w:rPr>
        <w:t>minimizes</w:t>
      </w:r>
      <w:r w:rsidRPr="00201FFE">
        <w:rPr>
          <w:rFonts w:ascii="Arial" w:hAnsi="Arial" w:cs="Arial"/>
          <w:sz w:val="24"/>
          <w:szCs w:val="24"/>
        </w:rPr>
        <w:t xml:space="preserve"> waste by buying what's required</w:t>
      </w:r>
      <w:r w:rsidR="00924AB7" w:rsidRPr="00201FFE">
        <w:rPr>
          <w:rFonts w:ascii="Arial" w:hAnsi="Arial" w:cs="Arial"/>
          <w:sz w:val="24"/>
          <w:szCs w:val="24"/>
        </w:rPr>
        <w:t xml:space="preserve"> (Bagwell, 2005)</w:t>
      </w:r>
      <w:r w:rsidRPr="00201FFE">
        <w:rPr>
          <w:rFonts w:ascii="Arial" w:hAnsi="Arial" w:cs="Arial"/>
          <w:sz w:val="24"/>
          <w:szCs w:val="24"/>
        </w:rPr>
        <w:t xml:space="preserve">. Supply chain integration is essential to coordinate technologies and find reputable suppliers. JIT solutions may </w:t>
      </w:r>
      <w:r w:rsidR="002350F6" w:rsidRPr="00201FFE">
        <w:rPr>
          <w:rFonts w:ascii="Arial" w:hAnsi="Arial" w:cs="Arial"/>
          <w:sz w:val="24"/>
          <w:szCs w:val="24"/>
        </w:rPr>
        <w:t>minimize</w:t>
      </w:r>
      <w:r w:rsidRPr="00201FFE">
        <w:rPr>
          <w:rFonts w:ascii="Arial" w:hAnsi="Arial" w:cs="Arial"/>
          <w:sz w:val="24"/>
          <w:szCs w:val="24"/>
        </w:rPr>
        <w:t xml:space="preserve"> UK firms' inventory and resource waste following Covid-19 and Brexit. Inventory management and cost reduction may boost cash flow and flexibility. These technologies shield supply chains from market shifts.</w:t>
      </w:r>
    </w:p>
    <w:p w14:paraId="79C8D674" w14:textId="156DCA80" w:rsidR="00DC6114" w:rsidRPr="00201FFE" w:rsidRDefault="00DC6114" w:rsidP="00201FFE">
      <w:pPr>
        <w:pStyle w:val="Heading2"/>
        <w:spacing w:line="360" w:lineRule="auto"/>
        <w:rPr>
          <w:rFonts w:ascii="Arial" w:hAnsi="Arial" w:cs="Arial"/>
          <w:b/>
          <w:bCs/>
          <w:color w:val="auto"/>
          <w:sz w:val="24"/>
          <w:szCs w:val="24"/>
        </w:rPr>
      </w:pPr>
      <w:bookmarkStart w:id="11" w:name="_Toc165124376"/>
      <w:r w:rsidRPr="00201FFE">
        <w:rPr>
          <w:rFonts w:ascii="Arial" w:hAnsi="Arial" w:cs="Arial"/>
          <w:b/>
          <w:bCs/>
          <w:color w:val="auto"/>
          <w:sz w:val="24"/>
          <w:szCs w:val="24"/>
        </w:rPr>
        <w:t>Communication and Engagement</w:t>
      </w:r>
      <w:bookmarkEnd w:id="11"/>
    </w:p>
    <w:p w14:paraId="28D809A4" w14:textId="3C95BDC2" w:rsidR="00DC6114" w:rsidRPr="00201FFE" w:rsidRDefault="00DC6114" w:rsidP="00201FFE">
      <w:pPr>
        <w:spacing w:line="360" w:lineRule="auto"/>
        <w:jc w:val="both"/>
        <w:rPr>
          <w:rFonts w:ascii="Arial" w:hAnsi="Arial" w:cs="Arial"/>
          <w:sz w:val="24"/>
          <w:szCs w:val="24"/>
        </w:rPr>
      </w:pPr>
      <w:r w:rsidRPr="00201FFE">
        <w:rPr>
          <w:rFonts w:ascii="Arial" w:hAnsi="Arial" w:cs="Arial"/>
          <w:sz w:val="24"/>
          <w:szCs w:val="24"/>
        </w:rPr>
        <w:t>Complex supply chains, particularly those affected by global events like the COVID-19 pandemic, must communicate with stakeholders to manage expectations and coordinate remedies. Quick updates on activity progress, setbacks, and restoration are key to communication</w:t>
      </w:r>
      <w:r w:rsidR="00924AB7" w:rsidRPr="00201FFE">
        <w:rPr>
          <w:rFonts w:ascii="Arial" w:hAnsi="Arial" w:cs="Arial"/>
          <w:sz w:val="24"/>
          <w:szCs w:val="24"/>
        </w:rPr>
        <w:t xml:space="preserve"> (Baker, 2003)</w:t>
      </w:r>
      <w:r w:rsidRPr="00201FFE">
        <w:rPr>
          <w:rFonts w:ascii="Arial" w:hAnsi="Arial" w:cs="Arial"/>
          <w:sz w:val="24"/>
          <w:szCs w:val="24"/>
        </w:rPr>
        <w:t xml:space="preserve">. This helps manage stakeholder expectations—customers, suppliers, investors, and employees. The strategies alert stakeholders to changes or possible concerns that may affect their interests or operations, enhancing collaboration and trust during crises. During the outbreak, rapid market shifts required strong adjustments; effective communication averted misalignments that may raise concerns. Stakeholder viewpoints and practical advice may enhance operational changes and decision-making, enhancing supply chain resilience. Pandemic-era quick information transmission and public scrutiny imply firms use social media and modern communication </w:t>
      </w:r>
      <w:r w:rsidRPr="00201FFE">
        <w:rPr>
          <w:rFonts w:ascii="Arial" w:hAnsi="Arial" w:cs="Arial"/>
          <w:sz w:val="24"/>
          <w:szCs w:val="24"/>
        </w:rPr>
        <w:lastRenderedPageBreak/>
        <w:t xml:space="preserve">technology. These tools help </w:t>
      </w:r>
      <w:r w:rsidR="00924AB7" w:rsidRPr="00201FFE">
        <w:rPr>
          <w:rFonts w:ascii="Arial" w:hAnsi="Arial" w:cs="Arial"/>
          <w:sz w:val="24"/>
          <w:szCs w:val="24"/>
        </w:rPr>
        <w:t>organizations</w:t>
      </w:r>
      <w:r w:rsidRPr="00201FFE">
        <w:rPr>
          <w:rFonts w:ascii="Arial" w:hAnsi="Arial" w:cs="Arial"/>
          <w:sz w:val="24"/>
          <w:szCs w:val="24"/>
        </w:rPr>
        <w:t xml:space="preserve"> address challenges and reach more stakeholders. Crisis situations may hinder communication, making this crucial. Real-time gasoline availability and </w:t>
      </w:r>
      <w:r w:rsidR="00924AB7" w:rsidRPr="00201FFE">
        <w:rPr>
          <w:rFonts w:ascii="Arial" w:hAnsi="Arial" w:cs="Arial"/>
          <w:sz w:val="24"/>
          <w:szCs w:val="24"/>
        </w:rPr>
        <w:t>rationalizing</w:t>
      </w:r>
      <w:r w:rsidRPr="00201FFE">
        <w:rPr>
          <w:rFonts w:ascii="Arial" w:hAnsi="Arial" w:cs="Arial"/>
          <w:sz w:val="24"/>
          <w:szCs w:val="24"/>
        </w:rPr>
        <w:t xml:space="preserve"> customer expectations may have reduced petrol scarcity panic purchasing</w:t>
      </w:r>
      <w:r w:rsidR="00924AB7" w:rsidRPr="00201FFE">
        <w:rPr>
          <w:rFonts w:ascii="Arial" w:hAnsi="Arial" w:cs="Arial"/>
          <w:sz w:val="24"/>
          <w:szCs w:val="24"/>
        </w:rPr>
        <w:t xml:space="preserve"> (Ellickson, 2013)</w:t>
      </w:r>
      <w:r w:rsidRPr="00201FFE">
        <w:rPr>
          <w:rFonts w:ascii="Arial" w:hAnsi="Arial" w:cs="Arial"/>
          <w:sz w:val="24"/>
          <w:szCs w:val="24"/>
        </w:rPr>
        <w:t xml:space="preserve">. Staff need strategy and crisis management training. Smooth operations and staff morale depend on this. </w:t>
      </w:r>
    </w:p>
    <w:p w14:paraId="02F6A8D5" w14:textId="7193BF9B" w:rsidR="00DC6114" w:rsidRPr="00201FFE" w:rsidRDefault="00DC6114" w:rsidP="00201FFE">
      <w:pPr>
        <w:pStyle w:val="Heading1"/>
        <w:spacing w:line="360" w:lineRule="auto"/>
        <w:rPr>
          <w:rFonts w:ascii="Arial" w:hAnsi="Arial" w:cs="Arial"/>
          <w:b/>
          <w:bCs/>
          <w:color w:val="auto"/>
          <w:sz w:val="24"/>
          <w:szCs w:val="24"/>
        </w:rPr>
      </w:pPr>
      <w:bookmarkStart w:id="12" w:name="_Toc165124377"/>
      <w:r w:rsidRPr="00201FFE">
        <w:rPr>
          <w:rFonts w:ascii="Arial" w:hAnsi="Arial" w:cs="Arial"/>
          <w:b/>
          <w:bCs/>
          <w:color w:val="auto"/>
          <w:sz w:val="24"/>
          <w:szCs w:val="24"/>
        </w:rPr>
        <w:t>Answer 2(a)</w:t>
      </w:r>
      <w:bookmarkEnd w:id="12"/>
    </w:p>
    <w:p w14:paraId="2485C008" w14:textId="7E73A18D" w:rsidR="00985AF9" w:rsidRPr="00201FFE" w:rsidRDefault="00985AF9" w:rsidP="00201FFE">
      <w:pPr>
        <w:pStyle w:val="Heading2"/>
        <w:spacing w:line="360" w:lineRule="auto"/>
        <w:rPr>
          <w:rFonts w:ascii="Arial" w:hAnsi="Arial" w:cs="Arial"/>
          <w:b/>
          <w:bCs/>
          <w:color w:val="auto"/>
          <w:sz w:val="24"/>
          <w:szCs w:val="24"/>
        </w:rPr>
      </w:pPr>
      <w:bookmarkStart w:id="13" w:name="_Toc165124378"/>
      <w:r w:rsidRPr="00201FFE">
        <w:rPr>
          <w:rFonts w:ascii="Arial" w:hAnsi="Arial" w:cs="Arial"/>
          <w:b/>
          <w:bCs/>
          <w:color w:val="auto"/>
          <w:sz w:val="24"/>
          <w:szCs w:val="24"/>
        </w:rPr>
        <w:t>Pricing Strategies</w:t>
      </w:r>
      <w:bookmarkEnd w:id="13"/>
    </w:p>
    <w:p w14:paraId="56C47DCA" w14:textId="26579C25"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 xml:space="preserve">Economics' demand and supply principles considerably affect pricing. Studies on COVID-19 indicate this and supply and demand balance markets. Now product supply match’s demand. Epidemic-related supply chain disruptions and consumer behavior shifts destabilize this equilibrium. Needed dynamic pricing. Fuel costs rose because </w:t>
      </w:r>
      <w:r w:rsidR="00924AB7" w:rsidRPr="00201FFE">
        <w:rPr>
          <w:rFonts w:ascii="Arial" w:hAnsi="Arial" w:cs="Arial"/>
          <w:sz w:val="24"/>
          <w:szCs w:val="24"/>
        </w:rPr>
        <w:t>of</w:t>
      </w:r>
      <w:r w:rsidRPr="00201FFE">
        <w:rPr>
          <w:rFonts w:ascii="Arial" w:hAnsi="Arial" w:cs="Arial"/>
          <w:sz w:val="24"/>
          <w:szCs w:val="24"/>
        </w:rPr>
        <w:t xml:space="preserve"> Brexit, pandemic, and UK chauffeur shortages</w:t>
      </w:r>
      <w:r w:rsidR="00924AB7" w:rsidRPr="00201FFE">
        <w:rPr>
          <w:rFonts w:ascii="Arial" w:hAnsi="Arial" w:cs="Arial"/>
          <w:sz w:val="24"/>
          <w:szCs w:val="24"/>
        </w:rPr>
        <w:t xml:space="preserve"> (Foot and Gomez, 2006)</w:t>
      </w:r>
      <w:r w:rsidRPr="00201FFE">
        <w:rPr>
          <w:rFonts w:ascii="Arial" w:hAnsi="Arial" w:cs="Arial"/>
          <w:sz w:val="24"/>
          <w:szCs w:val="24"/>
        </w:rPr>
        <w:t>. Due to market uncertainties, supply constraints, and rising costs, businesses must alter prices. Strategic pricing may stabilize the market during high volatility by limiting shortages and panicked buying. To address economic challenges, demand and supply analysis may guide resource allocation, consumer behavior, and price setting. During commodity shortages like the global petroleum crisis, companies may raise prices to curb demand. This would balance client supplies. Pricing management stabilizes supply networks and preserves resources. Demand elasticity helps companies predict customer reactions to pricing changes</w:t>
      </w:r>
      <w:r w:rsidR="00924AB7" w:rsidRPr="00201FFE">
        <w:rPr>
          <w:rFonts w:ascii="Arial" w:hAnsi="Arial" w:cs="Arial"/>
          <w:sz w:val="24"/>
          <w:szCs w:val="24"/>
        </w:rPr>
        <w:t xml:space="preserve"> (Griffith, 2003)</w:t>
      </w:r>
      <w:r w:rsidRPr="00201FFE">
        <w:rPr>
          <w:rFonts w:ascii="Arial" w:hAnsi="Arial" w:cs="Arial"/>
          <w:sz w:val="24"/>
          <w:szCs w:val="24"/>
        </w:rPr>
        <w:t>. Creating market-responsive pricing strategies demands this. Because utility and vital medication prices move less than luxury products, demand may diminish. Demand and supply strategies may help companies overcome recessions and COVID-19.</w:t>
      </w:r>
    </w:p>
    <w:p w14:paraId="4B1AA020" w14:textId="636B1FD7" w:rsidR="00985AF9" w:rsidRPr="00201FFE" w:rsidRDefault="00985AF9" w:rsidP="00201FFE">
      <w:pPr>
        <w:pStyle w:val="Heading2"/>
        <w:spacing w:line="360" w:lineRule="auto"/>
        <w:rPr>
          <w:rFonts w:ascii="Arial" w:hAnsi="Arial" w:cs="Arial"/>
          <w:b/>
          <w:bCs/>
          <w:color w:val="auto"/>
          <w:sz w:val="24"/>
          <w:szCs w:val="24"/>
        </w:rPr>
      </w:pPr>
      <w:bookmarkStart w:id="14" w:name="_Toc165124379"/>
      <w:r w:rsidRPr="00201FFE">
        <w:rPr>
          <w:rFonts w:ascii="Arial" w:hAnsi="Arial" w:cs="Arial"/>
          <w:b/>
          <w:bCs/>
          <w:color w:val="auto"/>
          <w:sz w:val="24"/>
          <w:szCs w:val="24"/>
        </w:rPr>
        <w:t>Business Productivity and Expansion</w:t>
      </w:r>
      <w:bookmarkEnd w:id="14"/>
    </w:p>
    <w:p w14:paraId="17315D66" w14:textId="20482771"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 xml:space="preserve">Amazon must understand COVID-19 supply and demand to grow. Data analytics help Amazon forecast demand by geography and product category. Organizations avoid overstocking and understocking by forecasting customer demand. Inventory management reduces product shortages, delivery delays, storage and logistics expenses, and customer dissatisfaction. Amazon understands and adapts to complicated </w:t>
      </w:r>
      <w:r w:rsidRPr="00201FFE">
        <w:rPr>
          <w:rFonts w:ascii="Arial" w:hAnsi="Arial" w:cs="Arial"/>
          <w:sz w:val="24"/>
          <w:szCs w:val="24"/>
        </w:rPr>
        <w:lastRenderedPageBreak/>
        <w:t>market demand and supply variations, so it can swiftly modify its pricing</w:t>
      </w:r>
      <w:r w:rsidR="00924AB7" w:rsidRPr="00201FFE">
        <w:rPr>
          <w:rFonts w:ascii="Arial" w:hAnsi="Arial" w:cs="Arial"/>
          <w:sz w:val="24"/>
          <w:szCs w:val="24"/>
        </w:rPr>
        <w:t xml:space="preserve"> (Foot and Gomez, 2006)</w:t>
      </w:r>
      <w:r w:rsidRPr="00201FFE">
        <w:rPr>
          <w:rFonts w:ascii="Arial" w:hAnsi="Arial" w:cs="Arial"/>
          <w:sz w:val="24"/>
          <w:szCs w:val="24"/>
        </w:rPr>
        <w:t>. This strategy may boost income and maintain a competitive edge during major interruptions like the pandemic, which changed client preferences for online shopping. Strategic demand and supply strategies, not operational efficiency, help Amazon penetrate new markets and product categories. Amazon analyses demand patterns to uncover new markets and unmet customer needs. This guarantees demand drives product launches and market growth</w:t>
      </w:r>
      <w:r w:rsidR="00924AB7" w:rsidRPr="00201FFE">
        <w:rPr>
          <w:rFonts w:ascii="Arial" w:hAnsi="Arial" w:cs="Arial"/>
          <w:sz w:val="24"/>
          <w:szCs w:val="24"/>
        </w:rPr>
        <w:t xml:space="preserve"> (Foot and Gomez, 2006)</w:t>
      </w:r>
      <w:r w:rsidRPr="00201FFE">
        <w:rPr>
          <w:rFonts w:ascii="Arial" w:hAnsi="Arial" w:cs="Arial"/>
          <w:sz w:val="24"/>
          <w:szCs w:val="24"/>
        </w:rPr>
        <w:t>. Amazon can construct strong supply networks that can adjust to local regulatory changes or global shocks by studying supply chain dynamics. Amazon added pandemic-related delivery vans and hubs. Proactive supply networks ease epidemic-driven e-commerce growth. Amazon makes flexible, educated decisions using demand and supply analysis. Digital operational excellence helps the organization expand and adapt.</w:t>
      </w:r>
    </w:p>
    <w:p w14:paraId="6AE2F9AB" w14:textId="2C1C7AB7" w:rsidR="00985AF9" w:rsidRPr="00201FFE" w:rsidRDefault="00985AF9" w:rsidP="00201FFE">
      <w:pPr>
        <w:pStyle w:val="Heading2"/>
        <w:spacing w:line="360" w:lineRule="auto"/>
        <w:rPr>
          <w:rFonts w:ascii="Arial" w:hAnsi="Arial" w:cs="Arial"/>
          <w:b/>
          <w:bCs/>
          <w:color w:val="auto"/>
          <w:sz w:val="24"/>
          <w:szCs w:val="24"/>
        </w:rPr>
      </w:pPr>
      <w:bookmarkStart w:id="15" w:name="_Toc165124380"/>
      <w:r w:rsidRPr="00201FFE">
        <w:rPr>
          <w:rFonts w:ascii="Arial" w:hAnsi="Arial" w:cs="Arial"/>
          <w:b/>
          <w:bCs/>
          <w:color w:val="auto"/>
          <w:sz w:val="24"/>
          <w:szCs w:val="24"/>
        </w:rPr>
        <w:t>Marketing and Investment Strategies</w:t>
      </w:r>
      <w:bookmarkEnd w:id="15"/>
    </w:p>
    <w:p w14:paraId="5BD8D2F1" w14:textId="240C2721"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Supply and demand must be considered in financial and marketing plans to capitalize on market possibilities and attract large investments, notably in IPOs. Supply and demand knowledge helps companies adapt to market fluctuations and customer preferences, making them investor friendly</w:t>
      </w:r>
      <w:r w:rsidR="00924AB7" w:rsidRPr="00201FFE">
        <w:rPr>
          <w:rFonts w:ascii="Arial" w:hAnsi="Arial" w:cs="Arial"/>
          <w:sz w:val="24"/>
          <w:szCs w:val="24"/>
        </w:rPr>
        <w:t xml:space="preserve"> (Foot and Gomez, 2006)</w:t>
      </w:r>
      <w:r w:rsidRPr="00201FFE">
        <w:rPr>
          <w:rFonts w:ascii="Arial" w:hAnsi="Arial" w:cs="Arial"/>
          <w:sz w:val="24"/>
          <w:szCs w:val="24"/>
        </w:rPr>
        <w:t>. Demand-driven enterprises with solid supplier networks are investor-trusted. Investors' expectations of long-term growth and profitability affect company prices. An effective marketing strategy may assess supply and demand to reveal a company's strengths and development potential. These strategies may help companies convey supply chain disruption and market instability. COVID-19's faults make this crucial. Supply and demand information may improve financial strategy resource allocation, increasing profitability and investment appeal. Forecasting and managing stockpiles using supply chain data may save money and boost efficiency</w:t>
      </w:r>
      <w:r w:rsidR="00924AB7" w:rsidRPr="00201FFE">
        <w:rPr>
          <w:rFonts w:ascii="Arial" w:hAnsi="Arial" w:cs="Arial"/>
          <w:sz w:val="24"/>
          <w:szCs w:val="24"/>
        </w:rPr>
        <w:t xml:space="preserve"> (Foot and Gomez, 2006)</w:t>
      </w:r>
      <w:r w:rsidRPr="00201FFE">
        <w:rPr>
          <w:rFonts w:ascii="Arial" w:hAnsi="Arial" w:cs="Arial"/>
          <w:sz w:val="24"/>
          <w:szCs w:val="24"/>
        </w:rPr>
        <w:t xml:space="preserve">. This boosts financing and IPOs. Company capital expenditure requirement is assessed. Investors enjoy investing in high-return areas. Supply-and-demand statistics and smart financial management may persuade investors firms to build long-term value. Supply and demand, smart marketing, and financial planning may help firms capitalize on market opportunities, manage economic </w:t>
      </w:r>
      <w:r w:rsidRPr="00201FFE">
        <w:rPr>
          <w:rFonts w:ascii="Arial" w:hAnsi="Arial" w:cs="Arial"/>
          <w:sz w:val="24"/>
          <w:szCs w:val="24"/>
        </w:rPr>
        <w:lastRenderedPageBreak/>
        <w:t>constraints, and attract the necessary investments to develop and succeed in the post-pandemic economy.</w:t>
      </w:r>
    </w:p>
    <w:p w14:paraId="52C72791" w14:textId="77777777" w:rsidR="00985AF9" w:rsidRPr="00201FFE" w:rsidRDefault="00985AF9" w:rsidP="00201FFE">
      <w:pPr>
        <w:pStyle w:val="Heading1"/>
        <w:spacing w:line="360" w:lineRule="auto"/>
        <w:rPr>
          <w:rFonts w:ascii="Arial" w:hAnsi="Arial" w:cs="Arial"/>
          <w:b/>
          <w:bCs/>
          <w:color w:val="auto"/>
          <w:sz w:val="24"/>
          <w:szCs w:val="24"/>
        </w:rPr>
      </w:pPr>
      <w:bookmarkStart w:id="16" w:name="_Toc165124381"/>
      <w:r w:rsidRPr="00201FFE">
        <w:rPr>
          <w:rFonts w:ascii="Arial" w:hAnsi="Arial" w:cs="Arial"/>
          <w:b/>
          <w:bCs/>
          <w:color w:val="auto"/>
          <w:sz w:val="24"/>
          <w:szCs w:val="24"/>
        </w:rPr>
        <w:t>Answer 2(b)</w:t>
      </w:r>
      <w:bookmarkEnd w:id="16"/>
    </w:p>
    <w:p w14:paraId="4FAAFBDB" w14:textId="2C7D021F" w:rsidR="00985AF9" w:rsidRPr="00201FFE" w:rsidRDefault="00985AF9" w:rsidP="00201FFE">
      <w:pPr>
        <w:spacing w:line="360" w:lineRule="auto"/>
        <w:jc w:val="both"/>
        <w:rPr>
          <w:rFonts w:ascii="Arial" w:hAnsi="Arial" w:cs="Arial"/>
          <w:b/>
          <w:bCs/>
          <w:sz w:val="24"/>
          <w:szCs w:val="24"/>
        </w:rPr>
      </w:pPr>
      <w:r w:rsidRPr="00201FFE">
        <w:rPr>
          <w:rFonts w:ascii="Arial" w:hAnsi="Arial" w:cs="Arial"/>
          <w:b/>
          <w:bCs/>
          <w:sz w:val="24"/>
          <w:szCs w:val="24"/>
        </w:rPr>
        <w:t>Differences Between Elastic and Inelastic Demand</w:t>
      </w:r>
    </w:p>
    <w:tbl>
      <w:tblPr>
        <w:tblStyle w:val="TableGrid"/>
        <w:tblW w:w="0" w:type="auto"/>
        <w:tblInd w:w="108" w:type="dxa"/>
        <w:tblLook w:val="04A0" w:firstRow="1" w:lastRow="0" w:firstColumn="1" w:lastColumn="0" w:noHBand="0" w:noVBand="1"/>
      </w:tblPr>
      <w:tblGrid>
        <w:gridCol w:w="1968"/>
        <w:gridCol w:w="3988"/>
        <w:gridCol w:w="3286"/>
      </w:tblGrid>
      <w:tr w:rsidR="003F7A62" w:rsidRPr="00201FFE" w14:paraId="3F39B59A"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6D8CEE67" w14:textId="77777777" w:rsidR="00985AF9" w:rsidRPr="00201FFE" w:rsidRDefault="00985AF9" w:rsidP="00201FFE">
            <w:pPr>
              <w:spacing w:line="360" w:lineRule="auto"/>
              <w:jc w:val="both"/>
              <w:rPr>
                <w:rFonts w:ascii="Arial" w:hAnsi="Arial" w:cs="Arial"/>
                <w:b/>
                <w:bCs/>
                <w:sz w:val="24"/>
                <w:szCs w:val="24"/>
              </w:rPr>
            </w:pPr>
            <w:r w:rsidRPr="00201FFE">
              <w:rPr>
                <w:rFonts w:ascii="Arial" w:hAnsi="Arial" w:cs="Arial"/>
                <w:b/>
                <w:bCs/>
                <w:sz w:val="24"/>
                <w:szCs w:val="24"/>
              </w:rPr>
              <w:t>Attribute</w:t>
            </w:r>
          </w:p>
        </w:tc>
        <w:tc>
          <w:tcPr>
            <w:tcW w:w="4050" w:type="dxa"/>
            <w:tcBorders>
              <w:top w:val="single" w:sz="4" w:space="0" w:color="auto"/>
              <w:left w:val="single" w:sz="4" w:space="0" w:color="auto"/>
              <w:bottom w:val="single" w:sz="4" w:space="0" w:color="auto"/>
              <w:right w:val="single" w:sz="4" w:space="0" w:color="auto"/>
            </w:tcBorders>
            <w:hideMark/>
          </w:tcPr>
          <w:p w14:paraId="52A2CA32" w14:textId="77777777" w:rsidR="00985AF9" w:rsidRPr="00201FFE" w:rsidRDefault="00985AF9" w:rsidP="00201FFE">
            <w:pPr>
              <w:spacing w:line="360" w:lineRule="auto"/>
              <w:jc w:val="both"/>
              <w:rPr>
                <w:rFonts w:ascii="Arial" w:hAnsi="Arial" w:cs="Arial"/>
                <w:b/>
                <w:bCs/>
                <w:sz w:val="24"/>
                <w:szCs w:val="24"/>
              </w:rPr>
            </w:pPr>
            <w:r w:rsidRPr="00201FFE">
              <w:rPr>
                <w:rFonts w:ascii="Arial" w:hAnsi="Arial" w:cs="Arial"/>
                <w:b/>
                <w:bCs/>
                <w:sz w:val="24"/>
                <w:szCs w:val="24"/>
              </w:rPr>
              <w:t>Elastic Demand</w:t>
            </w:r>
          </w:p>
        </w:tc>
        <w:tc>
          <w:tcPr>
            <w:tcW w:w="3330" w:type="dxa"/>
            <w:tcBorders>
              <w:top w:val="single" w:sz="4" w:space="0" w:color="auto"/>
              <w:left w:val="single" w:sz="4" w:space="0" w:color="auto"/>
              <w:bottom w:val="single" w:sz="4" w:space="0" w:color="auto"/>
              <w:right w:val="single" w:sz="4" w:space="0" w:color="auto"/>
            </w:tcBorders>
            <w:hideMark/>
          </w:tcPr>
          <w:p w14:paraId="4A33C5D7" w14:textId="77777777" w:rsidR="00985AF9" w:rsidRPr="00201FFE" w:rsidRDefault="00985AF9" w:rsidP="00201FFE">
            <w:pPr>
              <w:spacing w:line="360" w:lineRule="auto"/>
              <w:jc w:val="both"/>
              <w:rPr>
                <w:rFonts w:ascii="Arial" w:hAnsi="Arial" w:cs="Arial"/>
                <w:b/>
                <w:bCs/>
                <w:sz w:val="24"/>
                <w:szCs w:val="24"/>
              </w:rPr>
            </w:pPr>
            <w:r w:rsidRPr="00201FFE">
              <w:rPr>
                <w:rFonts w:ascii="Arial" w:hAnsi="Arial" w:cs="Arial"/>
                <w:b/>
                <w:bCs/>
                <w:sz w:val="24"/>
                <w:szCs w:val="24"/>
              </w:rPr>
              <w:t>Inelastic Demand</w:t>
            </w:r>
          </w:p>
        </w:tc>
      </w:tr>
      <w:tr w:rsidR="003F7A62" w:rsidRPr="00201FFE" w14:paraId="68A32F25"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23F8AF63"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Price Sensitivity</w:t>
            </w:r>
          </w:p>
        </w:tc>
        <w:tc>
          <w:tcPr>
            <w:tcW w:w="4050" w:type="dxa"/>
            <w:tcBorders>
              <w:top w:val="single" w:sz="4" w:space="0" w:color="auto"/>
              <w:left w:val="single" w:sz="4" w:space="0" w:color="auto"/>
              <w:bottom w:val="single" w:sz="4" w:space="0" w:color="auto"/>
              <w:right w:val="single" w:sz="4" w:space="0" w:color="auto"/>
            </w:tcBorders>
            <w:hideMark/>
          </w:tcPr>
          <w:p w14:paraId="166D25A9"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High sensitivity to price changes</w:t>
            </w:r>
          </w:p>
        </w:tc>
        <w:tc>
          <w:tcPr>
            <w:tcW w:w="3330" w:type="dxa"/>
            <w:tcBorders>
              <w:top w:val="single" w:sz="4" w:space="0" w:color="auto"/>
              <w:left w:val="single" w:sz="4" w:space="0" w:color="auto"/>
              <w:bottom w:val="single" w:sz="4" w:space="0" w:color="auto"/>
              <w:right w:val="single" w:sz="4" w:space="0" w:color="auto"/>
            </w:tcBorders>
            <w:hideMark/>
          </w:tcPr>
          <w:p w14:paraId="744A7CD0"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Low sensitivity to price changes</w:t>
            </w:r>
          </w:p>
        </w:tc>
      </w:tr>
      <w:tr w:rsidR="003F7A62" w:rsidRPr="00201FFE" w14:paraId="7943F247"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57549ABF"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Examples</w:t>
            </w:r>
          </w:p>
        </w:tc>
        <w:tc>
          <w:tcPr>
            <w:tcW w:w="4050" w:type="dxa"/>
            <w:tcBorders>
              <w:top w:val="single" w:sz="4" w:space="0" w:color="auto"/>
              <w:left w:val="single" w:sz="4" w:space="0" w:color="auto"/>
              <w:bottom w:val="single" w:sz="4" w:space="0" w:color="auto"/>
              <w:right w:val="single" w:sz="4" w:space="0" w:color="auto"/>
            </w:tcBorders>
            <w:hideMark/>
          </w:tcPr>
          <w:p w14:paraId="63C17856"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Luxury goods, non-essential services</w:t>
            </w:r>
          </w:p>
        </w:tc>
        <w:tc>
          <w:tcPr>
            <w:tcW w:w="3330" w:type="dxa"/>
            <w:tcBorders>
              <w:top w:val="single" w:sz="4" w:space="0" w:color="auto"/>
              <w:left w:val="single" w:sz="4" w:space="0" w:color="auto"/>
              <w:bottom w:val="single" w:sz="4" w:space="0" w:color="auto"/>
              <w:right w:val="single" w:sz="4" w:space="0" w:color="auto"/>
            </w:tcBorders>
            <w:hideMark/>
          </w:tcPr>
          <w:p w14:paraId="10326B1D"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Fuel, utilities, essential groceries</w:t>
            </w:r>
          </w:p>
        </w:tc>
      </w:tr>
      <w:tr w:rsidR="003F7A62" w:rsidRPr="00201FFE" w14:paraId="0F6D65D5"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3EB27738"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Consumer Response to Price Increase</w:t>
            </w:r>
          </w:p>
        </w:tc>
        <w:tc>
          <w:tcPr>
            <w:tcW w:w="4050" w:type="dxa"/>
            <w:tcBorders>
              <w:top w:val="single" w:sz="4" w:space="0" w:color="auto"/>
              <w:left w:val="single" w:sz="4" w:space="0" w:color="auto"/>
              <w:bottom w:val="single" w:sz="4" w:space="0" w:color="auto"/>
              <w:right w:val="single" w:sz="4" w:space="0" w:color="auto"/>
            </w:tcBorders>
            <w:hideMark/>
          </w:tcPr>
          <w:p w14:paraId="5F9468B2"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Significant decrease in quantity demanded</w:t>
            </w:r>
          </w:p>
        </w:tc>
        <w:tc>
          <w:tcPr>
            <w:tcW w:w="3330" w:type="dxa"/>
            <w:tcBorders>
              <w:top w:val="single" w:sz="4" w:space="0" w:color="auto"/>
              <w:left w:val="single" w:sz="4" w:space="0" w:color="auto"/>
              <w:bottom w:val="single" w:sz="4" w:space="0" w:color="auto"/>
              <w:right w:val="single" w:sz="4" w:space="0" w:color="auto"/>
            </w:tcBorders>
            <w:hideMark/>
          </w:tcPr>
          <w:p w14:paraId="5B816E32"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Minor decrease in quantity demanded</w:t>
            </w:r>
          </w:p>
        </w:tc>
      </w:tr>
      <w:tr w:rsidR="003F7A62" w:rsidRPr="00201FFE" w14:paraId="4761CBBA"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72E864E8"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Price Flexibility for Businesses</w:t>
            </w:r>
          </w:p>
        </w:tc>
        <w:tc>
          <w:tcPr>
            <w:tcW w:w="4050" w:type="dxa"/>
            <w:tcBorders>
              <w:top w:val="single" w:sz="4" w:space="0" w:color="auto"/>
              <w:left w:val="single" w:sz="4" w:space="0" w:color="auto"/>
              <w:bottom w:val="single" w:sz="4" w:space="0" w:color="auto"/>
              <w:right w:val="single" w:sz="4" w:space="0" w:color="auto"/>
            </w:tcBorders>
            <w:hideMark/>
          </w:tcPr>
          <w:p w14:paraId="587411E4"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Less flexibility as demand drops with price increases</w:t>
            </w:r>
          </w:p>
        </w:tc>
        <w:tc>
          <w:tcPr>
            <w:tcW w:w="3330" w:type="dxa"/>
            <w:tcBorders>
              <w:top w:val="single" w:sz="4" w:space="0" w:color="auto"/>
              <w:left w:val="single" w:sz="4" w:space="0" w:color="auto"/>
              <w:bottom w:val="single" w:sz="4" w:space="0" w:color="auto"/>
              <w:right w:val="single" w:sz="4" w:space="0" w:color="auto"/>
            </w:tcBorders>
            <w:hideMark/>
          </w:tcPr>
          <w:p w14:paraId="77DF2A2C"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More flexibility as demand remains stable despite price increases</w:t>
            </w:r>
          </w:p>
        </w:tc>
      </w:tr>
      <w:tr w:rsidR="003F7A62" w:rsidRPr="00201FFE" w14:paraId="2B570214"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0DD16E39"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Implications During Economic Shifts</w:t>
            </w:r>
          </w:p>
        </w:tc>
        <w:tc>
          <w:tcPr>
            <w:tcW w:w="4050" w:type="dxa"/>
            <w:tcBorders>
              <w:top w:val="single" w:sz="4" w:space="0" w:color="auto"/>
              <w:left w:val="single" w:sz="4" w:space="0" w:color="auto"/>
              <w:bottom w:val="single" w:sz="4" w:space="0" w:color="auto"/>
              <w:right w:val="single" w:sz="4" w:space="0" w:color="auto"/>
            </w:tcBorders>
            <w:hideMark/>
          </w:tcPr>
          <w:p w14:paraId="367E3768"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Greater risk during economic downturns as consumers cut back on spending</w:t>
            </w:r>
          </w:p>
        </w:tc>
        <w:tc>
          <w:tcPr>
            <w:tcW w:w="3330" w:type="dxa"/>
            <w:tcBorders>
              <w:top w:val="single" w:sz="4" w:space="0" w:color="auto"/>
              <w:left w:val="single" w:sz="4" w:space="0" w:color="auto"/>
              <w:bottom w:val="single" w:sz="4" w:space="0" w:color="auto"/>
              <w:right w:val="single" w:sz="4" w:space="0" w:color="auto"/>
            </w:tcBorders>
            <w:hideMark/>
          </w:tcPr>
          <w:p w14:paraId="23205B30"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More stable revenue but potential public backlash if prices are increased excessively</w:t>
            </w:r>
          </w:p>
        </w:tc>
      </w:tr>
      <w:tr w:rsidR="003F7A62" w:rsidRPr="00201FFE" w14:paraId="4573977A" w14:textId="77777777" w:rsidTr="00985AF9">
        <w:tc>
          <w:tcPr>
            <w:tcW w:w="1980" w:type="dxa"/>
            <w:tcBorders>
              <w:top w:val="single" w:sz="4" w:space="0" w:color="auto"/>
              <w:left w:val="single" w:sz="4" w:space="0" w:color="auto"/>
              <w:bottom w:val="single" w:sz="4" w:space="0" w:color="auto"/>
              <w:right w:val="single" w:sz="4" w:space="0" w:color="auto"/>
            </w:tcBorders>
            <w:hideMark/>
          </w:tcPr>
          <w:p w14:paraId="43F7713D"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Pricing Strategy</w:t>
            </w:r>
          </w:p>
        </w:tc>
        <w:tc>
          <w:tcPr>
            <w:tcW w:w="4050" w:type="dxa"/>
            <w:tcBorders>
              <w:top w:val="single" w:sz="4" w:space="0" w:color="auto"/>
              <w:left w:val="single" w:sz="4" w:space="0" w:color="auto"/>
              <w:bottom w:val="single" w:sz="4" w:space="0" w:color="auto"/>
              <w:right w:val="single" w:sz="4" w:space="0" w:color="auto"/>
            </w:tcBorders>
            <w:hideMark/>
          </w:tcPr>
          <w:p w14:paraId="06BFFEF1"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Must be managed carefully to avoid losing customers</w:t>
            </w:r>
          </w:p>
        </w:tc>
        <w:tc>
          <w:tcPr>
            <w:tcW w:w="3330" w:type="dxa"/>
            <w:tcBorders>
              <w:top w:val="single" w:sz="4" w:space="0" w:color="auto"/>
              <w:left w:val="single" w:sz="4" w:space="0" w:color="auto"/>
              <w:bottom w:val="single" w:sz="4" w:space="0" w:color="auto"/>
              <w:right w:val="single" w:sz="4" w:space="0" w:color="auto"/>
            </w:tcBorders>
            <w:hideMark/>
          </w:tcPr>
          <w:p w14:paraId="0EA4057F" w14:textId="77777777"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Can be adjusted more freely to cover increased costs or improve margins</w:t>
            </w:r>
          </w:p>
        </w:tc>
      </w:tr>
    </w:tbl>
    <w:p w14:paraId="2072827F" w14:textId="3C5D1064" w:rsidR="00985AF9" w:rsidRPr="00201FFE" w:rsidRDefault="00985AF9" w:rsidP="00201FFE">
      <w:pPr>
        <w:spacing w:line="360" w:lineRule="auto"/>
        <w:jc w:val="both"/>
        <w:rPr>
          <w:rFonts w:ascii="Arial" w:hAnsi="Arial" w:cs="Arial"/>
          <w:sz w:val="24"/>
          <w:szCs w:val="24"/>
        </w:rPr>
      </w:pPr>
      <w:r w:rsidRPr="00201FFE">
        <w:rPr>
          <w:rFonts w:ascii="Arial" w:hAnsi="Arial" w:cs="Arial"/>
          <w:sz w:val="24"/>
          <w:szCs w:val="24"/>
        </w:rPr>
        <w:t>Price-elasticity measures product/service demand flexibility. How 1% price variation affects the amount required. In contrast, demand inelasticity occurs when price changes hardly affect product demand. Price insensitivity occurs when the quantity requested is less than price. Even in uncertain markets, enterprises must observe these pricing criteria. Fuel demand is elastic or inelastic like others. Since people heat and drive, fuel usage is inelastic despite price changes</w:t>
      </w:r>
      <w:r w:rsidR="00924AB7" w:rsidRPr="00201FFE">
        <w:rPr>
          <w:rFonts w:ascii="Arial" w:hAnsi="Arial" w:cs="Arial"/>
          <w:sz w:val="24"/>
          <w:szCs w:val="24"/>
        </w:rPr>
        <w:t xml:space="preserve"> (Heien and Pompelli, 1989)</w:t>
      </w:r>
      <w:r w:rsidRPr="00201FFE">
        <w:rPr>
          <w:rFonts w:ascii="Arial" w:hAnsi="Arial" w:cs="Arial"/>
          <w:sz w:val="24"/>
          <w:szCs w:val="24"/>
        </w:rPr>
        <w:t xml:space="preserve">. COVID-19 lockdowns and travel restrictions reduced consumption, while petrol demand remained </w:t>
      </w:r>
      <w:r w:rsidRPr="00201FFE">
        <w:rPr>
          <w:rFonts w:ascii="Arial" w:hAnsi="Arial" w:cs="Arial"/>
          <w:sz w:val="24"/>
          <w:szCs w:val="24"/>
        </w:rPr>
        <w:lastRenderedPageBreak/>
        <w:t>steady despite price spikes. Inelastic fuel demand means people buy petrol even when supply chain concerns or geopolitical events raise prices. Few options exist for most consumers. Depressions like the pandemic impact need corporate and consumer elasticity and inelasticity. Companies may price to maximize profits and limit market share losses by understanding product demand elasticity. In recessions, customers may reject luxury goods and non-essential services, thus businesses must be cautious when raising prices. Utility and necessary meal prices may rise with wholesale or supply chain costs without hurting sales. Consumer financing and buying power depend on demand elasticities. Consumers may buy more inelastic things during recessions or inflation. Low discretionary expenditure may harm consumers. Demand elasticity and inelasticity are key to supply chain and price management. They forecast pricing, adapt supply chains, and anticipate consumer spending</w:t>
      </w:r>
      <w:r w:rsidR="00924AB7" w:rsidRPr="00201FFE">
        <w:rPr>
          <w:rFonts w:ascii="Arial" w:hAnsi="Arial" w:cs="Arial"/>
          <w:sz w:val="24"/>
          <w:szCs w:val="24"/>
        </w:rPr>
        <w:t xml:space="preserve"> (Heien and Pompelli, 1989)</w:t>
      </w:r>
      <w:r w:rsidRPr="00201FFE">
        <w:rPr>
          <w:rFonts w:ascii="Arial" w:hAnsi="Arial" w:cs="Arial"/>
          <w:sz w:val="24"/>
          <w:szCs w:val="24"/>
        </w:rPr>
        <w:t xml:space="preserve">. </w:t>
      </w:r>
    </w:p>
    <w:p w14:paraId="7C0FE145" w14:textId="5C7004E6" w:rsidR="000418BB" w:rsidRPr="00201FFE" w:rsidRDefault="000418BB" w:rsidP="00201FFE">
      <w:pPr>
        <w:pStyle w:val="Heading1"/>
        <w:spacing w:line="360" w:lineRule="auto"/>
        <w:rPr>
          <w:rFonts w:ascii="Arial" w:hAnsi="Arial" w:cs="Arial"/>
          <w:b/>
          <w:bCs/>
          <w:color w:val="auto"/>
          <w:sz w:val="24"/>
          <w:szCs w:val="24"/>
        </w:rPr>
      </w:pPr>
      <w:bookmarkStart w:id="17" w:name="_Toc165124382"/>
      <w:r w:rsidRPr="00201FFE">
        <w:rPr>
          <w:rFonts w:ascii="Arial" w:hAnsi="Arial" w:cs="Arial"/>
          <w:b/>
          <w:bCs/>
          <w:color w:val="auto"/>
          <w:sz w:val="24"/>
          <w:szCs w:val="24"/>
        </w:rPr>
        <w:t>Answer 2(c)</w:t>
      </w:r>
      <w:bookmarkEnd w:id="17"/>
    </w:p>
    <w:p w14:paraId="091F3786" w14:textId="34835567" w:rsidR="000418BB" w:rsidRPr="00201FFE" w:rsidRDefault="000418BB" w:rsidP="00201FFE">
      <w:pPr>
        <w:spacing w:line="360" w:lineRule="auto"/>
        <w:jc w:val="both"/>
        <w:rPr>
          <w:rFonts w:ascii="Arial" w:hAnsi="Arial" w:cs="Arial"/>
          <w:b/>
          <w:bCs/>
          <w:sz w:val="24"/>
          <w:szCs w:val="24"/>
        </w:rPr>
      </w:pPr>
      <w:r w:rsidRPr="00201FFE">
        <w:rPr>
          <w:rFonts w:ascii="Arial" w:hAnsi="Arial" w:cs="Arial"/>
          <w:b/>
          <w:bCs/>
          <w:sz w:val="24"/>
          <w:szCs w:val="24"/>
        </w:rPr>
        <w:t>Increased Demand with Unchanged Supply</w:t>
      </w:r>
    </w:p>
    <w:p w14:paraId="12942D3B" w14:textId="0DA8077F" w:rsidR="000418BB" w:rsidRPr="00201FFE" w:rsidRDefault="000418BB" w:rsidP="00201FFE">
      <w:pPr>
        <w:spacing w:line="360" w:lineRule="auto"/>
        <w:jc w:val="both"/>
        <w:rPr>
          <w:rFonts w:ascii="Arial" w:hAnsi="Arial" w:cs="Arial"/>
          <w:sz w:val="24"/>
          <w:szCs w:val="24"/>
        </w:rPr>
      </w:pPr>
      <w:r w:rsidRPr="00201FFE">
        <w:rPr>
          <w:rFonts w:ascii="Arial" w:hAnsi="Arial" w:cs="Arial"/>
          <w:sz w:val="24"/>
          <w:szCs w:val="24"/>
        </w:rPr>
        <w:t>The first law of supply and demand asserts that a shortage emerges when supply remains constant and demand grows, rising prices and quantities sold. Early COVID-19 PPE demand skyrocketed, validating the economic idea</w:t>
      </w:r>
      <w:r w:rsidR="00924AB7" w:rsidRPr="00201FFE">
        <w:rPr>
          <w:rFonts w:ascii="Arial" w:hAnsi="Arial" w:cs="Arial"/>
          <w:sz w:val="24"/>
          <w:szCs w:val="24"/>
        </w:rPr>
        <w:t xml:space="preserve"> (Heien and Pompelli, 1989)</w:t>
      </w:r>
      <w:r w:rsidRPr="00201FFE">
        <w:rPr>
          <w:rFonts w:ascii="Arial" w:hAnsi="Arial" w:cs="Arial"/>
          <w:sz w:val="24"/>
          <w:szCs w:val="24"/>
        </w:rPr>
        <w:t>. Masks, sanitizers, and gloves were limited as illness spread. Insufficient supply raised prices. Retailers and producers increased production, stabilizing prices, and increasing consumer and healthcare provider supply. Market dynamics may quickly change commodity prices and availability during demand surges.</w:t>
      </w:r>
    </w:p>
    <w:p w14:paraId="5997F18C" w14:textId="28E272DC" w:rsidR="000418BB" w:rsidRPr="00201FFE" w:rsidRDefault="000418BB" w:rsidP="00201FFE">
      <w:pPr>
        <w:spacing w:line="360" w:lineRule="auto"/>
        <w:jc w:val="both"/>
        <w:rPr>
          <w:rFonts w:ascii="Arial" w:hAnsi="Arial" w:cs="Arial"/>
          <w:b/>
          <w:bCs/>
          <w:sz w:val="24"/>
          <w:szCs w:val="24"/>
        </w:rPr>
      </w:pPr>
      <w:r w:rsidRPr="00201FFE">
        <w:rPr>
          <w:rFonts w:ascii="Arial" w:hAnsi="Arial" w:cs="Arial"/>
          <w:b/>
          <w:bCs/>
          <w:sz w:val="24"/>
          <w:szCs w:val="24"/>
        </w:rPr>
        <w:t>Decreased Demand with Unchanged Supply</w:t>
      </w:r>
    </w:p>
    <w:p w14:paraId="351A5BC8" w14:textId="4BA9AC50" w:rsidR="000418BB" w:rsidRPr="00201FFE" w:rsidRDefault="000418BB" w:rsidP="00201FFE">
      <w:pPr>
        <w:spacing w:line="360" w:lineRule="auto"/>
        <w:jc w:val="both"/>
        <w:rPr>
          <w:rFonts w:ascii="Arial" w:hAnsi="Arial" w:cs="Arial"/>
          <w:sz w:val="24"/>
          <w:szCs w:val="24"/>
        </w:rPr>
      </w:pPr>
      <w:r w:rsidRPr="00201FFE">
        <w:rPr>
          <w:rFonts w:ascii="Arial" w:hAnsi="Arial" w:cs="Arial"/>
          <w:sz w:val="24"/>
          <w:szCs w:val="24"/>
        </w:rPr>
        <w:t>However, the second law of supply and demand indicates that an excess of product emerges when supply remains constant and demand declines, decreasing prices and quantities sold. It happened during a pandemic travel</w:t>
      </w:r>
      <w:r w:rsidR="00924AB7" w:rsidRPr="00201FFE">
        <w:rPr>
          <w:rFonts w:ascii="Arial" w:hAnsi="Arial" w:cs="Arial"/>
          <w:sz w:val="24"/>
          <w:szCs w:val="24"/>
        </w:rPr>
        <w:t xml:space="preserve"> (Shapiro, 1987)</w:t>
      </w:r>
      <w:r w:rsidRPr="00201FFE">
        <w:rPr>
          <w:rFonts w:ascii="Arial" w:hAnsi="Arial" w:cs="Arial"/>
          <w:sz w:val="24"/>
          <w:szCs w:val="24"/>
        </w:rPr>
        <w:t>. Air travel plummeted as nations combat the virus. The number of aircraft and seats did not affect capacity. Oversupply lowered ticket rates as airlines competed for consumers. Several airlines cancelled flights to meet demand. This illustrates how industries must adjust to big demand declines to survive.</w:t>
      </w:r>
    </w:p>
    <w:p w14:paraId="4F3FCBEA" w14:textId="2F179452" w:rsidR="000418BB" w:rsidRPr="00201FFE" w:rsidRDefault="000418BB" w:rsidP="00201FFE">
      <w:pPr>
        <w:spacing w:line="360" w:lineRule="auto"/>
        <w:jc w:val="both"/>
        <w:rPr>
          <w:rFonts w:ascii="Arial" w:hAnsi="Arial" w:cs="Arial"/>
          <w:b/>
          <w:bCs/>
          <w:sz w:val="24"/>
          <w:szCs w:val="24"/>
        </w:rPr>
      </w:pPr>
      <w:r w:rsidRPr="00201FFE">
        <w:rPr>
          <w:rFonts w:ascii="Arial" w:hAnsi="Arial" w:cs="Arial"/>
          <w:b/>
          <w:bCs/>
          <w:sz w:val="24"/>
          <w:szCs w:val="24"/>
        </w:rPr>
        <w:lastRenderedPageBreak/>
        <w:t>Increased Supply with Unchanged Demand</w:t>
      </w:r>
    </w:p>
    <w:p w14:paraId="62013C13" w14:textId="0A2F5630" w:rsidR="000418BB" w:rsidRPr="00201FFE" w:rsidRDefault="000418BB" w:rsidP="00201FFE">
      <w:pPr>
        <w:spacing w:line="360" w:lineRule="auto"/>
        <w:jc w:val="both"/>
        <w:rPr>
          <w:rFonts w:ascii="Arial" w:hAnsi="Arial" w:cs="Arial"/>
          <w:sz w:val="24"/>
          <w:szCs w:val="24"/>
        </w:rPr>
      </w:pPr>
      <w:r w:rsidRPr="00201FFE">
        <w:rPr>
          <w:rFonts w:ascii="Arial" w:hAnsi="Arial" w:cs="Arial"/>
          <w:sz w:val="24"/>
          <w:szCs w:val="24"/>
        </w:rPr>
        <w:t>The third law of supply and demand asserts that more supply without more demand lowers prices and boosts sales. Food industry restrictions were maintained throughout the pandemic. Hospitality and restaurant businesses have surplus inventory from closures and downsizing owing to poor demand</w:t>
      </w:r>
      <w:r w:rsidR="00924AB7" w:rsidRPr="00201FFE">
        <w:rPr>
          <w:rFonts w:ascii="Arial" w:hAnsi="Arial" w:cs="Arial"/>
          <w:sz w:val="24"/>
          <w:szCs w:val="24"/>
        </w:rPr>
        <w:t xml:space="preserve"> (Shapiro, 1987)</w:t>
      </w:r>
      <w:r w:rsidRPr="00201FFE">
        <w:rPr>
          <w:rFonts w:ascii="Arial" w:hAnsi="Arial" w:cs="Arial"/>
          <w:sz w:val="24"/>
          <w:szCs w:val="24"/>
        </w:rPr>
        <w:t>. Overstock was given to food stores and DTC channels to prevent waste. Pricing was regularly decreased to increase sales. Changes in supply chains allow enterprises to access new markets, and a supply increase without a demand increase requires price reduction to drive sales.</w:t>
      </w:r>
    </w:p>
    <w:p w14:paraId="161D8F7F" w14:textId="7F9AA28F" w:rsidR="000418BB" w:rsidRPr="00201FFE" w:rsidRDefault="000418BB" w:rsidP="00201FFE">
      <w:pPr>
        <w:spacing w:line="360" w:lineRule="auto"/>
        <w:jc w:val="both"/>
        <w:rPr>
          <w:rFonts w:ascii="Arial" w:hAnsi="Arial" w:cs="Arial"/>
          <w:b/>
          <w:bCs/>
          <w:sz w:val="24"/>
          <w:szCs w:val="24"/>
        </w:rPr>
      </w:pPr>
      <w:r w:rsidRPr="00201FFE">
        <w:rPr>
          <w:rFonts w:ascii="Arial" w:hAnsi="Arial" w:cs="Arial"/>
          <w:b/>
          <w:bCs/>
          <w:sz w:val="24"/>
          <w:szCs w:val="24"/>
        </w:rPr>
        <w:t>Decreased Supply with Unchanged Demand</w:t>
      </w:r>
    </w:p>
    <w:p w14:paraId="646AA0AF" w14:textId="040C389A" w:rsidR="000418BB" w:rsidRPr="00201FFE" w:rsidRDefault="000418BB" w:rsidP="00201FFE">
      <w:pPr>
        <w:spacing w:line="360" w:lineRule="auto"/>
        <w:jc w:val="both"/>
        <w:rPr>
          <w:rFonts w:ascii="Arial" w:hAnsi="Arial" w:cs="Arial"/>
          <w:sz w:val="24"/>
          <w:szCs w:val="24"/>
        </w:rPr>
      </w:pPr>
      <w:r w:rsidRPr="00201FFE">
        <w:rPr>
          <w:rFonts w:ascii="Arial" w:hAnsi="Arial" w:cs="Arial"/>
          <w:sz w:val="24"/>
          <w:szCs w:val="24"/>
        </w:rPr>
        <w:t>The fourth and final law is that stagnant demand and supply raise prices and lower sales. Initial pandemic home disinfectant issues. Hygiene awareness increased demand, while lockdowns and raw material shortages limited supply</w:t>
      </w:r>
      <w:r w:rsidR="00924AB7" w:rsidRPr="00201FFE">
        <w:rPr>
          <w:rFonts w:ascii="Arial" w:hAnsi="Arial" w:cs="Arial"/>
          <w:sz w:val="24"/>
          <w:szCs w:val="24"/>
        </w:rPr>
        <w:t xml:space="preserve"> (Shapiro, 1987)</w:t>
      </w:r>
      <w:r w:rsidRPr="00201FFE">
        <w:rPr>
          <w:rFonts w:ascii="Arial" w:hAnsi="Arial" w:cs="Arial"/>
          <w:sz w:val="24"/>
          <w:szCs w:val="24"/>
        </w:rPr>
        <w:t>. Retail disinfectants were limited and costly. Due to strong demand and limited availability, retailers and suppliers battled with supply chain management and consumer expectations. Supply chain resilience is key to market stability.</w:t>
      </w:r>
    </w:p>
    <w:p w14:paraId="69A3361C" w14:textId="648157C5" w:rsidR="000418BB" w:rsidRPr="00201FFE" w:rsidRDefault="000418BB" w:rsidP="00201FFE">
      <w:pPr>
        <w:spacing w:line="360" w:lineRule="auto"/>
        <w:jc w:val="both"/>
        <w:rPr>
          <w:rFonts w:ascii="Arial" w:hAnsi="Arial" w:cs="Arial"/>
          <w:sz w:val="24"/>
          <w:szCs w:val="24"/>
        </w:rPr>
      </w:pPr>
      <w:r w:rsidRPr="00201FFE">
        <w:rPr>
          <w:rFonts w:ascii="Arial" w:hAnsi="Arial" w:cs="Arial"/>
          <w:sz w:val="24"/>
          <w:szCs w:val="24"/>
        </w:rPr>
        <w:br w:type="page"/>
      </w:r>
    </w:p>
    <w:p w14:paraId="5110FB01" w14:textId="79A85F69" w:rsidR="000418BB" w:rsidRPr="00201FFE" w:rsidRDefault="000418BB" w:rsidP="00201FFE">
      <w:pPr>
        <w:pStyle w:val="Heading1"/>
        <w:spacing w:line="360" w:lineRule="auto"/>
        <w:rPr>
          <w:rFonts w:ascii="Arial" w:hAnsi="Arial" w:cs="Arial"/>
          <w:b/>
          <w:bCs/>
          <w:color w:val="auto"/>
          <w:sz w:val="24"/>
          <w:szCs w:val="24"/>
        </w:rPr>
      </w:pPr>
      <w:bookmarkStart w:id="18" w:name="_Toc165124383"/>
      <w:r w:rsidRPr="00201FFE">
        <w:rPr>
          <w:rFonts w:ascii="Arial" w:hAnsi="Arial" w:cs="Arial"/>
          <w:b/>
          <w:bCs/>
          <w:color w:val="auto"/>
          <w:sz w:val="24"/>
          <w:szCs w:val="24"/>
        </w:rPr>
        <w:lastRenderedPageBreak/>
        <w:t>Conclusion</w:t>
      </w:r>
      <w:bookmarkEnd w:id="18"/>
    </w:p>
    <w:p w14:paraId="6A9A642A" w14:textId="41B022BE" w:rsidR="000418BB" w:rsidRPr="00201FFE" w:rsidRDefault="000418BB" w:rsidP="00201FFE">
      <w:pPr>
        <w:spacing w:line="360" w:lineRule="auto"/>
        <w:jc w:val="both"/>
        <w:rPr>
          <w:rFonts w:ascii="Arial" w:hAnsi="Arial" w:cs="Arial"/>
          <w:sz w:val="24"/>
          <w:szCs w:val="24"/>
        </w:rPr>
      </w:pPr>
      <w:r w:rsidRPr="00201FFE">
        <w:rPr>
          <w:rFonts w:ascii="Arial" w:eastAsia="Times New Roman" w:hAnsi="Arial" w:cs="Arial"/>
          <w:sz w:val="24"/>
          <w:szCs w:val="24"/>
        </w:rPr>
        <w:t>The COVID-19 pandemic emphasizes economic policy and corporate management strategic planning and adaptability. Supply and demand drive economic choices, helping companies navigate market changes and supply chain interruptions. Demand elasticity and inelasticity require companies to adjust pricing and supply chain strategies to change customer behavior and market circumstances</w:t>
      </w:r>
      <w:r w:rsidR="00924AB7" w:rsidRPr="00201FFE">
        <w:rPr>
          <w:rFonts w:ascii="Arial" w:eastAsia="Times New Roman" w:hAnsi="Arial" w:cs="Arial"/>
          <w:sz w:val="24"/>
          <w:szCs w:val="24"/>
        </w:rPr>
        <w:t xml:space="preserve"> </w:t>
      </w:r>
      <w:r w:rsidR="00924AB7" w:rsidRPr="00201FFE">
        <w:rPr>
          <w:rFonts w:ascii="Arial" w:hAnsi="Arial" w:cs="Arial"/>
          <w:sz w:val="24"/>
          <w:szCs w:val="24"/>
        </w:rPr>
        <w:t>(Shapiro, 1987)</w:t>
      </w:r>
      <w:r w:rsidRPr="00201FFE">
        <w:rPr>
          <w:rFonts w:ascii="Arial" w:eastAsia="Times New Roman" w:hAnsi="Arial" w:cs="Arial"/>
          <w:sz w:val="24"/>
          <w:szCs w:val="24"/>
        </w:rPr>
        <w:t>. In conclusion, the pandemic has posed unusual obstacles but also given new ideas and important economic strategy and company activity adjustments. Learning from this tumultuous time may help institutions and governments develop stronger and more flexible economic frameworks post-pandemic.</w:t>
      </w:r>
    </w:p>
    <w:p w14:paraId="0D36DE1D" w14:textId="1D31ADB0" w:rsidR="00924AB7" w:rsidRPr="00201FFE" w:rsidRDefault="00924AB7" w:rsidP="00201FFE">
      <w:pPr>
        <w:spacing w:line="360" w:lineRule="auto"/>
        <w:rPr>
          <w:rFonts w:ascii="Arial" w:hAnsi="Arial" w:cs="Arial"/>
          <w:sz w:val="24"/>
          <w:szCs w:val="24"/>
        </w:rPr>
      </w:pPr>
      <w:r w:rsidRPr="00201FFE">
        <w:rPr>
          <w:rFonts w:ascii="Arial" w:hAnsi="Arial" w:cs="Arial"/>
          <w:sz w:val="24"/>
          <w:szCs w:val="24"/>
        </w:rPr>
        <w:br w:type="page"/>
      </w:r>
    </w:p>
    <w:p w14:paraId="15E10A8A" w14:textId="65BAD784" w:rsidR="00985AF9" w:rsidRPr="00201FFE" w:rsidRDefault="00924AB7" w:rsidP="00201FFE">
      <w:pPr>
        <w:pStyle w:val="Heading1"/>
        <w:spacing w:line="360" w:lineRule="auto"/>
        <w:rPr>
          <w:rFonts w:ascii="Arial" w:hAnsi="Arial" w:cs="Arial"/>
          <w:b/>
          <w:bCs/>
          <w:color w:val="auto"/>
          <w:sz w:val="24"/>
          <w:szCs w:val="24"/>
        </w:rPr>
      </w:pPr>
      <w:bookmarkStart w:id="19" w:name="_Toc165124384"/>
      <w:r w:rsidRPr="00201FFE">
        <w:rPr>
          <w:rFonts w:ascii="Arial" w:hAnsi="Arial" w:cs="Arial"/>
          <w:b/>
          <w:bCs/>
          <w:color w:val="auto"/>
          <w:sz w:val="24"/>
          <w:szCs w:val="24"/>
        </w:rPr>
        <w:lastRenderedPageBreak/>
        <w:t>References</w:t>
      </w:r>
      <w:bookmarkEnd w:id="19"/>
    </w:p>
    <w:p w14:paraId="0CCD70FF"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Aigner-Walder, B. (2015) Effects of the Demographic Changes on Private Consumption: An Almost Ideal Demand System Analysis for Austria. Journal of Economic and Social Studies, 5, 1, 33-57 </w:t>
      </w:r>
    </w:p>
    <w:p w14:paraId="40748F79"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Andreyeva, T., Long, M. and Brownell, K. (2010) The Impact of Food Prices on Consumption: A </w:t>
      </w:r>
      <w:proofErr w:type="gramStart"/>
      <w:r w:rsidRPr="00201FFE">
        <w:rPr>
          <w:rFonts w:ascii="Arial" w:hAnsi="Arial" w:cs="Arial"/>
          <w:sz w:val="24"/>
          <w:szCs w:val="24"/>
        </w:rPr>
        <w:t>Systematic  Review</w:t>
      </w:r>
      <w:proofErr w:type="gramEnd"/>
      <w:r w:rsidRPr="00201FFE">
        <w:rPr>
          <w:rFonts w:ascii="Arial" w:hAnsi="Arial" w:cs="Arial"/>
          <w:sz w:val="24"/>
          <w:szCs w:val="24"/>
        </w:rPr>
        <w:t xml:space="preserve"> of Research on the Price Elasticity of Demand for Food. American Journal of Public Health, 100, </w:t>
      </w:r>
      <w:proofErr w:type="gramStart"/>
      <w:r w:rsidRPr="00201FFE">
        <w:rPr>
          <w:rFonts w:ascii="Arial" w:hAnsi="Arial" w:cs="Arial"/>
          <w:sz w:val="24"/>
          <w:szCs w:val="24"/>
        </w:rPr>
        <w:t>2,  216</w:t>
      </w:r>
      <w:proofErr w:type="gramEnd"/>
      <w:r w:rsidRPr="00201FFE">
        <w:rPr>
          <w:rFonts w:ascii="Arial" w:hAnsi="Arial" w:cs="Arial"/>
          <w:sz w:val="24"/>
          <w:szCs w:val="24"/>
        </w:rPr>
        <w:t xml:space="preserve">-222. </w:t>
      </w:r>
    </w:p>
    <w:p w14:paraId="52B0EE92"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Bagwell, K. (2005) The Economic Analysis of Advertising. Columbia University Discussion Papers </w:t>
      </w:r>
      <w:proofErr w:type="gramStart"/>
      <w:r w:rsidRPr="00201FFE">
        <w:rPr>
          <w:rFonts w:ascii="Arial" w:hAnsi="Arial" w:cs="Arial"/>
          <w:sz w:val="24"/>
          <w:szCs w:val="24"/>
        </w:rPr>
        <w:t>No. :</w:t>
      </w:r>
      <w:proofErr w:type="gramEnd"/>
      <w:r w:rsidRPr="00201FFE">
        <w:rPr>
          <w:rFonts w:ascii="Arial" w:hAnsi="Arial" w:cs="Arial"/>
          <w:sz w:val="24"/>
          <w:szCs w:val="24"/>
        </w:rPr>
        <w:t xml:space="preserve">  050601 </w:t>
      </w:r>
    </w:p>
    <w:p w14:paraId="68BD3A2B"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Baker, J. (2003) Competitive Price Discrimination: The Exercise of Market Power Without Anticompetitive Effects (Comment on Klein and Wiley). Articles in Law Reviews &amp; Other Academic Journals. Paper 278. </w:t>
      </w:r>
    </w:p>
    <w:p w14:paraId="3E6D6960"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Ellickson, P. (2013) Market Structure and Performance. International Encyclopedia of the Social &amp; Behavioral Sciences, Forthcoming; Simon School Working Paper No. 13-21 </w:t>
      </w:r>
    </w:p>
    <w:p w14:paraId="067054FB"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Foot, D. and Gomez, R. (2006) Population aging and sectorial growth: the case study of the UK, 2006- 2026. OJBE, 5:1 </w:t>
      </w:r>
    </w:p>
    <w:p w14:paraId="1E78D124"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Griffith, G. (2003) The Impact of Supermarkets on Farm Suppliers. The Australian Economic Review, 37,3, 329–336.</w:t>
      </w:r>
    </w:p>
    <w:p w14:paraId="1BFC0F26"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Heien, D. and Pompelli, G. (1989) The Demand for Alcoholic Beverages: Economic and Demographic Effects, Southern Economic Journal, pp. 759–769. </w:t>
      </w:r>
    </w:p>
    <w:p w14:paraId="2FDDD9B5"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Lin, Y., Fan, D., Shi, X. and Fu, M., 2021. The effects of supply chain diversification during the COVID-19 crisis: Evidence from Chinese manufacturers. Transportation Research Part E: Logistics and Transportation Review, 155, p.102493.</w:t>
      </w:r>
    </w:p>
    <w:p w14:paraId="6CF5B15E"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 xml:space="preserve">OECD (2015) GENERAL ASSESSMENT OF THE MACROECONOMIC SITUATION. OECD Economic Outlook Volume 2015/1 </w:t>
      </w:r>
    </w:p>
    <w:p w14:paraId="28A26154"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lastRenderedPageBreak/>
        <w:t>Osadiya T. (2023), Introduction to Economics. Amazon</w:t>
      </w:r>
    </w:p>
    <w:p w14:paraId="787CA8DB" w14:textId="77777777" w:rsidR="00924AB7" w:rsidRPr="00201FFE" w:rsidRDefault="00924AB7" w:rsidP="00201FFE">
      <w:pPr>
        <w:spacing w:line="360" w:lineRule="auto"/>
        <w:ind w:left="720" w:hanging="720"/>
        <w:jc w:val="both"/>
        <w:rPr>
          <w:rFonts w:ascii="Arial" w:hAnsi="Arial" w:cs="Arial"/>
          <w:sz w:val="24"/>
          <w:szCs w:val="24"/>
        </w:rPr>
      </w:pPr>
      <w:r w:rsidRPr="00201FFE">
        <w:rPr>
          <w:rFonts w:ascii="Arial" w:hAnsi="Arial" w:cs="Arial"/>
          <w:sz w:val="24"/>
          <w:szCs w:val="24"/>
        </w:rPr>
        <w:t>Shapiro, M. (1987) Measuring Market Power in U.S. Industry, NBER Working Paper, No. 2212.</w:t>
      </w:r>
    </w:p>
    <w:sectPr w:rsidR="00924AB7" w:rsidRPr="00201FF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8023EC" w14:textId="77777777" w:rsidR="002C0E66" w:rsidRDefault="002C0E66" w:rsidP="00924AB7">
      <w:pPr>
        <w:spacing w:after="0" w:line="240" w:lineRule="auto"/>
      </w:pPr>
      <w:r>
        <w:separator/>
      </w:r>
    </w:p>
  </w:endnote>
  <w:endnote w:type="continuationSeparator" w:id="0">
    <w:p w14:paraId="5838521F" w14:textId="77777777" w:rsidR="002C0E66" w:rsidRDefault="002C0E66" w:rsidP="00924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A4A47" w14:textId="77777777" w:rsidR="002C0E66" w:rsidRDefault="002C0E66" w:rsidP="00924AB7">
      <w:pPr>
        <w:spacing w:after="0" w:line="240" w:lineRule="auto"/>
      </w:pPr>
      <w:r>
        <w:separator/>
      </w:r>
    </w:p>
  </w:footnote>
  <w:footnote w:type="continuationSeparator" w:id="0">
    <w:p w14:paraId="54755B18" w14:textId="77777777" w:rsidR="002C0E66" w:rsidRDefault="002C0E66" w:rsidP="00924A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A96"/>
    <w:rsid w:val="00012F7E"/>
    <w:rsid w:val="000418BB"/>
    <w:rsid w:val="00201FFE"/>
    <w:rsid w:val="002350F6"/>
    <w:rsid w:val="002B3B73"/>
    <w:rsid w:val="002C0E66"/>
    <w:rsid w:val="002F24F3"/>
    <w:rsid w:val="003E09F3"/>
    <w:rsid w:val="003F7A62"/>
    <w:rsid w:val="00454749"/>
    <w:rsid w:val="00922A96"/>
    <w:rsid w:val="00924AB7"/>
    <w:rsid w:val="00985AF9"/>
    <w:rsid w:val="00997346"/>
    <w:rsid w:val="00A724AA"/>
    <w:rsid w:val="00AC1EC4"/>
    <w:rsid w:val="00B0271A"/>
    <w:rsid w:val="00B4716A"/>
    <w:rsid w:val="00CD4F43"/>
    <w:rsid w:val="00DC611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C86A"/>
  <w15:chartTrackingRefBased/>
  <w15:docId w15:val="{7B80DA54-DB19-4FDA-AFF8-DFC5DFE0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A9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922A9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22A9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22A9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22A9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22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A9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922A9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22A9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22A9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22A9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22A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A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A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A96"/>
    <w:rPr>
      <w:rFonts w:eastAsiaTheme="majorEastAsia" w:cstheme="majorBidi"/>
      <w:color w:val="272727" w:themeColor="text1" w:themeTint="D8"/>
    </w:rPr>
  </w:style>
  <w:style w:type="paragraph" w:styleId="Title">
    <w:name w:val="Title"/>
    <w:basedOn w:val="Normal"/>
    <w:next w:val="Normal"/>
    <w:link w:val="TitleChar"/>
    <w:uiPriority w:val="10"/>
    <w:qFormat/>
    <w:rsid w:val="00922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A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A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A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A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2A96"/>
    <w:rPr>
      <w:i/>
      <w:iCs/>
      <w:color w:val="404040" w:themeColor="text1" w:themeTint="BF"/>
    </w:rPr>
  </w:style>
  <w:style w:type="paragraph" w:styleId="ListParagraph">
    <w:name w:val="List Paragraph"/>
    <w:basedOn w:val="Normal"/>
    <w:uiPriority w:val="34"/>
    <w:qFormat/>
    <w:rsid w:val="00922A96"/>
    <w:pPr>
      <w:ind w:left="720"/>
      <w:contextualSpacing/>
    </w:pPr>
  </w:style>
  <w:style w:type="character" w:styleId="IntenseEmphasis">
    <w:name w:val="Intense Emphasis"/>
    <w:basedOn w:val="DefaultParagraphFont"/>
    <w:uiPriority w:val="21"/>
    <w:qFormat/>
    <w:rsid w:val="00922A96"/>
    <w:rPr>
      <w:i/>
      <w:iCs/>
      <w:color w:val="365F91" w:themeColor="accent1" w:themeShade="BF"/>
    </w:rPr>
  </w:style>
  <w:style w:type="paragraph" w:styleId="IntenseQuote">
    <w:name w:val="Intense Quote"/>
    <w:basedOn w:val="Normal"/>
    <w:next w:val="Normal"/>
    <w:link w:val="IntenseQuoteChar"/>
    <w:uiPriority w:val="30"/>
    <w:qFormat/>
    <w:rsid w:val="00922A9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22A96"/>
    <w:rPr>
      <w:i/>
      <w:iCs/>
      <w:color w:val="365F91" w:themeColor="accent1" w:themeShade="BF"/>
    </w:rPr>
  </w:style>
  <w:style w:type="character" w:styleId="IntenseReference">
    <w:name w:val="Intense Reference"/>
    <w:basedOn w:val="DefaultParagraphFont"/>
    <w:uiPriority w:val="32"/>
    <w:qFormat/>
    <w:rsid w:val="00922A96"/>
    <w:rPr>
      <w:b/>
      <w:bCs/>
      <w:smallCaps/>
      <w:color w:val="365F91" w:themeColor="accent1" w:themeShade="BF"/>
      <w:spacing w:val="5"/>
    </w:rPr>
  </w:style>
  <w:style w:type="table" w:styleId="TableGrid">
    <w:name w:val="Table Grid"/>
    <w:basedOn w:val="TableNormal"/>
    <w:uiPriority w:val="59"/>
    <w:rsid w:val="00985AF9"/>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4A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AB7"/>
  </w:style>
  <w:style w:type="paragraph" w:styleId="Footer">
    <w:name w:val="footer"/>
    <w:basedOn w:val="Normal"/>
    <w:link w:val="FooterChar"/>
    <w:uiPriority w:val="99"/>
    <w:unhideWhenUsed/>
    <w:rsid w:val="00924A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AB7"/>
  </w:style>
  <w:style w:type="paragraph" w:styleId="TOCHeading">
    <w:name w:val="TOC Heading"/>
    <w:basedOn w:val="Heading1"/>
    <w:next w:val="Normal"/>
    <w:uiPriority w:val="39"/>
    <w:unhideWhenUsed/>
    <w:qFormat/>
    <w:rsid w:val="003F7A62"/>
    <w:pPr>
      <w:spacing w:before="240" w:after="0" w:line="259" w:lineRule="auto"/>
      <w:outlineLvl w:val="9"/>
    </w:pPr>
    <w:rPr>
      <w:sz w:val="32"/>
      <w:szCs w:val="32"/>
    </w:rPr>
  </w:style>
  <w:style w:type="paragraph" w:styleId="TOC1">
    <w:name w:val="toc 1"/>
    <w:basedOn w:val="Normal"/>
    <w:next w:val="Normal"/>
    <w:autoRedefine/>
    <w:uiPriority w:val="39"/>
    <w:unhideWhenUsed/>
    <w:rsid w:val="003F7A62"/>
    <w:pPr>
      <w:spacing w:after="100"/>
    </w:pPr>
  </w:style>
  <w:style w:type="paragraph" w:styleId="TOC2">
    <w:name w:val="toc 2"/>
    <w:basedOn w:val="Normal"/>
    <w:next w:val="Normal"/>
    <w:autoRedefine/>
    <w:uiPriority w:val="39"/>
    <w:unhideWhenUsed/>
    <w:rsid w:val="003F7A62"/>
    <w:pPr>
      <w:spacing w:after="100"/>
      <w:ind w:left="220"/>
    </w:pPr>
  </w:style>
  <w:style w:type="character" w:styleId="Hyperlink">
    <w:name w:val="Hyperlink"/>
    <w:basedOn w:val="DefaultParagraphFont"/>
    <w:uiPriority w:val="99"/>
    <w:unhideWhenUsed/>
    <w:rsid w:val="003F7A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224777">
      <w:bodyDiv w:val="1"/>
      <w:marLeft w:val="0"/>
      <w:marRight w:val="0"/>
      <w:marTop w:val="0"/>
      <w:marBottom w:val="0"/>
      <w:divBdr>
        <w:top w:val="none" w:sz="0" w:space="0" w:color="auto"/>
        <w:left w:val="none" w:sz="0" w:space="0" w:color="auto"/>
        <w:bottom w:val="none" w:sz="0" w:space="0" w:color="auto"/>
        <w:right w:val="none" w:sz="0" w:space="0" w:color="auto"/>
      </w:divBdr>
    </w:div>
    <w:div w:id="171504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9853C-71DF-4A7E-86CC-3297B79EC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3848</Words>
  <Characters>21937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Manager/>
  <Company>home</Company>
  <LinksUpToDate>false</LinksUpToDate>
  <CharactersWithSpaces>25734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Nezabravka Vasileva</dc:creator>
  <cp:keywords/>
  <dc:description/>
  <cp:lastModifiedBy>Nezabravka Vasileva</cp:lastModifiedBy>
  <cp:revision>2</cp:revision>
  <dcterms:created xsi:type="dcterms:W3CDTF">2024-04-27T14:55:00Z</dcterms:created>
  <dcterms:modified xsi:type="dcterms:W3CDTF">2024-04-27T14:55:00Z</dcterms:modified>
  <cp:category/>
</cp:coreProperties>
</file>