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cstheme="minorHAnsi"/>
        </w:rPr>
        <w:id w:val="-1717421622"/>
        <w:docPartObj>
          <w:docPartGallery w:val="Cover Pages"/>
          <w:docPartUnique/>
        </w:docPartObj>
      </w:sdtPr>
      <w:sdtContent>
        <w:p w14:paraId="4D1C8EDA" w14:textId="10D81605" w:rsidR="00916F59" w:rsidRPr="007136FD" w:rsidRDefault="00916F59">
          <w:pPr>
            <w:rPr>
              <w:rFonts w:cstheme="minorHAnsi"/>
            </w:rPr>
          </w:pPr>
          <w:r w:rsidRPr="007136FD">
            <w:rPr>
              <w:rFonts w:cstheme="minorHAnsi"/>
              <w:noProof/>
            </w:rPr>
            <mc:AlternateContent>
              <mc:Choice Requires="wps">
                <w:drawing>
                  <wp:anchor distT="0" distB="0" distL="114300" distR="114300" simplePos="0" relativeHeight="251664384" behindDoc="0" locked="0" layoutInCell="1" allowOverlap="1" wp14:anchorId="5BA12DB1" wp14:editId="5162B9B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79"/>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20515CDC" w14:textId="3BB21F31" w:rsidR="00916F59" w:rsidRDefault="00916F59">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Daniel Olah (2022891)</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5BA12DB1" id="_x0000_t202" coordsize="21600,21600" o:spt="202" path="m,l,21600r21600,l21600,xe">
                    <v:stroke joinstyle="miter"/>
                    <v:path gradientshapeok="t" o:connecttype="rect"/>
                  </v:shapetype>
                  <v:shape id="Text Box 79"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20515CDC" w14:textId="3BB21F31" w:rsidR="00916F59" w:rsidRDefault="00916F59">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Daniel Olah (2022891)</w:t>
                              </w:r>
                            </w:sdtContent>
                          </w:sdt>
                        </w:p>
                      </w:txbxContent>
                    </v:textbox>
                    <w10:wrap type="square" anchorx="page" anchory="page"/>
                  </v:shape>
                </w:pict>
              </mc:Fallback>
            </mc:AlternateContent>
          </w:r>
          <w:r w:rsidRPr="007136FD">
            <w:rPr>
              <w:rFonts w:cstheme="minorHAnsi"/>
              <w:noProof/>
            </w:rPr>
            <mc:AlternateContent>
              <mc:Choice Requires="wps">
                <w:drawing>
                  <wp:anchor distT="0" distB="0" distL="114300" distR="114300" simplePos="0" relativeHeight="251663360" behindDoc="1" locked="0" layoutInCell="1" allowOverlap="1" wp14:anchorId="537C6AB7" wp14:editId="6716CD43">
                    <wp:simplePos x="0" y="0"/>
                    <wp:positionH relativeFrom="page">
                      <wp:align>center</wp:align>
                    </wp:positionH>
                    <wp:positionV relativeFrom="page">
                      <wp:align>center</wp:align>
                    </wp:positionV>
                    <wp:extent cx="7383780" cy="9555480"/>
                    <wp:effectExtent l="0" t="0" r="7620" b="7620"/>
                    <wp:wrapNone/>
                    <wp:docPr id="466"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C64397D" w14:textId="77777777" w:rsidR="00916F59" w:rsidRDefault="00916F59"/>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37C6AB7" id="Rectangle 80"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6C64397D" w14:textId="77777777" w:rsidR="00916F59" w:rsidRDefault="00916F59"/>
                      </w:txbxContent>
                    </v:textbox>
                    <w10:wrap anchorx="page" anchory="page"/>
                  </v:rect>
                </w:pict>
              </mc:Fallback>
            </mc:AlternateContent>
          </w:r>
          <w:r w:rsidRPr="007136FD">
            <w:rPr>
              <w:rFonts w:cstheme="minorHAnsi"/>
              <w:noProof/>
            </w:rPr>
            <mc:AlternateContent>
              <mc:Choice Requires="wps">
                <w:drawing>
                  <wp:anchor distT="0" distB="0" distL="114300" distR="114300" simplePos="0" relativeHeight="251660288" behindDoc="0" locked="0" layoutInCell="1" allowOverlap="1" wp14:anchorId="70CD7AEC" wp14:editId="15F1AC0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81"/>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BFE5AE2" w14:textId="68C7E982" w:rsidR="00916F59" w:rsidRDefault="00916F59">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70CD7AEC" id="Rectangle 81"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5BFE5AE2" w14:textId="68C7E982" w:rsidR="00916F59" w:rsidRDefault="00916F59">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v:textbox>
                    <w10:wrap anchorx="page" anchory="page"/>
                  </v:rect>
                </w:pict>
              </mc:Fallback>
            </mc:AlternateContent>
          </w:r>
          <w:r w:rsidRPr="007136FD">
            <w:rPr>
              <w:rFonts w:cstheme="minorHAnsi"/>
              <w:noProof/>
            </w:rPr>
            <mc:AlternateContent>
              <mc:Choice Requires="wps">
                <w:drawing>
                  <wp:anchor distT="0" distB="0" distL="114300" distR="114300" simplePos="0" relativeHeight="251659264" behindDoc="0" locked="0" layoutInCell="1" allowOverlap="1" wp14:anchorId="7361E2A8" wp14:editId="0D413DDF">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82"/>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25EA1996" id="Rectangle 82"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sidRPr="007136FD">
            <w:rPr>
              <w:rFonts w:cstheme="minorHAnsi"/>
              <w:noProof/>
            </w:rPr>
            <mc:AlternateContent>
              <mc:Choice Requires="wps">
                <w:drawing>
                  <wp:anchor distT="0" distB="0" distL="114300" distR="114300" simplePos="0" relativeHeight="251662336" behindDoc="0" locked="0" layoutInCell="1" allowOverlap="1" wp14:anchorId="1AEF4AC9" wp14:editId="6914D26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8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8519FD1" id="Rectangle 8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sidRPr="007136FD">
            <w:rPr>
              <w:rFonts w:cstheme="minorHAnsi"/>
              <w:noProof/>
            </w:rPr>
            <mc:AlternateContent>
              <mc:Choice Requires="wps">
                <w:drawing>
                  <wp:anchor distT="0" distB="0" distL="114300" distR="114300" simplePos="0" relativeHeight="251661312" behindDoc="0" locked="0" layoutInCell="1" allowOverlap="1" wp14:anchorId="5ED82A35" wp14:editId="25D811F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84"/>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1420CCBA" w14:textId="7FC2F44C" w:rsidR="00916F59" w:rsidRDefault="00916F59">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Leadership and Change</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495AA5C1" w14:textId="5ACFF72A" w:rsidR="00916F59" w:rsidRDefault="00916F59">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Brian Smith – Ex COO of The Coca- Cola Co</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5ED82A35" id="Text Box 84"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1420CCBA" w14:textId="7FC2F44C" w:rsidR="00916F59" w:rsidRDefault="00916F59">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Leadership and Change</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495AA5C1" w14:textId="5ACFF72A" w:rsidR="00916F59" w:rsidRDefault="00916F59">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Brian Smith – Ex COO of The Coca- Cola Co</w:t>
                              </w:r>
                            </w:p>
                          </w:sdtContent>
                        </w:sdt>
                      </w:txbxContent>
                    </v:textbox>
                    <w10:wrap type="square" anchorx="page" anchory="page"/>
                  </v:shape>
                </w:pict>
              </mc:Fallback>
            </mc:AlternateContent>
          </w:r>
        </w:p>
        <w:p w14:paraId="1A96A555" w14:textId="1EC89A67" w:rsidR="00916F59" w:rsidRPr="007136FD" w:rsidRDefault="00916F59">
          <w:pPr>
            <w:rPr>
              <w:rFonts w:cstheme="minorHAnsi"/>
            </w:rPr>
          </w:pPr>
          <w:r w:rsidRPr="007136FD">
            <w:rPr>
              <w:rFonts w:cstheme="minorHAnsi"/>
            </w:rPr>
            <w:br w:type="page"/>
          </w:r>
        </w:p>
      </w:sdtContent>
    </w:sdt>
    <w:p w14:paraId="014F5B52" w14:textId="7B44D46F" w:rsidR="00EE367F" w:rsidRPr="007136FD" w:rsidRDefault="00EE367F" w:rsidP="00EE367F">
      <w:pPr>
        <w:pStyle w:val="Heading1"/>
        <w:rPr>
          <w:rFonts w:asciiTheme="minorHAnsi" w:hAnsiTheme="minorHAnsi" w:cstheme="minorHAnsi"/>
        </w:rPr>
      </w:pPr>
      <w:r w:rsidRPr="007136FD">
        <w:rPr>
          <w:rFonts w:asciiTheme="minorHAnsi" w:hAnsiTheme="minorHAnsi" w:cstheme="minorHAnsi"/>
        </w:rPr>
        <w:lastRenderedPageBreak/>
        <w:t>Introduction</w:t>
      </w:r>
    </w:p>
    <w:p w14:paraId="2AC04A0A" w14:textId="7B046F2E" w:rsidR="00EE367F" w:rsidRPr="007136FD" w:rsidRDefault="00CB4021" w:rsidP="00916F59">
      <w:pPr>
        <w:rPr>
          <w:rFonts w:cstheme="minorHAnsi"/>
        </w:rPr>
      </w:pPr>
      <w:r w:rsidRPr="007136FD">
        <w:rPr>
          <w:rFonts w:cstheme="minorHAnsi"/>
        </w:rPr>
        <w:t>In organisational leadership, the ability to steer an organization through periods of change and challenge is crucial. This essay examines the tenure of Brian Smith as the President and Chief Operating Officer of The Coca-Cola Company, a period marked by strategic decision-making and transformative leadership. Under Smith's guidance, Coca-Cola underwent a comprehensive realignment, embracing its "Beverages for Life" strategy, and tackling the volatile market conditions and the COVID-19 pandemic's challenges. By exploring Smith's approach to financial restructuring, human resource development</w:t>
      </w:r>
      <w:r w:rsidR="006671F0" w:rsidRPr="007136FD">
        <w:rPr>
          <w:rFonts w:cstheme="minorHAnsi"/>
        </w:rPr>
        <w:t xml:space="preserve"> </w:t>
      </w:r>
      <w:r w:rsidRPr="007136FD">
        <w:rPr>
          <w:rFonts w:cstheme="minorHAnsi"/>
        </w:rPr>
        <w:t>and market expansion, we aim to understand the interplay between leadership traits and corporate strategy. Additionally, the essay will analyse the theoretical underpinnings of Smith's leadership style, comparing it with established leadership and change management theories, to deduce the elements that contribute to effective leadership in a rapidly evolving business landscape.</w:t>
      </w:r>
    </w:p>
    <w:p w14:paraId="4C3EB89D" w14:textId="7C5F2DAD" w:rsidR="00EE367F" w:rsidRPr="007136FD" w:rsidRDefault="00EE367F" w:rsidP="00EE367F">
      <w:pPr>
        <w:pStyle w:val="Heading1"/>
        <w:rPr>
          <w:rFonts w:asciiTheme="minorHAnsi" w:hAnsiTheme="minorHAnsi" w:cstheme="minorHAnsi"/>
        </w:rPr>
      </w:pPr>
      <w:r w:rsidRPr="007136FD">
        <w:rPr>
          <w:rFonts w:asciiTheme="minorHAnsi" w:hAnsiTheme="minorHAnsi" w:cstheme="minorHAnsi"/>
        </w:rPr>
        <w:t>Background of the leader</w:t>
      </w:r>
    </w:p>
    <w:p w14:paraId="1B361CFE" w14:textId="79DA4CD5" w:rsidR="00AC1F4D" w:rsidRPr="007136FD" w:rsidRDefault="00D67D15" w:rsidP="00AC1F4D">
      <w:pPr>
        <w:rPr>
          <w:rFonts w:cstheme="minorHAnsi"/>
        </w:rPr>
      </w:pPr>
      <w:r w:rsidRPr="007136FD">
        <w:rPr>
          <w:rFonts w:cstheme="minorHAnsi"/>
        </w:rPr>
        <w:t>M</w:t>
      </w:r>
      <w:r w:rsidR="009A5C33" w:rsidRPr="007136FD">
        <w:rPr>
          <w:rFonts w:cstheme="minorHAnsi"/>
        </w:rPr>
        <w:t>ultiple articles on The Coca</w:t>
      </w:r>
      <w:r w:rsidR="008D0483" w:rsidRPr="007136FD">
        <w:rPr>
          <w:rFonts w:cstheme="minorHAnsi"/>
        </w:rPr>
        <w:t>-</w:t>
      </w:r>
      <w:r w:rsidR="009A5C33" w:rsidRPr="007136FD">
        <w:rPr>
          <w:rFonts w:cstheme="minorHAnsi"/>
        </w:rPr>
        <w:t>Cola company website (</w:t>
      </w:r>
      <w:r w:rsidRPr="007136FD">
        <w:rPr>
          <w:rFonts w:cstheme="minorHAnsi"/>
        </w:rPr>
        <w:t>n.</w:t>
      </w:r>
      <w:r w:rsidR="008D0483" w:rsidRPr="007136FD">
        <w:rPr>
          <w:rFonts w:cstheme="minorHAnsi"/>
        </w:rPr>
        <w:t xml:space="preserve"> </w:t>
      </w:r>
      <w:r w:rsidRPr="007136FD">
        <w:rPr>
          <w:rFonts w:cstheme="minorHAnsi"/>
        </w:rPr>
        <w:t>d</w:t>
      </w:r>
      <w:r w:rsidR="009A5C33" w:rsidRPr="007136FD">
        <w:rPr>
          <w:rFonts w:cstheme="minorHAnsi"/>
        </w:rPr>
        <w:t>,2022, 20</w:t>
      </w:r>
      <w:r w:rsidR="007257B6" w:rsidRPr="007136FD">
        <w:rPr>
          <w:rFonts w:cstheme="minorHAnsi"/>
        </w:rPr>
        <w:t>20</w:t>
      </w:r>
      <w:r w:rsidR="009A5C33" w:rsidRPr="007136FD">
        <w:rPr>
          <w:rFonts w:cstheme="minorHAnsi"/>
        </w:rPr>
        <w:t>, 20</w:t>
      </w:r>
      <w:r w:rsidR="007257B6" w:rsidRPr="007136FD">
        <w:rPr>
          <w:rFonts w:cstheme="minorHAnsi"/>
        </w:rPr>
        <w:t>18</w:t>
      </w:r>
      <w:r w:rsidR="009A5C33" w:rsidRPr="007136FD">
        <w:rPr>
          <w:rFonts w:cstheme="minorHAnsi"/>
        </w:rPr>
        <w:t>)</w:t>
      </w:r>
      <w:r w:rsidRPr="007136FD">
        <w:rPr>
          <w:rFonts w:cstheme="minorHAnsi"/>
        </w:rPr>
        <w:t xml:space="preserve"> and The Beverage forum</w:t>
      </w:r>
      <w:r w:rsidR="008D0483" w:rsidRPr="007136FD">
        <w:rPr>
          <w:rFonts w:cstheme="minorHAnsi"/>
        </w:rPr>
        <w:t xml:space="preserve"> (n. d) websites</w:t>
      </w:r>
      <w:r w:rsidRPr="007136FD">
        <w:rPr>
          <w:rFonts w:cstheme="minorHAnsi"/>
        </w:rPr>
        <w:t xml:space="preserve"> were used to provide the background information for the chosen leader.</w:t>
      </w:r>
      <w:r w:rsidR="009A5C33" w:rsidRPr="007136FD">
        <w:rPr>
          <w:rFonts w:cstheme="minorHAnsi"/>
        </w:rPr>
        <w:t xml:space="preserve"> </w:t>
      </w:r>
      <w:r w:rsidR="00AC1F4D" w:rsidRPr="007136FD">
        <w:rPr>
          <w:rFonts w:cstheme="minorHAnsi"/>
        </w:rPr>
        <w:t>Brian Smith's tenure as the President and Chief Operating Officer of Coca-Cola from 2018 to 2022 was marked by significant strategic shifts and initiatives that realigned the company with its ambitious "Beverages for Life" strategy. Amidst evolving market dynamics and the challenges of the COVID-19 pandemic, Smith's leadership was pivotal in reshaping Coca-Cola's global brand portfolio. He focused on streamlining the portfolio to concentrate resources on more profitable and growth-oriented brands, thereby enhancing the company's market competitiveness and financial health.</w:t>
      </w:r>
    </w:p>
    <w:p w14:paraId="3A276540" w14:textId="1EC10A4D" w:rsidR="00AC1F4D" w:rsidRPr="007136FD" w:rsidRDefault="00AC1F4D" w:rsidP="00AC1F4D">
      <w:pPr>
        <w:rPr>
          <w:rFonts w:cstheme="minorHAnsi"/>
        </w:rPr>
      </w:pPr>
      <w:r w:rsidRPr="007136FD">
        <w:rPr>
          <w:rFonts w:cstheme="minorHAnsi"/>
        </w:rPr>
        <w:t xml:space="preserve">In his pursuit of innovation, Smith fostered a culture of creative exploration across the company's global operations. This approach led to the identification and exploitation of scalable and profitable opportunities, propelling Coca-Cola into new markets and product segments. A key milestone in this journey was Coca-Cola's strategic foray into the coffee segment through the acquisition of Costa. This move not only diversified the company's product offerings but also addressed a notable market gap in the away-from-home coffee channels, </w:t>
      </w:r>
      <w:r w:rsidR="00CB4021" w:rsidRPr="007136FD">
        <w:rPr>
          <w:rFonts w:cstheme="minorHAnsi"/>
        </w:rPr>
        <w:t>opening</w:t>
      </w:r>
      <w:r w:rsidRPr="007136FD">
        <w:rPr>
          <w:rFonts w:cstheme="minorHAnsi"/>
        </w:rPr>
        <w:t xml:space="preserve"> new growth avenues.</w:t>
      </w:r>
    </w:p>
    <w:p w14:paraId="5EB67276" w14:textId="686CC90B" w:rsidR="00AC1F4D" w:rsidRPr="007136FD" w:rsidRDefault="00AC1F4D" w:rsidP="00AC1F4D">
      <w:pPr>
        <w:rPr>
          <w:rFonts w:cstheme="minorHAnsi"/>
        </w:rPr>
      </w:pPr>
      <w:r w:rsidRPr="007136FD">
        <w:rPr>
          <w:rFonts w:cstheme="minorHAnsi"/>
        </w:rPr>
        <w:t xml:space="preserve">Understanding the crucial role of human talent in driving corporate success, Smith placed considerable emphasis on talent development and deployment. His vision was to </w:t>
      </w:r>
      <w:r w:rsidR="009A5C33" w:rsidRPr="007136FD">
        <w:rPr>
          <w:rFonts w:cstheme="minorHAnsi"/>
        </w:rPr>
        <w:t>form</w:t>
      </w:r>
      <w:r w:rsidRPr="007136FD">
        <w:rPr>
          <w:rFonts w:cstheme="minorHAnsi"/>
        </w:rPr>
        <w:t xml:space="preserve"> Coca-Cola into an organization that was not only consumer-</w:t>
      </w:r>
      <w:r w:rsidR="009A5C33" w:rsidRPr="007136FD">
        <w:rPr>
          <w:rFonts w:cstheme="minorHAnsi"/>
        </w:rPr>
        <w:t>centred</w:t>
      </w:r>
      <w:r w:rsidRPr="007136FD">
        <w:rPr>
          <w:rFonts w:cstheme="minorHAnsi"/>
        </w:rPr>
        <w:t xml:space="preserve"> but also primed for sustainable growth. This involved nurturing a workforce that was adaptable, skilled, and aligned with the company's strategic objectives.</w:t>
      </w:r>
    </w:p>
    <w:p w14:paraId="1A9F5E04" w14:textId="0733D4ED" w:rsidR="00AC1F4D" w:rsidRPr="007136FD" w:rsidRDefault="00AC1F4D" w:rsidP="00AC1F4D">
      <w:pPr>
        <w:rPr>
          <w:rFonts w:cstheme="minorHAnsi"/>
        </w:rPr>
      </w:pPr>
      <w:r w:rsidRPr="007136FD">
        <w:rPr>
          <w:rFonts w:cstheme="minorHAnsi"/>
        </w:rPr>
        <w:t>Organizational restructuring under Smith's guidance was another hallmark of his tenure. He initiated changes to reallocate resources more efficiently across geographies and product categories, a move that was instrumental in navigating Coca-Cola through the pandemic. These strategic realignments not only ensured the company's resilience but also positioned it for robust growth in the post-pandemic era.</w:t>
      </w:r>
    </w:p>
    <w:p w14:paraId="410CDB36" w14:textId="1A9D1D15" w:rsidR="0042030D" w:rsidRPr="007136FD" w:rsidRDefault="00AC1F4D" w:rsidP="00AC1F4D">
      <w:pPr>
        <w:rPr>
          <w:rFonts w:cstheme="minorHAnsi"/>
        </w:rPr>
      </w:pPr>
      <w:r w:rsidRPr="007136FD">
        <w:rPr>
          <w:rFonts w:cstheme="minorHAnsi"/>
        </w:rPr>
        <w:t>Smith's leadership style, characterized by strategic foresight and a strong focus on effective in-market execution, was a key factor in enabling other executives to concentrate on Coca-Cola's broader strategic direction. His ability to blend visionary planning with pragmatic execution ensured that the company remained agile and responsive to market changes, while steadily progressing towards its goal of becoming a comprehensive beverage company. Under Smith's helm, Coca-Cola not only weathered a period of significant global upheaval but also emerged with a clearer, more focused strategic vision, ready to embrace future opportunities.</w:t>
      </w:r>
    </w:p>
    <w:p w14:paraId="64252966" w14:textId="40775C4E" w:rsidR="0053349F" w:rsidRPr="007136FD" w:rsidRDefault="0053349F" w:rsidP="0053349F">
      <w:pPr>
        <w:pStyle w:val="Heading1"/>
        <w:rPr>
          <w:rFonts w:asciiTheme="minorHAnsi" w:hAnsiTheme="minorHAnsi" w:cstheme="minorHAnsi"/>
        </w:rPr>
      </w:pPr>
      <w:r w:rsidRPr="007136FD">
        <w:rPr>
          <w:rFonts w:asciiTheme="minorHAnsi" w:hAnsiTheme="minorHAnsi" w:cstheme="minorHAnsi"/>
        </w:rPr>
        <w:lastRenderedPageBreak/>
        <w:t>Potential Reasons for Change</w:t>
      </w:r>
    </w:p>
    <w:p w14:paraId="3F6AB835" w14:textId="77777777" w:rsidR="0053349F" w:rsidRPr="007136FD" w:rsidRDefault="0053349F" w:rsidP="0053349F">
      <w:pPr>
        <w:pStyle w:val="Heading2"/>
        <w:rPr>
          <w:rFonts w:asciiTheme="minorHAnsi" w:hAnsiTheme="minorHAnsi" w:cstheme="minorHAnsi"/>
        </w:rPr>
      </w:pPr>
      <w:r w:rsidRPr="007136FD">
        <w:rPr>
          <w:rFonts w:asciiTheme="minorHAnsi" w:hAnsiTheme="minorHAnsi" w:cstheme="minorHAnsi"/>
        </w:rPr>
        <w:t>Financial Restructuring and Portfolio Management</w:t>
      </w:r>
    </w:p>
    <w:p w14:paraId="66652A3D" w14:textId="4B51A8FD" w:rsidR="0053349F" w:rsidRPr="007136FD" w:rsidRDefault="0053349F" w:rsidP="0053349F">
      <w:pPr>
        <w:rPr>
          <w:rFonts w:cstheme="minorHAnsi"/>
        </w:rPr>
      </w:pPr>
      <w:r w:rsidRPr="007136FD">
        <w:rPr>
          <w:rFonts w:cstheme="minorHAnsi"/>
        </w:rPr>
        <w:t xml:space="preserve">The financial restructuring at Coca-Cola, guided by Brian Smith, aligns with strategic Portfolio Theory principles (Villamil, Schulte and </w:t>
      </w:r>
      <w:proofErr w:type="spellStart"/>
      <w:r w:rsidRPr="007136FD">
        <w:rPr>
          <w:rFonts w:cstheme="minorHAnsi"/>
        </w:rPr>
        <w:t>Hallstedt</w:t>
      </w:r>
      <w:proofErr w:type="spellEnd"/>
      <w:r w:rsidRPr="007136FD">
        <w:rPr>
          <w:rFonts w:cstheme="minorHAnsi"/>
        </w:rPr>
        <w:t>, 2022). This theory advocates for diversification to manage risk and maximize returns. Coca-Cola's decision to narrow its focus on more profitable brands sought to refine its product mix to better meet evolving consumer tastes and market shifts. Although this strategy aimed to fortify the company's financial position and boost shareholder value, it invites criticism for potentially restricting the company's innovation and ability to cater to niche markets, which could be detrimental to long-term growth prospects.</w:t>
      </w:r>
    </w:p>
    <w:p w14:paraId="52125D38" w14:textId="77777777" w:rsidR="0053349F" w:rsidRPr="007136FD" w:rsidRDefault="0053349F" w:rsidP="0053349F">
      <w:pPr>
        <w:pStyle w:val="Heading2"/>
        <w:rPr>
          <w:rFonts w:asciiTheme="minorHAnsi" w:hAnsiTheme="minorHAnsi" w:cstheme="minorHAnsi"/>
        </w:rPr>
      </w:pPr>
      <w:r w:rsidRPr="007136FD">
        <w:rPr>
          <w:rFonts w:asciiTheme="minorHAnsi" w:hAnsiTheme="minorHAnsi" w:cstheme="minorHAnsi"/>
        </w:rPr>
        <w:t>Human Resource Development</w:t>
      </w:r>
    </w:p>
    <w:p w14:paraId="7EAE1E3B" w14:textId="16CCC575" w:rsidR="0053349F" w:rsidRPr="007136FD" w:rsidRDefault="0053349F" w:rsidP="0053349F">
      <w:pPr>
        <w:rPr>
          <w:rFonts w:cstheme="minorHAnsi"/>
        </w:rPr>
      </w:pPr>
      <w:r w:rsidRPr="007136FD">
        <w:rPr>
          <w:rFonts w:cstheme="minorHAnsi"/>
        </w:rPr>
        <w:t>Smith's approach to human resource changes reflects the Human Capital Theory, which emphasizes the importance of investing in employee development</w:t>
      </w:r>
      <w:r w:rsidR="007E47E3" w:rsidRPr="007136FD">
        <w:rPr>
          <w:rFonts w:cstheme="minorHAnsi"/>
        </w:rPr>
        <w:t xml:space="preserve"> (</w:t>
      </w:r>
      <w:proofErr w:type="spellStart"/>
      <w:r w:rsidR="007E47E3" w:rsidRPr="007136FD">
        <w:rPr>
          <w:rFonts w:cstheme="minorHAnsi"/>
        </w:rPr>
        <w:t>Marginson</w:t>
      </w:r>
      <w:proofErr w:type="spellEnd"/>
      <w:r w:rsidR="007E47E3" w:rsidRPr="007136FD">
        <w:rPr>
          <w:rFonts w:cstheme="minorHAnsi"/>
        </w:rPr>
        <w:t>, 2019)</w:t>
      </w:r>
      <w:r w:rsidRPr="007136FD">
        <w:rPr>
          <w:rFonts w:cstheme="minorHAnsi"/>
        </w:rPr>
        <w:t>. By fostering talent growth, Smith envisioned creating a workforce capable of sustaining Coca-Cola's competitive edge in the face of new market realities. However, such changes could also provoke internal resistance or create a disconnect between the company’s objectives and employees' personal goals</w:t>
      </w:r>
      <w:r w:rsidR="007E47E3" w:rsidRPr="007136FD">
        <w:rPr>
          <w:rFonts w:cstheme="minorHAnsi"/>
        </w:rPr>
        <w:t xml:space="preserve"> (Emrullah, 2014)</w:t>
      </w:r>
      <w:r w:rsidRPr="007136FD">
        <w:rPr>
          <w:rFonts w:cstheme="minorHAnsi"/>
        </w:rPr>
        <w:t>. This could lead to a decline in job satisfaction or increased staff turnover, posing a challenge to the assumed benefits of this investment</w:t>
      </w:r>
      <w:r w:rsidR="007E47E3" w:rsidRPr="007136FD">
        <w:rPr>
          <w:rFonts w:cstheme="minorHAnsi"/>
        </w:rPr>
        <w:t>.</w:t>
      </w:r>
    </w:p>
    <w:p w14:paraId="78CAAAAD" w14:textId="77777777" w:rsidR="0053349F" w:rsidRPr="007136FD" w:rsidRDefault="0053349F" w:rsidP="0053349F">
      <w:pPr>
        <w:pStyle w:val="Heading2"/>
        <w:rPr>
          <w:rFonts w:asciiTheme="minorHAnsi" w:hAnsiTheme="minorHAnsi" w:cstheme="minorHAnsi"/>
        </w:rPr>
      </w:pPr>
      <w:r w:rsidRPr="007136FD">
        <w:rPr>
          <w:rFonts w:asciiTheme="minorHAnsi" w:hAnsiTheme="minorHAnsi" w:cstheme="minorHAnsi"/>
        </w:rPr>
        <w:t>Physical Resource Optimization</w:t>
      </w:r>
    </w:p>
    <w:p w14:paraId="0B10E256" w14:textId="48BFE149" w:rsidR="0053349F" w:rsidRPr="007136FD" w:rsidRDefault="0053349F" w:rsidP="0053349F">
      <w:pPr>
        <w:rPr>
          <w:rFonts w:cstheme="minorHAnsi"/>
        </w:rPr>
      </w:pPr>
      <w:r w:rsidRPr="007136FD">
        <w:rPr>
          <w:rFonts w:cstheme="minorHAnsi"/>
        </w:rPr>
        <w:t xml:space="preserve">The optimization of Coca-Cola's physical resources during Smith’s tenure can be examined through the Resource-Based View </w:t>
      </w:r>
      <w:r w:rsidR="007A3A13" w:rsidRPr="007136FD">
        <w:rPr>
          <w:rFonts w:cstheme="minorHAnsi"/>
        </w:rPr>
        <w:t>(Choi et al, 202</w:t>
      </w:r>
      <w:r w:rsidR="00E31DA7" w:rsidRPr="007136FD">
        <w:rPr>
          <w:rFonts w:cstheme="minorHAnsi"/>
        </w:rPr>
        <w:t>1</w:t>
      </w:r>
      <w:r w:rsidR="007A3A13" w:rsidRPr="007136FD">
        <w:rPr>
          <w:rFonts w:cstheme="minorHAnsi"/>
        </w:rPr>
        <w:t>)</w:t>
      </w:r>
      <w:r w:rsidRPr="007136FD">
        <w:rPr>
          <w:rFonts w:cstheme="minorHAnsi"/>
        </w:rPr>
        <w:t>. This view focuses on leveraging internal resources for competitive advantage. Smith's efforts to enhance supply chain and production efficiencies were aimed at bolstering these core competencies. Yet, this perspective could be critiqued for potentially neglecting the importance of external alliances and innovation opportunities, which may be essential for scaling and adapting in a dynamic market.</w:t>
      </w:r>
    </w:p>
    <w:p w14:paraId="21C7B823" w14:textId="77777777" w:rsidR="0053349F" w:rsidRPr="007136FD" w:rsidRDefault="0053349F" w:rsidP="0053349F">
      <w:pPr>
        <w:pStyle w:val="Heading2"/>
        <w:rPr>
          <w:rFonts w:asciiTheme="minorHAnsi" w:hAnsiTheme="minorHAnsi" w:cstheme="minorHAnsi"/>
        </w:rPr>
      </w:pPr>
      <w:r w:rsidRPr="007136FD">
        <w:rPr>
          <w:rFonts w:asciiTheme="minorHAnsi" w:hAnsiTheme="minorHAnsi" w:cstheme="minorHAnsi"/>
        </w:rPr>
        <w:t>Market-led Strategic Expansion</w:t>
      </w:r>
    </w:p>
    <w:p w14:paraId="1FDE9A37" w14:textId="39299365" w:rsidR="0053349F" w:rsidRPr="007136FD" w:rsidRDefault="0053349F" w:rsidP="0053349F">
      <w:pPr>
        <w:rPr>
          <w:rFonts w:cstheme="minorHAnsi"/>
        </w:rPr>
      </w:pPr>
      <w:r w:rsidRPr="007136FD">
        <w:rPr>
          <w:rFonts w:cstheme="minorHAnsi"/>
        </w:rPr>
        <w:t>The strategic expansion into new market segments, such as Coca-Cola's entry into the coffee domain, demonstrates a commitment to Market Orientation Theory</w:t>
      </w:r>
      <w:r w:rsidR="00B65682" w:rsidRPr="007136FD">
        <w:rPr>
          <w:rFonts w:cstheme="minorHAnsi"/>
        </w:rPr>
        <w:t xml:space="preserve"> (Kohli and Jaworski, 1990)</w:t>
      </w:r>
      <w:r w:rsidRPr="007136FD">
        <w:rPr>
          <w:rFonts w:cstheme="minorHAnsi"/>
        </w:rPr>
        <w:t>. This theory encourages adapting to consumer demands and keeping pace with competitors. Coca-Cola’s diversification strategy aimed to capture new consumer segments and respond to a broader range of preferences. Nonetheless, this strategy faces critique for possibly undermining the clarity of Coca-Cola's brand identity and weakening its historic brand equity, as it shifts focus to accommodate an array of new product markets</w:t>
      </w:r>
      <w:r w:rsidR="00B65682" w:rsidRPr="007136FD">
        <w:rPr>
          <w:rFonts w:cstheme="minorHAnsi"/>
        </w:rPr>
        <w:t xml:space="preserve"> </w:t>
      </w:r>
      <w:r w:rsidR="002B1DCE" w:rsidRPr="007136FD">
        <w:rPr>
          <w:rFonts w:cstheme="minorHAnsi"/>
        </w:rPr>
        <w:t>(</w:t>
      </w:r>
      <w:proofErr w:type="spellStart"/>
      <w:r w:rsidR="002B1DCE" w:rsidRPr="007136FD">
        <w:rPr>
          <w:rFonts w:cstheme="minorHAnsi"/>
        </w:rPr>
        <w:t>Urde</w:t>
      </w:r>
      <w:proofErr w:type="spellEnd"/>
      <w:r w:rsidR="002B1DCE" w:rsidRPr="007136FD">
        <w:rPr>
          <w:rFonts w:cstheme="minorHAnsi"/>
        </w:rPr>
        <w:t>, Baumgarth and Merrilees, 2013)</w:t>
      </w:r>
      <w:r w:rsidRPr="007136FD">
        <w:rPr>
          <w:rFonts w:cstheme="minorHAnsi"/>
        </w:rPr>
        <w:t>.</w:t>
      </w:r>
    </w:p>
    <w:p w14:paraId="28764B5C" w14:textId="043287D0" w:rsidR="003A5ABA" w:rsidRPr="007136FD" w:rsidRDefault="00EE367F" w:rsidP="007136FD">
      <w:pPr>
        <w:pStyle w:val="Heading1"/>
        <w:rPr>
          <w:rFonts w:asciiTheme="minorHAnsi" w:hAnsiTheme="minorHAnsi" w:cstheme="minorHAnsi"/>
        </w:rPr>
      </w:pPr>
      <w:r w:rsidRPr="007136FD">
        <w:rPr>
          <w:rFonts w:asciiTheme="minorHAnsi" w:hAnsiTheme="minorHAnsi" w:cstheme="minorHAnsi"/>
        </w:rPr>
        <w:t>The Leaders Traits and Style</w:t>
      </w:r>
    </w:p>
    <w:p w14:paraId="76D71A47" w14:textId="6A78669D" w:rsidR="003A5ABA" w:rsidRPr="007136FD" w:rsidRDefault="003A5ABA" w:rsidP="003A5ABA">
      <w:pPr>
        <w:rPr>
          <w:rFonts w:cstheme="minorHAnsi"/>
        </w:rPr>
      </w:pPr>
      <w:r w:rsidRPr="007136FD">
        <w:rPr>
          <w:rFonts w:cstheme="minorHAnsi"/>
        </w:rPr>
        <w:t xml:space="preserve">Leadership can </w:t>
      </w:r>
      <w:r w:rsidR="00CB4021" w:rsidRPr="007136FD">
        <w:rPr>
          <w:rFonts w:cstheme="minorHAnsi"/>
        </w:rPr>
        <w:t>be defined</w:t>
      </w:r>
      <w:r w:rsidRPr="007136FD">
        <w:rPr>
          <w:rFonts w:cstheme="minorHAnsi"/>
        </w:rPr>
        <w:t xml:space="preserve"> as “A process whereby an individual influences a group of individuals to achieve a common </w:t>
      </w:r>
      <w:r w:rsidR="007136FD" w:rsidRPr="007136FD">
        <w:rPr>
          <w:rFonts w:cstheme="minorHAnsi"/>
        </w:rPr>
        <w:t>goal” (</w:t>
      </w:r>
      <w:r w:rsidRPr="007136FD">
        <w:rPr>
          <w:rFonts w:cstheme="minorHAnsi"/>
        </w:rPr>
        <w:t>Northouse, 2010, p.3) or as</w:t>
      </w:r>
      <w:r w:rsidR="00AF2D03" w:rsidRPr="007136FD">
        <w:rPr>
          <w:rFonts w:cstheme="minorHAnsi"/>
        </w:rPr>
        <w:t xml:space="preserve"> “</w:t>
      </w:r>
      <w:r w:rsidRPr="007136FD">
        <w:rPr>
          <w:rFonts w:cstheme="minorHAnsi"/>
        </w:rPr>
        <w:t xml:space="preserve">a process of motivating people to work together collaboratively to accomplish great things” (Vroom </w:t>
      </w:r>
      <w:r w:rsidR="00AF2D03" w:rsidRPr="007136FD">
        <w:rPr>
          <w:rFonts w:cstheme="minorHAnsi"/>
        </w:rPr>
        <w:t>and</w:t>
      </w:r>
      <w:r w:rsidRPr="007136FD">
        <w:rPr>
          <w:rFonts w:cstheme="minorHAnsi"/>
        </w:rPr>
        <w:t xml:space="preserve"> Jago, 2007, p. 18)</w:t>
      </w:r>
      <w:r w:rsidR="00AF2D03" w:rsidRPr="007136FD">
        <w:rPr>
          <w:rFonts w:cstheme="minorHAnsi"/>
        </w:rPr>
        <w:t>.</w:t>
      </w:r>
    </w:p>
    <w:p w14:paraId="00738B6C" w14:textId="28058129" w:rsidR="003A5ABA" w:rsidRPr="007136FD" w:rsidRDefault="003A5ABA" w:rsidP="003A5ABA">
      <w:pPr>
        <w:rPr>
          <w:rFonts w:cstheme="minorHAnsi"/>
        </w:rPr>
      </w:pPr>
      <w:r w:rsidRPr="007136FD">
        <w:rPr>
          <w:rFonts w:cstheme="minorHAnsi"/>
        </w:rPr>
        <w:t>When</w:t>
      </w:r>
      <w:r w:rsidR="002B1DCE" w:rsidRPr="007136FD">
        <w:rPr>
          <w:rFonts w:cstheme="minorHAnsi"/>
        </w:rPr>
        <w:t xml:space="preserve"> critically</w:t>
      </w:r>
      <w:r w:rsidRPr="007136FD">
        <w:rPr>
          <w:rFonts w:cstheme="minorHAnsi"/>
        </w:rPr>
        <w:t xml:space="preserve"> evaluating the leadership traits and style of Brian Smith during his tenure at Coca-Cola, one can draw upon various leadership models and theories to provide a comprehensive analysis.</w:t>
      </w:r>
    </w:p>
    <w:p w14:paraId="1D2A220A" w14:textId="7638B97D" w:rsidR="003A5ABA" w:rsidRPr="007136FD" w:rsidRDefault="003A5ABA" w:rsidP="003A5ABA">
      <w:pPr>
        <w:rPr>
          <w:rFonts w:cstheme="minorHAnsi"/>
        </w:rPr>
      </w:pPr>
      <w:r w:rsidRPr="007136FD">
        <w:rPr>
          <w:rFonts w:cstheme="minorHAnsi"/>
        </w:rPr>
        <w:t>Trait Theory of Leadership posits that certain inherent personality traits and characteristics are vital for leadership</w:t>
      </w:r>
      <w:r w:rsidR="00461604" w:rsidRPr="007136FD">
        <w:rPr>
          <w:rFonts w:cstheme="minorHAnsi"/>
        </w:rPr>
        <w:t xml:space="preserve"> (Harrison, 2018)</w:t>
      </w:r>
      <w:r w:rsidRPr="007136FD">
        <w:rPr>
          <w:rFonts w:cstheme="minorHAnsi"/>
        </w:rPr>
        <w:t xml:space="preserve">. Brian Smith's ability to steer Coca-Cola through significant transitions indicates traits such as decisiveness, resilience, and vision. Trait theory would commend Smith for </w:t>
      </w:r>
      <w:r w:rsidRPr="007136FD">
        <w:rPr>
          <w:rFonts w:cstheme="minorHAnsi"/>
        </w:rPr>
        <w:lastRenderedPageBreak/>
        <w:t>possessing traits that appear well-aligned with the needs of a global leader in a complex and competitive industry. However, a critical perspective might argue that trait theory oversimplifies leadership by not accounting for situational variables. Smith's success at Coca-Cola might also be attributed to external factors and team dynamics, not just his personal traits.</w:t>
      </w:r>
    </w:p>
    <w:p w14:paraId="6E164D82" w14:textId="7930E811" w:rsidR="003A5ABA" w:rsidRPr="007136FD" w:rsidRDefault="003A5ABA" w:rsidP="003A5ABA">
      <w:pPr>
        <w:rPr>
          <w:rFonts w:cstheme="minorHAnsi"/>
        </w:rPr>
      </w:pPr>
      <w:r w:rsidRPr="007136FD">
        <w:rPr>
          <w:rFonts w:cstheme="minorHAnsi"/>
        </w:rPr>
        <w:t>Transformational Leadership Theory describes leaders who inspire and motivate employees to innovate and create change that will help grow and shape the future success of the company</w:t>
      </w:r>
      <w:r w:rsidR="004D52FE" w:rsidRPr="007136FD">
        <w:rPr>
          <w:rFonts w:cstheme="minorHAnsi"/>
        </w:rPr>
        <w:t xml:space="preserve"> (</w:t>
      </w:r>
      <w:r w:rsidR="00BC5E0B" w:rsidRPr="007136FD">
        <w:rPr>
          <w:rFonts w:cstheme="minorHAnsi"/>
        </w:rPr>
        <w:t>Bryman</w:t>
      </w:r>
      <w:r w:rsidR="00AF2D03" w:rsidRPr="007136FD">
        <w:rPr>
          <w:rFonts w:cstheme="minorHAnsi"/>
        </w:rPr>
        <w:t xml:space="preserve"> et al</w:t>
      </w:r>
      <w:r w:rsidR="004D52FE" w:rsidRPr="007136FD">
        <w:rPr>
          <w:rFonts w:cstheme="minorHAnsi"/>
        </w:rPr>
        <w:t>, 2011)</w:t>
      </w:r>
      <w:r w:rsidRPr="007136FD">
        <w:rPr>
          <w:rFonts w:cstheme="minorHAnsi"/>
        </w:rPr>
        <w:t>. Smith exhibited transformational qualities, as he encouraged innovation and fostered a culture of growth. His strategic decisions, like the acquisition of Costa Coffee, illustrate his transformative approach. Nonetheless, critics of transformational leadership might question the sustainability of such inspiration-based leadership, suggesting that it can lead to burnout or disenchantment if not coupled with tangible support systems and structures.</w:t>
      </w:r>
    </w:p>
    <w:p w14:paraId="1FA48770" w14:textId="6443D786" w:rsidR="003A5ABA" w:rsidRPr="007136FD" w:rsidRDefault="003A5ABA" w:rsidP="003A5ABA">
      <w:pPr>
        <w:rPr>
          <w:rFonts w:cstheme="minorHAnsi"/>
        </w:rPr>
      </w:pPr>
      <w:r w:rsidRPr="007136FD">
        <w:rPr>
          <w:rFonts w:cstheme="minorHAnsi"/>
        </w:rPr>
        <w:t>Transactional Leadership Theory, on the other hand, focuses on the role of supervision, organization, and group performance</w:t>
      </w:r>
      <w:r w:rsidR="004D52FE" w:rsidRPr="007136FD">
        <w:rPr>
          <w:rFonts w:cstheme="minorHAnsi"/>
        </w:rPr>
        <w:t xml:space="preserve"> (Gavan O’Shea et al, 2009)</w:t>
      </w:r>
      <w:r w:rsidRPr="007136FD">
        <w:rPr>
          <w:rFonts w:cstheme="minorHAnsi"/>
        </w:rPr>
        <w:t>. Smith's emphasis on restructuring and streamlining operations could reflect transactional elements. This style is beneficial for establishing clear roles and responsibilities but can be criticized for being too rigid and stifling creativity and individual initiative, essential in the dynamic beverage industry.</w:t>
      </w:r>
    </w:p>
    <w:p w14:paraId="1A7A6F56" w14:textId="3421E6AD" w:rsidR="003A5ABA" w:rsidRPr="007136FD" w:rsidRDefault="00461604" w:rsidP="003A5ABA">
      <w:pPr>
        <w:rPr>
          <w:rFonts w:cstheme="minorHAnsi"/>
        </w:rPr>
      </w:pPr>
      <w:r w:rsidRPr="007136FD">
        <w:rPr>
          <w:rFonts w:cstheme="minorHAnsi"/>
        </w:rPr>
        <w:t>Contingency</w:t>
      </w:r>
      <w:r w:rsidR="003A5ABA" w:rsidRPr="007136FD">
        <w:rPr>
          <w:rFonts w:cstheme="minorHAnsi"/>
        </w:rPr>
        <w:t xml:space="preserve"> Leadership Theory suggests that the most successful leaders adjust their styles based on the situation and the development level of their followers</w:t>
      </w:r>
      <w:r w:rsidRPr="007136FD">
        <w:rPr>
          <w:rFonts w:cstheme="minorHAnsi"/>
        </w:rPr>
        <w:t xml:space="preserve"> (Gill, 2011)</w:t>
      </w:r>
      <w:r w:rsidR="003A5ABA" w:rsidRPr="007136FD">
        <w:rPr>
          <w:rFonts w:cstheme="minorHAnsi"/>
        </w:rPr>
        <w:t>. Smith's leadership seemed to adapt to the changing landscape of the beverage industry, indicating a situational approach. However, the criticism here lies in the potential inconsistency of leadership, which may confuse employees or create a sense of instability within the organization.</w:t>
      </w:r>
    </w:p>
    <w:p w14:paraId="7025A1B9" w14:textId="19B0198E" w:rsidR="00275468" w:rsidRPr="007136FD" w:rsidRDefault="000E0D5A" w:rsidP="007136FD">
      <w:pPr>
        <w:pStyle w:val="Heading1"/>
        <w:rPr>
          <w:rFonts w:asciiTheme="minorHAnsi" w:hAnsiTheme="minorHAnsi" w:cstheme="minorHAnsi"/>
        </w:rPr>
      </w:pPr>
      <w:r w:rsidRPr="007136FD">
        <w:rPr>
          <w:rFonts w:asciiTheme="minorHAnsi" w:hAnsiTheme="minorHAnsi" w:cstheme="minorHAnsi"/>
        </w:rPr>
        <w:t>Models of Change in Planning and Implementation</w:t>
      </w:r>
    </w:p>
    <w:p w14:paraId="76CC42A6" w14:textId="16047454" w:rsidR="00275468" w:rsidRPr="007136FD" w:rsidRDefault="00275468" w:rsidP="001A2ED9">
      <w:pPr>
        <w:rPr>
          <w:rFonts w:cstheme="minorHAnsi"/>
        </w:rPr>
      </w:pPr>
      <w:r w:rsidRPr="007136FD">
        <w:rPr>
          <w:rFonts w:cstheme="minorHAnsi"/>
        </w:rPr>
        <w:t xml:space="preserve">Coca-Cola's strategic changes were reflected in a noticeable improvement in financial performance, as evidenced by </w:t>
      </w:r>
      <w:proofErr w:type="spellStart"/>
      <w:r w:rsidRPr="007136FD">
        <w:rPr>
          <w:rFonts w:cstheme="minorHAnsi"/>
        </w:rPr>
        <w:t>Marketline</w:t>
      </w:r>
      <w:proofErr w:type="spellEnd"/>
      <w:r w:rsidR="001C4920" w:rsidRPr="007136FD">
        <w:rPr>
          <w:rFonts w:cstheme="minorHAnsi"/>
        </w:rPr>
        <w:t xml:space="preserve"> 2023</w:t>
      </w:r>
      <w:r w:rsidRPr="007136FD">
        <w:rPr>
          <w:rFonts w:cstheme="minorHAnsi"/>
        </w:rPr>
        <w:t xml:space="preserve"> database. The financial gains following the changes implemented under Brian Smith's leadership underscore the effectiveness of the strategic shift towards a leaner brand portfolio and diversification into new business areas such as the coffee segment with the acquisition of Costa Coffee.</w:t>
      </w:r>
    </w:p>
    <w:p w14:paraId="4B7EEE9F" w14:textId="13D12951" w:rsidR="001A2ED9" w:rsidRPr="007136FD" w:rsidRDefault="001A2ED9" w:rsidP="001A2ED9">
      <w:pPr>
        <w:rPr>
          <w:rFonts w:cstheme="minorHAnsi"/>
        </w:rPr>
      </w:pPr>
      <w:r w:rsidRPr="007136FD">
        <w:rPr>
          <w:rFonts w:cstheme="minorHAnsi"/>
        </w:rPr>
        <w:t>The process of organizational change at Coca-Cola under Brian Smith's leadership can be examined through established models of change such as Kurt Lewin's Change Management Model and the Kubler-Ross Change Curve.</w:t>
      </w:r>
    </w:p>
    <w:p w14:paraId="7A8BB9B2" w14:textId="5A2ABBE6" w:rsidR="001A2ED9" w:rsidRPr="007136FD" w:rsidRDefault="001A2ED9" w:rsidP="001A2ED9">
      <w:pPr>
        <w:rPr>
          <w:rFonts w:cstheme="minorHAnsi"/>
        </w:rPr>
      </w:pPr>
      <w:r w:rsidRPr="007136FD">
        <w:rPr>
          <w:rFonts w:cstheme="minorHAnsi"/>
        </w:rPr>
        <w:t>Lewin's Model, with its stages of 'unfreeze, change, and refreeze', is particularly relevant. Smith's strategic redirection of Coca-Cola could be seen as an 'unfreezing' of the status quo, especially when reducing the global brand portfolio and focusing on profitable brands</w:t>
      </w:r>
      <w:r w:rsidR="00303889" w:rsidRPr="007136FD">
        <w:rPr>
          <w:rFonts w:cstheme="minorHAnsi"/>
        </w:rPr>
        <w:t xml:space="preserve"> (Hussain et al, 2018)</w:t>
      </w:r>
      <w:r w:rsidRPr="007136FD">
        <w:rPr>
          <w:rFonts w:cstheme="minorHAnsi"/>
        </w:rPr>
        <w:t xml:space="preserve">. The 'change' phase was marked by the acquisition of Costa Coffee, </w:t>
      </w:r>
      <w:r w:rsidR="00303889" w:rsidRPr="007136FD">
        <w:rPr>
          <w:rFonts w:cstheme="minorHAnsi"/>
        </w:rPr>
        <w:t>signalling</w:t>
      </w:r>
      <w:r w:rsidRPr="007136FD">
        <w:rPr>
          <w:rFonts w:cstheme="minorHAnsi"/>
        </w:rPr>
        <w:t xml:space="preserve"> a move into new markets and the 'refreezing' stage entailed embedding these changes into Coca-Cola's culture to ensure longevity. A critical benefit of using Lewin's model is its structured approach, which can provide a sense of stability during tumultuous times. However, it can be criticized for being too linear and simplistic, not accounting for the complexities of modern organizational dynamics.</w:t>
      </w:r>
    </w:p>
    <w:p w14:paraId="4A84ED64" w14:textId="62A7207E" w:rsidR="001A2ED9" w:rsidRPr="007136FD" w:rsidRDefault="001A2ED9" w:rsidP="001A2ED9">
      <w:pPr>
        <w:rPr>
          <w:rFonts w:cstheme="minorHAnsi"/>
        </w:rPr>
      </w:pPr>
      <w:r w:rsidRPr="007136FD">
        <w:rPr>
          <w:rFonts w:cstheme="minorHAnsi"/>
        </w:rPr>
        <w:t>Kubler-Ross's Change Curve, which was initially developed to describe the stages of grief, has been adapted to understand how individuals emotionally experience change</w:t>
      </w:r>
      <w:r w:rsidR="008D6B81" w:rsidRPr="007136FD">
        <w:rPr>
          <w:rFonts w:cstheme="minorHAnsi"/>
        </w:rPr>
        <w:t xml:space="preserve"> (</w:t>
      </w:r>
      <w:bookmarkStart w:id="0" w:name="_Hlk151647694"/>
      <w:r w:rsidR="008D6B81" w:rsidRPr="007136FD">
        <w:rPr>
          <w:rFonts w:cstheme="minorHAnsi"/>
        </w:rPr>
        <w:t xml:space="preserve">Insights, </w:t>
      </w:r>
      <w:proofErr w:type="spellStart"/>
      <w:r w:rsidR="008D6B81" w:rsidRPr="007136FD">
        <w:rPr>
          <w:rFonts w:cstheme="minorHAnsi"/>
        </w:rPr>
        <w:t>n.d</w:t>
      </w:r>
      <w:proofErr w:type="spellEnd"/>
      <w:r w:rsidR="008D6B81" w:rsidRPr="007136FD">
        <w:rPr>
          <w:rFonts w:cstheme="minorHAnsi"/>
        </w:rPr>
        <w:t>)</w:t>
      </w:r>
      <w:r w:rsidRPr="007136FD">
        <w:rPr>
          <w:rFonts w:cstheme="minorHAnsi"/>
        </w:rPr>
        <w:t xml:space="preserve">. </w:t>
      </w:r>
      <w:bookmarkEnd w:id="0"/>
      <w:r w:rsidRPr="007136FD">
        <w:rPr>
          <w:rFonts w:cstheme="minorHAnsi"/>
        </w:rPr>
        <w:t xml:space="preserve">Coca-Cola's shift in strategy likely elicited a range of emotional responses from stakeholders. By anticipating these responses, leadership could better manage and support the transition. The benefit of this </w:t>
      </w:r>
      <w:r w:rsidRPr="007136FD">
        <w:rPr>
          <w:rFonts w:cstheme="minorHAnsi"/>
        </w:rPr>
        <w:lastRenderedPageBreak/>
        <w:t>model lies in its consideration of human emotional transitions, but it might not fully encapsulate the rational and strategic elements necessary for corporate change.</w:t>
      </w:r>
    </w:p>
    <w:p w14:paraId="314E434D" w14:textId="34775E97" w:rsidR="001A2ED9" w:rsidRPr="007136FD" w:rsidRDefault="00BF5BF5" w:rsidP="001A2ED9">
      <w:pPr>
        <w:rPr>
          <w:rFonts w:cstheme="minorHAnsi"/>
        </w:rPr>
      </w:pPr>
      <w:r w:rsidRPr="007136FD">
        <w:rPr>
          <w:rFonts w:cstheme="minorHAnsi"/>
        </w:rPr>
        <w:t xml:space="preserve">Within the context of these models, employee involvement </w:t>
      </w:r>
      <w:r w:rsidRPr="007136FD">
        <w:rPr>
          <w:rFonts w:cstheme="minorHAnsi"/>
        </w:rPr>
        <w:t xml:space="preserve">is an </w:t>
      </w:r>
      <w:r w:rsidRPr="007136FD">
        <w:rPr>
          <w:rFonts w:cstheme="minorHAnsi"/>
        </w:rPr>
        <w:t>effective strategy to counter resistance in organizational change, ensuring not only the high quality of the change but also smoothing its implementation</w:t>
      </w:r>
      <w:r w:rsidRPr="007136FD">
        <w:rPr>
          <w:rFonts w:cstheme="minorHAnsi"/>
        </w:rPr>
        <w:t xml:space="preserve"> (Vroom and Yetton, 1973)</w:t>
      </w:r>
      <w:r w:rsidRPr="007136FD">
        <w:rPr>
          <w:rFonts w:cstheme="minorHAnsi"/>
        </w:rPr>
        <w:t xml:space="preserve">. These individuals or groups, serving as bridges between the workforce and the leadership (Pascale and </w:t>
      </w:r>
      <w:proofErr w:type="spellStart"/>
      <w:r w:rsidRPr="007136FD">
        <w:rPr>
          <w:rFonts w:cstheme="minorHAnsi"/>
        </w:rPr>
        <w:t>Sternin</w:t>
      </w:r>
      <w:proofErr w:type="spellEnd"/>
      <w:r w:rsidRPr="007136FD">
        <w:rPr>
          <w:rFonts w:cstheme="minorHAnsi"/>
        </w:rPr>
        <w:t>, 2005), were especially critical in the 'unfreeze' phase of Lewin's model. They played a key role in communicating the need for change, instilling a sense of urgency, and motivating their peers to welcome and adapt to new directions.</w:t>
      </w:r>
    </w:p>
    <w:p w14:paraId="0B3F1F46" w14:textId="6274A03E" w:rsidR="001A2ED9" w:rsidRPr="007136FD" w:rsidRDefault="001A2ED9" w:rsidP="001A2ED9">
      <w:pPr>
        <w:rPr>
          <w:rFonts w:cstheme="minorHAnsi"/>
        </w:rPr>
      </w:pPr>
      <w:r w:rsidRPr="007136FD">
        <w:rPr>
          <w:rFonts w:cstheme="minorHAnsi"/>
        </w:rPr>
        <w:t>During the 'change' phase, change agents facilitate the implementation of new strategies and processes. In the case of Coca-Cola, they would have been instrumental in the integration of Costa Coffee, ensuring that the acquisition was not just a strategic move on paper but a well-executed plan that aligned with the company's overall objectives and culture.</w:t>
      </w:r>
    </w:p>
    <w:p w14:paraId="0F9F7FBF" w14:textId="7E6E19B5" w:rsidR="001A2ED9" w:rsidRPr="007136FD" w:rsidRDefault="001A2ED9" w:rsidP="001A2ED9">
      <w:pPr>
        <w:rPr>
          <w:rFonts w:cstheme="minorHAnsi"/>
        </w:rPr>
      </w:pPr>
      <w:r w:rsidRPr="007136FD">
        <w:rPr>
          <w:rFonts w:cstheme="minorHAnsi"/>
        </w:rPr>
        <w:t xml:space="preserve">In the 'refreeze' phase, change agents are vital in reinforcing the new changes, helping to institutionalize them as the new norms. They work to solidify the new strategies within the company's culture, ensuring that the changes are sustainable and ingrained in the organization's operational </w:t>
      </w:r>
      <w:r w:rsidR="008D6B81" w:rsidRPr="007136FD">
        <w:rPr>
          <w:rFonts w:cstheme="minorHAnsi"/>
        </w:rPr>
        <w:t>core</w:t>
      </w:r>
      <w:r w:rsidRPr="007136FD">
        <w:rPr>
          <w:rFonts w:cstheme="minorHAnsi"/>
        </w:rPr>
        <w:t>.</w:t>
      </w:r>
    </w:p>
    <w:p w14:paraId="74F48884" w14:textId="4DEEA7E7" w:rsidR="001A2ED9" w:rsidRPr="007136FD" w:rsidRDefault="00275468" w:rsidP="001A2ED9">
      <w:pPr>
        <w:rPr>
          <w:rFonts w:cstheme="minorHAnsi"/>
        </w:rPr>
      </w:pPr>
      <w:r w:rsidRPr="007136FD">
        <w:rPr>
          <w:rFonts w:cstheme="minorHAnsi"/>
        </w:rPr>
        <w:t xml:space="preserve">Change agents play a crucial role in navigating the Kubler-Ross Change Curve and supporting colleagues through emotional responses to change, managing natural resistance by providing support, understanding, and clear communication about the transformation's benefits and reasons (Robbins, Judge and Campbell, 2010). They also handle the emotional </w:t>
      </w:r>
      <w:r w:rsidR="00865ECD" w:rsidRPr="007136FD">
        <w:rPr>
          <w:rFonts w:cstheme="minorHAnsi"/>
        </w:rPr>
        <w:t>labour</w:t>
      </w:r>
      <w:r w:rsidRPr="007136FD">
        <w:rPr>
          <w:rFonts w:cstheme="minorHAnsi"/>
        </w:rPr>
        <w:t xml:space="preserve"> of helping employees deal with change and the practical aspects of implementing new strategies (</w:t>
      </w:r>
      <w:proofErr w:type="spellStart"/>
      <w:r w:rsidRPr="007136FD">
        <w:rPr>
          <w:rFonts w:cstheme="minorHAnsi"/>
        </w:rPr>
        <w:t>Lutkevich</w:t>
      </w:r>
      <w:proofErr w:type="spellEnd"/>
      <w:r w:rsidRPr="007136FD">
        <w:rPr>
          <w:rFonts w:cstheme="minorHAnsi"/>
        </w:rPr>
        <w:t xml:space="preserve">, Pratt and Flahiff, </w:t>
      </w:r>
      <w:proofErr w:type="spellStart"/>
      <w:r w:rsidR="00865ECD" w:rsidRPr="007136FD">
        <w:rPr>
          <w:rFonts w:cstheme="minorHAnsi"/>
        </w:rPr>
        <w:t>n.d</w:t>
      </w:r>
      <w:proofErr w:type="spellEnd"/>
      <w:r w:rsidRPr="007136FD">
        <w:rPr>
          <w:rFonts w:cstheme="minorHAnsi"/>
        </w:rPr>
        <w:t>). Their efficacy hinges on their ability to be empathetic, communicative, and resilient, making their multi-faceted role essential for smoother transitions and fostering a resilient organizational culture capable of weathering changes, as evidenced by successful organizational change initiatives like those at Coca-Cola under Brian Smith's leadership.</w:t>
      </w:r>
    </w:p>
    <w:p w14:paraId="5775516A" w14:textId="27E93671" w:rsidR="00EE367F" w:rsidRPr="007136FD" w:rsidRDefault="00EE367F" w:rsidP="00EE367F">
      <w:pPr>
        <w:pStyle w:val="Heading1"/>
        <w:rPr>
          <w:rFonts w:asciiTheme="minorHAnsi" w:hAnsiTheme="minorHAnsi" w:cstheme="minorHAnsi"/>
        </w:rPr>
      </w:pPr>
      <w:r w:rsidRPr="007136FD">
        <w:rPr>
          <w:rFonts w:asciiTheme="minorHAnsi" w:hAnsiTheme="minorHAnsi" w:cstheme="minorHAnsi"/>
        </w:rPr>
        <w:t>Conclusion on Leadership</w:t>
      </w:r>
    </w:p>
    <w:p w14:paraId="67A3F2F1" w14:textId="2F345F1D" w:rsidR="001A2ED9" w:rsidRPr="007136FD" w:rsidRDefault="001A2ED9" w:rsidP="001A2ED9">
      <w:pPr>
        <w:rPr>
          <w:rFonts w:cstheme="minorHAnsi"/>
        </w:rPr>
      </w:pPr>
      <w:r w:rsidRPr="007136FD">
        <w:rPr>
          <w:rFonts w:cstheme="minorHAnsi"/>
        </w:rPr>
        <w:t>Leadership is a vital component in the facilitation and management of change within any organization. Leaders are not only responsible for crafting the vision and strategic direction of change but also for inspiring and motivating the workforce to embrace new challenges and opportunities. Effective leadership can act as a catalyst for progress, driving innovation and adaptation in a constantly evolving business landscape. Conversely, inadequate leadership can hinder change initiatives, causing stagnation and possibly leading to a competitive disadvantage</w:t>
      </w:r>
      <w:r w:rsidR="00CF530E" w:rsidRPr="007136FD">
        <w:rPr>
          <w:rFonts w:cstheme="minorHAnsi"/>
        </w:rPr>
        <w:t xml:space="preserve"> (Owen, 2020).</w:t>
      </w:r>
    </w:p>
    <w:p w14:paraId="3CC3B385" w14:textId="0731A74B" w:rsidR="001A2ED9" w:rsidRPr="007136FD" w:rsidRDefault="001A2ED9" w:rsidP="001A2ED9">
      <w:pPr>
        <w:rPr>
          <w:rFonts w:cstheme="minorHAnsi"/>
        </w:rPr>
      </w:pPr>
      <w:r w:rsidRPr="007136FD">
        <w:rPr>
          <w:rFonts w:cstheme="minorHAnsi"/>
        </w:rPr>
        <w:t>From current research and observation of contemporary organizational transformations, it is evident that a combination of transformational and situational leadership is most suitable for today’s dynamic environment. Transformational leaders inspire and motivate their employees, fostering an environment of commitment and innovation, which is essential for change to take root. Situational leadership, with its adaptive approach, is particularly relevant given the complexity and rapid pace of change in the modern business world, allowing leaders to adjust their style to the maturity and needs of their team members and the specific challenges they face.</w:t>
      </w:r>
    </w:p>
    <w:p w14:paraId="10ED298B" w14:textId="16EB8DDD" w:rsidR="001A2ED9" w:rsidRPr="007136FD" w:rsidRDefault="001A2ED9" w:rsidP="001A2ED9">
      <w:pPr>
        <w:rPr>
          <w:rFonts w:cstheme="minorHAnsi"/>
        </w:rPr>
      </w:pPr>
      <w:r w:rsidRPr="007136FD">
        <w:rPr>
          <w:rFonts w:cstheme="minorHAnsi"/>
        </w:rPr>
        <w:t xml:space="preserve">As for the change model, it seems that an integrated approach, drawing from multiple models, is more beneficial than adhering to a single model. While Lewin's model provides a solid foundational structure for implementing change, it should be complemented with the insights provided by the </w:t>
      </w:r>
      <w:r w:rsidRPr="007136FD">
        <w:rPr>
          <w:rFonts w:cstheme="minorHAnsi"/>
        </w:rPr>
        <w:lastRenderedPageBreak/>
        <w:t>Kubler-Ross Change Curve, which acknowledges the emotional journey of individuals through the change process</w:t>
      </w:r>
      <w:r w:rsidR="00CF530E" w:rsidRPr="007136FD">
        <w:rPr>
          <w:rFonts w:cstheme="minorHAnsi"/>
        </w:rPr>
        <w:t>.</w:t>
      </w:r>
      <w:r w:rsidR="00303889" w:rsidRPr="007136FD">
        <w:rPr>
          <w:rFonts w:cstheme="minorHAnsi"/>
        </w:rPr>
        <w:t xml:space="preserve"> </w:t>
      </w:r>
    </w:p>
    <w:p w14:paraId="4D16D8A8" w14:textId="755F76A2" w:rsidR="001A2ED9" w:rsidRPr="007136FD" w:rsidRDefault="001A2ED9" w:rsidP="001A2ED9">
      <w:pPr>
        <w:rPr>
          <w:rFonts w:cstheme="minorHAnsi"/>
        </w:rPr>
      </w:pPr>
      <w:r w:rsidRPr="007136FD">
        <w:rPr>
          <w:rFonts w:cstheme="minorHAnsi"/>
        </w:rPr>
        <w:t>In summary, leadership profoundly impacts an organization’s ability to navigate change. A leader’s vision, communication, and ability to inspire can significantly influence the trajectory and outcome of change processes. While the precise nature of leadership and change models may vary depending on the specific context and environment, the overarching theme remains that flexible, adaptive, and emotionally intelligent leadership is crucial for successful change in today’s complex and rapidly changing business landscape.</w:t>
      </w:r>
    </w:p>
    <w:p w14:paraId="61EDE05A" w14:textId="77777777" w:rsidR="007136FD" w:rsidRPr="007136FD" w:rsidRDefault="007136FD">
      <w:pPr>
        <w:rPr>
          <w:rFonts w:eastAsiaTheme="majorEastAsia" w:cstheme="minorHAnsi"/>
          <w:color w:val="2F5496" w:themeColor="accent1" w:themeShade="BF"/>
          <w:sz w:val="32"/>
          <w:szCs w:val="32"/>
        </w:rPr>
      </w:pPr>
      <w:r w:rsidRPr="007136FD">
        <w:rPr>
          <w:rFonts w:cstheme="minorHAnsi"/>
        </w:rPr>
        <w:br w:type="page"/>
      </w:r>
    </w:p>
    <w:p w14:paraId="25F4E7C0" w14:textId="65AE11CD" w:rsidR="00EE367F" w:rsidRPr="007136FD" w:rsidRDefault="00EE367F" w:rsidP="00EE367F">
      <w:pPr>
        <w:pStyle w:val="Heading1"/>
        <w:rPr>
          <w:rFonts w:asciiTheme="minorHAnsi" w:hAnsiTheme="minorHAnsi" w:cstheme="minorHAnsi"/>
        </w:rPr>
      </w:pPr>
      <w:r w:rsidRPr="007136FD">
        <w:rPr>
          <w:rFonts w:asciiTheme="minorHAnsi" w:hAnsiTheme="minorHAnsi" w:cstheme="minorHAnsi"/>
        </w:rPr>
        <w:lastRenderedPageBreak/>
        <w:t>Reference List</w:t>
      </w:r>
    </w:p>
    <w:p w14:paraId="325BECFC" w14:textId="77777777" w:rsidR="007136FD" w:rsidRPr="007136FD" w:rsidRDefault="007136FD" w:rsidP="007136FD">
      <w:pPr>
        <w:rPr>
          <w:rFonts w:cstheme="minorHAnsi"/>
        </w:rPr>
      </w:pPr>
      <w:r w:rsidRPr="007136FD">
        <w:rPr>
          <w:rFonts w:cstheme="minorHAnsi"/>
        </w:rPr>
        <w:t xml:space="preserve">Bryman et al. (2011) </w:t>
      </w:r>
      <w:r w:rsidRPr="007136FD">
        <w:rPr>
          <w:rFonts w:cstheme="minorHAnsi"/>
          <w:i/>
          <w:iCs/>
        </w:rPr>
        <w:t>The Sage handbook of leadership</w:t>
      </w:r>
      <w:r w:rsidRPr="007136FD">
        <w:rPr>
          <w:rFonts w:cstheme="minorHAnsi"/>
        </w:rPr>
        <w:t xml:space="preserve">. London: Sage. </w:t>
      </w:r>
    </w:p>
    <w:p w14:paraId="0B9F6082" w14:textId="77777777" w:rsidR="007136FD" w:rsidRPr="007136FD" w:rsidRDefault="007136FD" w:rsidP="007136FD">
      <w:pPr>
        <w:rPr>
          <w:rFonts w:cstheme="minorHAnsi"/>
        </w:rPr>
      </w:pPr>
      <w:r w:rsidRPr="007136FD">
        <w:rPr>
          <w:rFonts w:cstheme="minorHAnsi"/>
        </w:rPr>
        <w:t>Choi, T. Y. et al. (2021) The Oxford handbook of supply chain management. New York: Oxford University Press.</w:t>
      </w:r>
    </w:p>
    <w:p w14:paraId="7C461059" w14:textId="77777777" w:rsidR="007136FD" w:rsidRPr="007136FD" w:rsidRDefault="007136FD" w:rsidP="007136FD">
      <w:pPr>
        <w:rPr>
          <w:rFonts w:cstheme="minorHAnsi"/>
        </w:rPr>
      </w:pPr>
      <w:r w:rsidRPr="007136FD">
        <w:rPr>
          <w:rFonts w:cstheme="minorHAnsi"/>
        </w:rPr>
        <w:t xml:space="preserve">Emrullah, T. (2014) “Human Capital Theory: A Holistic Criticism.” </w:t>
      </w:r>
      <w:r w:rsidRPr="007136FD">
        <w:rPr>
          <w:rFonts w:cstheme="minorHAnsi"/>
          <w:i/>
          <w:iCs/>
        </w:rPr>
        <w:t>Review of Educational Research</w:t>
      </w:r>
      <w:r w:rsidRPr="007136FD">
        <w:rPr>
          <w:rFonts w:cstheme="minorHAnsi"/>
        </w:rPr>
        <w:t xml:space="preserve">, 84(3), pp. 411–45. </w:t>
      </w:r>
    </w:p>
    <w:p w14:paraId="26EE1E38" w14:textId="77777777" w:rsidR="007136FD" w:rsidRPr="007136FD" w:rsidRDefault="007136FD" w:rsidP="007136FD">
      <w:pPr>
        <w:rPr>
          <w:rFonts w:cstheme="minorHAnsi"/>
        </w:rPr>
      </w:pPr>
      <w:r w:rsidRPr="007136FD">
        <w:rPr>
          <w:rFonts w:cstheme="minorHAnsi"/>
        </w:rPr>
        <w:t xml:space="preserve">Gavan O’Shea, </w:t>
      </w:r>
      <w:proofErr w:type="gramStart"/>
      <w:r w:rsidRPr="007136FD">
        <w:rPr>
          <w:rFonts w:cstheme="minorHAnsi"/>
        </w:rPr>
        <w:t>P. ,</w:t>
      </w:r>
      <w:proofErr w:type="gramEnd"/>
      <w:r w:rsidRPr="007136FD">
        <w:rPr>
          <w:rFonts w:cstheme="minorHAnsi"/>
        </w:rPr>
        <w:t xml:space="preserve"> Foti, R. J., Hauenstein, N. M. A., and </w:t>
      </w:r>
      <w:proofErr w:type="spellStart"/>
      <w:r w:rsidRPr="007136FD">
        <w:rPr>
          <w:rFonts w:cstheme="minorHAnsi"/>
        </w:rPr>
        <w:t>Bycio</w:t>
      </w:r>
      <w:proofErr w:type="spellEnd"/>
      <w:r w:rsidRPr="007136FD">
        <w:rPr>
          <w:rFonts w:cstheme="minorHAnsi"/>
        </w:rPr>
        <w:t xml:space="preserve">, P. (2009) ‘Are the best leaders both transformational and transactional? A pattern-oriented analysis’, </w:t>
      </w:r>
      <w:r w:rsidRPr="007136FD">
        <w:rPr>
          <w:rFonts w:cstheme="minorHAnsi"/>
          <w:i/>
          <w:iCs/>
        </w:rPr>
        <w:t>Leadership</w:t>
      </w:r>
      <w:r w:rsidRPr="007136FD">
        <w:rPr>
          <w:rFonts w:cstheme="minorHAnsi"/>
        </w:rPr>
        <w:t>, 5(2), pp. 237-259.</w:t>
      </w:r>
    </w:p>
    <w:p w14:paraId="180A15CD" w14:textId="77777777" w:rsidR="007136FD" w:rsidRPr="007136FD" w:rsidRDefault="007136FD" w:rsidP="007136FD">
      <w:pPr>
        <w:rPr>
          <w:rFonts w:cstheme="minorHAnsi"/>
        </w:rPr>
      </w:pPr>
      <w:r w:rsidRPr="007136FD">
        <w:rPr>
          <w:rFonts w:cstheme="minorHAnsi"/>
        </w:rPr>
        <w:t xml:space="preserve">Gill, R. (2011) </w:t>
      </w:r>
      <w:r w:rsidRPr="007136FD">
        <w:rPr>
          <w:rFonts w:cstheme="minorHAnsi"/>
          <w:i/>
          <w:iCs/>
        </w:rPr>
        <w:t>Theory and practice of leadership</w:t>
      </w:r>
      <w:r w:rsidRPr="007136FD">
        <w:rPr>
          <w:rFonts w:cstheme="minorHAnsi"/>
        </w:rPr>
        <w:t>. 2</w:t>
      </w:r>
      <w:r w:rsidRPr="007136FD">
        <w:rPr>
          <w:rFonts w:cstheme="minorHAnsi"/>
          <w:vertAlign w:val="superscript"/>
        </w:rPr>
        <w:t>nd</w:t>
      </w:r>
      <w:r w:rsidRPr="007136FD">
        <w:rPr>
          <w:rFonts w:cstheme="minorHAnsi"/>
        </w:rPr>
        <w:t xml:space="preserve"> </w:t>
      </w:r>
      <w:proofErr w:type="spellStart"/>
      <w:r w:rsidRPr="007136FD">
        <w:rPr>
          <w:rFonts w:cstheme="minorHAnsi"/>
        </w:rPr>
        <w:t>edn</w:t>
      </w:r>
      <w:proofErr w:type="spellEnd"/>
      <w:r w:rsidRPr="007136FD">
        <w:rPr>
          <w:rFonts w:cstheme="minorHAnsi"/>
        </w:rPr>
        <w:t>. London: Sage.</w:t>
      </w:r>
    </w:p>
    <w:p w14:paraId="55F30993" w14:textId="77777777" w:rsidR="007136FD" w:rsidRPr="007136FD" w:rsidRDefault="007136FD" w:rsidP="007136FD">
      <w:pPr>
        <w:rPr>
          <w:rFonts w:cstheme="minorHAnsi"/>
        </w:rPr>
      </w:pPr>
      <w:r w:rsidRPr="007136FD">
        <w:rPr>
          <w:rFonts w:cstheme="minorHAnsi"/>
        </w:rPr>
        <w:t xml:space="preserve">Harrison, C. (2018) </w:t>
      </w:r>
      <w:r w:rsidRPr="007136FD">
        <w:rPr>
          <w:rFonts w:cstheme="minorHAnsi"/>
          <w:i/>
          <w:iCs/>
        </w:rPr>
        <w:t xml:space="preserve">Leadership Theory and Research </w:t>
      </w:r>
      <w:proofErr w:type="gramStart"/>
      <w:r w:rsidRPr="007136FD">
        <w:rPr>
          <w:rFonts w:cstheme="minorHAnsi"/>
          <w:i/>
          <w:iCs/>
        </w:rPr>
        <w:t>A</w:t>
      </w:r>
      <w:proofErr w:type="gramEnd"/>
      <w:r w:rsidRPr="007136FD">
        <w:rPr>
          <w:rFonts w:cstheme="minorHAnsi"/>
          <w:i/>
          <w:iCs/>
        </w:rPr>
        <w:t xml:space="preserve"> Critical Approach to New and Existing Paradigms</w:t>
      </w:r>
      <w:r w:rsidRPr="007136FD">
        <w:rPr>
          <w:rFonts w:cstheme="minorHAnsi"/>
        </w:rPr>
        <w:t>. Cham: Springer International Publishing.</w:t>
      </w:r>
    </w:p>
    <w:p w14:paraId="67C33DC4" w14:textId="77777777" w:rsidR="007136FD" w:rsidRPr="007136FD" w:rsidRDefault="007136FD" w:rsidP="007136FD">
      <w:pPr>
        <w:rPr>
          <w:rFonts w:cstheme="minorHAnsi"/>
        </w:rPr>
      </w:pPr>
      <w:r w:rsidRPr="007136FD">
        <w:rPr>
          <w:rFonts w:cstheme="minorHAnsi"/>
        </w:rPr>
        <w:t xml:space="preserve">Hussain, S. T. et al. (2018) ‘Kurt Lewin’s change model: A critical review of the role of leadership and employee involvement in organizational change’, </w:t>
      </w:r>
      <w:r w:rsidRPr="007136FD">
        <w:rPr>
          <w:rFonts w:cstheme="minorHAnsi"/>
          <w:i/>
          <w:iCs/>
        </w:rPr>
        <w:t>Journal of innovation &amp; knowledge,</w:t>
      </w:r>
      <w:r w:rsidRPr="007136FD">
        <w:rPr>
          <w:rFonts w:cstheme="minorHAnsi"/>
        </w:rPr>
        <w:t xml:space="preserve"> 3(3), pp. 123–127. </w:t>
      </w:r>
    </w:p>
    <w:p w14:paraId="48258196" w14:textId="77777777" w:rsidR="007136FD" w:rsidRPr="007136FD" w:rsidRDefault="007136FD" w:rsidP="007136FD">
      <w:pPr>
        <w:rPr>
          <w:rFonts w:cstheme="minorHAnsi"/>
        </w:rPr>
      </w:pPr>
      <w:r w:rsidRPr="007136FD">
        <w:rPr>
          <w:rFonts w:cstheme="minorHAnsi"/>
        </w:rPr>
        <w:t>Insights (</w:t>
      </w:r>
      <w:proofErr w:type="spellStart"/>
      <w:r w:rsidRPr="007136FD">
        <w:rPr>
          <w:rFonts w:cstheme="minorHAnsi"/>
        </w:rPr>
        <w:t>n.d</w:t>
      </w:r>
      <w:proofErr w:type="spellEnd"/>
      <w:r w:rsidRPr="007136FD">
        <w:rPr>
          <w:rFonts w:cstheme="minorHAnsi"/>
        </w:rPr>
        <w:t xml:space="preserve">) </w:t>
      </w:r>
      <w:r w:rsidRPr="007136FD">
        <w:rPr>
          <w:rFonts w:cstheme="minorHAnsi"/>
          <w:i/>
          <w:iCs/>
        </w:rPr>
        <w:t xml:space="preserve">Coaching people through the Change Curve. Available at: </w:t>
      </w:r>
      <w:hyperlink r:id="rId8" w:history="1">
        <w:r w:rsidRPr="007136FD">
          <w:rPr>
            <w:rStyle w:val="Hyperlink"/>
            <w:rFonts w:cstheme="minorHAnsi"/>
          </w:rPr>
          <w:t>https://www.</w:t>
        </w:r>
        <w:r w:rsidRPr="007136FD">
          <w:rPr>
            <w:rStyle w:val="Hyperlink"/>
            <w:rFonts w:cstheme="minorHAnsi"/>
          </w:rPr>
          <w:t>i</w:t>
        </w:r>
        <w:r w:rsidRPr="007136FD">
          <w:rPr>
            <w:rStyle w:val="Hyperlink"/>
            <w:rFonts w:cstheme="minorHAnsi"/>
          </w:rPr>
          <w:t>nsights.com/resources/coaching-people-through-the-change-curve/</w:t>
        </w:r>
      </w:hyperlink>
      <w:r w:rsidRPr="007136FD">
        <w:rPr>
          <w:rFonts w:cstheme="minorHAnsi"/>
        </w:rPr>
        <w:t xml:space="preserve"> (Accessed: 23.11.2023).</w:t>
      </w:r>
    </w:p>
    <w:p w14:paraId="61E93B38" w14:textId="77777777" w:rsidR="007136FD" w:rsidRPr="007136FD" w:rsidRDefault="007136FD" w:rsidP="007136FD">
      <w:pPr>
        <w:rPr>
          <w:rFonts w:cstheme="minorHAnsi"/>
        </w:rPr>
      </w:pPr>
      <w:r w:rsidRPr="007136FD">
        <w:rPr>
          <w:rFonts w:cstheme="minorHAnsi"/>
        </w:rPr>
        <w:t xml:space="preserve">Kohli, A. K. and Jaworski, B. J. (1990) ‘Market Orientation: The Construct, Research Propositions, and Managerial Implications’, </w:t>
      </w:r>
      <w:r w:rsidRPr="007136FD">
        <w:rPr>
          <w:rFonts w:cstheme="minorHAnsi"/>
          <w:i/>
          <w:iCs/>
        </w:rPr>
        <w:t>Journal of Marketing</w:t>
      </w:r>
      <w:r w:rsidRPr="007136FD">
        <w:rPr>
          <w:rFonts w:cstheme="minorHAnsi"/>
        </w:rPr>
        <w:t xml:space="preserve">, 54(2), pp. 1-18. </w:t>
      </w:r>
    </w:p>
    <w:p w14:paraId="4B91CA7B" w14:textId="77777777" w:rsidR="007136FD" w:rsidRPr="007136FD" w:rsidRDefault="007136FD" w:rsidP="007136FD">
      <w:pPr>
        <w:rPr>
          <w:rFonts w:cstheme="minorHAnsi"/>
        </w:rPr>
      </w:pPr>
      <w:proofErr w:type="spellStart"/>
      <w:r w:rsidRPr="007136FD">
        <w:rPr>
          <w:rFonts w:cstheme="minorHAnsi"/>
        </w:rPr>
        <w:t>Lutkevich</w:t>
      </w:r>
      <w:proofErr w:type="spellEnd"/>
      <w:r w:rsidRPr="007136FD">
        <w:rPr>
          <w:rFonts w:cstheme="minorHAnsi"/>
        </w:rPr>
        <w:t>, B., Pratt, M. K. and Flahiff, J. (</w:t>
      </w:r>
      <w:proofErr w:type="spellStart"/>
      <w:r w:rsidRPr="007136FD">
        <w:rPr>
          <w:rFonts w:cstheme="minorHAnsi"/>
        </w:rPr>
        <w:t>n.d</w:t>
      </w:r>
      <w:proofErr w:type="spellEnd"/>
      <w:r w:rsidRPr="007136FD">
        <w:rPr>
          <w:rFonts w:cstheme="minorHAnsi"/>
        </w:rPr>
        <w:t xml:space="preserve">) </w:t>
      </w:r>
      <w:r w:rsidRPr="007136FD">
        <w:rPr>
          <w:rFonts w:cstheme="minorHAnsi"/>
          <w:i/>
          <w:iCs/>
        </w:rPr>
        <w:t xml:space="preserve">Change agent (agent of change). </w:t>
      </w:r>
      <w:r w:rsidRPr="007136FD">
        <w:rPr>
          <w:rFonts w:cstheme="minorHAnsi"/>
        </w:rPr>
        <w:t>Available at:</w:t>
      </w:r>
      <w:r w:rsidRPr="007136FD">
        <w:rPr>
          <w:rFonts w:cstheme="minorHAnsi"/>
          <w:i/>
          <w:iCs/>
        </w:rPr>
        <w:t xml:space="preserve"> </w:t>
      </w:r>
      <w:hyperlink r:id="rId9" w:history="1">
        <w:r w:rsidRPr="007136FD">
          <w:rPr>
            <w:rStyle w:val="Hyperlink"/>
            <w:rFonts w:cstheme="minorHAnsi"/>
          </w:rPr>
          <w:t>https://www.t</w:t>
        </w:r>
        <w:r w:rsidRPr="007136FD">
          <w:rPr>
            <w:rStyle w:val="Hyperlink"/>
            <w:rFonts w:cstheme="minorHAnsi"/>
          </w:rPr>
          <w:t>e</w:t>
        </w:r>
        <w:r w:rsidRPr="007136FD">
          <w:rPr>
            <w:rStyle w:val="Hyperlink"/>
            <w:rFonts w:cstheme="minorHAnsi"/>
          </w:rPr>
          <w:t>chtarget.com/searchcio/definition/change-agent</w:t>
        </w:r>
      </w:hyperlink>
      <w:r w:rsidRPr="007136FD">
        <w:rPr>
          <w:rFonts w:cstheme="minorHAnsi"/>
        </w:rPr>
        <w:t xml:space="preserve"> (Accessed: 23.11.2023).</w:t>
      </w:r>
    </w:p>
    <w:p w14:paraId="3311A32E" w14:textId="77777777" w:rsidR="007136FD" w:rsidRPr="007136FD" w:rsidRDefault="007136FD" w:rsidP="007136FD">
      <w:pPr>
        <w:rPr>
          <w:rFonts w:cstheme="minorHAnsi"/>
        </w:rPr>
      </w:pPr>
      <w:proofErr w:type="spellStart"/>
      <w:r w:rsidRPr="007136FD">
        <w:rPr>
          <w:rFonts w:cstheme="minorHAnsi"/>
        </w:rPr>
        <w:t>Marginson</w:t>
      </w:r>
      <w:proofErr w:type="spellEnd"/>
      <w:r w:rsidRPr="007136FD">
        <w:rPr>
          <w:rFonts w:cstheme="minorHAnsi"/>
        </w:rPr>
        <w:t xml:space="preserve">, S. (2019) ‘Limitations of human capital theory’, </w:t>
      </w:r>
      <w:r w:rsidRPr="007136FD">
        <w:rPr>
          <w:rFonts w:cstheme="minorHAnsi"/>
          <w:i/>
          <w:iCs/>
        </w:rPr>
        <w:t>Studies in higher education</w:t>
      </w:r>
      <w:r w:rsidRPr="007136FD">
        <w:rPr>
          <w:rFonts w:cstheme="minorHAnsi"/>
        </w:rPr>
        <w:t xml:space="preserve">, 44(2), pp. 287–301. </w:t>
      </w:r>
    </w:p>
    <w:p w14:paraId="46ADF506" w14:textId="77777777" w:rsidR="007136FD" w:rsidRPr="007136FD" w:rsidRDefault="007136FD" w:rsidP="007136FD">
      <w:pPr>
        <w:rPr>
          <w:rFonts w:cstheme="minorHAnsi"/>
        </w:rPr>
      </w:pPr>
      <w:proofErr w:type="spellStart"/>
      <w:r w:rsidRPr="007136FD">
        <w:rPr>
          <w:rFonts w:cstheme="minorHAnsi"/>
        </w:rPr>
        <w:t>Marketline</w:t>
      </w:r>
      <w:proofErr w:type="spellEnd"/>
      <w:r w:rsidRPr="007136FD">
        <w:rPr>
          <w:rFonts w:cstheme="minorHAnsi"/>
        </w:rPr>
        <w:t xml:space="preserve"> (2023) </w:t>
      </w:r>
      <w:r w:rsidRPr="007136FD">
        <w:rPr>
          <w:rFonts w:cstheme="minorHAnsi"/>
          <w:i/>
          <w:iCs/>
        </w:rPr>
        <w:t xml:space="preserve">The Coca-Cola Co. </w:t>
      </w:r>
      <w:r w:rsidRPr="007136FD">
        <w:rPr>
          <w:rFonts w:cstheme="minorHAnsi"/>
        </w:rPr>
        <w:t xml:space="preserve">Available at: </w:t>
      </w:r>
      <w:hyperlink r:id="rId10" w:history="1">
        <w:r w:rsidRPr="007136FD">
          <w:rPr>
            <w:rStyle w:val="Hyperlink"/>
            <w:rFonts w:cstheme="minorHAnsi"/>
          </w:rPr>
          <w:t>https://advantage-ma</w:t>
        </w:r>
        <w:r w:rsidRPr="007136FD">
          <w:rPr>
            <w:rStyle w:val="Hyperlink"/>
            <w:rFonts w:cstheme="minorHAnsi"/>
          </w:rPr>
          <w:t>r</w:t>
        </w:r>
        <w:r w:rsidRPr="007136FD">
          <w:rPr>
            <w:rStyle w:val="Hyperlink"/>
            <w:rFonts w:cstheme="minorHAnsi"/>
          </w:rPr>
          <w:t>ketline-com.ezproxy.uwtsd.ac.uk/Company/Financials/the-coca-cola-company</w:t>
        </w:r>
      </w:hyperlink>
      <w:r w:rsidRPr="007136FD">
        <w:rPr>
          <w:rFonts w:cstheme="minorHAnsi"/>
        </w:rPr>
        <w:t xml:space="preserve"> (Accessed: 23.11.2023).</w:t>
      </w:r>
    </w:p>
    <w:p w14:paraId="1A9DD4CD" w14:textId="77777777" w:rsidR="007136FD" w:rsidRPr="007136FD" w:rsidRDefault="007136FD" w:rsidP="007136FD">
      <w:pPr>
        <w:rPr>
          <w:rFonts w:cstheme="minorHAnsi"/>
        </w:rPr>
      </w:pPr>
      <w:r w:rsidRPr="007136FD">
        <w:rPr>
          <w:rFonts w:cstheme="minorHAnsi"/>
        </w:rPr>
        <w:t xml:space="preserve">Northouse, P. G. (2010). </w:t>
      </w:r>
      <w:r w:rsidRPr="007136FD">
        <w:rPr>
          <w:rFonts w:cstheme="minorHAnsi"/>
          <w:i/>
          <w:iCs/>
        </w:rPr>
        <w:t>Leadership: Theory and practice</w:t>
      </w:r>
      <w:r w:rsidRPr="007136FD">
        <w:rPr>
          <w:rFonts w:cstheme="minorHAnsi"/>
        </w:rPr>
        <w:t xml:space="preserve">. 5th </w:t>
      </w:r>
      <w:proofErr w:type="spellStart"/>
      <w:r w:rsidRPr="007136FD">
        <w:rPr>
          <w:rFonts w:cstheme="minorHAnsi"/>
        </w:rPr>
        <w:t>edn</w:t>
      </w:r>
      <w:proofErr w:type="spellEnd"/>
      <w:r w:rsidRPr="007136FD">
        <w:rPr>
          <w:rFonts w:cstheme="minorHAnsi"/>
        </w:rPr>
        <w:t>. Thousand Oaks, CA: SAGE Publications.</w:t>
      </w:r>
    </w:p>
    <w:p w14:paraId="33F98C59" w14:textId="77777777" w:rsidR="007136FD" w:rsidRPr="007136FD" w:rsidRDefault="007136FD" w:rsidP="007136FD">
      <w:pPr>
        <w:rPr>
          <w:rFonts w:cstheme="minorHAnsi"/>
        </w:rPr>
      </w:pPr>
      <w:r w:rsidRPr="007136FD">
        <w:rPr>
          <w:rFonts w:cstheme="minorHAnsi"/>
        </w:rPr>
        <w:t xml:space="preserve">Owen, J. (2020) </w:t>
      </w:r>
      <w:r w:rsidRPr="007136FD">
        <w:rPr>
          <w:rFonts w:cstheme="minorHAnsi"/>
          <w:i/>
          <w:iCs/>
        </w:rPr>
        <w:t>The leadership skills handbook: 100 essential skills you need to be a leader</w:t>
      </w:r>
      <w:r w:rsidRPr="007136FD">
        <w:rPr>
          <w:rFonts w:cstheme="minorHAnsi"/>
        </w:rPr>
        <w:t>. 5</w:t>
      </w:r>
      <w:r w:rsidRPr="007136FD">
        <w:rPr>
          <w:rFonts w:cstheme="minorHAnsi"/>
          <w:vertAlign w:val="superscript"/>
        </w:rPr>
        <w:t>th</w:t>
      </w:r>
      <w:r w:rsidRPr="007136FD">
        <w:rPr>
          <w:rFonts w:cstheme="minorHAnsi"/>
        </w:rPr>
        <w:t xml:space="preserve"> </w:t>
      </w:r>
      <w:proofErr w:type="spellStart"/>
      <w:r w:rsidRPr="007136FD">
        <w:rPr>
          <w:rFonts w:cstheme="minorHAnsi"/>
        </w:rPr>
        <w:t>edn</w:t>
      </w:r>
      <w:proofErr w:type="spellEnd"/>
      <w:r w:rsidRPr="007136FD">
        <w:rPr>
          <w:rFonts w:cstheme="minorHAnsi"/>
        </w:rPr>
        <w:t>. New York: Kogan Page Ltd.</w:t>
      </w:r>
    </w:p>
    <w:p w14:paraId="0789FDF0" w14:textId="77777777" w:rsidR="007136FD" w:rsidRPr="007136FD" w:rsidRDefault="007136FD" w:rsidP="007136FD">
      <w:pPr>
        <w:rPr>
          <w:rFonts w:cstheme="minorHAnsi"/>
        </w:rPr>
      </w:pPr>
      <w:r w:rsidRPr="007136FD">
        <w:rPr>
          <w:rFonts w:cstheme="minorHAnsi"/>
        </w:rPr>
        <w:t xml:space="preserve">Pascale, T. and </w:t>
      </w:r>
      <w:proofErr w:type="spellStart"/>
      <w:r w:rsidRPr="007136FD">
        <w:rPr>
          <w:rFonts w:cstheme="minorHAnsi"/>
        </w:rPr>
        <w:t>Sternin</w:t>
      </w:r>
      <w:proofErr w:type="spellEnd"/>
      <w:r w:rsidRPr="007136FD">
        <w:rPr>
          <w:rFonts w:cstheme="minorHAnsi"/>
        </w:rPr>
        <w:t xml:space="preserve">, J. (2005) </w:t>
      </w:r>
      <w:r w:rsidRPr="007136FD">
        <w:rPr>
          <w:rFonts w:cstheme="minorHAnsi"/>
          <w:i/>
          <w:iCs/>
        </w:rPr>
        <w:t xml:space="preserve">Your Company’s Secret Change Agents. </w:t>
      </w:r>
      <w:r w:rsidRPr="007136FD">
        <w:rPr>
          <w:rFonts w:cstheme="minorHAnsi"/>
        </w:rPr>
        <w:t>Available at:</w:t>
      </w:r>
      <w:r w:rsidRPr="007136FD">
        <w:rPr>
          <w:rFonts w:cstheme="minorHAnsi"/>
          <w:i/>
          <w:iCs/>
        </w:rPr>
        <w:t xml:space="preserve"> </w:t>
      </w:r>
      <w:hyperlink r:id="rId11" w:history="1">
        <w:r w:rsidRPr="007136FD">
          <w:rPr>
            <w:rStyle w:val="Hyperlink"/>
            <w:rFonts w:cstheme="minorHAnsi"/>
          </w:rPr>
          <w:t>https://hbr.org/2005/0</w:t>
        </w:r>
        <w:r w:rsidRPr="007136FD">
          <w:rPr>
            <w:rStyle w:val="Hyperlink"/>
            <w:rFonts w:cstheme="minorHAnsi"/>
          </w:rPr>
          <w:t>5</w:t>
        </w:r>
        <w:r w:rsidRPr="007136FD">
          <w:rPr>
            <w:rStyle w:val="Hyperlink"/>
            <w:rFonts w:cstheme="minorHAnsi"/>
          </w:rPr>
          <w:t>/your-companys-secret-change-agents</w:t>
        </w:r>
      </w:hyperlink>
      <w:r w:rsidRPr="007136FD">
        <w:rPr>
          <w:rFonts w:cstheme="minorHAnsi"/>
        </w:rPr>
        <w:t xml:space="preserve"> (Accessed: 23.11.2023)</w:t>
      </w:r>
    </w:p>
    <w:p w14:paraId="53DF9E3A" w14:textId="77777777" w:rsidR="007136FD" w:rsidRPr="007136FD" w:rsidRDefault="007136FD" w:rsidP="007136FD">
      <w:pPr>
        <w:rPr>
          <w:rFonts w:cstheme="minorHAnsi"/>
        </w:rPr>
      </w:pPr>
      <w:r w:rsidRPr="007136FD">
        <w:rPr>
          <w:rFonts w:cstheme="minorHAnsi"/>
        </w:rPr>
        <w:t xml:space="preserve">Robbins S. P., Judge, T. and Campbell, T. (2010) </w:t>
      </w:r>
      <w:r w:rsidRPr="007136FD">
        <w:rPr>
          <w:rFonts w:cstheme="minorHAnsi"/>
          <w:i/>
          <w:iCs/>
        </w:rPr>
        <w:t xml:space="preserve">Organisational Behaviour. </w:t>
      </w:r>
      <w:r w:rsidRPr="007136FD">
        <w:rPr>
          <w:rFonts w:cstheme="minorHAnsi"/>
        </w:rPr>
        <w:t>Harlow: Financial Times Prentice Hall.</w:t>
      </w:r>
    </w:p>
    <w:p w14:paraId="44C60032" w14:textId="77777777" w:rsidR="007136FD" w:rsidRPr="007136FD" w:rsidRDefault="007136FD" w:rsidP="007136FD">
      <w:pPr>
        <w:rPr>
          <w:rFonts w:cstheme="minorHAnsi"/>
        </w:rPr>
      </w:pPr>
      <w:r w:rsidRPr="007136FD">
        <w:rPr>
          <w:rFonts w:cstheme="minorHAnsi"/>
        </w:rPr>
        <w:t xml:space="preserve">The Beverage Forum (n. d) </w:t>
      </w:r>
      <w:r w:rsidRPr="007136FD">
        <w:rPr>
          <w:rFonts w:cstheme="minorHAnsi"/>
          <w:i/>
          <w:iCs/>
        </w:rPr>
        <w:t xml:space="preserve">Brian Smith. </w:t>
      </w:r>
      <w:r w:rsidRPr="007136FD">
        <w:rPr>
          <w:rFonts w:cstheme="minorHAnsi"/>
        </w:rPr>
        <w:t xml:space="preserve">Available at: </w:t>
      </w:r>
      <w:hyperlink r:id="rId12" w:history="1">
        <w:r w:rsidRPr="007136FD">
          <w:rPr>
            <w:rStyle w:val="Hyperlink"/>
            <w:rFonts w:cstheme="minorHAnsi"/>
          </w:rPr>
          <w:t>https://www.bevindustry.com/beverage-forum/speakers/brian-smith</w:t>
        </w:r>
      </w:hyperlink>
      <w:r w:rsidRPr="007136FD">
        <w:rPr>
          <w:rFonts w:cstheme="minorHAnsi"/>
        </w:rPr>
        <w:t xml:space="preserve"> (Accessed: 23.11.2023). </w:t>
      </w:r>
    </w:p>
    <w:p w14:paraId="7B0251EE" w14:textId="77777777" w:rsidR="007136FD" w:rsidRPr="007136FD" w:rsidRDefault="007136FD" w:rsidP="007136FD">
      <w:pPr>
        <w:rPr>
          <w:rFonts w:cstheme="minorHAnsi"/>
        </w:rPr>
      </w:pPr>
      <w:r w:rsidRPr="007136FD">
        <w:rPr>
          <w:rFonts w:cstheme="minorHAnsi"/>
        </w:rPr>
        <w:t xml:space="preserve">The Coca-Cola Company (2018) </w:t>
      </w:r>
      <w:r w:rsidRPr="007136FD">
        <w:rPr>
          <w:rFonts w:cstheme="minorHAnsi"/>
          <w:i/>
          <w:iCs/>
        </w:rPr>
        <w:t>Coca</w:t>
      </w:r>
      <w:r w:rsidRPr="007136FD">
        <w:rPr>
          <w:rFonts w:ascii="Cambria Math" w:hAnsi="Cambria Math" w:cs="Cambria Math"/>
          <w:i/>
          <w:iCs/>
        </w:rPr>
        <w:t>‑</w:t>
      </w:r>
      <w:r w:rsidRPr="007136FD">
        <w:rPr>
          <w:rFonts w:cstheme="minorHAnsi"/>
          <w:i/>
          <w:iCs/>
        </w:rPr>
        <w:t xml:space="preserve">Cola Announces Key Leadership Changes, Including Election of New President and Chief Operating Officer and Succession Plan for the Chief Financial Officer. </w:t>
      </w:r>
      <w:r w:rsidRPr="007136FD">
        <w:rPr>
          <w:rFonts w:cstheme="minorHAnsi"/>
        </w:rPr>
        <w:lastRenderedPageBreak/>
        <w:t>Available at:</w:t>
      </w:r>
      <w:r w:rsidRPr="007136FD">
        <w:rPr>
          <w:rFonts w:cstheme="minorHAnsi"/>
          <w:i/>
          <w:iCs/>
        </w:rPr>
        <w:t xml:space="preserve"> </w:t>
      </w:r>
      <w:hyperlink r:id="rId13" w:history="1">
        <w:r w:rsidRPr="007136FD">
          <w:rPr>
            <w:rStyle w:val="Hyperlink"/>
            <w:rFonts w:cstheme="minorHAnsi"/>
          </w:rPr>
          <w:t>https://www.coca-colacompany.com/media-center/coca-cola-announces-key-leadership-changes-oct2018</w:t>
        </w:r>
      </w:hyperlink>
      <w:r w:rsidRPr="007136FD">
        <w:rPr>
          <w:rFonts w:cstheme="minorHAnsi"/>
        </w:rPr>
        <w:t xml:space="preserve"> (Accessed: 23.11.2023).</w:t>
      </w:r>
    </w:p>
    <w:p w14:paraId="230E1A83" w14:textId="77777777" w:rsidR="007136FD" w:rsidRPr="007136FD" w:rsidRDefault="007136FD" w:rsidP="007136FD">
      <w:pPr>
        <w:rPr>
          <w:rFonts w:cstheme="minorHAnsi"/>
        </w:rPr>
      </w:pPr>
      <w:r w:rsidRPr="007136FD">
        <w:rPr>
          <w:rFonts w:cstheme="minorHAnsi"/>
        </w:rPr>
        <w:t xml:space="preserve">The Coca-Cola Company (2020) </w:t>
      </w:r>
      <w:r w:rsidRPr="007136FD">
        <w:rPr>
          <w:rFonts w:cstheme="minorHAnsi"/>
          <w:i/>
          <w:iCs/>
        </w:rPr>
        <w:t>Accelerating Transformation: Coca</w:t>
      </w:r>
      <w:r w:rsidRPr="007136FD">
        <w:rPr>
          <w:rFonts w:ascii="Cambria Math" w:hAnsi="Cambria Math" w:cs="Cambria Math"/>
          <w:i/>
          <w:iCs/>
        </w:rPr>
        <w:t>‑</w:t>
      </w:r>
      <w:r w:rsidRPr="007136FD">
        <w:rPr>
          <w:rFonts w:cstheme="minorHAnsi"/>
          <w:i/>
          <w:iCs/>
        </w:rPr>
        <w:t>Cola COO Brian Smith on the Company</w:t>
      </w:r>
      <w:r w:rsidRPr="007136FD">
        <w:rPr>
          <w:rFonts w:ascii="Calibri" w:hAnsi="Calibri" w:cs="Calibri"/>
          <w:i/>
          <w:iCs/>
        </w:rPr>
        <w:t>’</w:t>
      </w:r>
      <w:r w:rsidRPr="007136FD">
        <w:rPr>
          <w:rFonts w:cstheme="minorHAnsi"/>
          <w:i/>
          <w:iCs/>
        </w:rPr>
        <w:t xml:space="preserve">s Strategic Pivots. </w:t>
      </w:r>
      <w:r w:rsidRPr="007136FD">
        <w:rPr>
          <w:rFonts w:cstheme="minorHAnsi"/>
        </w:rPr>
        <w:t xml:space="preserve">Available at: </w:t>
      </w:r>
      <w:hyperlink r:id="rId14" w:history="1">
        <w:r w:rsidRPr="007136FD">
          <w:rPr>
            <w:rStyle w:val="Hyperlink"/>
            <w:rFonts w:cstheme="minorHAnsi"/>
          </w:rPr>
          <w:t>https://www.coc</w:t>
        </w:r>
        <w:r w:rsidRPr="007136FD">
          <w:rPr>
            <w:rStyle w:val="Hyperlink"/>
            <w:rFonts w:cstheme="minorHAnsi"/>
          </w:rPr>
          <w:t>a</w:t>
        </w:r>
        <w:r w:rsidRPr="007136FD">
          <w:rPr>
            <w:rStyle w:val="Hyperlink"/>
            <w:rFonts w:cstheme="minorHAnsi"/>
          </w:rPr>
          <w:t>-colacompany.com/media-center/brian-smith-company-strategic-pivots</w:t>
        </w:r>
      </w:hyperlink>
      <w:r w:rsidRPr="007136FD">
        <w:rPr>
          <w:rFonts w:cstheme="minorHAnsi"/>
        </w:rPr>
        <w:t xml:space="preserve"> (Accessed: 23.11.2023).</w:t>
      </w:r>
    </w:p>
    <w:p w14:paraId="6F1BE196" w14:textId="77777777" w:rsidR="007136FD" w:rsidRPr="007136FD" w:rsidRDefault="007136FD" w:rsidP="007136FD">
      <w:pPr>
        <w:rPr>
          <w:rFonts w:cstheme="minorHAnsi"/>
        </w:rPr>
      </w:pPr>
      <w:r w:rsidRPr="007136FD">
        <w:rPr>
          <w:rFonts w:cstheme="minorHAnsi"/>
        </w:rPr>
        <w:t xml:space="preserve">The Coca-Cola Company (2022) </w:t>
      </w:r>
      <w:r w:rsidRPr="007136FD">
        <w:rPr>
          <w:rFonts w:cstheme="minorHAnsi"/>
          <w:i/>
          <w:iCs/>
        </w:rPr>
        <w:t>John Murphy to Become President and Chief Financial Officer of The Coca</w:t>
      </w:r>
      <w:r w:rsidRPr="007136FD">
        <w:rPr>
          <w:rFonts w:ascii="Cambria Math" w:hAnsi="Cambria Math" w:cs="Cambria Math"/>
          <w:i/>
          <w:iCs/>
        </w:rPr>
        <w:t>‑</w:t>
      </w:r>
      <w:r w:rsidRPr="007136FD">
        <w:rPr>
          <w:rFonts w:cstheme="minorHAnsi"/>
          <w:i/>
          <w:iCs/>
        </w:rPr>
        <w:t xml:space="preserve">Cola Company. </w:t>
      </w:r>
      <w:r w:rsidRPr="007136FD">
        <w:rPr>
          <w:rFonts w:cstheme="minorHAnsi"/>
        </w:rPr>
        <w:t xml:space="preserve">Available at: </w:t>
      </w:r>
      <w:hyperlink r:id="rId15" w:history="1">
        <w:r w:rsidRPr="007136FD">
          <w:rPr>
            <w:rStyle w:val="Hyperlink"/>
            <w:rFonts w:cstheme="minorHAnsi"/>
          </w:rPr>
          <w:t>https://www.coca-colacompany.com/media-center/john-murphy-to-become-president-and-chief-financial-officer</w:t>
        </w:r>
      </w:hyperlink>
      <w:r w:rsidRPr="007136FD">
        <w:rPr>
          <w:rFonts w:cstheme="minorHAnsi"/>
        </w:rPr>
        <w:t xml:space="preserve"> (Accessed: 23.11.2023).</w:t>
      </w:r>
    </w:p>
    <w:p w14:paraId="1BAA3B12" w14:textId="77777777" w:rsidR="007136FD" w:rsidRPr="007136FD" w:rsidRDefault="007136FD" w:rsidP="007136FD">
      <w:pPr>
        <w:rPr>
          <w:rFonts w:cstheme="minorHAnsi"/>
        </w:rPr>
      </w:pPr>
      <w:r w:rsidRPr="007136FD">
        <w:rPr>
          <w:rFonts w:cstheme="minorHAnsi"/>
        </w:rPr>
        <w:t xml:space="preserve">The Coca-Cola Company (n. d) </w:t>
      </w:r>
      <w:r w:rsidRPr="007136FD">
        <w:rPr>
          <w:rFonts w:cstheme="minorHAnsi"/>
          <w:i/>
          <w:iCs/>
        </w:rPr>
        <w:t xml:space="preserve">Brian Smith. </w:t>
      </w:r>
      <w:r w:rsidRPr="007136FD">
        <w:rPr>
          <w:rFonts w:cstheme="minorHAnsi"/>
        </w:rPr>
        <w:t xml:space="preserve">Available at: </w:t>
      </w:r>
      <w:hyperlink r:id="rId16" w:history="1">
        <w:r w:rsidRPr="007136FD">
          <w:rPr>
            <w:rStyle w:val="Hyperlink"/>
            <w:rFonts w:cstheme="minorHAnsi"/>
          </w:rPr>
          <w:t>https://www.coca-colacompany.com/about-us/leadership/brian-smith</w:t>
        </w:r>
      </w:hyperlink>
      <w:r w:rsidRPr="007136FD">
        <w:rPr>
          <w:rFonts w:cstheme="minorHAnsi"/>
        </w:rPr>
        <w:t xml:space="preserve"> (Accessed: 21.11.2023).</w:t>
      </w:r>
    </w:p>
    <w:p w14:paraId="6CA8D384" w14:textId="77777777" w:rsidR="007136FD" w:rsidRPr="007136FD" w:rsidRDefault="007136FD" w:rsidP="007136FD">
      <w:pPr>
        <w:rPr>
          <w:rFonts w:cstheme="minorHAnsi"/>
        </w:rPr>
      </w:pPr>
      <w:proofErr w:type="spellStart"/>
      <w:r w:rsidRPr="007136FD">
        <w:rPr>
          <w:rFonts w:cstheme="minorHAnsi"/>
        </w:rPr>
        <w:t>Urde</w:t>
      </w:r>
      <w:proofErr w:type="spellEnd"/>
      <w:r w:rsidRPr="007136FD">
        <w:rPr>
          <w:rFonts w:cstheme="minorHAnsi"/>
        </w:rPr>
        <w:t xml:space="preserve">, M., Baumgarth, C. and Merrilees, B. (2013) ‘Brand orientation and market orientation — From alternatives to synergy’, </w:t>
      </w:r>
      <w:r w:rsidRPr="007136FD">
        <w:rPr>
          <w:rFonts w:cstheme="minorHAnsi"/>
          <w:i/>
          <w:iCs/>
        </w:rPr>
        <w:t>Journal of business research</w:t>
      </w:r>
      <w:r w:rsidRPr="007136FD">
        <w:rPr>
          <w:rFonts w:cstheme="minorHAnsi"/>
        </w:rPr>
        <w:t xml:space="preserve">, 66(1), pp. 13–20. </w:t>
      </w:r>
    </w:p>
    <w:p w14:paraId="23C74EB7" w14:textId="77777777" w:rsidR="007136FD" w:rsidRPr="007136FD" w:rsidRDefault="007136FD" w:rsidP="007136FD">
      <w:pPr>
        <w:rPr>
          <w:rFonts w:cstheme="minorHAnsi"/>
        </w:rPr>
      </w:pPr>
      <w:r w:rsidRPr="007136FD">
        <w:rPr>
          <w:rFonts w:cstheme="minorHAnsi"/>
        </w:rPr>
        <w:t xml:space="preserve">Villamil, C., Schulte, J. and </w:t>
      </w:r>
      <w:proofErr w:type="spellStart"/>
      <w:r w:rsidRPr="007136FD">
        <w:rPr>
          <w:rFonts w:cstheme="minorHAnsi"/>
        </w:rPr>
        <w:t>Hallstedt</w:t>
      </w:r>
      <w:proofErr w:type="spellEnd"/>
      <w:r w:rsidRPr="007136FD">
        <w:rPr>
          <w:rFonts w:cstheme="minorHAnsi"/>
        </w:rPr>
        <w:t xml:space="preserve">, S. (2022) ‘Sustainability risk and portfolio management—A strategic scenario method for sustainable product development’, </w:t>
      </w:r>
      <w:r w:rsidRPr="007136FD">
        <w:rPr>
          <w:rFonts w:cstheme="minorHAnsi"/>
          <w:i/>
          <w:iCs/>
        </w:rPr>
        <w:t>Business strategy and the environment</w:t>
      </w:r>
      <w:r w:rsidRPr="007136FD">
        <w:rPr>
          <w:rFonts w:cstheme="minorHAnsi"/>
        </w:rPr>
        <w:t xml:space="preserve">, 31(3), pp. 1042–1057. </w:t>
      </w:r>
    </w:p>
    <w:p w14:paraId="30237B5A" w14:textId="77777777" w:rsidR="007136FD" w:rsidRPr="007136FD" w:rsidRDefault="007136FD" w:rsidP="007136FD">
      <w:pPr>
        <w:rPr>
          <w:rFonts w:cstheme="minorHAnsi"/>
        </w:rPr>
      </w:pPr>
      <w:r w:rsidRPr="007136FD">
        <w:rPr>
          <w:rFonts w:cstheme="minorHAnsi"/>
        </w:rPr>
        <w:t xml:space="preserve">Vroom, V. H. and Yetton, P. W. (1973) </w:t>
      </w:r>
      <w:r w:rsidRPr="007136FD">
        <w:rPr>
          <w:rFonts w:cstheme="minorHAnsi"/>
          <w:i/>
          <w:iCs/>
        </w:rPr>
        <w:t>Leadership and decision-making</w:t>
      </w:r>
      <w:r w:rsidRPr="007136FD">
        <w:rPr>
          <w:rFonts w:cstheme="minorHAnsi"/>
        </w:rPr>
        <w:t xml:space="preserve">. University of Pittsburgh Press. </w:t>
      </w:r>
    </w:p>
    <w:p w14:paraId="5C40005D" w14:textId="77777777" w:rsidR="007136FD" w:rsidRPr="007136FD" w:rsidRDefault="007136FD" w:rsidP="007136FD">
      <w:pPr>
        <w:rPr>
          <w:rFonts w:cstheme="minorHAnsi"/>
        </w:rPr>
      </w:pPr>
      <w:r w:rsidRPr="007136FD">
        <w:rPr>
          <w:rFonts w:cstheme="minorHAnsi"/>
        </w:rPr>
        <w:t xml:space="preserve">Vroom, V. H., and Jago, A.G. (2007) ‘The role of situation in leadership’, </w:t>
      </w:r>
      <w:r w:rsidRPr="007136FD">
        <w:rPr>
          <w:rFonts w:cstheme="minorHAnsi"/>
          <w:i/>
          <w:iCs/>
        </w:rPr>
        <w:t>American Psychologist</w:t>
      </w:r>
      <w:r w:rsidRPr="007136FD">
        <w:rPr>
          <w:rFonts w:cstheme="minorHAnsi"/>
        </w:rPr>
        <w:t>, 62, pp. 17-24.</w:t>
      </w:r>
    </w:p>
    <w:p w14:paraId="03BA3C79" w14:textId="77777777" w:rsidR="007136FD" w:rsidRPr="007136FD" w:rsidRDefault="007136FD" w:rsidP="007136FD">
      <w:pPr>
        <w:rPr>
          <w:rFonts w:cstheme="minorHAnsi"/>
        </w:rPr>
      </w:pPr>
    </w:p>
    <w:sectPr w:rsidR="007136FD" w:rsidRPr="007136FD" w:rsidSect="00916F59">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69F0B9" w14:textId="77777777" w:rsidR="008D0116" w:rsidRDefault="008D0116" w:rsidP="007136FD">
      <w:pPr>
        <w:spacing w:after="0" w:line="240" w:lineRule="auto"/>
      </w:pPr>
      <w:r>
        <w:separator/>
      </w:r>
    </w:p>
  </w:endnote>
  <w:endnote w:type="continuationSeparator" w:id="0">
    <w:p w14:paraId="1B99627C" w14:textId="77777777" w:rsidR="008D0116" w:rsidRDefault="008D0116" w:rsidP="007136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5883534"/>
      <w:docPartObj>
        <w:docPartGallery w:val="Page Numbers (Bottom of Page)"/>
        <w:docPartUnique/>
      </w:docPartObj>
    </w:sdtPr>
    <w:sdtEndPr>
      <w:rPr>
        <w:noProof/>
      </w:rPr>
    </w:sdtEndPr>
    <w:sdtContent>
      <w:p w14:paraId="5E322B26" w14:textId="4A7531A2" w:rsidR="007136FD" w:rsidRDefault="007136FD">
        <w:pPr>
          <w:pStyle w:val="Footer"/>
        </w:pPr>
        <w:r>
          <w:fldChar w:fldCharType="begin"/>
        </w:r>
        <w:r>
          <w:instrText xml:space="preserve"> PAGE   \* MERGEFORMAT </w:instrText>
        </w:r>
        <w:r>
          <w:fldChar w:fldCharType="separate"/>
        </w:r>
        <w:r>
          <w:rPr>
            <w:noProof/>
          </w:rPr>
          <w:t>2</w:t>
        </w:r>
        <w:r>
          <w:rPr>
            <w:noProof/>
          </w:rPr>
          <w:fldChar w:fldCharType="end"/>
        </w:r>
      </w:p>
    </w:sdtContent>
  </w:sdt>
  <w:p w14:paraId="17908BB3" w14:textId="77777777" w:rsidR="007136FD" w:rsidRDefault="007136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8F8BFE" w14:textId="77777777" w:rsidR="008D0116" w:rsidRDefault="008D0116" w:rsidP="007136FD">
      <w:pPr>
        <w:spacing w:after="0" w:line="240" w:lineRule="auto"/>
      </w:pPr>
      <w:r>
        <w:separator/>
      </w:r>
    </w:p>
  </w:footnote>
  <w:footnote w:type="continuationSeparator" w:id="0">
    <w:p w14:paraId="09F876AA" w14:textId="77777777" w:rsidR="008D0116" w:rsidRDefault="008D0116" w:rsidP="007136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D2A99"/>
    <w:multiLevelType w:val="hybridMultilevel"/>
    <w:tmpl w:val="F660493C"/>
    <w:lvl w:ilvl="0" w:tplc="19FE68BE">
      <w:start w:val="1"/>
      <w:numFmt w:val="bullet"/>
      <w:lvlText w:val="•"/>
      <w:lvlJc w:val="left"/>
      <w:pPr>
        <w:tabs>
          <w:tab w:val="num" w:pos="720"/>
        </w:tabs>
        <w:ind w:left="720" w:hanging="360"/>
      </w:pPr>
      <w:rPr>
        <w:rFonts w:ascii="Arial" w:hAnsi="Arial" w:hint="default"/>
      </w:rPr>
    </w:lvl>
    <w:lvl w:ilvl="1" w:tplc="BB948DEE" w:tentative="1">
      <w:start w:val="1"/>
      <w:numFmt w:val="bullet"/>
      <w:lvlText w:val="•"/>
      <w:lvlJc w:val="left"/>
      <w:pPr>
        <w:tabs>
          <w:tab w:val="num" w:pos="1440"/>
        </w:tabs>
        <w:ind w:left="1440" w:hanging="360"/>
      </w:pPr>
      <w:rPr>
        <w:rFonts w:ascii="Arial" w:hAnsi="Arial" w:hint="default"/>
      </w:rPr>
    </w:lvl>
    <w:lvl w:ilvl="2" w:tplc="6EF6463C" w:tentative="1">
      <w:start w:val="1"/>
      <w:numFmt w:val="bullet"/>
      <w:lvlText w:val="•"/>
      <w:lvlJc w:val="left"/>
      <w:pPr>
        <w:tabs>
          <w:tab w:val="num" w:pos="2160"/>
        </w:tabs>
        <w:ind w:left="2160" w:hanging="360"/>
      </w:pPr>
      <w:rPr>
        <w:rFonts w:ascii="Arial" w:hAnsi="Arial" w:hint="default"/>
      </w:rPr>
    </w:lvl>
    <w:lvl w:ilvl="3" w:tplc="F96E8534" w:tentative="1">
      <w:start w:val="1"/>
      <w:numFmt w:val="bullet"/>
      <w:lvlText w:val="•"/>
      <w:lvlJc w:val="left"/>
      <w:pPr>
        <w:tabs>
          <w:tab w:val="num" w:pos="2880"/>
        </w:tabs>
        <w:ind w:left="2880" w:hanging="360"/>
      </w:pPr>
      <w:rPr>
        <w:rFonts w:ascii="Arial" w:hAnsi="Arial" w:hint="default"/>
      </w:rPr>
    </w:lvl>
    <w:lvl w:ilvl="4" w:tplc="9A60CD72" w:tentative="1">
      <w:start w:val="1"/>
      <w:numFmt w:val="bullet"/>
      <w:lvlText w:val="•"/>
      <w:lvlJc w:val="left"/>
      <w:pPr>
        <w:tabs>
          <w:tab w:val="num" w:pos="3600"/>
        </w:tabs>
        <w:ind w:left="3600" w:hanging="360"/>
      </w:pPr>
      <w:rPr>
        <w:rFonts w:ascii="Arial" w:hAnsi="Arial" w:hint="default"/>
      </w:rPr>
    </w:lvl>
    <w:lvl w:ilvl="5" w:tplc="4C6054B2" w:tentative="1">
      <w:start w:val="1"/>
      <w:numFmt w:val="bullet"/>
      <w:lvlText w:val="•"/>
      <w:lvlJc w:val="left"/>
      <w:pPr>
        <w:tabs>
          <w:tab w:val="num" w:pos="4320"/>
        </w:tabs>
        <w:ind w:left="4320" w:hanging="360"/>
      </w:pPr>
      <w:rPr>
        <w:rFonts w:ascii="Arial" w:hAnsi="Arial" w:hint="default"/>
      </w:rPr>
    </w:lvl>
    <w:lvl w:ilvl="6" w:tplc="941466E0" w:tentative="1">
      <w:start w:val="1"/>
      <w:numFmt w:val="bullet"/>
      <w:lvlText w:val="•"/>
      <w:lvlJc w:val="left"/>
      <w:pPr>
        <w:tabs>
          <w:tab w:val="num" w:pos="5040"/>
        </w:tabs>
        <w:ind w:left="5040" w:hanging="360"/>
      </w:pPr>
      <w:rPr>
        <w:rFonts w:ascii="Arial" w:hAnsi="Arial" w:hint="default"/>
      </w:rPr>
    </w:lvl>
    <w:lvl w:ilvl="7" w:tplc="18B8C9BA" w:tentative="1">
      <w:start w:val="1"/>
      <w:numFmt w:val="bullet"/>
      <w:lvlText w:val="•"/>
      <w:lvlJc w:val="left"/>
      <w:pPr>
        <w:tabs>
          <w:tab w:val="num" w:pos="5760"/>
        </w:tabs>
        <w:ind w:left="5760" w:hanging="360"/>
      </w:pPr>
      <w:rPr>
        <w:rFonts w:ascii="Arial" w:hAnsi="Arial" w:hint="default"/>
      </w:rPr>
    </w:lvl>
    <w:lvl w:ilvl="8" w:tplc="942CFC1E" w:tentative="1">
      <w:start w:val="1"/>
      <w:numFmt w:val="bullet"/>
      <w:lvlText w:val="•"/>
      <w:lvlJc w:val="left"/>
      <w:pPr>
        <w:tabs>
          <w:tab w:val="num" w:pos="6480"/>
        </w:tabs>
        <w:ind w:left="6480" w:hanging="360"/>
      </w:pPr>
      <w:rPr>
        <w:rFonts w:ascii="Arial" w:hAnsi="Arial" w:hint="default"/>
      </w:rPr>
    </w:lvl>
  </w:abstractNum>
  <w:num w:numId="1" w16cid:durableId="15416711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30D"/>
    <w:rsid w:val="000E0D5A"/>
    <w:rsid w:val="001A2ED9"/>
    <w:rsid w:val="001C4920"/>
    <w:rsid w:val="00275468"/>
    <w:rsid w:val="002B1DCE"/>
    <w:rsid w:val="00303889"/>
    <w:rsid w:val="003A5ABA"/>
    <w:rsid w:val="0042030D"/>
    <w:rsid w:val="00427B15"/>
    <w:rsid w:val="00461604"/>
    <w:rsid w:val="004D52FE"/>
    <w:rsid w:val="0053349F"/>
    <w:rsid w:val="006671F0"/>
    <w:rsid w:val="007136FD"/>
    <w:rsid w:val="007257B6"/>
    <w:rsid w:val="007A3A13"/>
    <w:rsid w:val="007E47E3"/>
    <w:rsid w:val="00865ECD"/>
    <w:rsid w:val="008D0116"/>
    <w:rsid w:val="008D0483"/>
    <w:rsid w:val="008D6B81"/>
    <w:rsid w:val="00916F59"/>
    <w:rsid w:val="009A5C33"/>
    <w:rsid w:val="00A41173"/>
    <w:rsid w:val="00A64141"/>
    <w:rsid w:val="00AC1F4D"/>
    <w:rsid w:val="00AF2D03"/>
    <w:rsid w:val="00B65682"/>
    <w:rsid w:val="00BC5E0B"/>
    <w:rsid w:val="00BF5BF5"/>
    <w:rsid w:val="00CB4021"/>
    <w:rsid w:val="00CF530E"/>
    <w:rsid w:val="00D67D15"/>
    <w:rsid w:val="00E31DA7"/>
    <w:rsid w:val="00EA7AE3"/>
    <w:rsid w:val="00EB4285"/>
    <w:rsid w:val="00EE36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17417"/>
  <w15:chartTrackingRefBased/>
  <w15:docId w15:val="{C8390AAA-B787-4203-8371-8380D015A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36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3349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3349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367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3349F"/>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rsid w:val="0053349F"/>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916F5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916F59"/>
    <w:rPr>
      <w:rFonts w:eastAsiaTheme="minorEastAsia"/>
      <w:kern w:val="0"/>
      <w:lang w:val="en-US"/>
      <w14:ligatures w14:val="none"/>
    </w:rPr>
  </w:style>
  <w:style w:type="paragraph" w:styleId="Header">
    <w:name w:val="header"/>
    <w:basedOn w:val="Normal"/>
    <w:link w:val="HeaderChar"/>
    <w:uiPriority w:val="99"/>
    <w:unhideWhenUsed/>
    <w:rsid w:val="007136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36FD"/>
  </w:style>
  <w:style w:type="paragraph" w:styleId="Footer">
    <w:name w:val="footer"/>
    <w:basedOn w:val="Normal"/>
    <w:link w:val="FooterChar"/>
    <w:uiPriority w:val="99"/>
    <w:unhideWhenUsed/>
    <w:rsid w:val="007136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36FD"/>
  </w:style>
  <w:style w:type="character" w:styleId="Hyperlink">
    <w:name w:val="Hyperlink"/>
    <w:basedOn w:val="DefaultParagraphFont"/>
    <w:uiPriority w:val="99"/>
    <w:unhideWhenUsed/>
    <w:rsid w:val="007136F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837359">
      <w:bodyDiv w:val="1"/>
      <w:marLeft w:val="0"/>
      <w:marRight w:val="0"/>
      <w:marTop w:val="0"/>
      <w:marBottom w:val="0"/>
      <w:divBdr>
        <w:top w:val="none" w:sz="0" w:space="0" w:color="auto"/>
        <w:left w:val="none" w:sz="0" w:space="0" w:color="auto"/>
        <w:bottom w:val="none" w:sz="0" w:space="0" w:color="auto"/>
        <w:right w:val="none" w:sz="0" w:space="0" w:color="auto"/>
      </w:divBdr>
    </w:div>
    <w:div w:id="1183780943">
      <w:bodyDiv w:val="1"/>
      <w:marLeft w:val="0"/>
      <w:marRight w:val="0"/>
      <w:marTop w:val="0"/>
      <w:marBottom w:val="0"/>
      <w:divBdr>
        <w:top w:val="none" w:sz="0" w:space="0" w:color="auto"/>
        <w:left w:val="none" w:sz="0" w:space="0" w:color="auto"/>
        <w:bottom w:val="none" w:sz="0" w:space="0" w:color="auto"/>
        <w:right w:val="none" w:sz="0" w:space="0" w:color="auto"/>
      </w:divBdr>
    </w:div>
    <w:div w:id="1263953569">
      <w:bodyDiv w:val="1"/>
      <w:marLeft w:val="0"/>
      <w:marRight w:val="0"/>
      <w:marTop w:val="0"/>
      <w:marBottom w:val="0"/>
      <w:divBdr>
        <w:top w:val="none" w:sz="0" w:space="0" w:color="auto"/>
        <w:left w:val="none" w:sz="0" w:space="0" w:color="auto"/>
        <w:bottom w:val="none" w:sz="0" w:space="0" w:color="auto"/>
        <w:right w:val="none" w:sz="0" w:space="0" w:color="auto"/>
      </w:divBdr>
      <w:divsChild>
        <w:div w:id="333992407">
          <w:marLeft w:val="360"/>
          <w:marRight w:val="0"/>
          <w:marTop w:val="200"/>
          <w:marBottom w:val="0"/>
          <w:divBdr>
            <w:top w:val="none" w:sz="0" w:space="0" w:color="auto"/>
            <w:left w:val="none" w:sz="0" w:space="0" w:color="auto"/>
            <w:bottom w:val="none" w:sz="0" w:space="0" w:color="auto"/>
            <w:right w:val="none" w:sz="0" w:space="0" w:color="auto"/>
          </w:divBdr>
        </w:div>
      </w:divsChild>
    </w:div>
    <w:div w:id="1291940945">
      <w:bodyDiv w:val="1"/>
      <w:marLeft w:val="0"/>
      <w:marRight w:val="0"/>
      <w:marTop w:val="0"/>
      <w:marBottom w:val="0"/>
      <w:divBdr>
        <w:top w:val="none" w:sz="0" w:space="0" w:color="auto"/>
        <w:left w:val="none" w:sz="0" w:space="0" w:color="auto"/>
        <w:bottom w:val="none" w:sz="0" w:space="0" w:color="auto"/>
        <w:right w:val="none" w:sz="0" w:space="0" w:color="auto"/>
      </w:divBdr>
    </w:div>
    <w:div w:id="1599168970">
      <w:bodyDiv w:val="1"/>
      <w:marLeft w:val="0"/>
      <w:marRight w:val="0"/>
      <w:marTop w:val="0"/>
      <w:marBottom w:val="0"/>
      <w:divBdr>
        <w:top w:val="none" w:sz="0" w:space="0" w:color="auto"/>
        <w:left w:val="none" w:sz="0" w:space="0" w:color="auto"/>
        <w:bottom w:val="none" w:sz="0" w:space="0" w:color="auto"/>
        <w:right w:val="none" w:sz="0" w:space="0" w:color="auto"/>
      </w:divBdr>
    </w:div>
    <w:div w:id="1717269484">
      <w:bodyDiv w:val="1"/>
      <w:marLeft w:val="0"/>
      <w:marRight w:val="0"/>
      <w:marTop w:val="0"/>
      <w:marBottom w:val="0"/>
      <w:divBdr>
        <w:top w:val="none" w:sz="0" w:space="0" w:color="auto"/>
        <w:left w:val="none" w:sz="0" w:space="0" w:color="auto"/>
        <w:bottom w:val="none" w:sz="0" w:space="0" w:color="auto"/>
        <w:right w:val="none" w:sz="0" w:space="0" w:color="auto"/>
      </w:divBdr>
      <w:divsChild>
        <w:div w:id="1417745946">
          <w:marLeft w:val="360"/>
          <w:marRight w:val="0"/>
          <w:marTop w:val="200"/>
          <w:marBottom w:val="0"/>
          <w:divBdr>
            <w:top w:val="none" w:sz="0" w:space="0" w:color="auto"/>
            <w:left w:val="none" w:sz="0" w:space="0" w:color="auto"/>
            <w:bottom w:val="none" w:sz="0" w:space="0" w:color="auto"/>
            <w:right w:val="none" w:sz="0" w:space="0" w:color="auto"/>
          </w:divBdr>
        </w:div>
      </w:divsChild>
    </w:div>
    <w:div w:id="1914269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sights.com/resources/coaching-people-through-the-change-curve/" TargetMode="External"/><Relationship Id="rId13" Type="http://schemas.openxmlformats.org/officeDocument/2006/relationships/hyperlink" Target="https://www.coca-colacompany.com/media-center/coca-cola-announces-key-leadership-changes-oct2018"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evindustry.com/beverage-forum/speakers/brian-smith"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coca-colacompany.com/about-us/leadership/brian-smit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br.org/2005/05/your-companys-secret-change-agents" TargetMode="External"/><Relationship Id="rId5" Type="http://schemas.openxmlformats.org/officeDocument/2006/relationships/webSettings" Target="webSettings.xml"/><Relationship Id="rId15" Type="http://schemas.openxmlformats.org/officeDocument/2006/relationships/hyperlink" Target="https://www.coca-colacompany.com/media-center/john-murphy-to-become-president-and-chief-financial-officer" TargetMode="External"/><Relationship Id="rId10" Type="http://schemas.openxmlformats.org/officeDocument/2006/relationships/hyperlink" Target="https://advantage-marketline-com.ezproxy.uwtsd.ac.uk/Company/Financials/the-coca-cola-company"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techtarget.com/searchcio/definition/change-agent" TargetMode="External"/><Relationship Id="rId14" Type="http://schemas.openxmlformats.org/officeDocument/2006/relationships/hyperlink" Target="https://www.coca-colacompany.com/media-center/brian-smith-company-strategic-pivo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558</TotalTime>
  <Pages>8</Pages>
  <Words>3032</Words>
  <Characters>17286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and Change</dc:title>
  <dc:subject>Brian Smith – Ex COO of The Coca- Cola Co</dc:subject>
  <dc:creator>Daniel Olah (2022891)</dc:creator>
  <cp:keywords/>
  <dc:description/>
  <cp:lastModifiedBy>Daniel Olah (2022891)</cp:lastModifiedBy>
  <cp:revision>9</cp:revision>
  <dcterms:created xsi:type="dcterms:W3CDTF">2023-11-22T16:12:00Z</dcterms:created>
  <dcterms:modified xsi:type="dcterms:W3CDTF">2023-11-23T23:22:00Z</dcterms:modified>
</cp:coreProperties>
</file>