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E32BB" w14:textId="77777777" w:rsidR="00DA29AF" w:rsidRDefault="003426B2" w:rsidP="003426B2">
      <w:pPr>
        <w:spacing w:line="240" w:lineRule="auto"/>
        <w:jc w:val="right"/>
        <w:rPr>
          <w:rFonts w:ascii="Times New Roman" w:hAnsi="Times New Roman" w:cs="Times New Roman"/>
          <w:sz w:val="24"/>
          <w:szCs w:val="24"/>
          <w:u w:val="single"/>
        </w:rPr>
      </w:pPr>
      <w:r>
        <w:rPr>
          <w:rFonts w:ascii="Times New Roman" w:hAnsi="Times New Roman" w:cs="Times New Roman"/>
          <w:sz w:val="24"/>
          <w:szCs w:val="24"/>
          <w:u w:val="single"/>
        </w:rPr>
        <w:t>Laura Jane Evans</w:t>
      </w:r>
    </w:p>
    <w:p w14:paraId="40ED1A55" w14:textId="24716C69" w:rsidR="003426B2" w:rsidRDefault="003426B2" w:rsidP="003426B2">
      <w:pPr>
        <w:spacing w:line="240" w:lineRule="auto"/>
        <w:jc w:val="right"/>
        <w:rPr>
          <w:rFonts w:ascii="Times New Roman" w:hAnsi="Times New Roman" w:cs="Times New Roman"/>
          <w:sz w:val="24"/>
          <w:szCs w:val="24"/>
          <w:u w:val="single"/>
        </w:rPr>
      </w:pPr>
      <w:r>
        <w:rPr>
          <w:rFonts w:ascii="Times New Roman" w:hAnsi="Times New Roman" w:cs="Times New Roman"/>
          <w:sz w:val="24"/>
          <w:szCs w:val="24"/>
          <w:u w:val="single"/>
        </w:rPr>
        <w:t>HPRS5028: Romano-Celtic Religions</w:t>
      </w:r>
    </w:p>
    <w:p w14:paraId="2E58CBFE" w14:textId="4167EA7A" w:rsidR="003426B2" w:rsidRDefault="003426B2" w:rsidP="003426B2">
      <w:pPr>
        <w:spacing w:line="240" w:lineRule="auto"/>
        <w:jc w:val="right"/>
        <w:rPr>
          <w:rFonts w:ascii="Times New Roman" w:hAnsi="Times New Roman" w:cs="Times New Roman"/>
          <w:sz w:val="24"/>
          <w:szCs w:val="24"/>
          <w:u w:val="single"/>
        </w:rPr>
      </w:pPr>
      <w:r>
        <w:rPr>
          <w:rFonts w:ascii="Times New Roman" w:hAnsi="Times New Roman" w:cs="Times New Roman"/>
          <w:sz w:val="24"/>
          <w:szCs w:val="24"/>
          <w:u w:val="single"/>
        </w:rPr>
        <w:t>Assignment 1</w:t>
      </w:r>
    </w:p>
    <w:p w14:paraId="4A9B12DA" w14:textId="3A2F0871" w:rsidR="003426B2" w:rsidRDefault="003426B2" w:rsidP="003426B2">
      <w:pPr>
        <w:spacing w:line="240" w:lineRule="auto"/>
        <w:jc w:val="right"/>
        <w:rPr>
          <w:rFonts w:ascii="Times New Roman" w:hAnsi="Times New Roman" w:cs="Times New Roman"/>
          <w:sz w:val="24"/>
          <w:szCs w:val="24"/>
          <w:u w:val="single"/>
        </w:rPr>
      </w:pPr>
    </w:p>
    <w:p w14:paraId="00B32286" w14:textId="77777777" w:rsidR="007E54EA" w:rsidRDefault="007E54EA" w:rsidP="007E54EA">
      <w:pPr>
        <w:spacing w:line="240" w:lineRule="auto"/>
        <w:rPr>
          <w:rFonts w:ascii="Times New Roman" w:hAnsi="Times New Roman" w:cs="Times New Roman"/>
          <w:sz w:val="24"/>
          <w:szCs w:val="24"/>
          <w:u w:val="single"/>
        </w:rPr>
      </w:pPr>
    </w:p>
    <w:p w14:paraId="73DA9ACC" w14:textId="0765A097" w:rsidR="003426B2" w:rsidRDefault="005C585C" w:rsidP="003426B2">
      <w:pPr>
        <w:spacing w:line="240" w:lineRule="auto"/>
        <w:rPr>
          <w:rFonts w:ascii="Times New Roman" w:hAnsi="Times New Roman" w:cs="Times New Roman"/>
          <w:sz w:val="24"/>
          <w:szCs w:val="24"/>
        </w:rPr>
      </w:pPr>
      <w:r>
        <w:rPr>
          <w:rFonts w:ascii="Times New Roman" w:hAnsi="Times New Roman" w:cs="Times New Roman"/>
          <w:sz w:val="24"/>
          <w:szCs w:val="24"/>
        </w:rPr>
        <w:t>Exploring the world of the ‘Celts’ is often difficult due to the lack of literary evidence left behind by the ‘Celts’.</w:t>
      </w:r>
      <w:r w:rsidR="00C50141">
        <w:rPr>
          <w:rFonts w:ascii="Times New Roman" w:hAnsi="Times New Roman" w:cs="Times New Roman"/>
          <w:sz w:val="24"/>
          <w:szCs w:val="24"/>
        </w:rPr>
        <w:t xml:space="preserve"> Ancient literary sources regarding the ‘Celts’ present problems of their own such as their intentions behi</w:t>
      </w:r>
      <w:r w:rsidR="00AC5F4D">
        <w:rPr>
          <w:rFonts w:ascii="Times New Roman" w:hAnsi="Times New Roman" w:cs="Times New Roman"/>
          <w:sz w:val="24"/>
          <w:szCs w:val="24"/>
        </w:rPr>
        <w:t>nd writing them</w:t>
      </w:r>
      <w:r w:rsidR="00C50141">
        <w:rPr>
          <w:rFonts w:ascii="Times New Roman" w:hAnsi="Times New Roman" w:cs="Times New Roman"/>
          <w:sz w:val="24"/>
          <w:szCs w:val="24"/>
        </w:rPr>
        <w:t xml:space="preserve">. </w:t>
      </w:r>
      <w:r w:rsidR="00BB7153">
        <w:rPr>
          <w:rFonts w:ascii="Times New Roman" w:hAnsi="Times New Roman" w:cs="Times New Roman"/>
          <w:sz w:val="24"/>
          <w:szCs w:val="24"/>
        </w:rPr>
        <w:t>Authors</w:t>
      </w:r>
      <w:r w:rsidR="00C50141">
        <w:rPr>
          <w:rFonts w:ascii="Times New Roman" w:hAnsi="Times New Roman" w:cs="Times New Roman"/>
          <w:sz w:val="24"/>
          <w:szCs w:val="24"/>
        </w:rPr>
        <w:t xml:space="preserve"> such as Caesar, Strabo, Cicero and </w:t>
      </w:r>
      <w:proofErr w:type="spellStart"/>
      <w:r w:rsidR="00C50141">
        <w:rPr>
          <w:rFonts w:ascii="Times New Roman" w:hAnsi="Times New Roman" w:cs="Times New Roman"/>
          <w:sz w:val="24"/>
          <w:szCs w:val="24"/>
        </w:rPr>
        <w:t>Poseidonius</w:t>
      </w:r>
      <w:proofErr w:type="spellEnd"/>
      <w:r w:rsidR="00C50141">
        <w:rPr>
          <w:rFonts w:ascii="Times New Roman" w:hAnsi="Times New Roman" w:cs="Times New Roman"/>
          <w:sz w:val="24"/>
          <w:szCs w:val="24"/>
        </w:rPr>
        <w:t xml:space="preserve"> are not from the ‘Celtic’ world and therefore present some biased views. </w:t>
      </w:r>
      <w:r w:rsidR="007146D3">
        <w:rPr>
          <w:rFonts w:ascii="Times New Roman" w:hAnsi="Times New Roman" w:cs="Times New Roman"/>
          <w:sz w:val="24"/>
          <w:szCs w:val="24"/>
        </w:rPr>
        <w:t xml:space="preserve">Such as Caesar’s account during the Gallic Wars where he writes “The nation of all the </w:t>
      </w:r>
      <w:proofErr w:type="spellStart"/>
      <w:r w:rsidR="007146D3">
        <w:rPr>
          <w:rFonts w:ascii="Times New Roman" w:hAnsi="Times New Roman" w:cs="Times New Roman"/>
          <w:sz w:val="24"/>
          <w:szCs w:val="24"/>
        </w:rPr>
        <w:t>Gauls</w:t>
      </w:r>
      <w:proofErr w:type="spellEnd"/>
      <w:r w:rsidR="007146D3">
        <w:rPr>
          <w:rFonts w:ascii="Times New Roman" w:hAnsi="Times New Roman" w:cs="Times New Roman"/>
          <w:sz w:val="24"/>
          <w:szCs w:val="24"/>
        </w:rPr>
        <w:t xml:space="preserve"> is extremely devoted to superstitious rites”. </w:t>
      </w:r>
      <w:r w:rsidR="007146D3">
        <w:rPr>
          <w:rStyle w:val="FootnoteReference"/>
          <w:rFonts w:ascii="Times New Roman" w:hAnsi="Times New Roman" w:cs="Times New Roman"/>
          <w:sz w:val="24"/>
          <w:szCs w:val="24"/>
        </w:rPr>
        <w:footnoteReference w:id="1"/>
      </w:r>
      <w:r w:rsidR="007146D3">
        <w:rPr>
          <w:rFonts w:ascii="Times New Roman" w:hAnsi="Times New Roman" w:cs="Times New Roman"/>
          <w:sz w:val="24"/>
          <w:szCs w:val="24"/>
        </w:rPr>
        <w:t xml:space="preserve"> By using the word ‘superstitious’ in a negative way regarding their rituals, the reader is made to feel uneasy and distrustful about the ‘Celts’. By using this kind of language </w:t>
      </w:r>
      <w:r w:rsidR="003F22D7">
        <w:rPr>
          <w:rFonts w:ascii="Times New Roman" w:hAnsi="Times New Roman" w:cs="Times New Roman"/>
          <w:sz w:val="24"/>
          <w:szCs w:val="24"/>
        </w:rPr>
        <w:t xml:space="preserve">Caesar can spread prejudice and heighten his propaganda. </w:t>
      </w:r>
      <w:r w:rsidR="00D6209D">
        <w:rPr>
          <w:rFonts w:ascii="Times New Roman" w:hAnsi="Times New Roman" w:cs="Times New Roman"/>
          <w:sz w:val="24"/>
          <w:szCs w:val="24"/>
        </w:rPr>
        <w:t xml:space="preserve">This tactic is used by many ancient authors and is not entirely surprising as the ‘Celts’ for many years were viewed as a foreign enemy. </w:t>
      </w:r>
      <w:r w:rsidR="007E04FD">
        <w:rPr>
          <w:rFonts w:ascii="Times New Roman" w:hAnsi="Times New Roman" w:cs="Times New Roman"/>
          <w:sz w:val="24"/>
          <w:szCs w:val="24"/>
        </w:rPr>
        <w:t>On the other hand</w:t>
      </w:r>
      <w:r w:rsidR="004E1D29">
        <w:rPr>
          <w:rFonts w:ascii="Times New Roman" w:hAnsi="Times New Roman" w:cs="Times New Roman"/>
          <w:sz w:val="24"/>
          <w:szCs w:val="24"/>
        </w:rPr>
        <w:t>, Caesar had close contact</w:t>
      </w:r>
      <w:r w:rsidR="002A6ED6">
        <w:rPr>
          <w:rFonts w:ascii="Times New Roman" w:hAnsi="Times New Roman" w:cs="Times New Roman"/>
          <w:sz w:val="24"/>
          <w:szCs w:val="24"/>
        </w:rPr>
        <w:t xml:space="preserve"> with</w:t>
      </w:r>
      <w:r w:rsidR="004E1D29">
        <w:rPr>
          <w:rFonts w:ascii="Times New Roman" w:hAnsi="Times New Roman" w:cs="Times New Roman"/>
          <w:sz w:val="24"/>
          <w:szCs w:val="24"/>
        </w:rPr>
        <w:t xml:space="preserve"> the ‘enemy’ and provides detailed information that other authors such as Strabo have used.</w:t>
      </w:r>
      <w:r w:rsidR="004E1D29">
        <w:rPr>
          <w:rStyle w:val="FootnoteReference"/>
          <w:rFonts w:ascii="Times New Roman" w:hAnsi="Times New Roman" w:cs="Times New Roman"/>
          <w:sz w:val="24"/>
          <w:szCs w:val="24"/>
        </w:rPr>
        <w:footnoteReference w:id="2"/>
      </w:r>
      <w:r w:rsidR="004E1D29">
        <w:rPr>
          <w:rFonts w:ascii="Times New Roman" w:hAnsi="Times New Roman" w:cs="Times New Roman"/>
          <w:sz w:val="24"/>
          <w:szCs w:val="24"/>
        </w:rPr>
        <w:t xml:space="preserve"> </w:t>
      </w:r>
    </w:p>
    <w:p w14:paraId="51D9ED21" w14:textId="0860E08B" w:rsidR="003D6473" w:rsidRDefault="00AD64C5" w:rsidP="003426B2">
      <w:pPr>
        <w:spacing w:line="240" w:lineRule="auto"/>
        <w:rPr>
          <w:rFonts w:ascii="Times New Roman" w:hAnsi="Times New Roman" w:cs="Times New Roman"/>
          <w:sz w:val="24"/>
          <w:szCs w:val="24"/>
        </w:rPr>
      </w:pPr>
      <w:r>
        <w:rPr>
          <w:rFonts w:ascii="Times New Roman" w:hAnsi="Times New Roman" w:cs="Times New Roman"/>
          <w:sz w:val="24"/>
          <w:szCs w:val="24"/>
        </w:rPr>
        <w:tab/>
      </w:r>
      <w:r w:rsidR="006F1990">
        <w:rPr>
          <w:rFonts w:ascii="Times New Roman" w:hAnsi="Times New Roman" w:cs="Times New Roman"/>
          <w:sz w:val="24"/>
          <w:szCs w:val="24"/>
        </w:rPr>
        <w:t>In many of the sources there are two themes which are frequent but are also problematic, head hunting and human sacrifice, which can bee seen in the passage by Strabo 4.4.5.</w:t>
      </w:r>
      <w:r w:rsidR="00BB7153">
        <w:rPr>
          <w:rStyle w:val="FootnoteReference"/>
          <w:rFonts w:ascii="Times New Roman" w:hAnsi="Times New Roman" w:cs="Times New Roman"/>
          <w:sz w:val="24"/>
          <w:szCs w:val="24"/>
        </w:rPr>
        <w:footnoteReference w:id="3"/>
      </w:r>
      <w:r w:rsidR="006F1990">
        <w:rPr>
          <w:rFonts w:ascii="Times New Roman" w:hAnsi="Times New Roman" w:cs="Times New Roman"/>
          <w:sz w:val="24"/>
          <w:szCs w:val="24"/>
        </w:rPr>
        <w:t xml:space="preserve"> </w:t>
      </w:r>
      <w:r w:rsidR="008D1D8D">
        <w:rPr>
          <w:rFonts w:ascii="Times New Roman" w:hAnsi="Times New Roman" w:cs="Times New Roman"/>
          <w:sz w:val="24"/>
          <w:szCs w:val="24"/>
        </w:rPr>
        <w:t xml:space="preserve">Strabo was born </w:t>
      </w:r>
      <w:r w:rsidR="003E2975">
        <w:rPr>
          <w:rFonts w:ascii="Times New Roman" w:hAnsi="Times New Roman" w:cs="Times New Roman"/>
          <w:sz w:val="24"/>
          <w:szCs w:val="24"/>
        </w:rPr>
        <w:t>c. 64 BCE and was a Greek geographer,</w:t>
      </w:r>
      <w:r w:rsidR="003E2975">
        <w:rPr>
          <w:rStyle w:val="FootnoteReference"/>
          <w:rFonts w:ascii="Times New Roman" w:hAnsi="Times New Roman" w:cs="Times New Roman"/>
          <w:sz w:val="24"/>
          <w:szCs w:val="24"/>
        </w:rPr>
        <w:footnoteReference w:id="4"/>
      </w:r>
      <w:r w:rsidR="0045183A">
        <w:rPr>
          <w:rFonts w:ascii="Times New Roman" w:hAnsi="Times New Roman" w:cs="Times New Roman"/>
          <w:sz w:val="24"/>
          <w:szCs w:val="24"/>
        </w:rPr>
        <w:t xml:space="preserve"> in this passage he describes the ‘barbarous and absurd’ </w:t>
      </w:r>
      <w:r w:rsidR="00856CA0">
        <w:rPr>
          <w:rFonts w:ascii="Times New Roman" w:hAnsi="Times New Roman" w:cs="Times New Roman"/>
          <w:sz w:val="24"/>
          <w:szCs w:val="24"/>
        </w:rPr>
        <w:t xml:space="preserve">customs </w:t>
      </w:r>
      <w:r w:rsidR="0045183A">
        <w:rPr>
          <w:rFonts w:ascii="Times New Roman" w:hAnsi="Times New Roman" w:cs="Times New Roman"/>
          <w:sz w:val="24"/>
          <w:szCs w:val="24"/>
        </w:rPr>
        <w:t xml:space="preserve">of the </w:t>
      </w:r>
      <w:proofErr w:type="spellStart"/>
      <w:r w:rsidR="0045183A">
        <w:rPr>
          <w:rFonts w:ascii="Times New Roman" w:hAnsi="Times New Roman" w:cs="Times New Roman"/>
          <w:sz w:val="24"/>
          <w:szCs w:val="24"/>
        </w:rPr>
        <w:t>Gauls</w:t>
      </w:r>
      <w:proofErr w:type="spellEnd"/>
      <w:r w:rsidR="0045183A">
        <w:rPr>
          <w:rFonts w:ascii="Times New Roman" w:hAnsi="Times New Roman" w:cs="Times New Roman"/>
          <w:sz w:val="24"/>
          <w:szCs w:val="24"/>
        </w:rPr>
        <w:t xml:space="preserve"> to collect heads.</w:t>
      </w:r>
      <w:r w:rsidR="0045183A">
        <w:rPr>
          <w:rStyle w:val="FootnoteReference"/>
          <w:rFonts w:ascii="Times New Roman" w:hAnsi="Times New Roman" w:cs="Times New Roman"/>
          <w:sz w:val="24"/>
          <w:szCs w:val="24"/>
        </w:rPr>
        <w:footnoteReference w:id="5"/>
      </w:r>
      <w:r w:rsidR="000C1EE2">
        <w:rPr>
          <w:rFonts w:ascii="Times New Roman" w:hAnsi="Times New Roman" w:cs="Times New Roman"/>
          <w:sz w:val="24"/>
          <w:szCs w:val="24"/>
        </w:rPr>
        <w:t xml:space="preserve"> </w:t>
      </w:r>
      <w:r w:rsidR="00094197">
        <w:rPr>
          <w:rFonts w:ascii="Times New Roman" w:hAnsi="Times New Roman" w:cs="Times New Roman"/>
          <w:sz w:val="24"/>
          <w:szCs w:val="24"/>
        </w:rPr>
        <w:t xml:space="preserve">Again we see the use of negative language to isolate the acts of the </w:t>
      </w:r>
      <w:proofErr w:type="spellStart"/>
      <w:r w:rsidR="00094197">
        <w:rPr>
          <w:rFonts w:ascii="Times New Roman" w:hAnsi="Times New Roman" w:cs="Times New Roman"/>
          <w:sz w:val="24"/>
          <w:szCs w:val="24"/>
        </w:rPr>
        <w:t>Gauls</w:t>
      </w:r>
      <w:proofErr w:type="spellEnd"/>
      <w:r w:rsidR="00094197">
        <w:rPr>
          <w:rFonts w:ascii="Times New Roman" w:hAnsi="Times New Roman" w:cs="Times New Roman"/>
          <w:sz w:val="24"/>
          <w:szCs w:val="24"/>
        </w:rPr>
        <w:t xml:space="preserve"> and keep them separate from the ‘sophisticated’ religions belonging to the Romans and Greeks. </w:t>
      </w:r>
      <w:r w:rsidR="00812704">
        <w:rPr>
          <w:rFonts w:ascii="Times New Roman" w:hAnsi="Times New Roman" w:cs="Times New Roman"/>
          <w:sz w:val="24"/>
          <w:szCs w:val="24"/>
        </w:rPr>
        <w:t>This literary tactic is</w:t>
      </w:r>
      <w:r w:rsidR="00856CA0">
        <w:rPr>
          <w:rFonts w:ascii="Times New Roman" w:hAnsi="Times New Roman" w:cs="Times New Roman"/>
          <w:sz w:val="24"/>
          <w:szCs w:val="24"/>
        </w:rPr>
        <w:t>n’</w:t>
      </w:r>
      <w:r w:rsidR="00812704">
        <w:rPr>
          <w:rFonts w:ascii="Times New Roman" w:hAnsi="Times New Roman" w:cs="Times New Roman"/>
          <w:sz w:val="24"/>
          <w:szCs w:val="24"/>
        </w:rPr>
        <w:t xml:space="preserve">t only used against the </w:t>
      </w:r>
      <w:proofErr w:type="spellStart"/>
      <w:r w:rsidR="00812704">
        <w:rPr>
          <w:rFonts w:ascii="Times New Roman" w:hAnsi="Times New Roman" w:cs="Times New Roman"/>
          <w:sz w:val="24"/>
          <w:szCs w:val="24"/>
        </w:rPr>
        <w:t>Gauls</w:t>
      </w:r>
      <w:proofErr w:type="spellEnd"/>
      <w:r w:rsidR="00812704">
        <w:rPr>
          <w:rFonts w:ascii="Times New Roman" w:hAnsi="Times New Roman" w:cs="Times New Roman"/>
          <w:sz w:val="24"/>
          <w:szCs w:val="24"/>
        </w:rPr>
        <w:t xml:space="preserve"> but is applied to </w:t>
      </w:r>
      <w:r w:rsidR="00471695">
        <w:rPr>
          <w:rFonts w:ascii="Times New Roman" w:hAnsi="Times New Roman" w:cs="Times New Roman"/>
          <w:sz w:val="24"/>
          <w:szCs w:val="24"/>
        </w:rPr>
        <w:t>the enemies in the north causing a divide between the sophisticated Romans and the barbaric ‘Celts’.</w:t>
      </w:r>
      <w:r w:rsidR="00471695">
        <w:rPr>
          <w:rStyle w:val="FootnoteReference"/>
          <w:rFonts w:ascii="Times New Roman" w:hAnsi="Times New Roman" w:cs="Times New Roman"/>
          <w:sz w:val="24"/>
          <w:szCs w:val="24"/>
        </w:rPr>
        <w:footnoteReference w:id="6"/>
      </w:r>
      <w:r w:rsidR="007926D4">
        <w:rPr>
          <w:rFonts w:ascii="Times New Roman" w:hAnsi="Times New Roman" w:cs="Times New Roman"/>
          <w:sz w:val="24"/>
          <w:szCs w:val="24"/>
        </w:rPr>
        <w:t xml:space="preserve"> </w:t>
      </w:r>
      <w:r w:rsidR="00D2794C">
        <w:rPr>
          <w:rFonts w:ascii="Times New Roman" w:hAnsi="Times New Roman" w:cs="Times New Roman"/>
          <w:sz w:val="24"/>
          <w:szCs w:val="24"/>
        </w:rPr>
        <w:t xml:space="preserve">Strabo provides further evidence by including an eye witness account of these head-hunting acts </w:t>
      </w:r>
      <w:r w:rsidR="001D2DA3">
        <w:rPr>
          <w:rFonts w:ascii="Times New Roman" w:hAnsi="Times New Roman" w:cs="Times New Roman"/>
          <w:sz w:val="24"/>
          <w:szCs w:val="24"/>
        </w:rPr>
        <w:t>and</w:t>
      </w:r>
      <w:r w:rsidR="00D2794C">
        <w:rPr>
          <w:rFonts w:ascii="Times New Roman" w:hAnsi="Times New Roman" w:cs="Times New Roman"/>
          <w:sz w:val="24"/>
          <w:szCs w:val="24"/>
        </w:rPr>
        <w:t xml:space="preserve"> emphasises how often it occurred.</w:t>
      </w:r>
      <w:r w:rsidR="00D2794C">
        <w:rPr>
          <w:rStyle w:val="FootnoteReference"/>
          <w:rFonts w:ascii="Times New Roman" w:hAnsi="Times New Roman" w:cs="Times New Roman"/>
          <w:sz w:val="24"/>
          <w:szCs w:val="24"/>
        </w:rPr>
        <w:footnoteReference w:id="7"/>
      </w:r>
      <w:r w:rsidR="00D2794C">
        <w:rPr>
          <w:rFonts w:ascii="Times New Roman" w:hAnsi="Times New Roman" w:cs="Times New Roman"/>
          <w:sz w:val="24"/>
          <w:szCs w:val="24"/>
        </w:rPr>
        <w:t xml:space="preserve"> </w:t>
      </w:r>
      <w:r w:rsidR="001D2DA3">
        <w:rPr>
          <w:rFonts w:ascii="Times New Roman" w:hAnsi="Times New Roman" w:cs="Times New Roman"/>
          <w:sz w:val="24"/>
          <w:szCs w:val="24"/>
        </w:rPr>
        <w:t xml:space="preserve">The </w:t>
      </w:r>
      <w:r w:rsidR="009C67C1">
        <w:rPr>
          <w:rFonts w:ascii="Times New Roman" w:hAnsi="Times New Roman" w:cs="Times New Roman"/>
          <w:sz w:val="24"/>
          <w:szCs w:val="24"/>
        </w:rPr>
        <w:t xml:space="preserve">eye witness testimony comes from </w:t>
      </w:r>
      <w:proofErr w:type="spellStart"/>
      <w:r w:rsidR="009C67C1">
        <w:rPr>
          <w:rFonts w:ascii="Times New Roman" w:hAnsi="Times New Roman" w:cs="Times New Roman"/>
          <w:sz w:val="24"/>
          <w:szCs w:val="24"/>
        </w:rPr>
        <w:t>Posidonius</w:t>
      </w:r>
      <w:proofErr w:type="spellEnd"/>
      <w:r w:rsidR="009C67C1">
        <w:rPr>
          <w:rFonts w:ascii="Times New Roman" w:hAnsi="Times New Roman" w:cs="Times New Roman"/>
          <w:sz w:val="24"/>
          <w:szCs w:val="24"/>
        </w:rPr>
        <w:t>, a Greek philosopher and was considered the most learned man of his time</w:t>
      </w:r>
      <w:r w:rsidR="00903EDF">
        <w:rPr>
          <w:rFonts w:ascii="Times New Roman" w:hAnsi="Times New Roman" w:cs="Times New Roman"/>
          <w:sz w:val="24"/>
          <w:szCs w:val="24"/>
        </w:rPr>
        <w:t>.</w:t>
      </w:r>
      <w:r w:rsidR="009C67C1">
        <w:rPr>
          <w:rStyle w:val="FootnoteReference"/>
          <w:rFonts w:ascii="Times New Roman" w:hAnsi="Times New Roman" w:cs="Times New Roman"/>
          <w:sz w:val="24"/>
          <w:szCs w:val="24"/>
        </w:rPr>
        <w:footnoteReference w:id="8"/>
      </w:r>
      <w:r w:rsidR="009C67C1">
        <w:rPr>
          <w:rFonts w:ascii="Times New Roman" w:hAnsi="Times New Roman" w:cs="Times New Roman"/>
          <w:sz w:val="24"/>
          <w:szCs w:val="24"/>
        </w:rPr>
        <w:t xml:space="preserve"> </w:t>
      </w:r>
      <w:r w:rsidR="00903EDF">
        <w:rPr>
          <w:rFonts w:ascii="Times New Roman" w:hAnsi="Times New Roman" w:cs="Times New Roman"/>
          <w:sz w:val="24"/>
          <w:szCs w:val="24"/>
        </w:rPr>
        <w:t>Although his name does give the statement weight it does</w:t>
      </w:r>
      <w:r w:rsidR="00856CA0">
        <w:rPr>
          <w:rFonts w:ascii="Times New Roman" w:hAnsi="Times New Roman" w:cs="Times New Roman"/>
          <w:sz w:val="24"/>
          <w:szCs w:val="24"/>
        </w:rPr>
        <w:t>n’t</w:t>
      </w:r>
      <w:r w:rsidR="00903EDF">
        <w:rPr>
          <w:rFonts w:ascii="Times New Roman" w:hAnsi="Times New Roman" w:cs="Times New Roman"/>
          <w:sz w:val="24"/>
          <w:szCs w:val="24"/>
        </w:rPr>
        <w:t xml:space="preserve"> prove that a) </w:t>
      </w:r>
      <w:proofErr w:type="spellStart"/>
      <w:r w:rsidR="00903EDF">
        <w:rPr>
          <w:rFonts w:ascii="Times New Roman" w:hAnsi="Times New Roman" w:cs="Times New Roman"/>
          <w:sz w:val="24"/>
          <w:szCs w:val="24"/>
        </w:rPr>
        <w:t>Posidonius</w:t>
      </w:r>
      <w:proofErr w:type="spellEnd"/>
      <w:r w:rsidR="00903EDF">
        <w:rPr>
          <w:rFonts w:ascii="Times New Roman" w:hAnsi="Times New Roman" w:cs="Times New Roman"/>
          <w:sz w:val="24"/>
          <w:szCs w:val="24"/>
        </w:rPr>
        <w:t xml:space="preserve"> did see it or that b) Strabo did</w:t>
      </w:r>
      <w:r w:rsidR="00856CA0">
        <w:rPr>
          <w:rFonts w:ascii="Times New Roman" w:hAnsi="Times New Roman" w:cs="Times New Roman"/>
          <w:sz w:val="24"/>
          <w:szCs w:val="24"/>
        </w:rPr>
        <w:t>n’t</w:t>
      </w:r>
      <w:r w:rsidR="00903EDF">
        <w:rPr>
          <w:rFonts w:ascii="Times New Roman" w:hAnsi="Times New Roman" w:cs="Times New Roman"/>
          <w:sz w:val="24"/>
          <w:szCs w:val="24"/>
        </w:rPr>
        <w:t xml:space="preserve"> fabricate the statement to benefit his work.</w:t>
      </w:r>
      <w:r w:rsidR="00261092">
        <w:rPr>
          <w:rFonts w:ascii="Times New Roman" w:hAnsi="Times New Roman" w:cs="Times New Roman"/>
          <w:sz w:val="24"/>
          <w:szCs w:val="24"/>
        </w:rPr>
        <w:t xml:space="preserve"> </w:t>
      </w:r>
    </w:p>
    <w:p w14:paraId="5CE95566" w14:textId="13BC9980" w:rsidR="00F927AF" w:rsidRDefault="003D6473" w:rsidP="00AC35A7">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statement made by Strabo </w:t>
      </w:r>
      <w:r w:rsidR="00417DD9">
        <w:rPr>
          <w:rFonts w:ascii="Times New Roman" w:hAnsi="Times New Roman" w:cs="Times New Roman"/>
          <w:sz w:val="24"/>
          <w:szCs w:val="24"/>
        </w:rPr>
        <w:t>regarding</w:t>
      </w:r>
      <w:r>
        <w:rPr>
          <w:rFonts w:ascii="Times New Roman" w:hAnsi="Times New Roman" w:cs="Times New Roman"/>
          <w:sz w:val="24"/>
          <w:szCs w:val="24"/>
        </w:rPr>
        <w:t xml:space="preserve"> human sacrifice and the </w:t>
      </w:r>
      <w:r w:rsidR="00417DD9">
        <w:rPr>
          <w:rFonts w:ascii="Times New Roman" w:hAnsi="Times New Roman" w:cs="Times New Roman"/>
          <w:sz w:val="24"/>
          <w:szCs w:val="24"/>
        </w:rPr>
        <w:t>Roman law is interesting because the Romans are no strangers to human sacrifice.</w:t>
      </w:r>
      <w:r w:rsidR="00593D0A">
        <w:rPr>
          <w:rStyle w:val="FootnoteReference"/>
          <w:rFonts w:ascii="Times New Roman" w:hAnsi="Times New Roman" w:cs="Times New Roman"/>
          <w:sz w:val="24"/>
          <w:szCs w:val="24"/>
        </w:rPr>
        <w:footnoteReference w:id="9"/>
      </w:r>
      <w:r w:rsidR="00417DD9">
        <w:rPr>
          <w:rFonts w:ascii="Times New Roman" w:hAnsi="Times New Roman" w:cs="Times New Roman"/>
          <w:sz w:val="24"/>
          <w:szCs w:val="24"/>
        </w:rPr>
        <w:t xml:space="preserve"> It has been documented that Vestal Virgins were buried alive in a stone tomb, they were given food and some </w:t>
      </w:r>
      <w:r w:rsidR="00417DD9">
        <w:rPr>
          <w:rFonts w:ascii="Times New Roman" w:hAnsi="Times New Roman" w:cs="Times New Roman"/>
          <w:sz w:val="24"/>
          <w:szCs w:val="24"/>
        </w:rPr>
        <w:lastRenderedPageBreak/>
        <w:t>ceremonial items, if they had broken their vows to remain a virgin.</w:t>
      </w:r>
      <w:r w:rsidR="00417DD9">
        <w:rPr>
          <w:rStyle w:val="FootnoteReference"/>
          <w:rFonts w:ascii="Times New Roman" w:hAnsi="Times New Roman" w:cs="Times New Roman"/>
          <w:sz w:val="24"/>
          <w:szCs w:val="24"/>
        </w:rPr>
        <w:footnoteReference w:id="10"/>
      </w:r>
      <w:r w:rsidR="00F06CF5">
        <w:rPr>
          <w:rFonts w:ascii="Times New Roman" w:hAnsi="Times New Roman" w:cs="Times New Roman"/>
          <w:sz w:val="24"/>
          <w:szCs w:val="24"/>
        </w:rPr>
        <w:t xml:space="preserve"> This ceremony is</w:t>
      </w:r>
      <w:r w:rsidR="00856CA0">
        <w:rPr>
          <w:rFonts w:ascii="Times New Roman" w:hAnsi="Times New Roman" w:cs="Times New Roman"/>
          <w:sz w:val="24"/>
          <w:szCs w:val="24"/>
        </w:rPr>
        <w:t>n’t</w:t>
      </w:r>
      <w:r w:rsidR="00F06CF5">
        <w:rPr>
          <w:rFonts w:ascii="Times New Roman" w:hAnsi="Times New Roman" w:cs="Times New Roman"/>
          <w:sz w:val="24"/>
          <w:szCs w:val="24"/>
        </w:rPr>
        <w:t xml:space="preserve"> what Romans would identify as a human sacrifice simple because they do</w:t>
      </w:r>
      <w:r w:rsidR="00856CA0">
        <w:rPr>
          <w:rFonts w:ascii="Times New Roman" w:hAnsi="Times New Roman" w:cs="Times New Roman"/>
          <w:sz w:val="24"/>
          <w:szCs w:val="24"/>
        </w:rPr>
        <w:t>n’t</w:t>
      </w:r>
      <w:r w:rsidR="00F06CF5">
        <w:rPr>
          <w:rFonts w:ascii="Times New Roman" w:hAnsi="Times New Roman" w:cs="Times New Roman"/>
          <w:sz w:val="24"/>
          <w:szCs w:val="24"/>
        </w:rPr>
        <w:t xml:space="preserve"> offer them to any god and they do</w:t>
      </w:r>
      <w:r w:rsidR="00856CA0">
        <w:rPr>
          <w:rFonts w:ascii="Times New Roman" w:hAnsi="Times New Roman" w:cs="Times New Roman"/>
          <w:sz w:val="24"/>
          <w:szCs w:val="24"/>
        </w:rPr>
        <w:t>n’t</w:t>
      </w:r>
      <w:r w:rsidR="00F06CF5">
        <w:rPr>
          <w:rFonts w:ascii="Times New Roman" w:hAnsi="Times New Roman" w:cs="Times New Roman"/>
          <w:sz w:val="24"/>
          <w:szCs w:val="24"/>
        </w:rPr>
        <w:t xml:space="preserve"> refer to the virgins in the sources as sacrificial victims.</w:t>
      </w:r>
      <w:r w:rsidR="00F06CF5">
        <w:rPr>
          <w:rStyle w:val="FootnoteReference"/>
          <w:rFonts w:ascii="Times New Roman" w:hAnsi="Times New Roman" w:cs="Times New Roman"/>
          <w:sz w:val="24"/>
          <w:szCs w:val="24"/>
        </w:rPr>
        <w:footnoteReference w:id="11"/>
      </w:r>
      <w:r w:rsidR="00194D34">
        <w:rPr>
          <w:rFonts w:ascii="Times New Roman" w:hAnsi="Times New Roman" w:cs="Times New Roman"/>
          <w:sz w:val="24"/>
          <w:szCs w:val="24"/>
        </w:rPr>
        <w:t xml:space="preserve"> In the case of the Vestal Virgins the Romans would identify the act as ritual murder,</w:t>
      </w:r>
      <w:r w:rsidR="00194D34">
        <w:rPr>
          <w:rStyle w:val="FootnoteReference"/>
          <w:rFonts w:ascii="Times New Roman" w:hAnsi="Times New Roman" w:cs="Times New Roman"/>
          <w:sz w:val="24"/>
          <w:szCs w:val="24"/>
        </w:rPr>
        <w:footnoteReference w:id="12"/>
      </w:r>
      <w:r w:rsidR="00194D34">
        <w:rPr>
          <w:rFonts w:ascii="Times New Roman" w:hAnsi="Times New Roman" w:cs="Times New Roman"/>
          <w:sz w:val="24"/>
          <w:szCs w:val="24"/>
        </w:rPr>
        <w:t xml:space="preserve"> a necessary pre-caution to repair the </w:t>
      </w:r>
      <w:proofErr w:type="spellStart"/>
      <w:r w:rsidR="00194D34">
        <w:rPr>
          <w:rFonts w:ascii="Times New Roman" w:hAnsi="Times New Roman" w:cs="Times New Roman"/>
          <w:i/>
          <w:sz w:val="24"/>
          <w:szCs w:val="24"/>
        </w:rPr>
        <w:t>pax</w:t>
      </w:r>
      <w:proofErr w:type="spellEnd"/>
      <w:r w:rsidR="00194D34">
        <w:rPr>
          <w:rFonts w:ascii="Times New Roman" w:hAnsi="Times New Roman" w:cs="Times New Roman"/>
          <w:i/>
          <w:sz w:val="24"/>
          <w:szCs w:val="24"/>
        </w:rPr>
        <w:t xml:space="preserve"> </w:t>
      </w:r>
      <w:proofErr w:type="spellStart"/>
      <w:r w:rsidR="00194D34">
        <w:rPr>
          <w:rFonts w:ascii="Times New Roman" w:hAnsi="Times New Roman" w:cs="Times New Roman"/>
          <w:i/>
          <w:sz w:val="24"/>
          <w:szCs w:val="24"/>
        </w:rPr>
        <w:t>deorum</w:t>
      </w:r>
      <w:proofErr w:type="spellEnd"/>
      <w:r w:rsidR="00194D34">
        <w:rPr>
          <w:rFonts w:ascii="Times New Roman" w:hAnsi="Times New Roman" w:cs="Times New Roman"/>
          <w:sz w:val="24"/>
          <w:szCs w:val="24"/>
        </w:rPr>
        <w:t>.</w:t>
      </w:r>
      <w:r w:rsidR="00194D34">
        <w:rPr>
          <w:rStyle w:val="FootnoteReference"/>
          <w:rFonts w:ascii="Times New Roman" w:hAnsi="Times New Roman" w:cs="Times New Roman"/>
          <w:sz w:val="24"/>
          <w:szCs w:val="24"/>
        </w:rPr>
        <w:footnoteReference w:id="13"/>
      </w:r>
      <w:r w:rsidR="00194D34">
        <w:rPr>
          <w:rFonts w:ascii="Times New Roman" w:hAnsi="Times New Roman" w:cs="Times New Roman"/>
          <w:sz w:val="24"/>
          <w:szCs w:val="24"/>
        </w:rPr>
        <w:t xml:space="preserve"> Death in other words was acceptable when righting a wrong. </w:t>
      </w:r>
      <w:r w:rsidR="00EA72A6">
        <w:rPr>
          <w:rFonts w:ascii="Times New Roman" w:hAnsi="Times New Roman" w:cs="Times New Roman"/>
          <w:sz w:val="24"/>
          <w:szCs w:val="24"/>
        </w:rPr>
        <w:t>Eventually, human sacrifice was outlawed by the Romans in 97 BCE.</w:t>
      </w:r>
      <w:r w:rsidR="00EA72A6">
        <w:rPr>
          <w:rStyle w:val="FootnoteReference"/>
          <w:rFonts w:ascii="Times New Roman" w:hAnsi="Times New Roman" w:cs="Times New Roman"/>
          <w:sz w:val="24"/>
          <w:szCs w:val="24"/>
        </w:rPr>
        <w:footnoteReference w:id="14"/>
      </w:r>
      <w:r w:rsidR="00EA72A6">
        <w:rPr>
          <w:rFonts w:ascii="Times New Roman" w:hAnsi="Times New Roman" w:cs="Times New Roman"/>
          <w:sz w:val="24"/>
          <w:szCs w:val="24"/>
        </w:rPr>
        <w:t xml:space="preserve"> </w:t>
      </w:r>
      <w:r w:rsidR="00185738">
        <w:rPr>
          <w:rFonts w:ascii="Times New Roman" w:hAnsi="Times New Roman" w:cs="Times New Roman"/>
          <w:sz w:val="24"/>
          <w:szCs w:val="24"/>
        </w:rPr>
        <w:t>Strabo isn</w:t>
      </w:r>
      <w:r w:rsidR="00856CA0">
        <w:rPr>
          <w:rFonts w:ascii="Times New Roman" w:hAnsi="Times New Roman" w:cs="Times New Roman"/>
          <w:sz w:val="24"/>
          <w:szCs w:val="24"/>
        </w:rPr>
        <w:t>’</w:t>
      </w:r>
      <w:r w:rsidR="00185738">
        <w:rPr>
          <w:rFonts w:ascii="Times New Roman" w:hAnsi="Times New Roman" w:cs="Times New Roman"/>
          <w:sz w:val="24"/>
          <w:szCs w:val="24"/>
        </w:rPr>
        <w:t xml:space="preserve">t the only author to have documented human sacrifice, one sacrifice that has made such an imprint in our minds that it has been depicted in films such as the wicker man. Caesar writes of the </w:t>
      </w:r>
      <w:proofErr w:type="spellStart"/>
      <w:r w:rsidR="00185738">
        <w:rPr>
          <w:rFonts w:ascii="Times New Roman" w:hAnsi="Times New Roman" w:cs="Times New Roman"/>
          <w:sz w:val="24"/>
          <w:szCs w:val="24"/>
        </w:rPr>
        <w:t>Gauls</w:t>
      </w:r>
      <w:proofErr w:type="spellEnd"/>
      <w:r w:rsidR="00185738">
        <w:rPr>
          <w:rFonts w:ascii="Times New Roman" w:hAnsi="Times New Roman" w:cs="Times New Roman"/>
          <w:sz w:val="24"/>
          <w:szCs w:val="24"/>
        </w:rPr>
        <w:t xml:space="preserve"> sacrificing people in large figurines</w:t>
      </w:r>
      <w:r w:rsidR="00DD16A6">
        <w:rPr>
          <w:rFonts w:ascii="Times New Roman" w:hAnsi="Times New Roman" w:cs="Times New Roman"/>
          <w:sz w:val="24"/>
          <w:szCs w:val="24"/>
        </w:rPr>
        <w:t xml:space="preserve"> that they set on fire</w:t>
      </w:r>
      <w:r w:rsidR="00185738">
        <w:rPr>
          <w:rFonts w:ascii="Times New Roman" w:hAnsi="Times New Roman" w:cs="Times New Roman"/>
          <w:sz w:val="24"/>
          <w:szCs w:val="24"/>
        </w:rPr>
        <w:t xml:space="preserve">, </w:t>
      </w:r>
      <w:r w:rsidR="00185738">
        <w:rPr>
          <w:rStyle w:val="FootnoteReference"/>
          <w:rFonts w:ascii="Times New Roman" w:hAnsi="Times New Roman" w:cs="Times New Roman"/>
          <w:sz w:val="24"/>
          <w:szCs w:val="24"/>
        </w:rPr>
        <w:footnoteReference w:id="15"/>
      </w:r>
      <w:r w:rsidR="00185738">
        <w:rPr>
          <w:rFonts w:ascii="Times New Roman" w:hAnsi="Times New Roman" w:cs="Times New Roman"/>
          <w:sz w:val="24"/>
          <w:szCs w:val="24"/>
        </w:rPr>
        <w:t xml:space="preserve"> while </w:t>
      </w:r>
      <w:proofErr w:type="spellStart"/>
      <w:r w:rsidR="00185738">
        <w:rPr>
          <w:rFonts w:ascii="Times New Roman" w:hAnsi="Times New Roman" w:cs="Times New Roman"/>
          <w:sz w:val="24"/>
          <w:szCs w:val="24"/>
        </w:rPr>
        <w:t>Diodorus</w:t>
      </w:r>
      <w:proofErr w:type="spellEnd"/>
      <w:r w:rsidR="00185738">
        <w:rPr>
          <w:rFonts w:ascii="Times New Roman" w:hAnsi="Times New Roman" w:cs="Times New Roman"/>
          <w:sz w:val="24"/>
          <w:szCs w:val="24"/>
        </w:rPr>
        <w:t xml:space="preserve"> Siculus </w:t>
      </w:r>
      <w:r w:rsidR="00DD16A6">
        <w:rPr>
          <w:rFonts w:ascii="Times New Roman" w:hAnsi="Times New Roman" w:cs="Times New Roman"/>
          <w:sz w:val="24"/>
          <w:szCs w:val="24"/>
        </w:rPr>
        <w:t>talks of a large pyre to sacrifice them on.</w:t>
      </w:r>
      <w:r w:rsidR="00DD16A6">
        <w:rPr>
          <w:rStyle w:val="FootnoteReference"/>
          <w:rFonts w:ascii="Times New Roman" w:hAnsi="Times New Roman" w:cs="Times New Roman"/>
          <w:sz w:val="24"/>
          <w:szCs w:val="24"/>
        </w:rPr>
        <w:footnoteReference w:id="16"/>
      </w:r>
      <w:r w:rsidR="00DD16A6">
        <w:rPr>
          <w:rFonts w:ascii="Times New Roman" w:hAnsi="Times New Roman" w:cs="Times New Roman"/>
          <w:sz w:val="24"/>
          <w:szCs w:val="24"/>
        </w:rPr>
        <w:t xml:space="preserve"> While Strabo does mention a figure we can not be entirely sure that this i</w:t>
      </w:r>
      <w:r w:rsidR="00F927AF">
        <w:rPr>
          <w:rFonts w:ascii="Times New Roman" w:hAnsi="Times New Roman" w:cs="Times New Roman"/>
          <w:sz w:val="24"/>
          <w:szCs w:val="24"/>
        </w:rPr>
        <w:t>sn’</w:t>
      </w:r>
      <w:r w:rsidR="00DD16A6">
        <w:rPr>
          <w:rFonts w:ascii="Times New Roman" w:hAnsi="Times New Roman" w:cs="Times New Roman"/>
          <w:sz w:val="24"/>
          <w:szCs w:val="24"/>
        </w:rPr>
        <w:t>t another way to discredit the ‘Celts’.</w:t>
      </w:r>
      <w:r w:rsidR="00DD16A6">
        <w:rPr>
          <w:rStyle w:val="FootnoteReference"/>
          <w:rFonts w:ascii="Times New Roman" w:hAnsi="Times New Roman" w:cs="Times New Roman"/>
          <w:sz w:val="24"/>
          <w:szCs w:val="24"/>
        </w:rPr>
        <w:footnoteReference w:id="17"/>
      </w:r>
    </w:p>
    <w:p w14:paraId="706C40F1" w14:textId="331B18A6" w:rsidR="00F501FA" w:rsidRDefault="00AC35A7" w:rsidP="007B7A3F">
      <w:pPr>
        <w:spacing w:line="240" w:lineRule="auto"/>
        <w:ind w:firstLine="720"/>
        <w:rPr>
          <w:rFonts w:ascii="Times New Roman" w:hAnsi="Times New Roman" w:cs="Times New Roman"/>
          <w:sz w:val="24"/>
          <w:szCs w:val="24"/>
        </w:rPr>
      </w:pPr>
      <w:r>
        <w:rPr>
          <w:rFonts w:ascii="Times New Roman" w:hAnsi="Times New Roman" w:cs="Times New Roman"/>
          <w:sz w:val="24"/>
          <w:szCs w:val="24"/>
        </w:rPr>
        <w:t>The second theme is that of head hunti</w:t>
      </w:r>
      <w:r w:rsidR="00422F7B">
        <w:rPr>
          <w:rFonts w:ascii="Times New Roman" w:hAnsi="Times New Roman" w:cs="Times New Roman"/>
          <w:sz w:val="24"/>
          <w:szCs w:val="24"/>
        </w:rPr>
        <w:t>n</w:t>
      </w:r>
      <w:r>
        <w:rPr>
          <w:rFonts w:ascii="Times New Roman" w:hAnsi="Times New Roman" w:cs="Times New Roman"/>
          <w:sz w:val="24"/>
          <w:szCs w:val="24"/>
        </w:rPr>
        <w:t>g</w:t>
      </w:r>
      <w:r w:rsidR="00422F7B">
        <w:rPr>
          <w:rFonts w:ascii="Times New Roman" w:hAnsi="Times New Roman" w:cs="Times New Roman"/>
          <w:sz w:val="24"/>
          <w:szCs w:val="24"/>
        </w:rPr>
        <w:t xml:space="preserve">, Strabo makes two references to collecting heads, but the treatments of the heads varies. First, </w:t>
      </w:r>
      <w:r w:rsidR="000C5AED">
        <w:rPr>
          <w:rFonts w:ascii="Times New Roman" w:hAnsi="Times New Roman" w:cs="Times New Roman"/>
          <w:sz w:val="24"/>
          <w:szCs w:val="24"/>
        </w:rPr>
        <w:t>are</w:t>
      </w:r>
      <w:r w:rsidR="00422F7B">
        <w:rPr>
          <w:rFonts w:ascii="Times New Roman" w:hAnsi="Times New Roman" w:cs="Times New Roman"/>
          <w:sz w:val="24"/>
          <w:szCs w:val="24"/>
        </w:rPr>
        <w:t xml:space="preserve"> the treatments of the </w:t>
      </w:r>
      <w:r w:rsidR="000C5AED">
        <w:rPr>
          <w:rFonts w:ascii="Times New Roman" w:hAnsi="Times New Roman" w:cs="Times New Roman"/>
          <w:sz w:val="24"/>
          <w:szCs w:val="24"/>
        </w:rPr>
        <w:t>enemy’s</w:t>
      </w:r>
      <w:r w:rsidR="00422F7B">
        <w:rPr>
          <w:rFonts w:ascii="Times New Roman" w:hAnsi="Times New Roman" w:cs="Times New Roman"/>
          <w:sz w:val="24"/>
          <w:szCs w:val="24"/>
        </w:rPr>
        <w:t xml:space="preserve"> head, </w:t>
      </w:r>
      <w:r w:rsidR="00422F7B">
        <w:rPr>
          <w:rStyle w:val="FootnoteReference"/>
          <w:rFonts w:ascii="Times New Roman" w:hAnsi="Times New Roman" w:cs="Times New Roman"/>
          <w:sz w:val="24"/>
          <w:szCs w:val="24"/>
        </w:rPr>
        <w:footnoteReference w:id="18"/>
      </w:r>
      <w:r w:rsidR="000C5AED">
        <w:rPr>
          <w:rFonts w:ascii="Times New Roman" w:hAnsi="Times New Roman" w:cs="Times New Roman"/>
          <w:sz w:val="24"/>
          <w:szCs w:val="24"/>
        </w:rPr>
        <w:t xml:space="preserve"> which could be regarded as another sacrifice.</w:t>
      </w:r>
      <w:r w:rsidR="000C5AED">
        <w:rPr>
          <w:rStyle w:val="FootnoteReference"/>
          <w:rFonts w:ascii="Times New Roman" w:hAnsi="Times New Roman" w:cs="Times New Roman"/>
          <w:sz w:val="24"/>
          <w:szCs w:val="24"/>
        </w:rPr>
        <w:footnoteReference w:id="19"/>
      </w:r>
      <w:r w:rsidR="000C5AED">
        <w:rPr>
          <w:rFonts w:ascii="Times New Roman" w:hAnsi="Times New Roman" w:cs="Times New Roman"/>
          <w:sz w:val="24"/>
          <w:szCs w:val="24"/>
        </w:rPr>
        <w:t xml:space="preserve"> </w:t>
      </w:r>
      <w:r w:rsidR="007B7A3F">
        <w:rPr>
          <w:rFonts w:ascii="Times New Roman" w:hAnsi="Times New Roman" w:cs="Times New Roman"/>
          <w:sz w:val="24"/>
          <w:szCs w:val="24"/>
        </w:rPr>
        <w:t xml:space="preserve">The head was believed to be the residing place of the soul, the owner would own the essence of his enemy, ward off evil and </w:t>
      </w:r>
      <w:r w:rsidR="00856CA0">
        <w:rPr>
          <w:rFonts w:ascii="Times New Roman" w:hAnsi="Times New Roman" w:cs="Times New Roman"/>
          <w:sz w:val="24"/>
          <w:szCs w:val="24"/>
        </w:rPr>
        <w:t>gain</w:t>
      </w:r>
      <w:r w:rsidR="007B7A3F">
        <w:rPr>
          <w:rFonts w:ascii="Times New Roman" w:hAnsi="Times New Roman" w:cs="Times New Roman"/>
          <w:sz w:val="24"/>
          <w:szCs w:val="24"/>
        </w:rPr>
        <w:t xml:space="preserve"> bragging rights.</w:t>
      </w:r>
      <w:r w:rsidR="007B7A3F">
        <w:rPr>
          <w:rStyle w:val="FootnoteReference"/>
          <w:rFonts w:ascii="Times New Roman" w:hAnsi="Times New Roman" w:cs="Times New Roman"/>
          <w:sz w:val="24"/>
          <w:szCs w:val="24"/>
        </w:rPr>
        <w:footnoteReference w:id="20"/>
      </w:r>
      <w:r w:rsidR="007B7A3F">
        <w:rPr>
          <w:rFonts w:ascii="Times New Roman" w:hAnsi="Times New Roman" w:cs="Times New Roman"/>
          <w:sz w:val="24"/>
          <w:szCs w:val="24"/>
        </w:rPr>
        <w:t xml:space="preserve"> </w:t>
      </w:r>
      <w:r w:rsidR="000C5AED">
        <w:rPr>
          <w:rFonts w:ascii="Times New Roman" w:hAnsi="Times New Roman" w:cs="Times New Roman"/>
          <w:sz w:val="24"/>
          <w:szCs w:val="24"/>
        </w:rPr>
        <w:t xml:space="preserve">There are archaeological evidence suggesting heads to have value, </w:t>
      </w:r>
      <w:r w:rsidR="001B267D">
        <w:rPr>
          <w:rFonts w:ascii="Times New Roman" w:hAnsi="Times New Roman" w:cs="Times New Roman"/>
          <w:sz w:val="24"/>
          <w:szCs w:val="24"/>
        </w:rPr>
        <w:t xml:space="preserve">in the south of France there was discovered two temples, </w:t>
      </w:r>
      <w:proofErr w:type="spellStart"/>
      <w:r w:rsidR="001B267D">
        <w:rPr>
          <w:rFonts w:ascii="Times New Roman" w:hAnsi="Times New Roman" w:cs="Times New Roman"/>
          <w:sz w:val="24"/>
          <w:szCs w:val="24"/>
        </w:rPr>
        <w:t>Entremont</w:t>
      </w:r>
      <w:proofErr w:type="spellEnd"/>
      <w:r w:rsidR="001B267D">
        <w:rPr>
          <w:rFonts w:ascii="Times New Roman" w:hAnsi="Times New Roman" w:cs="Times New Roman"/>
          <w:sz w:val="24"/>
          <w:szCs w:val="24"/>
        </w:rPr>
        <w:t xml:space="preserve"> and </w:t>
      </w:r>
      <w:proofErr w:type="spellStart"/>
      <w:r w:rsidR="001B267D">
        <w:rPr>
          <w:rFonts w:ascii="Times New Roman" w:hAnsi="Times New Roman" w:cs="Times New Roman"/>
          <w:sz w:val="24"/>
          <w:szCs w:val="24"/>
        </w:rPr>
        <w:t>Roquepertuse</w:t>
      </w:r>
      <w:proofErr w:type="spellEnd"/>
      <w:r w:rsidR="001B267D">
        <w:rPr>
          <w:rFonts w:ascii="Times New Roman" w:hAnsi="Times New Roman" w:cs="Times New Roman"/>
          <w:sz w:val="24"/>
          <w:szCs w:val="24"/>
        </w:rPr>
        <w:t xml:space="preserve">, where niches were carved to hold human skulls and </w:t>
      </w:r>
      <w:r w:rsidR="00856CA0">
        <w:rPr>
          <w:rFonts w:ascii="Times New Roman" w:hAnsi="Times New Roman" w:cs="Times New Roman"/>
          <w:sz w:val="24"/>
          <w:szCs w:val="24"/>
        </w:rPr>
        <w:t xml:space="preserve">the other </w:t>
      </w:r>
      <w:r w:rsidR="001B267D">
        <w:rPr>
          <w:rFonts w:ascii="Times New Roman" w:hAnsi="Times New Roman" w:cs="Times New Roman"/>
          <w:sz w:val="24"/>
          <w:szCs w:val="24"/>
        </w:rPr>
        <w:t>carvings of heads.</w:t>
      </w:r>
      <w:r w:rsidR="001B267D">
        <w:rPr>
          <w:rStyle w:val="FootnoteReference"/>
          <w:rFonts w:ascii="Times New Roman" w:hAnsi="Times New Roman" w:cs="Times New Roman"/>
          <w:sz w:val="24"/>
          <w:szCs w:val="24"/>
        </w:rPr>
        <w:footnoteReference w:id="21"/>
      </w:r>
      <w:r w:rsidR="001B267D">
        <w:rPr>
          <w:rFonts w:ascii="Times New Roman" w:hAnsi="Times New Roman" w:cs="Times New Roman"/>
          <w:sz w:val="24"/>
          <w:szCs w:val="24"/>
        </w:rPr>
        <w:t xml:space="preserve"> </w:t>
      </w:r>
      <w:r w:rsidR="0048527C">
        <w:rPr>
          <w:rFonts w:ascii="Times New Roman" w:hAnsi="Times New Roman" w:cs="Times New Roman"/>
          <w:sz w:val="24"/>
          <w:szCs w:val="24"/>
        </w:rPr>
        <w:t>The use of skulls as decoration can also be seen after such as the carved triplicate head found in Llandaff Cathedral, south Wales, and also in Ireland, Galway, where more than twenty heads are carved in</w:t>
      </w:r>
      <w:r w:rsidR="00856CA0">
        <w:rPr>
          <w:rFonts w:ascii="Times New Roman" w:hAnsi="Times New Roman" w:cs="Times New Roman"/>
          <w:sz w:val="24"/>
          <w:szCs w:val="24"/>
        </w:rPr>
        <w:t>to</w:t>
      </w:r>
      <w:r w:rsidR="0048527C">
        <w:rPr>
          <w:rFonts w:ascii="Times New Roman" w:hAnsi="Times New Roman" w:cs="Times New Roman"/>
          <w:sz w:val="24"/>
          <w:szCs w:val="24"/>
        </w:rPr>
        <w:t xml:space="preserve"> the west door with some set in the triangular niche favoured by the ‘Celts’.</w:t>
      </w:r>
      <w:r w:rsidR="0048527C">
        <w:rPr>
          <w:rStyle w:val="FootnoteReference"/>
          <w:rFonts w:ascii="Times New Roman" w:hAnsi="Times New Roman" w:cs="Times New Roman"/>
          <w:sz w:val="24"/>
          <w:szCs w:val="24"/>
        </w:rPr>
        <w:footnoteReference w:id="22"/>
      </w:r>
      <w:r w:rsidR="0048527C">
        <w:rPr>
          <w:rFonts w:ascii="Times New Roman" w:hAnsi="Times New Roman" w:cs="Times New Roman"/>
          <w:sz w:val="24"/>
          <w:szCs w:val="24"/>
        </w:rPr>
        <w:t xml:space="preserve"> It is</w:t>
      </w:r>
      <w:r w:rsidR="00856CA0">
        <w:rPr>
          <w:rFonts w:ascii="Times New Roman" w:hAnsi="Times New Roman" w:cs="Times New Roman"/>
          <w:sz w:val="24"/>
          <w:szCs w:val="24"/>
        </w:rPr>
        <w:t>n’t</w:t>
      </w:r>
      <w:r w:rsidR="0048527C">
        <w:rPr>
          <w:rFonts w:ascii="Times New Roman" w:hAnsi="Times New Roman" w:cs="Times New Roman"/>
          <w:sz w:val="24"/>
          <w:szCs w:val="24"/>
        </w:rPr>
        <w:t xml:space="preserve"> only evident in the buildings but in medieval literature, both from Wales and Ireland. The Irish </w:t>
      </w:r>
      <w:r w:rsidR="000E5FCA">
        <w:rPr>
          <w:rFonts w:ascii="Times New Roman" w:hAnsi="Times New Roman" w:cs="Times New Roman"/>
          <w:sz w:val="24"/>
          <w:szCs w:val="24"/>
        </w:rPr>
        <w:t xml:space="preserve">hero </w:t>
      </w:r>
      <w:proofErr w:type="spellStart"/>
      <w:r w:rsidR="000E5FCA">
        <w:rPr>
          <w:rFonts w:ascii="Times New Roman" w:hAnsi="Times New Roman" w:cs="Times New Roman"/>
          <w:sz w:val="24"/>
          <w:szCs w:val="24"/>
        </w:rPr>
        <w:t>Cú</w:t>
      </w:r>
      <w:proofErr w:type="spellEnd"/>
      <w:r w:rsidR="000E5FCA">
        <w:rPr>
          <w:rFonts w:ascii="Times New Roman" w:hAnsi="Times New Roman" w:cs="Times New Roman"/>
          <w:sz w:val="24"/>
          <w:szCs w:val="24"/>
        </w:rPr>
        <w:t xml:space="preserve"> </w:t>
      </w:r>
      <w:proofErr w:type="spellStart"/>
      <w:r w:rsidR="000E5FCA">
        <w:rPr>
          <w:rFonts w:ascii="Times New Roman" w:hAnsi="Times New Roman" w:cs="Times New Roman"/>
          <w:sz w:val="24"/>
          <w:szCs w:val="24"/>
        </w:rPr>
        <w:t>Chulainn</w:t>
      </w:r>
      <w:proofErr w:type="spellEnd"/>
      <w:r w:rsidR="000E5FCA">
        <w:rPr>
          <w:rFonts w:ascii="Times New Roman" w:hAnsi="Times New Roman" w:cs="Times New Roman"/>
          <w:sz w:val="24"/>
          <w:szCs w:val="24"/>
        </w:rPr>
        <w:t xml:space="preserve"> </w:t>
      </w:r>
      <w:r w:rsidR="004C1B9C">
        <w:rPr>
          <w:rFonts w:ascii="Times New Roman" w:hAnsi="Times New Roman" w:cs="Times New Roman"/>
          <w:sz w:val="24"/>
          <w:szCs w:val="24"/>
        </w:rPr>
        <w:t xml:space="preserve">is said to have collected twelve heads and displayed them on twelve stones and it is written in the </w:t>
      </w:r>
      <w:proofErr w:type="spellStart"/>
      <w:r w:rsidR="004C1B9C">
        <w:rPr>
          <w:rFonts w:ascii="Times New Roman" w:hAnsi="Times New Roman" w:cs="Times New Roman"/>
          <w:sz w:val="24"/>
          <w:szCs w:val="24"/>
        </w:rPr>
        <w:t>Mabinogion</w:t>
      </w:r>
      <w:proofErr w:type="spellEnd"/>
      <w:r w:rsidR="004C1B9C">
        <w:rPr>
          <w:rFonts w:ascii="Times New Roman" w:hAnsi="Times New Roman" w:cs="Times New Roman"/>
          <w:sz w:val="24"/>
          <w:szCs w:val="24"/>
        </w:rPr>
        <w:t xml:space="preserve"> that the head of the god Bran is ‘alive’ even after it was removed from the body.</w:t>
      </w:r>
      <w:r w:rsidR="004C1B9C">
        <w:rPr>
          <w:rStyle w:val="FootnoteReference"/>
          <w:rFonts w:ascii="Times New Roman" w:hAnsi="Times New Roman" w:cs="Times New Roman"/>
          <w:sz w:val="24"/>
          <w:szCs w:val="24"/>
        </w:rPr>
        <w:footnoteReference w:id="23"/>
      </w:r>
      <w:r w:rsidR="004C1B9C">
        <w:rPr>
          <w:rFonts w:ascii="Times New Roman" w:hAnsi="Times New Roman" w:cs="Times New Roman"/>
          <w:sz w:val="24"/>
          <w:szCs w:val="24"/>
        </w:rPr>
        <w:t xml:space="preserve"> </w:t>
      </w:r>
      <w:r w:rsidR="00856CA0">
        <w:rPr>
          <w:rFonts w:ascii="Times New Roman" w:hAnsi="Times New Roman" w:cs="Times New Roman"/>
          <w:sz w:val="24"/>
          <w:szCs w:val="24"/>
        </w:rPr>
        <w:t xml:space="preserve">However, </w:t>
      </w:r>
      <w:r w:rsidR="001D5BFC">
        <w:rPr>
          <w:rFonts w:ascii="Times New Roman" w:hAnsi="Times New Roman" w:cs="Times New Roman"/>
          <w:sz w:val="24"/>
          <w:szCs w:val="24"/>
        </w:rPr>
        <w:t>these stories were written down centuries after and written with a Christian perspective, many aspects of the original myth will have changed through the years</w:t>
      </w:r>
      <w:r w:rsidR="00F501FA">
        <w:rPr>
          <w:rFonts w:ascii="Times New Roman" w:hAnsi="Times New Roman" w:cs="Times New Roman"/>
          <w:sz w:val="24"/>
          <w:szCs w:val="24"/>
        </w:rPr>
        <w:t xml:space="preserve">. </w:t>
      </w:r>
      <w:r w:rsidR="007B7A3F">
        <w:rPr>
          <w:rFonts w:ascii="Times New Roman" w:hAnsi="Times New Roman" w:cs="Times New Roman"/>
          <w:sz w:val="24"/>
          <w:szCs w:val="24"/>
        </w:rPr>
        <w:t>Then there’s the heads of an ‘illustrious person’</w:t>
      </w:r>
      <w:r w:rsidR="0002732A">
        <w:rPr>
          <w:rFonts w:ascii="Times New Roman" w:hAnsi="Times New Roman" w:cs="Times New Roman"/>
          <w:sz w:val="24"/>
          <w:szCs w:val="24"/>
        </w:rPr>
        <w:t xml:space="preserve">, </w:t>
      </w:r>
      <w:r w:rsidR="00FF1B5E">
        <w:rPr>
          <w:rStyle w:val="FootnoteReference"/>
          <w:rFonts w:ascii="Times New Roman" w:hAnsi="Times New Roman" w:cs="Times New Roman"/>
          <w:sz w:val="24"/>
          <w:szCs w:val="24"/>
        </w:rPr>
        <w:footnoteReference w:id="24"/>
      </w:r>
      <w:r w:rsidR="00FF1B5E">
        <w:rPr>
          <w:rFonts w:ascii="Times New Roman" w:hAnsi="Times New Roman" w:cs="Times New Roman"/>
          <w:sz w:val="24"/>
          <w:szCs w:val="24"/>
        </w:rPr>
        <w:t xml:space="preserve"> implying that the enemy’s skill in battle was of consideration. Collections of heads were often maintained by the community, or individual families as a demonstration of their greatness, priceless heirlooms.</w:t>
      </w:r>
      <w:r w:rsidR="00FF1B5E">
        <w:rPr>
          <w:rStyle w:val="FootnoteReference"/>
          <w:rFonts w:ascii="Times New Roman" w:hAnsi="Times New Roman" w:cs="Times New Roman"/>
          <w:sz w:val="24"/>
          <w:szCs w:val="24"/>
        </w:rPr>
        <w:footnoteReference w:id="25"/>
      </w:r>
    </w:p>
    <w:p w14:paraId="020A6779" w14:textId="49A3141A" w:rsidR="00FF1B5E" w:rsidRDefault="00FF1B5E" w:rsidP="007B7A3F">
      <w:pPr>
        <w:spacing w:line="24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There are many factors to consider when analysing ancient sources, the authors themselves </w:t>
      </w:r>
      <w:r w:rsidR="009D6DCD">
        <w:rPr>
          <w:rFonts w:ascii="Times New Roman" w:hAnsi="Times New Roman" w:cs="Times New Roman"/>
          <w:sz w:val="24"/>
          <w:szCs w:val="24"/>
        </w:rPr>
        <w:t xml:space="preserve">cannot be trusted to write only the truth. With the use of political language, the Romans can discredit </w:t>
      </w:r>
      <w:r w:rsidR="001D5BFC">
        <w:rPr>
          <w:rFonts w:ascii="Times New Roman" w:hAnsi="Times New Roman" w:cs="Times New Roman"/>
          <w:sz w:val="24"/>
          <w:szCs w:val="24"/>
        </w:rPr>
        <w:t xml:space="preserve">others, </w:t>
      </w:r>
      <w:r w:rsidR="009D6DCD">
        <w:rPr>
          <w:rFonts w:ascii="Times New Roman" w:hAnsi="Times New Roman" w:cs="Times New Roman"/>
          <w:sz w:val="24"/>
          <w:szCs w:val="24"/>
        </w:rPr>
        <w:t>a</w:t>
      </w:r>
      <w:r w:rsidR="001D5BFC">
        <w:rPr>
          <w:rFonts w:ascii="Times New Roman" w:hAnsi="Times New Roman" w:cs="Times New Roman"/>
          <w:sz w:val="24"/>
          <w:szCs w:val="24"/>
        </w:rPr>
        <w:t xml:space="preserve"> tactic that has been used against themselves also</w:t>
      </w:r>
      <w:r w:rsidR="009D6DCD">
        <w:rPr>
          <w:rFonts w:ascii="Times New Roman" w:hAnsi="Times New Roman" w:cs="Times New Roman"/>
          <w:sz w:val="24"/>
          <w:szCs w:val="24"/>
        </w:rPr>
        <w:t xml:space="preserve">. For example, Cassius </w:t>
      </w:r>
      <w:proofErr w:type="spellStart"/>
      <w:r w:rsidR="009D6DCD">
        <w:rPr>
          <w:rFonts w:ascii="Times New Roman" w:hAnsi="Times New Roman" w:cs="Times New Roman"/>
          <w:sz w:val="24"/>
          <w:szCs w:val="24"/>
        </w:rPr>
        <w:t>Dio</w:t>
      </w:r>
      <w:proofErr w:type="spellEnd"/>
      <w:r w:rsidR="009D6DCD">
        <w:rPr>
          <w:rFonts w:ascii="Times New Roman" w:hAnsi="Times New Roman" w:cs="Times New Roman"/>
          <w:sz w:val="24"/>
          <w:szCs w:val="24"/>
        </w:rPr>
        <w:t xml:space="preserve"> writes how Caesar handed over rioting soldiers to Roam priests as human sacrifices, no doubt this is an effort to discredit Caesar after his return from Egypt.</w:t>
      </w:r>
      <w:r w:rsidR="009D6DCD">
        <w:rPr>
          <w:rStyle w:val="FootnoteReference"/>
          <w:rFonts w:ascii="Times New Roman" w:hAnsi="Times New Roman" w:cs="Times New Roman"/>
          <w:sz w:val="24"/>
          <w:szCs w:val="24"/>
        </w:rPr>
        <w:footnoteReference w:id="26"/>
      </w:r>
      <w:r w:rsidR="009D6DCD">
        <w:rPr>
          <w:rFonts w:ascii="Times New Roman" w:hAnsi="Times New Roman" w:cs="Times New Roman"/>
          <w:sz w:val="24"/>
          <w:szCs w:val="24"/>
        </w:rPr>
        <w:t xml:space="preserve"> Excavations do</w:t>
      </w:r>
      <w:r w:rsidR="001D5BFC">
        <w:rPr>
          <w:rFonts w:ascii="Times New Roman" w:hAnsi="Times New Roman" w:cs="Times New Roman"/>
          <w:sz w:val="24"/>
          <w:szCs w:val="24"/>
        </w:rPr>
        <w:t>n’t</w:t>
      </w:r>
      <w:r w:rsidR="009D6DCD">
        <w:rPr>
          <w:rFonts w:ascii="Times New Roman" w:hAnsi="Times New Roman" w:cs="Times New Roman"/>
          <w:sz w:val="24"/>
          <w:szCs w:val="24"/>
        </w:rPr>
        <w:t xml:space="preserve"> guarantee </w:t>
      </w:r>
      <w:r w:rsidR="00B623A9">
        <w:rPr>
          <w:rFonts w:ascii="Times New Roman" w:hAnsi="Times New Roman" w:cs="Times New Roman"/>
          <w:sz w:val="24"/>
          <w:szCs w:val="24"/>
        </w:rPr>
        <w:t xml:space="preserve">that the finding of human remains </w:t>
      </w:r>
      <w:r w:rsidR="007833E8">
        <w:rPr>
          <w:rFonts w:ascii="Times New Roman" w:hAnsi="Times New Roman" w:cs="Times New Roman"/>
          <w:sz w:val="24"/>
          <w:szCs w:val="24"/>
        </w:rPr>
        <w:t>is</w:t>
      </w:r>
      <w:r w:rsidR="00B623A9">
        <w:rPr>
          <w:rFonts w:ascii="Times New Roman" w:hAnsi="Times New Roman" w:cs="Times New Roman"/>
          <w:sz w:val="24"/>
          <w:szCs w:val="24"/>
        </w:rPr>
        <w:t xml:space="preserve"> that of a </w:t>
      </w:r>
      <w:r w:rsidR="007833E8">
        <w:rPr>
          <w:rFonts w:ascii="Times New Roman" w:hAnsi="Times New Roman" w:cs="Times New Roman"/>
          <w:sz w:val="24"/>
          <w:szCs w:val="24"/>
        </w:rPr>
        <w:t>human sacrifice</w:t>
      </w:r>
      <w:r w:rsidR="00B623A9">
        <w:rPr>
          <w:rFonts w:ascii="Times New Roman" w:hAnsi="Times New Roman" w:cs="Times New Roman"/>
          <w:sz w:val="24"/>
          <w:szCs w:val="24"/>
        </w:rPr>
        <w:t>, human remains</w:t>
      </w:r>
      <w:r w:rsidR="001D5BFC">
        <w:rPr>
          <w:rFonts w:ascii="Times New Roman" w:hAnsi="Times New Roman" w:cs="Times New Roman"/>
          <w:sz w:val="24"/>
          <w:szCs w:val="24"/>
        </w:rPr>
        <w:t xml:space="preserve"> are</w:t>
      </w:r>
      <w:r w:rsidR="00B623A9">
        <w:rPr>
          <w:rFonts w:ascii="Times New Roman" w:hAnsi="Times New Roman" w:cs="Times New Roman"/>
          <w:sz w:val="24"/>
          <w:szCs w:val="24"/>
        </w:rPr>
        <w:t xml:space="preserve"> widely discovered. </w:t>
      </w:r>
      <w:r w:rsidR="00B623A9">
        <w:rPr>
          <w:rStyle w:val="FootnoteReference"/>
          <w:rFonts w:ascii="Times New Roman" w:hAnsi="Times New Roman" w:cs="Times New Roman"/>
          <w:sz w:val="24"/>
          <w:szCs w:val="24"/>
        </w:rPr>
        <w:footnoteReference w:id="27"/>
      </w:r>
      <w:r w:rsidR="007833E8">
        <w:rPr>
          <w:rFonts w:ascii="Times New Roman" w:hAnsi="Times New Roman" w:cs="Times New Roman"/>
          <w:sz w:val="24"/>
          <w:szCs w:val="24"/>
        </w:rPr>
        <w:t xml:space="preserve">  Over 200 animal and human bones were discovered at </w:t>
      </w:r>
      <w:proofErr w:type="spellStart"/>
      <w:r w:rsidR="007833E8">
        <w:rPr>
          <w:rFonts w:ascii="Times New Roman" w:hAnsi="Times New Roman" w:cs="Times New Roman"/>
          <w:sz w:val="24"/>
          <w:szCs w:val="24"/>
        </w:rPr>
        <w:t>Ribermont</w:t>
      </w:r>
      <w:proofErr w:type="spellEnd"/>
      <w:r w:rsidR="007833E8">
        <w:rPr>
          <w:rFonts w:ascii="Times New Roman" w:hAnsi="Times New Roman" w:cs="Times New Roman"/>
          <w:sz w:val="24"/>
          <w:szCs w:val="24"/>
        </w:rPr>
        <w:t>-sur-</w:t>
      </w:r>
      <w:proofErr w:type="spellStart"/>
      <w:r w:rsidR="007833E8">
        <w:rPr>
          <w:rFonts w:ascii="Times New Roman" w:hAnsi="Times New Roman" w:cs="Times New Roman"/>
          <w:sz w:val="24"/>
          <w:szCs w:val="24"/>
        </w:rPr>
        <w:t>Ancre</w:t>
      </w:r>
      <w:proofErr w:type="spellEnd"/>
      <w:r w:rsidR="007833E8">
        <w:rPr>
          <w:rFonts w:ascii="Times New Roman" w:hAnsi="Times New Roman" w:cs="Times New Roman"/>
          <w:sz w:val="24"/>
          <w:szCs w:val="24"/>
        </w:rPr>
        <w:t xml:space="preserve"> (Somme), the site could represent many things such as a massacre of prisoners, enemies from battle or their own dead.</w:t>
      </w:r>
      <w:r w:rsidR="007833E8">
        <w:rPr>
          <w:rStyle w:val="FootnoteReference"/>
          <w:rFonts w:ascii="Times New Roman" w:hAnsi="Times New Roman" w:cs="Times New Roman"/>
          <w:sz w:val="24"/>
          <w:szCs w:val="24"/>
        </w:rPr>
        <w:footnoteReference w:id="28"/>
      </w:r>
      <w:r w:rsidR="007833E8">
        <w:rPr>
          <w:rFonts w:ascii="Times New Roman" w:hAnsi="Times New Roman" w:cs="Times New Roman"/>
          <w:sz w:val="24"/>
          <w:szCs w:val="24"/>
        </w:rPr>
        <w:t xml:space="preserve"> The term ‘Celtic’ is problematic itself as it’s a term coined by an </w:t>
      </w:r>
      <w:r w:rsidR="001D5BFC">
        <w:rPr>
          <w:rFonts w:ascii="Times New Roman" w:hAnsi="Times New Roman" w:cs="Times New Roman"/>
          <w:sz w:val="24"/>
          <w:szCs w:val="24"/>
        </w:rPr>
        <w:t>outsider</w:t>
      </w:r>
      <w:r w:rsidR="007833E8">
        <w:rPr>
          <w:rFonts w:ascii="Times New Roman" w:hAnsi="Times New Roman" w:cs="Times New Roman"/>
          <w:sz w:val="24"/>
          <w:szCs w:val="24"/>
        </w:rPr>
        <w:t xml:space="preserve"> to identify </w:t>
      </w:r>
      <w:r w:rsidR="001D5BFC">
        <w:rPr>
          <w:rFonts w:ascii="Times New Roman" w:hAnsi="Times New Roman" w:cs="Times New Roman"/>
          <w:sz w:val="24"/>
          <w:szCs w:val="24"/>
        </w:rPr>
        <w:t>a large group of peoples with similar customs</w:t>
      </w:r>
      <w:r w:rsidR="007833E8">
        <w:rPr>
          <w:rFonts w:ascii="Times New Roman" w:hAnsi="Times New Roman" w:cs="Times New Roman"/>
          <w:sz w:val="24"/>
          <w:szCs w:val="24"/>
        </w:rPr>
        <w:t>, mudding the identity of these nations.</w:t>
      </w:r>
    </w:p>
    <w:p w14:paraId="688D613C" w14:textId="12D817DC" w:rsidR="00CF2F78" w:rsidRDefault="00CF2F78" w:rsidP="007B7A3F">
      <w:pPr>
        <w:spacing w:line="240" w:lineRule="auto"/>
        <w:ind w:firstLine="720"/>
        <w:rPr>
          <w:rFonts w:ascii="Times New Roman" w:hAnsi="Times New Roman" w:cs="Times New Roman"/>
          <w:sz w:val="24"/>
          <w:szCs w:val="24"/>
        </w:rPr>
      </w:pPr>
    </w:p>
    <w:sdt>
      <w:sdtPr>
        <w:id w:val="146053240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6CC3FCE" w14:textId="4DF6A3FF" w:rsidR="00CF2F78" w:rsidRDefault="00CF2F78">
          <w:pPr>
            <w:pStyle w:val="Heading1"/>
          </w:pPr>
          <w:r>
            <w:t>Bibliography</w:t>
          </w:r>
        </w:p>
        <w:sdt>
          <w:sdtPr>
            <w:id w:val="111145805"/>
            <w:bibliography/>
          </w:sdtPr>
          <w:sdtContent>
            <w:p w14:paraId="41F64164" w14:textId="77777777" w:rsidR="00CF2F78" w:rsidRDefault="00CF2F78" w:rsidP="00CF2F7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Brittannica, T. E. (1998, July 20th ). </w:t>
              </w:r>
              <w:r>
                <w:rPr>
                  <w:i/>
                  <w:iCs/>
                  <w:noProof/>
                  <w:lang w:val="en-US"/>
                </w:rPr>
                <w:t>Posidonius: Greek Philosopher</w:t>
              </w:r>
              <w:r>
                <w:rPr>
                  <w:noProof/>
                  <w:lang w:val="en-US"/>
                </w:rPr>
                <w:t>. Retrieved from Encyclopaedia Brittannica: https://www.britannica.com/biography/Poseidonius</w:t>
              </w:r>
            </w:p>
            <w:p w14:paraId="1F3762E9" w14:textId="77777777" w:rsidR="00CF2F78" w:rsidRDefault="00CF2F78" w:rsidP="00CF2F78">
              <w:pPr>
                <w:pStyle w:val="Bibliography"/>
                <w:ind w:left="720" w:hanging="720"/>
                <w:rPr>
                  <w:noProof/>
                  <w:lang w:val="en-US"/>
                </w:rPr>
              </w:pPr>
              <w:r>
                <w:rPr>
                  <w:noProof/>
                  <w:lang w:val="en-US"/>
                </w:rPr>
                <w:t>Caesar. (n.d.). BG 6.16.</w:t>
              </w:r>
            </w:p>
            <w:p w14:paraId="2ADA465C" w14:textId="77777777" w:rsidR="00CF2F78" w:rsidRDefault="00CF2F78" w:rsidP="00CF2F78">
              <w:pPr>
                <w:pStyle w:val="Bibliography"/>
                <w:ind w:left="720" w:hanging="720"/>
                <w:rPr>
                  <w:noProof/>
                  <w:lang w:val="en-US"/>
                </w:rPr>
              </w:pPr>
              <w:r>
                <w:rPr>
                  <w:noProof/>
                  <w:lang w:val="en-US"/>
                </w:rPr>
                <w:t xml:space="preserve">Cunliffe, B. (1992). </w:t>
              </w:r>
              <w:r>
                <w:rPr>
                  <w:i/>
                  <w:iCs/>
                  <w:noProof/>
                  <w:lang w:val="en-US"/>
                </w:rPr>
                <w:t>The Celtic World.</w:t>
              </w:r>
              <w:r>
                <w:rPr>
                  <w:noProof/>
                  <w:lang w:val="en-US"/>
                </w:rPr>
                <w:t xml:space="preserve"> Singabore: BCA.</w:t>
              </w:r>
            </w:p>
            <w:p w14:paraId="12C9F65D" w14:textId="77777777" w:rsidR="00CF2F78" w:rsidRDefault="00CF2F78" w:rsidP="00CF2F78">
              <w:pPr>
                <w:pStyle w:val="Bibliography"/>
                <w:ind w:left="720" w:hanging="720"/>
                <w:rPr>
                  <w:noProof/>
                  <w:lang w:val="en-US"/>
                </w:rPr>
              </w:pPr>
              <w:r>
                <w:rPr>
                  <w:noProof/>
                  <w:lang w:val="en-US"/>
                </w:rPr>
                <w:t xml:space="preserve">Green, M. J. (1992). </w:t>
              </w:r>
              <w:r>
                <w:rPr>
                  <w:i/>
                  <w:iCs/>
                  <w:noProof/>
                  <w:lang w:val="en-US"/>
                </w:rPr>
                <w:t>Dictionary of Celtic Myth and Legend.</w:t>
              </w:r>
              <w:r>
                <w:rPr>
                  <w:noProof/>
                  <w:lang w:val="en-US"/>
                </w:rPr>
                <w:t xml:space="preserve"> London: Thames and Hudson LTD.</w:t>
              </w:r>
            </w:p>
            <w:p w14:paraId="68FD1770" w14:textId="77777777" w:rsidR="00CF2F78" w:rsidRDefault="00CF2F78" w:rsidP="00CF2F78">
              <w:pPr>
                <w:pStyle w:val="Bibliography"/>
                <w:ind w:left="720" w:hanging="720"/>
                <w:rPr>
                  <w:noProof/>
                  <w:lang w:val="en-US"/>
                </w:rPr>
              </w:pPr>
              <w:r>
                <w:rPr>
                  <w:noProof/>
                  <w:lang w:val="en-US"/>
                </w:rPr>
                <w:t xml:space="preserve">Green, M. J. (1995). </w:t>
              </w:r>
              <w:r>
                <w:rPr>
                  <w:i/>
                  <w:iCs/>
                  <w:noProof/>
                  <w:lang w:val="en-US"/>
                </w:rPr>
                <w:t>The Celtic World.</w:t>
              </w:r>
              <w:r>
                <w:rPr>
                  <w:noProof/>
                  <w:lang w:val="en-US"/>
                </w:rPr>
                <w:t xml:space="preserve"> London: Routledge.</w:t>
              </w:r>
            </w:p>
            <w:p w14:paraId="507912BB" w14:textId="77777777" w:rsidR="00CF2F78" w:rsidRDefault="00CF2F78" w:rsidP="00CF2F78">
              <w:pPr>
                <w:pStyle w:val="Bibliography"/>
                <w:ind w:left="720" w:hanging="720"/>
                <w:rPr>
                  <w:noProof/>
                  <w:lang w:val="en-US"/>
                </w:rPr>
              </w:pPr>
              <w:r>
                <w:rPr>
                  <w:noProof/>
                  <w:lang w:val="en-US"/>
                </w:rPr>
                <w:t xml:space="preserve">Gruen, E. S. (2012). </w:t>
              </w:r>
              <w:r>
                <w:rPr>
                  <w:i/>
                  <w:iCs/>
                  <w:noProof/>
                  <w:lang w:val="en-US"/>
                </w:rPr>
                <w:t>Rethinking the Other in Antiquity.</w:t>
              </w:r>
              <w:r>
                <w:rPr>
                  <w:noProof/>
                  <w:lang w:val="en-US"/>
                </w:rPr>
                <w:t xml:space="preserve"> Princeton University Press.</w:t>
              </w:r>
            </w:p>
            <w:p w14:paraId="4FD0711D" w14:textId="77777777" w:rsidR="00CF2F78" w:rsidRDefault="00CF2F78" w:rsidP="00CF2F78">
              <w:pPr>
                <w:pStyle w:val="Bibliography"/>
                <w:ind w:left="720" w:hanging="720"/>
                <w:rPr>
                  <w:noProof/>
                  <w:lang w:val="en-US"/>
                </w:rPr>
              </w:pPr>
              <w:r>
                <w:rPr>
                  <w:noProof/>
                  <w:lang w:val="en-US"/>
                </w:rPr>
                <w:t xml:space="preserve">Heinz, S. (1997). </w:t>
              </w:r>
              <w:r>
                <w:rPr>
                  <w:i/>
                  <w:iCs/>
                  <w:noProof/>
                  <w:lang w:val="en-US"/>
                </w:rPr>
                <w:t>Symols of the Celts.</w:t>
              </w:r>
              <w:r>
                <w:rPr>
                  <w:noProof/>
                  <w:lang w:val="en-US"/>
                </w:rPr>
                <w:t xml:space="preserve"> New York: Sterling Publishing Co., Inc.</w:t>
              </w:r>
            </w:p>
            <w:p w14:paraId="0A9055EE" w14:textId="77777777" w:rsidR="00CF2F78" w:rsidRDefault="00CF2F78" w:rsidP="00CF2F78">
              <w:pPr>
                <w:pStyle w:val="Bibliography"/>
                <w:ind w:left="720" w:hanging="720"/>
                <w:rPr>
                  <w:noProof/>
                  <w:lang w:val="en-US"/>
                </w:rPr>
              </w:pPr>
              <w:r>
                <w:rPr>
                  <w:noProof/>
                  <w:lang w:val="en-US"/>
                </w:rPr>
                <w:t xml:space="preserve">Lasserre, F. (1998, July 20th ). </w:t>
              </w:r>
              <w:r>
                <w:rPr>
                  <w:i/>
                  <w:iCs/>
                  <w:noProof/>
                  <w:lang w:val="en-US"/>
                </w:rPr>
                <w:t>Strabo; Greek Geographer and Historian</w:t>
              </w:r>
              <w:r>
                <w:rPr>
                  <w:noProof/>
                  <w:lang w:val="en-US"/>
                </w:rPr>
                <w:t>. Retrieved from Encyclopedia Britannica: https://www.britannica.com/biography/Strabo#accordion-article-history</w:t>
              </w:r>
            </w:p>
            <w:p w14:paraId="5E3D509E" w14:textId="77777777" w:rsidR="00CF2F78" w:rsidRDefault="00CF2F78" w:rsidP="00CF2F78">
              <w:pPr>
                <w:pStyle w:val="Bibliography"/>
                <w:ind w:left="720" w:hanging="720"/>
                <w:rPr>
                  <w:noProof/>
                  <w:lang w:val="en-US"/>
                </w:rPr>
              </w:pPr>
              <w:r>
                <w:rPr>
                  <w:noProof/>
                  <w:lang w:val="en-US"/>
                </w:rPr>
                <w:t xml:space="preserve">Nash, D. (1976). Reconstructing Poseidonios' Celtic Ethnography: Some Considerations. </w:t>
              </w:r>
              <w:r>
                <w:rPr>
                  <w:i/>
                  <w:iCs/>
                  <w:noProof/>
                  <w:lang w:val="en-US"/>
                </w:rPr>
                <w:t>Britannia</w:t>
              </w:r>
              <w:r>
                <w:rPr>
                  <w:noProof/>
                  <w:lang w:val="en-US"/>
                </w:rPr>
                <w:t>, 15.</w:t>
              </w:r>
            </w:p>
            <w:p w14:paraId="714AB056" w14:textId="77777777" w:rsidR="00CF2F78" w:rsidRDefault="00CF2F78" w:rsidP="00CF2F78">
              <w:pPr>
                <w:pStyle w:val="Bibliography"/>
                <w:ind w:left="720" w:hanging="720"/>
                <w:rPr>
                  <w:noProof/>
                  <w:lang w:val="en-US"/>
                </w:rPr>
              </w:pPr>
              <w:r>
                <w:rPr>
                  <w:noProof/>
                  <w:lang w:val="en-US"/>
                </w:rPr>
                <w:t xml:space="preserve">Ross, A. (2004). </w:t>
              </w:r>
              <w:r>
                <w:rPr>
                  <w:i/>
                  <w:iCs/>
                  <w:noProof/>
                  <w:lang w:val="en-US"/>
                </w:rPr>
                <w:t>Druids: Preachers of Immortality.</w:t>
              </w:r>
              <w:r>
                <w:rPr>
                  <w:noProof/>
                  <w:lang w:val="en-US"/>
                </w:rPr>
                <w:t xml:space="preserve"> Gloucestershire: Tempus.</w:t>
              </w:r>
            </w:p>
            <w:p w14:paraId="30B4E637" w14:textId="19485E7D" w:rsidR="00CF2F78" w:rsidRDefault="00CF2F78" w:rsidP="00224282">
              <w:pPr>
                <w:pStyle w:val="Bibliography"/>
                <w:ind w:left="720" w:hanging="720"/>
                <w:rPr>
                  <w:noProof/>
                  <w:lang w:val="en-US"/>
                </w:rPr>
              </w:pPr>
              <w:r>
                <w:rPr>
                  <w:noProof/>
                  <w:lang w:val="en-US"/>
                </w:rPr>
                <w:t xml:space="preserve">Schultz, C. E. (2010). The Romans and Ritual Murder. </w:t>
              </w:r>
              <w:r>
                <w:rPr>
                  <w:i/>
                  <w:iCs/>
                  <w:noProof/>
                  <w:lang w:val="en-US"/>
                </w:rPr>
                <w:t>Journal of the American Academy of Religion</w:t>
              </w:r>
              <w:r>
                <w:rPr>
                  <w:noProof/>
                  <w:lang w:val="en-US"/>
                </w:rPr>
                <w:t>, 25.</w:t>
              </w:r>
            </w:p>
            <w:p w14:paraId="26F0AB97" w14:textId="77777777" w:rsidR="00CF2F78" w:rsidRDefault="00CF2F78" w:rsidP="00CF2F78">
              <w:pPr>
                <w:pStyle w:val="Bibliography"/>
                <w:ind w:left="720" w:hanging="720"/>
                <w:rPr>
                  <w:noProof/>
                  <w:lang w:val="en-US"/>
                </w:rPr>
              </w:pPr>
              <w:r>
                <w:rPr>
                  <w:noProof/>
                  <w:lang w:val="en-US"/>
                </w:rPr>
                <w:t>Siculus, D. (n.d.). 5.31.1.</w:t>
              </w:r>
            </w:p>
            <w:p w14:paraId="79F39100" w14:textId="77777777" w:rsidR="00CF2F78" w:rsidRDefault="00CF2F78" w:rsidP="00CF2F78">
              <w:pPr>
                <w:pStyle w:val="Bibliography"/>
                <w:ind w:left="720" w:hanging="720"/>
                <w:rPr>
                  <w:noProof/>
                  <w:lang w:val="en-US"/>
                </w:rPr>
              </w:pPr>
              <w:r>
                <w:rPr>
                  <w:noProof/>
                  <w:lang w:val="en-US"/>
                </w:rPr>
                <w:t>Strabo. (n.d.). 4.4.5.</w:t>
              </w:r>
            </w:p>
            <w:p w14:paraId="100EA257" w14:textId="77777777" w:rsidR="00CF2F78" w:rsidRDefault="00CF2F78" w:rsidP="00CF2F78">
              <w:pPr>
                <w:pStyle w:val="Bibliography"/>
                <w:ind w:left="720" w:hanging="720"/>
                <w:rPr>
                  <w:noProof/>
                  <w:lang w:val="en-US"/>
                </w:rPr>
              </w:pPr>
              <w:r>
                <w:rPr>
                  <w:noProof/>
                  <w:lang w:val="en-US"/>
                </w:rPr>
                <w:t xml:space="preserve">W. A. McDevitte, W. S. (1869). </w:t>
              </w:r>
              <w:r>
                <w:rPr>
                  <w:i/>
                  <w:iCs/>
                  <w:noProof/>
                  <w:lang w:val="en-US"/>
                </w:rPr>
                <w:t>Caesar's Gallic War.</w:t>
              </w:r>
              <w:r>
                <w:rPr>
                  <w:noProof/>
                  <w:lang w:val="en-US"/>
                </w:rPr>
                <w:t xml:space="preserve"> New York: Harper's New Classical Library.</w:t>
              </w:r>
            </w:p>
            <w:p w14:paraId="07181D54" w14:textId="27639EA7" w:rsidR="00CF2F78" w:rsidRPr="00461959" w:rsidRDefault="00CF2F78" w:rsidP="00461959">
              <w:r>
                <w:rPr>
                  <w:b/>
                  <w:bCs/>
                  <w:noProof/>
                </w:rPr>
                <w:fldChar w:fldCharType="end"/>
              </w:r>
            </w:p>
          </w:sdtContent>
        </w:sdt>
      </w:sdtContent>
    </w:sdt>
    <w:p w14:paraId="1570B1CA" w14:textId="77777777" w:rsidR="008309EC" w:rsidRPr="008309EC" w:rsidRDefault="008309EC" w:rsidP="008309EC">
      <w:pPr>
        <w:rPr>
          <w:rFonts w:ascii="Times New Roman" w:hAnsi="Times New Roman" w:cs="Times New Roman"/>
          <w:sz w:val="24"/>
          <w:szCs w:val="24"/>
        </w:rPr>
      </w:pPr>
    </w:p>
    <w:p w14:paraId="73F5413E" w14:textId="77777777" w:rsidR="008309EC" w:rsidRPr="008309EC" w:rsidRDefault="008309EC" w:rsidP="008309EC">
      <w:pPr>
        <w:rPr>
          <w:rFonts w:ascii="Times New Roman" w:hAnsi="Times New Roman" w:cs="Times New Roman"/>
          <w:sz w:val="24"/>
          <w:szCs w:val="24"/>
        </w:rPr>
      </w:pPr>
      <w:bookmarkStart w:id="0" w:name="_GoBack"/>
      <w:bookmarkEnd w:id="0"/>
    </w:p>
    <w:p w14:paraId="51FD333E" w14:textId="22D4E52E" w:rsidR="008309EC" w:rsidRDefault="008309EC" w:rsidP="008309EC">
      <w:pPr>
        <w:rPr>
          <w:rFonts w:ascii="Times New Roman" w:hAnsi="Times New Roman" w:cs="Times New Roman"/>
          <w:sz w:val="24"/>
          <w:szCs w:val="24"/>
        </w:rPr>
      </w:pPr>
    </w:p>
    <w:p w14:paraId="5C68E0B6" w14:textId="3E819F80" w:rsidR="003D6473" w:rsidRPr="008309EC" w:rsidRDefault="008309EC" w:rsidP="008309EC">
      <w:pPr>
        <w:tabs>
          <w:tab w:val="left" w:pos="7455"/>
        </w:tabs>
        <w:rPr>
          <w:rFonts w:ascii="Times New Roman" w:hAnsi="Times New Roman" w:cs="Times New Roman"/>
          <w:sz w:val="24"/>
          <w:szCs w:val="24"/>
        </w:rPr>
      </w:pPr>
      <w:r>
        <w:rPr>
          <w:rFonts w:ascii="Times New Roman" w:hAnsi="Times New Roman" w:cs="Times New Roman"/>
          <w:sz w:val="24"/>
          <w:szCs w:val="24"/>
        </w:rPr>
        <w:tab/>
      </w:r>
    </w:p>
    <w:sectPr w:rsidR="003D6473" w:rsidRPr="008309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54ABB4" w14:textId="77777777" w:rsidR="001B2945" w:rsidRDefault="001B2945" w:rsidP="007146D3">
      <w:pPr>
        <w:spacing w:after="0" w:line="240" w:lineRule="auto"/>
      </w:pPr>
      <w:r>
        <w:separator/>
      </w:r>
    </w:p>
  </w:endnote>
  <w:endnote w:type="continuationSeparator" w:id="0">
    <w:p w14:paraId="7EB888B3" w14:textId="77777777" w:rsidR="001B2945" w:rsidRDefault="001B2945" w:rsidP="00714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75A2D" w14:textId="77777777" w:rsidR="001B2945" w:rsidRDefault="001B2945" w:rsidP="007146D3">
      <w:pPr>
        <w:spacing w:after="0" w:line="240" w:lineRule="auto"/>
      </w:pPr>
      <w:r>
        <w:separator/>
      </w:r>
    </w:p>
  </w:footnote>
  <w:footnote w:type="continuationSeparator" w:id="0">
    <w:p w14:paraId="30D760A9" w14:textId="77777777" w:rsidR="001B2945" w:rsidRDefault="001B2945" w:rsidP="007146D3">
      <w:pPr>
        <w:spacing w:after="0" w:line="240" w:lineRule="auto"/>
      </w:pPr>
      <w:r>
        <w:continuationSeparator/>
      </w:r>
    </w:p>
  </w:footnote>
  <w:footnote w:id="1">
    <w:p w14:paraId="769251F6" w14:textId="4AB68FEC" w:rsidR="007146D3" w:rsidRDefault="007146D3">
      <w:pPr>
        <w:pStyle w:val="FootnoteText"/>
      </w:pPr>
      <w:r>
        <w:rPr>
          <w:rStyle w:val="FootnoteReference"/>
        </w:rPr>
        <w:footnoteRef/>
      </w:r>
      <w:r>
        <w:t xml:space="preserve"> </w:t>
      </w:r>
      <w:r w:rsidRPr="007146D3">
        <w:t xml:space="preserve">C. Julius Caesar. Caesar's Gallic War. Translator. W. A. </w:t>
      </w:r>
      <w:proofErr w:type="spellStart"/>
      <w:r w:rsidRPr="007146D3">
        <w:t>McDevitte</w:t>
      </w:r>
      <w:proofErr w:type="spellEnd"/>
      <w:r w:rsidRPr="007146D3">
        <w:t>. Translator. W. S. Bohn. 1st Edition. New York. Harper &amp; Brothers. 1869. Harper's New Classical Library.</w:t>
      </w:r>
    </w:p>
  </w:footnote>
  <w:footnote w:id="2">
    <w:p w14:paraId="674A47F7" w14:textId="1AB20B6B" w:rsidR="004E1D29" w:rsidRPr="00C94160" w:rsidRDefault="004E1D29">
      <w:pPr>
        <w:pStyle w:val="FootnoteText"/>
      </w:pPr>
      <w:r>
        <w:rPr>
          <w:rStyle w:val="FootnoteReference"/>
        </w:rPr>
        <w:footnoteRef/>
      </w:r>
      <w:r>
        <w:t xml:space="preserve"> </w:t>
      </w:r>
      <w:r w:rsidR="00C94160">
        <w:t xml:space="preserve">Daphne Nash, ‘Reconstructing </w:t>
      </w:r>
      <w:proofErr w:type="spellStart"/>
      <w:r w:rsidR="00C94160">
        <w:t>Poseidonios</w:t>
      </w:r>
      <w:proofErr w:type="spellEnd"/>
      <w:r w:rsidR="00C94160">
        <w:t xml:space="preserve">’ Celtic Ethnography: Some Considerations’, </w:t>
      </w:r>
      <w:r w:rsidR="00C94160">
        <w:rPr>
          <w:i/>
        </w:rPr>
        <w:t xml:space="preserve">Britannia, </w:t>
      </w:r>
      <w:r w:rsidR="00C94160">
        <w:t>7 (1976), 111-126 (p.118).</w:t>
      </w:r>
    </w:p>
  </w:footnote>
  <w:footnote w:id="3">
    <w:p w14:paraId="69E782D8" w14:textId="3358AD9C" w:rsidR="00BB7153" w:rsidRDefault="00BB7153">
      <w:pPr>
        <w:pStyle w:val="FootnoteText"/>
      </w:pPr>
      <w:r>
        <w:rPr>
          <w:rStyle w:val="FootnoteReference"/>
        </w:rPr>
        <w:footnoteRef/>
      </w:r>
      <w:r>
        <w:t xml:space="preserve"> Strabo 4.4.5.</w:t>
      </w:r>
    </w:p>
  </w:footnote>
  <w:footnote w:id="4">
    <w:p w14:paraId="29B1690F" w14:textId="608486F8" w:rsidR="003E2975" w:rsidRPr="003E2975" w:rsidRDefault="003E2975">
      <w:pPr>
        <w:pStyle w:val="FootnoteText"/>
      </w:pPr>
      <w:r>
        <w:rPr>
          <w:rStyle w:val="FootnoteReference"/>
        </w:rPr>
        <w:footnoteRef/>
      </w:r>
      <w:r>
        <w:t xml:space="preserve"> Francois </w:t>
      </w:r>
      <w:proofErr w:type="spellStart"/>
      <w:r>
        <w:t>Lasserre</w:t>
      </w:r>
      <w:proofErr w:type="spellEnd"/>
      <w:r>
        <w:t xml:space="preserve">, </w:t>
      </w:r>
      <w:r>
        <w:rPr>
          <w:i/>
        </w:rPr>
        <w:t xml:space="preserve">Encyclopaedia Britannica, </w:t>
      </w:r>
      <w:r>
        <w:t xml:space="preserve">1998, </w:t>
      </w:r>
      <w:r>
        <w:rPr>
          <w:i/>
        </w:rPr>
        <w:t xml:space="preserve"> </w:t>
      </w:r>
      <w:hyperlink r:id="rId1" w:history="1">
        <w:r w:rsidRPr="004005A1">
          <w:rPr>
            <w:rStyle w:val="Hyperlink"/>
            <w:i/>
          </w:rPr>
          <w:t>https://www.britannica.com/biography/Strabo#accordion-article-history</w:t>
        </w:r>
      </w:hyperlink>
      <w:r>
        <w:rPr>
          <w:i/>
        </w:rPr>
        <w:t xml:space="preserve"> </w:t>
      </w:r>
      <w:r>
        <w:t>[Accessed 23</w:t>
      </w:r>
      <w:r w:rsidRPr="003E2975">
        <w:rPr>
          <w:vertAlign w:val="superscript"/>
        </w:rPr>
        <w:t>rd</w:t>
      </w:r>
      <w:r>
        <w:t xml:space="preserve"> September 2018].</w:t>
      </w:r>
    </w:p>
  </w:footnote>
  <w:footnote w:id="5">
    <w:p w14:paraId="45F2298A" w14:textId="3253C965" w:rsidR="0045183A" w:rsidRDefault="0045183A">
      <w:pPr>
        <w:pStyle w:val="FootnoteText"/>
      </w:pPr>
      <w:r>
        <w:rPr>
          <w:rStyle w:val="FootnoteReference"/>
        </w:rPr>
        <w:footnoteRef/>
      </w:r>
      <w:r>
        <w:t xml:space="preserve"> Strabo 4.4.5.</w:t>
      </w:r>
    </w:p>
  </w:footnote>
  <w:footnote w:id="6">
    <w:p w14:paraId="4102DE1E" w14:textId="609E8941" w:rsidR="00471695" w:rsidRDefault="00471695">
      <w:pPr>
        <w:pStyle w:val="FootnoteText"/>
      </w:pPr>
      <w:r>
        <w:rPr>
          <w:rStyle w:val="FootnoteReference"/>
        </w:rPr>
        <w:footnoteRef/>
      </w:r>
      <w:r>
        <w:t xml:space="preserve"> Strabo 4.4.5, “common however with many nations of the north”.</w:t>
      </w:r>
    </w:p>
  </w:footnote>
  <w:footnote w:id="7">
    <w:p w14:paraId="577FE382" w14:textId="75973B8A" w:rsidR="00D2794C" w:rsidRDefault="00D2794C">
      <w:pPr>
        <w:pStyle w:val="FootnoteText"/>
      </w:pPr>
      <w:r>
        <w:rPr>
          <w:rStyle w:val="FootnoteReference"/>
        </w:rPr>
        <w:footnoteRef/>
      </w:r>
      <w:r>
        <w:t xml:space="preserve"> Strabo 4.4.5, “</w:t>
      </w:r>
      <w:proofErr w:type="spellStart"/>
      <w:r>
        <w:t>Posidonius</w:t>
      </w:r>
      <w:proofErr w:type="spellEnd"/>
      <w:r>
        <w:t xml:space="preserve"> says he witnessed this in many different places, and was at first shocked, but became familiar with it in time on account of its frequency”.</w:t>
      </w:r>
    </w:p>
  </w:footnote>
  <w:footnote w:id="8">
    <w:p w14:paraId="14AAC923" w14:textId="6747684E" w:rsidR="009C67C1" w:rsidRDefault="009C67C1">
      <w:pPr>
        <w:pStyle w:val="FootnoteText"/>
      </w:pPr>
      <w:r>
        <w:rPr>
          <w:rStyle w:val="FootnoteReference"/>
        </w:rPr>
        <w:footnoteRef/>
      </w:r>
      <w:r>
        <w:t xml:space="preserve"> The Editors of Encyclopaedia Britannica, </w:t>
      </w:r>
      <w:r>
        <w:rPr>
          <w:i/>
        </w:rPr>
        <w:t xml:space="preserve">Encyclopaedia </w:t>
      </w:r>
      <w:proofErr w:type="spellStart"/>
      <w:r>
        <w:rPr>
          <w:i/>
        </w:rPr>
        <w:t>Brittannica</w:t>
      </w:r>
      <w:proofErr w:type="spellEnd"/>
      <w:r>
        <w:rPr>
          <w:i/>
        </w:rPr>
        <w:t xml:space="preserve">, </w:t>
      </w:r>
      <w:r w:rsidR="00EA72A6">
        <w:t xml:space="preserve">1998, </w:t>
      </w:r>
      <w:r w:rsidR="00EA72A6">
        <w:rPr>
          <w:i/>
        </w:rPr>
        <w:t xml:space="preserve"> </w:t>
      </w:r>
      <w:hyperlink r:id="rId2" w:history="1">
        <w:r w:rsidRPr="004005A1">
          <w:rPr>
            <w:rStyle w:val="Hyperlink"/>
          </w:rPr>
          <w:t>https://www.britannica.com/biography/Poseidonius</w:t>
        </w:r>
      </w:hyperlink>
      <w:r>
        <w:t xml:space="preserve"> [Accessed 23rd September 2018]. </w:t>
      </w:r>
    </w:p>
  </w:footnote>
  <w:footnote w:id="9">
    <w:p w14:paraId="77D9FADC" w14:textId="51C1BE0D" w:rsidR="00593D0A" w:rsidRDefault="00593D0A">
      <w:pPr>
        <w:pStyle w:val="FootnoteText"/>
      </w:pPr>
      <w:r>
        <w:rPr>
          <w:rStyle w:val="FootnoteReference"/>
        </w:rPr>
        <w:footnoteRef/>
      </w:r>
      <w:r>
        <w:t xml:space="preserve"> Strabo 4.4.5, </w:t>
      </w:r>
      <w:proofErr w:type="gramStart"/>
      <w:r>
        <w:t>“ which</w:t>
      </w:r>
      <w:proofErr w:type="gramEnd"/>
      <w:r>
        <w:t xml:space="preserve"> were quite opposite to those sanctioned by our laws”.</w:t>
      </w:r>
    </w:p>
  </w:footnote>
  <w:footnote w:id="10">
    <w:p w14:paraId="6C79FB42" w14:textId="07E857AB" w:rsidR="00417DD9" w:rsidRPr="008309EC" w:rsidRDefault="00417DD9">
      <w:pPr>
        <w:pStyle w:val="FootnoteText"/>
      </w:pPr>
      <w:r>
        <w:rPr>
          <w:rStyle w:val="FootnoteReference"/>
        </w:rPr>
        <w:footnoteRef/>
      </w:r>
      <w:r>
        <w:t xml:space="preserve"> Celia E. Schultz, ‘The Romans and Ritual Murder’, </w:t>
      </w:r>
      <w:r w:rsidR="008309EC">
        <w:rPr>
          <w:i/>
        </w:rPr>
        <w:t xml:space="preserve">Journal of the American Academy of Religion, </w:t>
      </w:r>
      <w:r w:rsidR="008309EC">
        <w:t>78(2) (2010), 516-541 (p.530-531).</w:t>
      </w:r>
    </w:p>
  </w:footnote>
  <w:footnote w:id="11">
    <w:p w14:paraId="44759799" w14:textId="683D1E7B" w:rsidR="00F06CF5" w:rsidRDefault="00F06CF5">
      <w:pPr>
        <w:pStyle w:val="FootnoteText"/>
      </w:pPr>
      <w:r>
        <w:rPr>
          <w:rStyle w:val="FootnoteReference"/>
        </w:rPr>
        <w:footnoteRef/>
      </w:r>
      <w:r>
        <w:t xml:space="preserve"> Celia E. Schultz, ‘The Romans and Ritual Murder’, p.531.</w:t>
      </w:r>
    </w:p>
  </w:footnote>
  <w:footnote w:id="12">
    <w:p w14:paraId="519C1967" w14:textId="0604F60F" w:rsidR="00194D34" w:rsidRDefault="00194D34">
      <w:pPr>
        <w:pStyle w:val="FootnoteText"/>
      </w:pPr>
      <w:r>
        <w:rPr>
          <w:rStyle w:val="FootnoteReference"/>
        </w:rPr>
        <w:footnoteRef/>
      </w:r>
      <w:r>
        <w:t xml:space="preserve"> Celia E. Schultz, “Ritual Murder is the killing of a human being for religious purposes, repeated in specific circumstances in a prescribed fashion that marks it off from profane killing”. p.518.</w:t>
      </w:r>
    </w:p>
  </w:footnote>
  <w:footnote w:id="13">
    <w:p w14:paraId="2116BA63" w14:textId="0D8716D0" w:rsidR="00194D34" w:rsidRDefault="00194D34">
      <w:pPr>
        <w:pStyle w:val="FootnoteText"/>
      </w:pPr>
      <w:r>
        <w:rPr>
          <w:rStyle w:val="FootnoteReference"/>
        </w:rPr>
        <w:footnoteRef/>
      </w:r>
      <w:r>
        <w:t xml:space="preserve"> Celia E. Schultz, “peace of the gods”. p.529.</w:t>
      </w:r>
    </w:p>
  </w:footnote>
  <w:footnote w:id="14">
    <w:p w14:paraId="28513538" w14:textId="32F7479F" w:rsidR="00EA72A6" w:rsidRDefault="00EA72A6">
      <w:pPr>
        <w:pStyle w:val="FootnoteText"/>
      </w:pPr>
      <w:r>
        <w:rPr>
          <w:rStyle w:val="FootnoteReference"/>
        </w:rPr>
        <w:footnoteRef/>
      </w:r>
      <w:r>
        <w:t xml:space="preserve"> Celia E. Schultz, p.527.</w:t>
      </w:r>
    </w:p>
  </w:footnote>
  <w:footnote w:id="15">
    <w:p w14:paraId="572D6E2F" w14:textId="0BD47F37" w:rsidR="00185738" w:rsidRDefault="00185738">
      <w:pPr>
        <w:pStyle w:val="FootnoteText"/>
      </w:pPr>
      <w:r>
        <w:rPr>
          <w:rStyle w:val="FootnoteReference"/>
        </w:rPr>
        <w:footnoteRef/>
      </w:r>
      <w:r>
        <w:t xml:space="preserve"> Caesar BG 6.16.</w:t>
      </w:r>
    </w:p>
  </w:footnote>
  <w:footnote w:id="16">
    <w:p w14:paraId="7A8088E3" w14:textId="62504AEF" w:rsidR="00DD16A6" w:rsidRDefault="00DD16A6">
      <w:pPr>
        <w:pStyle w:val="FootnoteText"/>
      </w:pPr>
      <w:r>
        <w:rPr>
          <w:rStyle w:val="FootnoteReference"/>
        </w:rPr>
        <w:footnoteRef/>
      </w:r>
      <w:r>
        <w:t xml:space="preserve"> </w:t>
      </w:r>
      <w:proofErr w:type="spellStart"/>
      <w:r>
        <w:t>Diodorus</w:t>
      </w:r>
      <w:proofErr w:type="spellEnd"/>
      <w:r>
        <w:t xml:space="preserve"> Siculus 5. 31.1.</w:t>
      </w:r>
    </w:p>
  </w:footnote>
  <w:footnote w:id="17">
    <w:p w14:paraId="44DF48CB" w14:textId="760CE749" w:rsidR="00DD16A6" w:rsidRDefault="00DD16A6">
      <w:pPr>
        <w:pStyle w:val="FootnoteText"/>
      </w:pPr>
      <w:r>
        <w:rPr>
          <w:rStyle w:val="FootnoteReference"/>
        </w:rPr>
        <w:footnoteRef/>
      </w:r>
      <w:r>
        <w:t xml:space="preserve"> Strabo 4.4.5.</w:t>
      </w:r>
    </w:p>
  </w:footnote>
  <w:footnote w:id="18">
    <w:p w14:paraId="128AC4C8" w14:textId="74E8529A" w:rsidR="00422F7B" w:rsidRDefault="00422F7B">
      <w:pPr>
        <w:pStyle w:val="FootnoteText"/>
      </w:pPr>
      <w:r>
        <w:rPr>
          <w:rStyle w:val="FootnoteReference"/>
        </w:rPr>
        <w:footnoteRef/>
      </w:r>
      <w:r>
        <w:t xml:space="preserve"> Strabo 4.4.5, “suspending the heads of their enemies from their horses’ neck on their return from battle, and when they have arrived nailing them as a spectacle to their gates”.</w:t>
      </w:r>
    </w:p>
  </w:footnote>
  <w:footnote w:id="19">
    <w:p w14:paraId="2D492E94" w14:textId="2D0218F7" w:rsidR="000C5AED" w:rsidRPr="000C5AED" w:rsidRDefault="000C5AED">
      <w:pPr>
        <w:pStyle w:val="FootnoteText"/>
      </w:pPr>
      <w:r>
        <w:rPr>
          <w:rStyle w:val="FootnoteReference"/>
        </w:rPr>
        <w:footnoteRef/>
      </w:r>
      <w:r>
        <w:t xml:space="preserve"> Ward Rutherford, </w:t>
      </w:r>
      <w:r>
        <w:rPr>
          <w:i/>
        </w:rPr>
        <w:t xml:space="preserve">Celtic Lore, </w:t>
      </w:r>
      <w:r>
        <w:t xml:space="preserve">(London: </w:t>
      </w:r>
      <w:proofErr w:type="spellStart"/>
      <w:r>
        <w:t>Thorsons</w:t>
      </w:r>
      <w:proofErr w:type="spellEnd"/>
      <w:r>
        <w:t>, 1993) p.87.</w:t>
      </w:r>
    </w:p>
  </w:footnote>
  <w:footnote w:id="20">
    <w:p w14:paraId="4C3FDCE1" w14:textId="3963DD65" w:rsidR="007B7A3F" w:rsidRPr="007B7A3F" w:rsidRDefault="007B7A3F">
      <w:pPr>
        <w:pStyle w:val="FootnoteText"/>
      </w:pPr>
      <w:r>
        <w:rPr>
          <w:rStyle w:val="FootnoteReference"/>
        </w:rPr>
        <w:footnoteRef/>
      </w:r>
      <w:r>
        <w:t xml:space="preserve"> Sabine Heinz, </w:t>
      </w:r>
      <w:r>
        <w:rPr>
          <w:i/>
        </w:rPr>
        <w:t xml:space="preserve">Symbols of the Celts, </w:t>
      </w:r>
      <w:r>
        <w:t>(New York: 1999) p.269.</w:t>
      </w:r>
    </w:p>
  </w:footnote>
  <w:footnote w:id="21">
    <w:p w14:paraId="6774CC97" w14:textId="7032AC88" w:rsidR="001B267D" w:rsidRPr="001B267D" w:rsidRDefault="001B267D">
      <w:pPr>
        <w:pStyle w:val="FootnoteText"/>
      </w:pPr>
      <w:r>
        <w:rPr>
          <w:rStyle w:val="FootnoteReference"/>
        </w:rPr>
        <w:footnoteRef/>
      </w:r>
      <w:r>
        <w:rPr>
          <w:rStyle w:val="FootnoteReference"/>
        </w:rPr>
        <w:footnoteRef/>
      </w:r>
      <w:r>
        <w:t xml:space="preserve"> Barry Cunliffe, </w:t>
      </w:r>
      <w:r>
        <w:rPr>
          <w:i/>
        </w:rPr>
        <w:t xml:space="preserve">The Celtic World, </w:t>
      </w:r>
      <w:r>
        <w:t>(Singapore: BCA, 1992) p. 82.</w:t>
      </w:r>
    </w:p>
  </w:footnote>
  <w:footnote w:id="22">
    <w:p w14:paraId="0109C6F2" w14:textId="194E07A3" w:rsidR="0048527C" w:rsidRPr="0048527C" w:rsidRDefault="0048527C">
      <w:pPr>
        <w:pStyle w:val="FootnoteText"/>
      </w:pPr>
      <w:r>
        <w:rPr>
          <w:rStyle w:val="FootnoteReference"/>
        </w:rPr>
        <w:footnoteRef/>
      </w:r>
      <w:r>
        <w:t xml:space="preserve"> Ward Rutherford, </w:t>
      </w:r>
      <w:r>
        <w:rPr>
          <w:i/>
        </w:rPr>
        <w:t xml:space="preserve">Celtic Lore, </w:t>
      </w:r>
      <w:r>
        <w:t>p.88.</w:t>
      </w:r>
    </w:p>
  </w:footnote>
  <w:footnote w:id="23">
    <w:p w14:paraId="5A177011" w14:textId="62F5C5ED" w:rsidR="004C1B9C" w:rsidRPr="004C1B9C" w:rsidRDefault="004C1B9C">
      <w:pPr>
        <w:pStyle w:val="FootnoteText"/>
      </w:pPr>
      <w:r>
        <w:rPr>
          <w:rStyle w:val="FootnoteReference"/>
        </w:rPr>
        <w:footnoteRef/>
      </w:r>
      <w:r>
        <w:t xml:space="preserve"> Barry Cunliffe, </w:t>
      </w:r>
      <w:r>
        <w:rPr>
          <w:i/>
        </w:rPr>
        <w:t xml:space="preserve">The Celtic World, </w:t>
      </w:r>
      <w:r>
        <w:t>p. 84-86.</w:t>
      </w:r>
    </w:p>
  </w:footnote>
  <w:footnote w:id="24">
    <w:p w14:paraId="18B62FF1" w14:textId="255D15DD" w:rsidR="00FF1B5E" w:rsidRDefault="00FF1B5E">
      <w:pPr>
        <w:pStyle w:val="FootnoteText"/>
      </w:pPr>
      <w:r>
        <w:rPr>
          <w:rStyle w:val="FootnoteReference"/>
        </w:rPr>
        <w:footnoteRef/>
      </w:r>
      <w:r>
        <w:t xml:space="preserve"> Strabo 4.4.5, “The heads of illustrious persons they embalm with cedar, exhibit them to strangers, and would not sell them for their weight in gold”. </w:t>
      </w:r>
    </w:p>
  </w:footnote>
  <w:footnote w:id="25">
    <w:p w14:paraId="7525CAFB" w14:textId="104C4A95" w:rsidR="00FF1B5E" w:rsidRPr="00FF1B5E" w:rsidRDefault="00FF1B5E">
      <w:pPr>
        <w:pStyle w:val="FootnoteText"/>
      </w:pPr>
      <w:r>
        <w:rPr>
          <w:rStyle w:val="FootnoteReference"/>
        </w:rPr>
        <w:footnoteRef/>
      </w:r>
      <w:r>
        <w:t xml:space="preserve"> Barry Cunliffe, </w:t>
      </w:r>
      <w:r>
        <w:rPr>
          <w:i/>
        </w:rPr>
        <w:t xml:space="preserve">The Celtic World, </w:t>
      </w:r>
      <w:r>
        <w:t>p.83.</w:t>
      </w:r>
    </w:p>
  </w:footnote>
  <w:footnote w:id="26">
    <w:p w14:paraId="7BFDBCD1" w14:textId="2C99D48D" w:rsidR="009D6DCD" w:rsidRDefault="009D6DCD">
      <w:pPr>
        <w:pStyle w:val="FootnoteText"/>
      </w:pPr>
      <w:r>
        <w:rPr>
          <w:rStyle w:val="FootnoteReference"/>
        </w:rPr>
        <w:footnoteRef/>
      </w:r>
      <w:r>
        <w:t xml:space="preserve"> Celia E. Schultz, p.525.</w:t>
      </w:r>
    </w:p>
  </w:footnote>
  <w:footnote w:id="27">
    <w:p w14:paraId="69E2517A" w14:textId="27626241" w:rsidR="00B623A9" w:rsidRPr="00B623A9" w:rsidRDefault="00B623A9">
      <w:pPr>
        <w:pStyle w:val="FootnoteText"/>
      </w:pPr>
      <w:r>
        <w:rPr>
          <w:rStyle w:val="FootnoteReference"/>
        </w:rPr>
        <w:footnoteRef/>
      </w:r>
      <w:r>
        <w:t xml:space="preserve"> Anne Ross, </w:t>
      </w:r>
      <w:r>
        <w:rPr>
          <w:i/>
        </w:rPr>
        <w:t xml:space="preserve">Druids </w:t>
      </w:r>
      <w:r>
        <w:t>(Gloucestershire: Tempus, 2004) p.59.</w:t>
      </w:r>
    </w:p>
  </w:footnote>
  <w:footnote w:id="28">
    <w:p w14:paraId="5CC4BF1C" w14:textId="0A663B25" w:rsidR="007833E8" w:rsidRPr="007833E8" w:rsidRDefault="007833E8">
      <w:pPr>
        <w:pStyle w:val="FootnoteText"/>
      </w:pPr>
      <w:r>
        <w:rPr>
          <w:rStyle w:val="FootnoteReference"/>
        </w:rPr>
        <w:footnoteRef/>
      </w:r>
      <w:r>
        <w:t xml:space="preserve"> Miranda J. Green, </w:t>
      </w:r>
      <w:r>
        <w:rPr>
          <w:i/>
        </w:rPr>
        <w:t>The Celtic World</w:t>
      </w:r>
      <w:r>
        <w:t xml:space="preserve"> (London: Routledge, 1995) p.457-458.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6B2"/>
    <w:rsid w:val="0002732A"/>
    <w:rsid w:val="00055A8F"/>
    <w:rsid w:val="00094197"/>
    <w:rsid w:val="000C1EE2"/>
    <w:rsid w:val="000C5AED"/>
    <w:rsid w:val="000C6C0A"/>
    <w:rsid w:val="000E5FCA"/>
    <w:rsid w:val="00185738"/>
    <w:rsid w:val="00194D34"/>
    <w:rsid w:val="001B267D"/>
    <w:rsid w:val="001B2945"/>
    <w:rsid w:val="001D2DA3"/>
    <w:rsid w:val="001D5BFC"/>
    <w:rsid w:val="001E1032"/>
    <w:rsid w:val="00215C81"/>
    <w:rsid w:val="00224282"/>
    <w:rsid w:val="00261092"/>
    <w:rsid w:val="002A6ED6"/>
    <w:rsid w:val="002D59D1"/>
    <w:rsid w:val="003426B2"/>
    <w:rsid w:val="003D6473"/>
    <w:rsid w:val="003E2975"/>
    <w:rsid w:val="003F22D7"/>
    <w:rsid w:val="00417DD9"/>
    <w:rsid w:val="00422F7B"/>
    <w:rsid w:val="0045183A"/>
    <w:rsid w:val="00461959"/>
    <w:rsid w:val="00471695"/>
    <w:rsid w:val="0048527C"/>
    <w:rsid w:val="004A4811"/>
    <w:rsid w:val="004C1B9C"/>
    <w:rsid w:val="004E1D29"/>
    <w:rsid w:val="00543CEC"/>
    <w:rsid w:val="00593D0A"/>
    <w:rsid w:val="005C585C"/>
    <w:rsid w:val="00604800"/>
    <w:rsid w:val="006F1990"/>
    <w:rsid w:val="00704DD2"/>
    <w:rsid w:val="007146D3"/>
    <w:rsid w:val="007833E8"/>
    <w:rsid w:val="007926D4"/>
    <w:rsid w:val="007B0130"/>
    <w:rsid w:val="007B7A3F"/>
    <w:rsid w:val="007E04FD"/>
    <w:rsid w:val="007E54EA"/>
    <w:rsid w:val="00812704"/>
    <w:rsid w:val="008309EC"/>
    <w:rsid w:val="00856CA0"/>
    <w:rsid w:val="008D0DB7"/>
    <w:rsid w:val="008D1D8D"/>
    <w:rsid w:val="00903EDF"/>
    <w:rsid w:val="009C67C1"/>
    <w:rsid w:val="009D5872"/>
    <w:rsid w:val="009D6DCD"/>
    <w:rsid w:val="00AC35A7"/>
    <w:rsid w:val="00AC5F4D"/>
    <w:rsid w:val="00AD64C5"/>
    <w:rsid w:val="00B623A9"/>
    <w:rsid w:val="00BB7153"/>
    <w:rsid w:val="00C50141"/>
    <w:rsid w:val="00C94160"/>
    <w:rsid w:val="00CF2F78"/>
    <w:rsid w:val="00D2794C"/>
    <w:rsid w:val="00D6209D"/>
    <w:rsid w:val="00DA29AF"/>
    <w:rsid w:val="00DB5734"/>
    <w:rsid w:val="00DD16A6"/>
    <w:rsid w:val="00E63554"/>
    <w:rsid w:val="00EA5364"/>
    <w:rsid w:val="00EA72A6"/>
    <w:rsid w:val="00F06CF5"/>
    <w:rsid w:val="00F501FA"/>
    <w:rsid w:val="00F927AF"/>
    <w:rsid w:val="00FF1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80334"/>
  <w15:chartTrackingRefBased/>
  <w15:docId w15:val="{26EAF17B-E381-4C9A-B9D3-7AB8BCC40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F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146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46D3"/>
    <w:rPr>
      <w:sz w:val="20"/>
      <w:szCs w:val="20"/>
    </w:rPr>
  </w:style>
  <w:style w:type="character" w:styleId="FootnoteReference">
    <w:name w:val="footnote reference"/>
    <w:basedOn w:val="DefaultParagraphFont"/>
    <w:uiPriority w:val="99"/>
    <w:semiHidden/>
    <w:unhideWhenUsed/>
    <w:rsid w:val="007146D3"/>
    <w:rPr>
      <w:vertAlign w:val="superscript"/>
    </w:rPr>
  </w:style>
  <w:style w:type="character" w:styleId="Hyperlink">
    <w:name w:val="Hyperlink"/>
    <w:basedOn w:val="DefaultParagraphFont"/>
    <w:uiPriority w:val="99"/>
    <w:unhideWhenUsed/>
    <w:rsid w:val="003E2975"/>
    <w:rPr>
      <w:color w:val="0563C1" w:themeColor="hyperlink"/>
      <w:u w:val="single"/>
    </w:rPr>
  </w:style>
  <w:style w:type="character" w:styleId="UnresolvedMention">
    <w:name w:val="Unresolved Mention"/>
    <w:basedOn w:val="DefaultParagraphFont"/>
    <w:uiPriority w:val="99"/>
    <w:semiHidden/>
    <w:unhideWhenUsed/>
    <w:rsid w:val="003E2975"/>
    <w:rPr>
      <w:color w:val="605E5C"/>
      <w:shd w:val="clear" w:color="auto" w:fill="E1DFDD"/>
    </w:rPr>
  </w:style>
  <w:style w:type="character" w:customStyle="1" w:styleId="Heading1Char">
    <w:name w:val="Heading 1 Char"/>
    <w:basedOn w:val="DefaultParagraphFont"/>
    <w:link w:val="Heading1"/>
    <w:uiPriority w:val="9"/>
    <w:rsid w:val="00CF2F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F2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43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biography/Poseidonius" TargetMode="External"/><Relationship Id="rId1" Type="http://schemas.openxmlformats.org/officeDocument/2006/relationships/hyperlink" Target="https://www.britannica.com/biography/Strabo#accordion-article-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Cel10</b:Tag>
    <b:SourceType>JournalArticle</b:SourceType>
    <b:Guid>{55FF9046-614B-4EBC-A493-6E0BD50D2904}</b:Guid>
    <b:Author>
      <b:Author>
        <b:NameList>
          <b:Person>
            <b:Last>Schultz</b:Last>
            <b:First>Celia</b:First>
            <b:Middle>E.</b:Middle>
          </b:Person>
        </b:NameList>
      </b:Author>
    </b:Author>
    <b:Title>The Romans and Ritual Murder</b:Title>
    <b:JournalName>Journal of the American Academy of Religion</b:JournalName>
    <b:Year>2010</b:Year>
    <b:Pages>25</b:Pages>
    <b:RefOrder>1</b:RefOrder>
  </b:Source>
  <b:Source>
    <b:Tag>Mir95</b:Tag>
    <b:SourceType>Book</b:SourceType>
    <b:Guid>{7E5EE662-EF7A-45CA-94B4-3F8D70C369DB}</b:Guid>
    <b:Title>The Celtic World</b:Title>
    <b:Year>1995</b:Year>
    <b:Author>
      <b:Author>
        <b:NameList>
          <b:Person>
            <b:Last>Green</b:Last>
            <b:First>Miranda</b:First>
            <b:Middle>J.</b:Middle>
          </b:Person>
        </b:NameList>
      </b:Author>
    </b:Author>
    <b:City>London</b:City>
    <b:Publisher>Routledge</b:Publisher>
    <b:RefOrder>2</b:RefOrder>
  </b:Source>
  <b:Source>
    <b:Tag>Ann04</b:Tag>
    <b:SourceType>Book</b:SourceType>
    <b:Guid>{29BBF728-A9AB-44D8-AB29-3A4C9263BCCF}</b:Guid>
    <b:Author>
      <b:Author>
        <b:NameList>
          <b:Person>
            <b:Last>Ross</b:Last>
            <b:First>Anne</b:First>
          </b:Person>
        </b:NameList>
      </b:Author>
    </b:Author>
    <b:Title>Druids: Preachers of Immortality</b:Title>
    <b:Year>2004</b:Year>
    <b:City>Gloucestershire</b:City>
    <b:Publisher>Tempus</b:Publisher>
    <b:RefOrder>3</b:RefOrder>
  </b:Source>
  <b:Source>
    <b:Tag>Sab97</b:Tag>
    <b:SourceType>Book</b:SourceType>
    <b:Guid>{98FCA1E4-82C9-413B-9BA9-20B45A304505}</b:Guid>
    <b:Author>
      <b:Author>
        <b:NameList>
          <b:Person>
            <b:Last>Heinz</b:Last>
            <b:First>Sabine</b:First>
          </b:Person>
        </b:NameList>
      </b:Author>
    </b:Author>
    <b:Title>Symols of the Celts</b:Title>
    <b:Year>1997</b:Year>
    <b:City>New York</b:City>
    <b:Publisher>Sterling Publishing Co., Inc.</b:Publisher>
    <b:RefOrder>4</b:RefOrder>
  </b:Source>
  <b:Source>
    <b:Tag>Mir92</b:Tag>
    <b:SourceType>Book</b:SourceType>
    <b:Guid>{36980187-B83E-489D-A6E1-ACEAE4B373F3}</b:Guid>
    <b:Author>
      <b:Author>
        <b:NameList>
          <b:Person>
            <b:Last>Green</b:Last>
            <b:First>Miranda</b:First>
            <b:Middle>J.</b:Middle>
          </b:Person>
        </b:NameList>
      </b:Author>
    </b:Author>
    <b:Title>Dictionary of Celtic Myth and Legend</b:Title>
    <b:Year>1992</b:Year>
    <b:City>London</b:City>
    <b:Publisher>Thames and Hudson LTD</b:Publisher>
    <b:RefOrder>5</b:RefOrder>
  </b:Source>
  <b:Source>
    <b:Tag>Bar92</b:Tag>
    <b:SourceType>Book</b:SourceType>
    <b:Guid>{728673AB-3B19-47E9-A084-BEDE145830E9}</b:Guid>
    <b:Author>
      <b:Author>
        <b:NameList>
          <b:Person>
            <b:Last>Cunliffe</b:Last>
            <b:First>Barry</b:First>
          </b:Person>
        </b:NameList>
      </b:Author>
    </b:Author>
    <b:Title>The Celtic World</b:Title>
    <b:Year>1992</b:Year>
    <b:City>Singabore</b:City>
    <b:Publisher>BCA</b:Publisher>
    <b:RefOrder>6</b:RefOrder>
  </b:Source>
  <b:Source>
    <b:Tag>Dap76</b:Tag>
    <b:SourceType>JournalArticle</b:SourceType>
    <b:Guid>{DF40CA1C-4D06-4BDE-AA7F-CA18E0CC542E}</b:Guid>
    <b:Title>Reconstructing Poseidonios' Celtic Ethnography: Some Considerations</b:Title>
    <b:Year>1976</b:Year>
    <b:Pages>15</b:Pages>
    <b:Author>
      <b:Author>
        <b:NameList>
          <b:Person>
            <b:Last>Nash</b:Last>
            <b:First>Daphne</b:First>
          </b:Person>
        </b:NameList>
      </b:Author>
    </b:Author>
    <b:JournalName>Britannia</b:JournalName>
    <b:RefOrder>7</b:RefOrder>
  </b:Source>
  <b:Source>
    <b:Tag>Gru12</b:Tag>
    <b:SourceType>Book</b:SourceType>
    <b:Guid>{37958B8D-D498-4065-8137-C53D8239E3DA}</b:Guid>
    <b:Title>Rethinking the Other in Antiquity</b:Title>
    <b:Year>2012</b:Year>
    <b:Author>
      <b:Author>
        <b:NameList>
          <b:Person>
            <b:Last>Gruen</b:Last>
            <b:First>Erich</b:First>
            <b:Middle>S.</b:Middle>
          </b:Person>
        </b:NameList>
      </b:Author>
    </b:Author>
    <b:Publisher>Princeton University Press</b:Publisher>
    <b:RefOrder>8</b:RefOrder>
  </b:Source>
  <b:Source>
    <b:Tag>WAM69</b:Tag>
    <b:SourceType>Book</b:SourceType>
    <b:Guid>{9A1B02A3-1121-4B43-8FE4-9CBB1CD9222B}</b:Guid>
    <b:Title>Caesar's Gallic War</b:Title>
    <b:Year>1869</b:Year>
    <b:City>New York</b:City>
    <b:Publisher>Harper's New Classical Library</b:Publisher>
    <b:Author>
      <b:Author>
        <b:NameList>
          <b:Person>
            <b:Last>W. A. McDevitte</b:Last>
            <b:First>W.</b:First>
            <b:Middle>S. Bohn</b:Middle>
          </b:Person>
        </b:NameList>
      </b:Author>
    </b:Author>
    <b:RefOrder>9</b:RefOrder>
  </b:Source>
  <b:Source>
    <b:Tag>Fra98</b:Tag>
    <b:SourceType>InternetSite</b:SourceType>
    <b:Guid>{72AACA41-71AD-4F2A-BF7E-DE91C5FC3157}</b:Guid>
    <b:Title>Strabo; Greek Geographer and Historian</b:Title>
    <b:Year>1998</b:Year>
    <b:Author>
      <b:Author>
        <b:NameList>
          <b:Person>
            <b:Last>Lasserre</b:Last>
            <b:First>Francois</b:First>
          </b:Person>
        </b:NameList>
      </b:Author>
    </b:Author>
    <b:InternetSiteTitle>Encyclopedia Britannica</b:InternetSiteTitle>
    <b:Month>July</b:Month>
    <b:Day>20th </b:Day>
    <b:URL>https://www.britannica.com/biography/Strabo#accordion-article-history</b:URL>
    <b:RefOrder>10</b:RefOrder>
  </b:Source>
  <b:Source>
    <b:Tag>The98</b:Tag>
    <b:SourceType>InternetSite</b:SourceType>
    <b:Guid>{B79CD46A-6ECE-4D61-8A6D-1222B9BDF362}</b:Guid>
    <b:Author>
      <b:Author>
        <b:NameList>
          <b:Person>
            <b:Last>Brittannica</b:Last>
            <b:First>The</b:First>
            <b:Middle>Editors of Encyclopaedia</b:Middle>
          </b:Person>
        </b:NameList>
      </b:Author>
    </b:Author>
    <b:Title>Posidonius: Greek Philosopher</b:Title>
    <b:InternetSiteTitle>Encyclopaedia Brittannica</b:InternetSiteTitle>
    <b:Year>1998</b:Year>
    <b:Month>July</b:Month>
    <b:Day>20th </b:Day>
    <b:URL>https://www.britannica.com/biography/Poseidonius</b:URL>
    <b:RefOrder>11</b:RefOrder>
  </b:Source>
  <b:Source>
    <b:Tag>Str</b:Tag>
    <b:SourceType>Misc</b:SourceType>
    <b:Guid>{5DCEB571-E42F-46FC-9F11-9B581C358E33}</b:Guid>
    <b:Title>4.4.5</b:Title>
    <b:Author>
      <b:Author>
        <b:NameList>
          <b:Person>
            <b:Last>Strabo</b:Last>
          </b:Person>
        </b:NameList>
      </b:Author>
    </b:Author>
    <b:RefOrder>12</b:RefOrder>
  </b:Source>
  <b:Source>
    <b:Tag>Cae</b:Tag>
    <b:SourceType>Misc</b:SourceType>
    <b:Guid>{DB48F8AB-F91E-4F54-947B-ECBB632A6F50}</b:Guid>
    <b:Author>
      <b:Author>
        <b:NameList>
          <b:Person>
            <b:Last>Caesar</b:Last>
          </b:Person>
        </b:NameList>
      </b:Author>
    </b:Author>
    <b:Title>BG 6.16</b:Title>
    <b:RefOrder>13</b:RefOrder>
  </b:Source>
  <b:Source>
    <b:Tag>Dio</b:Tag>
    <b:SourceType>Misc</b:SourceType>
    <b:Guid>{81FD58D5-8960-4A60-A9CA-A2C73D6A3B59}</b:Guid>
    <b:Author>
      <b:Author>
        <b:NameList>
          <b:Person>
            <b:Last>Sicukus</b:Last>
            <b:First>Diodorus</b:First>
          </b:Person>
        </b:NameList>
      </b:Author>
    </b:Author>
    <b:Title>5.3.1</b:Title>
    <b:RefOrder>14</b:RefOrder>
  </b:Source>
  <b:Source>
    <b:Tag>Dio1</b:Tag>
    <b:SourceType>Misc</b:SourceType>
    <b:Guid>{43F3BE61-C8B3-4579-8183-3216C4825573}</b:Guid>
    <b:Author>
      <b:Author>
        <b:NameList>
          <b:Person>
            <b:Last>Siculus</b:Last>
            <b:First>Diodorus</b:First>
          </b:Person>
        </b:NameList>
      </b:Author>
    </b:Author>
    <b:Title>5.31.1</b:Title>
    <b:RefOrder>15</b:RefOrder>
  </b:Source>
</b:Sources>
</file>

<file path=customXml/itemProps1.xml><?xml version="1.0" encoding="utf-8"?>
<ds:datastoreItem xmlns:ds="http://schemas.openxmlformats.org/officeDocument/2006/customXml" ds:itemID="{2FEF91AF-16C6-49DB-9058-5E73B5D6B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2917</TotalTime>
  <Pages>4</Pages>
  <Words>1074</Words>
  <Characters>6127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39</cp:revision>
  <dcterms:created xsi:type="dcterms:W3CDTF">2018-09-22T15:23:00Z</dcterms:created>
  <dcterms:modified xsi:type="dcterms:W3CDTF">2018-09-24T16:00:00Z</dcterms:modified>
</cp:coreProperties>
</file>