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F3537" w14:textId="1903FBB0" w:rsidR="00074402" w:rsidRDefault="002D34A2" w:rsidP="00CD33A8">
      <w:pPr>
        <w:spacing w:line="360" w:lineRule="auto"/>
        <w:rPr>
          <w:rFonts w:asciiTheme="minorBidi" w:hAnsiTheme="minorBidi"/>
          <w:sz w:val="22"/>
        </w:rPr>
      </w:pPr>
      <w:r>
        <w:rPr>
          <w:rFonts w:asciiTheme="minorBidi" w:hAnsiTheme="minorBidi"/>
          <w:noProof/>
          <w:sz w:val="22"/>
        </w:rPr>
        <w:drawing>
          <wp:inline distT="0" distB="0" distL="0" distR="0" wp14:anchorId="717BA2CC" wp14:editId="7ADA0523">
            <wp:extent cx="1810385" cy="725170"/>
            <wp:effectExtent l="0" t="0" r="0" b="0"/>
            <wp:docPr id="2083432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2C013AB1" w14:textId="77777777" w:rsidR="002D34A2" w:rsidRPr="00CD33A8" w:rsidRDefault="002D34A2" w:rsidP="00CD33A8">
      <w:pPr>
        <w:spacing w:line="360" w:lineRule="auto"/>
        <w:rPr>
          <w:rFonts w:asciiTheme="minorBidi" w:hAnsiTheme="minorBidi"/>
          <w:sz w:val="22"/>
        </w:rPr>
      </w:pPr>
    </w:p>
    <w:p w14:paraId="7D557BA5" w14:textId="21D6A3CD" w:rsidR="00CD33A8" w:rsidRPr="000E35EC" w:rsidRDefault="00CD33A8" w:rsidP="00CD33A8">
      <w:pPr>
        <w:tabs>
          <w:tab w:val="left" w:pos="6540"/>
        </w:tabs>
        <w:spacing w:line="360" w:lineRule="auto"/>
        <w:rPr>
          <w:rFonts w:ascii="Arial" w:hAnsi="Arial" w:cs="Arial"/>
          <w:sz w:val="28"/>
          <w:szCs w:val="28"/>
          <w:lang w:val="nl-NL"/>
        </w:rPr>
      </w:pPr>
      <w:r w:rsidRPr="000E35EC">
        <w:rPr>
          <w:rFonts w:ascii="Arial" w:hAnsi="Arial" w:cs="Arial"/>
          <w:b/>
          <w:bCs/>
          <w:sz w:val="28"/>
          <w:szCs w:val="28"/>
          <w:lang w:val="nl-NL"/>
        </w:rPr>
        <w:t>Module name</w:t>
      </w:r>
      <w:r w:rsidRPr="000E35EC">
        <w:rPr>
          <w:rFonts w:ascii="Arial" w:hAnsi="Arial" w:cs="Arial"/>
          <w:sz w:val="28"/>
          <w:szCs w:val="28"/>
          <w:lang w:val="nl-NL"/>
        </w:rPr>
        <w:t xml:space="preserve">: </w:t>
      </w:r>
      <w:r w:rsidR="00CE23FC">
        <w:rPr>
          <w:rFonts w:ascii="Arial" w:hAnsi="Arial" w:cs="Arial"/>
          <w:sz w:val="28"/>
          <w:szCs w:val="28"/>
          <w:lang w:val="nl-NL"/>
        </w:rPr>
        <w:t>Intro</w:t>
      </w:r>
      <w:r w:rsidR="004D2503">
        <w:rPr>
          <w:rFonts w:ascii="Arial" w:hAnsi="Arial" w:cs="Arial"/>
          <w:sz w:val="28"/>
          <w:szCs w:val="28"/>
          <w:lang w:val="nl-NL"/>
        </w:rPr>
        <w:t>duction to H</w:t>
      </w:r>
      <w:r w:rsidR="00284985">
        <w:rPr>
          <w:rFonts w:ascii="Arial" w:hAnsi="Arial" w:cs="Arial"/>
          <w:sz w:val="28"/>
          <w:szCs w:val="28"/>
          <w:lang w:val="nl-NL"/>
        </w:rPr>
        <w:t>ealth and Social Care</w:t>
      </w:r>
    </w:p>
    <w:p w14:paraId="537571AF" w14:textId="4B5F49BF" w:rsidR="00CD33A8" w:rsidRPr="009D1F1F" w:rsidRDefault="00CD33A8" w:rsidP="00CD33A8">
      <w:pPr>
        <w:tabs>
          <w:tab w:val="left" w:pos="6540"/>
        </w:tabs>
        <w:spacing w:line="360" w:lineRule="auto"/>
        <w:rPr>
          <w:rFonts w:ascii="Arial" w:hAnsi="Arial" w:cs="Arial"/>
          <w:sz w:val="28"/>
          <w:szCs w:val="28"/>
        </w:rPr>
      </w:pPr>
      <w:r w:rsidRPr="009D1F1F">
        <w:rPr>
          <w:rFonts w:ascii="Arial" w:hAnsi="Arial" w:cs="Arial"/>
          <w:b/>
          <w:bCs/>
          <w:sz w:val="28"/>
          <w:szCs w:val="28"/>
        </w:rPr>
        <w:t>Module code</w:t>
      </w:r>
      <w:r w:rsidRPr="009D1F1F">
        <w:rPr>
          <w:rFonts w:ascii="Arial" w:hAnsi="Arial" w:cs="Arial"/>
          <w:sz w:val="28"/>
          <w:szCs w:val="28"/>
        </w:rPr>
        <w:t>:</w:t>
      </w:r>
      <w:r w:rsidR="00AC243C" w:rsidRPr="009D1F1F">
        <w:rPr>
          <w:rFonts w:ascii="Arial" w:hAnsi="Arial" w:cs="Arial"/>
          <w:sz w:val="28"/>
          <w:szCs w:val="28"/>
        </w:rPr>
        <w:t xml:space="preserve"> </w:t>
      </w:r>
      <w:r w:rsidR="006D5B4A" w:rsidRPr="009D1F1F">
        <w:rPr>
          <w:rFonts w:ascii="Arial" w:hAnsi="Arial" w:cs="Arial"/>
          <w:sz w:val="28"/>
          <w:szCs w:val="28"/>
        </w:rPr>
        <w:t>LCHS4003</w:t>
      </w:r>
    </w:p>
    <w:p w14:paraId="529D7354" w14:textId="77777777" w:rsidR="00CD33A8" w:rsidRPr="000E35EC" w:rsidRDefault="00CD33A8" w:rsidP="00CD33A8">
      <w:pPr>
        <w:tabs>
          <w:tab w:val="left" w:pos="6540"/>
        </w:tabs>
        <w:spacing w:line="360" w:lineRule="auto"/>
        <w:rPr>
          <w:rFonts w:ascii="Arial" w:hAnsi="Arial" w:cs="Arial"/>
          <w:b/>
          <w:bCs/>
          <w:sz w:val="28"/>
          <w:szCs w:val="28"/>
          <w:lang w:val="nl-NL"/>
        </w:rPr>
      </w:pPr>
    </w:p>
    <w:p w14:paraId="0A48766D" w14:textId="2DA30B0B" w:rsidR="00074402" w:rsidRPr="000E35EC" w:rsidRDefault="00074402" w:rsidP="00CD33A8">
      <w:pPr>
        <w:tabs>
          <w:tab w:val="left" w:pos="6540"/>
        </w:tabs>
        <w:spacing w:line="360" w:lineRule="auto"/>
        <w:rPr>
          <w:rFonts w:ascii="Arial" w:hAnsi="Arial" w:cs="Arial"/>
          <w:sz w:val="28"/>
          <w:szCs w:val="28"/>
          <w:lang w:val="nl-NL"/>
        </w:rPr>
      </w:pPr>
      <w:r w:rsidRPr="000E35EC">
        <w:rPr>
          <w:rFonts w:ascii="Arial" w:hAnsi="Arial" w:cs="Arial"/>
          <w:b/>
          <w:bCs/>
          <w:sz w:val="28"/>
          <w:szCs w:val="28"/>
          <w:lang w:val="nl-NL"/>
        </w:rPr>
        <w:t>Student name</w:t>
      </w:r>
      <w:r w:rsidRPr="000E35EC">
        <w:rPr>
          <w:rFonts w:ascii="Arial" w:hAnsi="Arial" w:cs="Arial"/>
          <w:sz w:val="28"/>
          <w:szCs w:val="28"/>
          <w:lang w:val="nl-NL"/>
        </w:rPr>
        <w:t>:</w:t>
      </w:r>
      <w:r w:rsidR="0030053B">
        <w:rPr>
          <w:rFonts w:ascii="Arial" w:hAnsi="Arial" w:cs="Arial"/>
          <w:sz w:val="28"/>
          <w:szCs w:val="28"/>
          <w:lang w:val="nl-NL"/>
        </w:rPr>
        <w:t xml:space="preserve"> Jowita Nowacka</w:t>
      </w:r>
    </w:p>
    <w:p w14:paraId="39AA4413" w14:textId="05E7FE7C" w:rsidR="00074402" w:rsidRPr="000E35EC" w:rsidRDefault="00074402" w:rsidP="00CD33A8">
      <w:pPr>
        <w:tabs>
          <w:tab w:val="left" w:pos="6540"/>
        </w:tabs>
        <w:spacing w:line="360" w:lineRule="auto"/>
        <w:rPr>
          <w:rFonts w:ascii="Arial" w:hAnsi="Arial" w:cs="Arial"/>
          <w:sz w:val="28"/>
          <w:szCs w:val="28"/>
          <w:lang w:val="nl-NL"/>
        </w:rPr>
      </w:pPr>
      <w:r w:rsidRPr="000E35EC">
        <w:rPr>
          <w:rFonts w:ascii="Arial" w:hAnsi="Arial" w:cs="Arial"/>
          <w:b/>
          <w:bCs/>
          <w:sz w:val="28"/>
          <w:szCs w:val="28"/>
          <w:lang w:val="nl-NL"/>
        </w:rPr>
        <w:t>Student ID</w:t>
      </w:r>
      <w:r w:rsidRPr="000E35EC">
        <w:rPr>
          <w:rFonts w:ascii="Arial" w:hAnsi="Arial" w:cs="Arial"/>
          <w:sz w:val="28"/>
          <w:szCs w:val="28"/>
          <w:lang w:val="nl-NL"/>
        </w:rPr>
        <w:t>:</w:t>
      </w:r>
      <w:r w:rsidR="00512E1E">
        <w:rPr>
          <w:rFonts w:ascii="Arial" w:hAnsi="Arial" w:cs="Arial"/>
          <w:sz w:val="28"/>
          <w:szCs w:val="28"/>
          <w:lang w:val="nl-NL"/>
        </w:rPr>
        <w:t xml:space="preserve"> 2513</w:t>
      </w:r>
      <w:r w:rsidR="007132CC">
        <w:rPr>
          <w:rFonts w:ascii="Arial" w:hAnsi="Arial" w:cs="Arial"/>
          <w:sz w:val="28"/>
          <w:szCs w:val="28"/>
          <w:lang w:val="nl-NL"/>
        </w:rPr>
        <w:t>429</w:t>
      </w:r>
    </w:p>
    <w:p w14:paraId="5E81F6AD" w14:textId="77777777" w:rsidR="00074402" w:rsidRPr="000E35EC" w:rsidRDefault="00074402" w:rsidP="00CD33A8">
      <w:pPr>
        <w:tabs>
          <w:tab w:val="left" w:pos="6540"/>
        </w:tabs>
        <w:spacing w:line="360" w:lineRule="auto"/>
        <w:rPr>
          <w:rFonts w:ascii="Arial" w:hAnsi="Arial" w:cs="Arial"/>
          <w:sz w:val="28"/>
          <w:szCs w:val="28"/>
          <w:lang w:val="nl-NL"/>
        </w:rPr>
      </w:pPr>
    </w:p>
    <w:p w14:paraId="5AE88297" w14:textId="3B67846E" w:rsidR="00B87E75" w:rsidRDefault="008E3943" w:rsidP="00CD33A8">
      <w:pPr>
        <w:tabs>
          <w:tab w:val="left" w:pos="6540"/>
        </w:tabs>
        <w:spacing w:line="360" w:lineRule="auto"/>
        <w:rPr>
          <w:rFonts w:ascii="Arial" w:hAnsi="Arial" w:cs="Arial"/>
          <w:sz w:val="28"/>
          <w:szCs w:val="28"/>
        </w:rPr>
      </w:pPr>
      <w:r w:rsidRPr="000E35EC">
        <w:rPr>
          <w:rFonts w:ascii="Arial" w:hAnsi="Arial" w:cs="Arial"/>
          <w:b/>
          <w:bCs/>
          <w:sz w:val="28"/>
          <w:szCs w:val="28"/>
        </w:rPr>
        <w:t>Lecturer’s name</w:t>
      </w:r>
      <w:r w:rsidR="00074402" w:rsidRPr="000E35EC">
        <w:rPr>
          <w:rFonts w:ascii="Arial" w:hAnsi="Arial" w:cs="Arial"/>
          <w:sz w:val="28"/>
          <w:szCs w:val="28"/>
        </w:rPr>
        <w:t>:</w:t>
      </w:r>
      <w:r w:rsidR="006D5B4A">
        <w:rPr>
          <w:rFonts w:ascii="Arial" w:hAnsi="Arial" w:cs="Arial"/>
          <w:sz w:val="28"/>
          <w:szCs w:val="28"/>
        </w:rPr>
        <w:t xml:space="preserve"> Muh</w:t>
      </w:r>
      <w:r w:rsidR="00CE2D99">
        <w:rPr>
          <w:rFonts w:ascii="Arial" w:hAnsi="Arial" w:cs="Arial"/>
          <w:sz w:val="28"/>
          <w:szCs w:val="28"/>
        </w:rPr>
        <w:t>ammad Aliyu</w:t>
      </w:r>
    </w:p>
    <w:p w14:paraId="2A755E42" w14:textId="77777777" w:rsidR="00D51460" w:rsidRDefault="00D51460" w:rsidP="00CD33A8">
      <w:pPr>
        <w:tabs>
          <w:tab w:val="left" w:pos="6540"/>
        </w:tabs>
        <w:spacing w:line="360" w:lineRule="auto"/>
        <w:rPr>
          <w:rFonts w:ascii="Arial" w:hAnsi="Arial" w:cs="Arial"/>
          <w:sz w:val="28"/>
          <w:szCs w:val="28"/>
        </w:rPr>
      </w:pPr>
    </w:p>
    <w:p w14:paraId="730193F8" w14:textId="77777777" w:rsidR="00D51460" w:rsidRDefault="00D51460" w:rsidP="00CD33A8">
      <w:pPr>
        <w:tabs>
          <w:tab w:val="left" w:pos="6540"/>
        </w:tabs>
        <w:spacing w:line="360" w:lineRule="auto"/>
        <w:rPr>
          <w:rFonts w:ascii="Arial" w:hAnsi="Arial" w:cs="Arial"/>
          <w:sz w:val="28"/>
          <w:szCs w:val="28"/>
        </w:rPr>
      </w:pPr>
    </w:p>
    <w:p w14:paraId="0F45B9E6" w14:textId="5429891E" w:rsidR="00D51460" w:rsidRPr="00D51460" w:rsidRDefault="00D51460" w:rsidP="00D51460">
      <w:pPr>
        <w:tabs>
          <w:tab w:val="left" w:pos="6540"/>
        </w:tabs>
        <w:spacing w:line="360" w:lineRule="auto"/>
        <w:jc w:val="center"/>
        <w:rPr>
          <w:rFonts w:ascii="Arial" w:hAnsi="Arial" w:cs="Arial"/>
          <w:b/>
          <w:bCs/>
          <w:sz w:val="32"/>
          <w:szCs w:val="32"/>
        </w:rPr>
      </w:pPr>
      <w:r w:rsidRPr="00D51460">
        <w:rPr>
          <w:rFonts w:ascii="Arial" w:hAnsi="Arial" w:cs="Arial"/>
          <w:b/>
          <w:bCs/>
          <w:sz w:val="32"/>
          <w:szCs w:val="32"/>
        </w:rPr>
        <w:t>Effective Communication, Record-Keeping and Collaborative Practice in Health and Social Care: A Case Study of Mr Ahmed</w:t>
      </w:r>
    </w:p>
    <w:p w14:paraId="420ADE33" w14:textId="35FB1322" w:rsidR="00B87E75" w:rsidRPr="000E35EC" w:rsidRDefault="00B87E75" w:rsidP="00CD33A8">
      <w:pPr>
        <w:spacing w:line="360" w:lineRule="auto"/>
        <w:rPr>
          <w:rFonts w:ascii="Arial" w:hAnsi="Arial" w:cs="Arial"/>
          <w:sz w:val="22"/>
        </w:rPr>
      </w:pPr>
      <w:r w:rsidRPr="000E35EC">
        <w:rPr>
          <w:rFonts w:ascii="Arial" w:hAnsi="Arial" w:cs="Arial"/>
          <w:sz w:val="22"/>
        </w:rPr>
        <w:br w:type="page"/>
      </w:r>
    </w:p>
    <w:sdt>
      <w:sdtPr>
        <w:rPr>
          <w:rFonts w:ascii="Arial" w:hAnsi="Arial" w:cs="Arial"/>
          <w:sz w:val="22"/>
          <w:szCs w:val="22"/>
        </w:rPr>
        <w:id w:val="-1789654851"/>
        <w:docPartObj>
          <w:docPartGallery w:val="Table of Contents"/>
          <w:docPartUnique/>
        </w:docPartObj>
      </w:sdtPr>
      <w:sdtEndPr>
        <w:rPr>
          <w:rFonts w:eastAsiaTheme="minorHAnsi"/>
          <w:b/>
          <w:bCs/>
          <w:color w:val="auto"/>
          <w:lang w:eastAsia="en-US"/>
        </w:rPr>
      </w:sdtEndPr>
      <w:sdtContent>
        <w:p w14:paraId="2F27D5BA" w14:textId="5DC43176" w:rsidR="009D1F1F" w:rsidRPr="00D90E1B" w:rsidRDefault="009D1F1F" w:rsidP="008D3647">
          <w:pPr>
            <w:pStyle w:val="TOCHeading"/>
            <w:rPr>
              <w:rFonts w:ascii="Arial" w:hAnsi="Arial" w:cs="Arial"/>
              <w:sz w:val="22"/>
              <w:szCs w:val="22"/>
            </w:rPr>
          </w:pPr>
          <w:r w:rsidRPr="00D90E1B">
            <w:rPr>
              <w:rFonts w:ascii="Arial" w:hAnsi="Arial" w:cs="Arial"/>
              <w:sz w:val="22"/>
              <w:szCs w:val="22"/>
            </w:rPr>
            <w:t>Table of Contents</w:t>
          </w:r>
        </w:p>
        <w:p w14:paraId="674EAF29" w14:textId="26F2900B" w:rsidR="00D90E1B" w:rsidRPr="00D90E1B" w:rsidRDefault="009D1F1F">
          <w:pPr>
            <w:pStyle w:val="TOC1"/>
            <w:tabs>
              <w:tab w:val="right" w:leader="dot" w:pos="9016"/>
            </w:tabs>
            <w:rPr>
              <w:rFonts w:ascii="Arial" w:eastAsiaTheme="minorEastAsia" w:hAnsi="Arial" w:cs="Arial"/>
              <w:noProof/>
              <w:kern w:val="2"/>
              <w:sz w:val="22"/>
              <w:lang w:eastAsia="en-GB"/>
              <w14:ligatures w14:val="standardContextual"/>
            </w:rPr>
          </w:pPr>
          <w:r w:rsidRPr="00D90E1B">
            <w:rPr>
              <w:rFonts w:ascii="Arial" w:hAnsi="Arial" w:cs="Arial"/>
              <w:sz w:val="22"/>
            </w:rPr>
            <w:fldChar w:fldCharType="begin"/>
          </w:r>
          <w:r w:rsidRPr="00D90E1B">
            <w:rPr>
              <w:rFonts w:ascii="Arial" w:hAnsi="Arial" w:cs="Arial"/>
              <w:sz w:val="22"/>
            </w:rPr>
            <w:instrText xml:space="preserve"> TOC \o "1-3" \h \z \u </w:instrText>
          </w:r>
          <w:r w:rsidRPr="00D90E1B">
            <w:rPr>
              <w:rFonts w:ascii="Arial" w:hAnsi="Arial" w:cs="Arial"/>
              <w:sz w:val="22"/>
            </w:rPr>
            <w:fldChar w:fldCharType="separate"/>
          </w:r>
          <w:hyperlink w:anchor="_Toc227500656" w:history="1">
            <w:r w:rsidR="00D90E1B" w:rsidRPr="00D90E1B">
              <w:rPr>
                <w:rStyle w:val="Hyperlink"/>
                <w:rFonts w:ascii="Arial" w:hAnsi="Arial" w:cs="Arial"/>
                <w:noProof/>
                <w:sz w:val="22"/>
              </w:rPr>
              <w:t>1. Introduction</w:t>
            </w:r>
            <w:r w:rsidR="00D90E1B" w:rsidRPr="00D90E1B">
              <w:rPr>
                <w:rFonts w:ascii="Arial" w:hAnsi="Arial" w:cs="Arial"/>
                <w:noProof/>
                <w:webHidden/>
                <w:sz w:val="22"/>
              </w:rPr>
              <w:tab/>
            </w:r>
            <w:r w:rsidR="00D90E1B" w:rsidRPr="00D90E1B">
              <w:rPr>
                <w:rFonts w:ascii="Arial" w:hAnsi="Arial" w:cs="Arial"/>
                <w:noProof/>
                <w:webHidden/>
                <w:sz w:val="22"/>
              </w:rPr>
              <w:fldChar w:fldCharType="begin"/>
            </w:r>
            <w:r w:rsidR="00D90E1B" w:rsidRPr="00D90E1B">
              <w:rPr>
                <w:rFonts w:ascii="Arial" w:hAnsi="Arial" w:cs="Arial"/>
                <w:noProof/>
                <w:webHidden/>
                <w:sz w:val="22"/>
              </w:rPr>
              <w:instrText xml:space="preserve"> PAGEREF _Toc227500656 \h </w:instrText>
            </w:r>
            <w:r w:rsidR="00D90E1B" w:rsidRPr="00D90E1B">
              <w:rPr>
                <w:rFonts w:ascii="Arial" w:hAnsi="Arial" w:cs="Arial"/>
                <w:noProof/>
                <w:webHidden/>
                <w:sz w:val="22"/>
              </w:rPr>
            </w:r>
            <w:r w:rsidR="00D90E1B" w:rsidRPr="00D90E1B">
              <w:rPr>
                <w:rFonts w:ascii="Arial" w:hAnsi="Arial" w:cs="Arial"/>
                <w:noProof/>
                <w:webHidden/>
                <w:sz w:val="22"/>
              </w:rPr>
              <w:fldChar w:fldCharType="separate"/>
            </w:r>
            <w:r w:rsidR="00D90E1B" w:rsidRPr="00D90E1B">
              <w:rPr>
                <w:rFonts w:ascii="Arial" w:hAnsi="Arial" w:cs="Arial"/>
                <w:noProof/>
                <w:webHidden/>
                <w:sz w:val="22"/>
              </w:rPr>
              <w:t>3</w:t>
            </w:r>
            <w:r w:rsidR="00D90E1B" w:rsidRPr="00D90E1B">
              <w:rPr>
                <w:rFonts w:ascii="Arial" w:hAnsi="Arial" w:cs="Arial"/>
                <w:noProof/>
                <w:webHidden/>
                <w:sz w:val="22"/>
              </w:rPr>
              <w:fldChar w:fldCharType="end"/>
            </w:r>
          </w:hyperlink>
        </w:p>
        <w:p w14:paraId="50A2A3A4" w14:textId="2E6A3DC9" w:rsidR="00D90E1B" w:rsidRPr="00D90E1B" w:rsidRDefault="00D90E1B">
          <w:pPr>
            <w:pStyle w:val="TOC1"/>
            <w:tabs>
              <w:tab w:val="right" w:leader="dot" w:pos="9016"/>
            </w:tabs>
            <w:rPr>
              <w:rFonts w:ascii="Arial" w:eastAsiaTheme="minorEastAsia" w:hAnsi="Arial" w:cs="Arial"/>
              <w:noProof/>
              <w:kern w:val="2"/>
              <w:sz w:val="22"/>
              <w:lang w:eastAsia="en-GB"/>
              <w14:ligatures w14:val="standardContextual"/>
            </w:rPr>
          </w:pPr>
          <w:hyperlink w:anchor="_Toc227500657" w:history="1">
            <w:r w:rsidRPr="00D90E1B">
              <w:rPr>
                <w:rStyle w:val="Hyperlink"/>
                <w:rFonts w:ascii="Arial" w:hAnsi="Arial" w:cs="Arial"/>
                <w:noProof/>
                <w:sz w:val="22"/>
              </w:rPr>
              <w:t>2. Effective Communication</w:t>
            </w:r>
            <w:r w:rsidRPr="00D90E1B">
              <w:rPr>
                <w:rFonts w:ascii="Arial" w:hAnsi="Arial" w:cs="Arial"/>
                <w:noProof/>
                <w:webHidden/>
                <w:sz w:val="22"/>
              </w:rPr>
              <w:tab/>
            </w:r>
            <w:r w:rsidRPr="00D90E1B">
              <w:rPr>
                <w:rFonts w:ascii="Arial" w:hAnsi="Arial" w:cs="Arial"/>
                <w:noProof/>
                <w:webHidden/>
                <w:sz w:val="22"/>
              </w:rPr>
              <w:fldChar w:fldCharType="begin"/>
            </w:r>
            <w:r w:rsidRPr="00D90E1B">
              <w:rPr>
                <w:rFonts w:ascii="Arial" w:hAnsi="Arial" w:cs="Arial"/>
                <w:noProof/>
                <w:webHidden/>
                <w:sz w:val="22"/>
              </w:rPr>
              <w:instrText xml:space="preserve"> PAGEREF _Toc227500657 \h </w:instrText>
            </w:r>
            <w:r w:rsidRPr="00D90E1B">
              <w:rPr>
                <w:rFonts w:ascii="Arial" w:hAnsi="Arial" w:cs="Arial"/>
                <w:noProof/>
                <w:webHidden/>
                <w:sz w:val="22"/>
              </w:rPr>
            </w:r>
            <w:r w:rsidRPr="00D90E1B">
              <w:rPr>
                <w:rFonts w:ascii="Arial" w:hAnsi="Arial" w:cs="Arial"/>
                <w:noProof/>
                <w:webHidden/>
                <w:sz w:val="22"/>
              </w:rPr>
              <w:fldChar w:fldCharType="separate"/>
            </w:r>
            <w:r w:rsidRPr="00D90E1B">
              <w:rPr>
                <w:rFonts w:ascii="Arial" w:hAnsi="Arial" w:cs="Arial"/>
                <w:noProof/>
                <w:webHidden/>
                <w:sz w:val="22"/>
              </w:rPr>
              <w:t>3</w:t>
            </w:r>
            <w:r w:rsidRPr="00D90E1B">
              <w:rPr>
                <w:rFonts w:ascii="Arial" w:hAnsi="Arial" w:cs="Arial"/>
                <w:noProof/>
                <w:webHidden/>
                <w:sz w:val="22"/>
              </w:rPr>
              <w:fldChar w:fldCharType="end"/>
            </w:r>
          </w:hyperlink>
        </w:p>
        <w:p w14:paraId="0A6CAC10" w14:textId="3EB09F39" w:rsidR="00D90E1B" w:rsidRPr="00D90E1B" w:rsidRDefault="00D90E1B">
          <w:pPr>
            <w:pStyle w:val="TOC1"/>
            <w:tabs>
              <w:tab w:val="right" w:leader="dot" w:pos="9016"/>
            </w:tabs>
            <w:rPr>
              <w:rFonts w:ascii="Arial" w:eastAsiaTheme="minorEastAsia" w:hAnsi="Arial" w:cs="Arial"/>
              <w:noProof/>
              <w:kern w:val="2"/>
              <w:sz w:val="22"/>
              <w:lang w:eastAsia="en-GB"/>
              <w14:ligatures w14:val="standardContextual"/>
            </w:rPr>
          </w:pPr>
          <w:hyperlink w:anchor="_Toc227500658" w:history="1">
            <w:r w:rsidRPr="00D90E1B">
              <w:rPr>
                <w:rStyle w:val="Hyperlink"/>
                <w:rFonts w:ascii="Arial" w:hAnsi="Arial" w:cs="Arial"/>
                <w:noProof/>
                <w:sz w:val="22"/>
              </w:rPr>
              <w:t>3. Administrative Skills and Record-Keeping</w:t>
            </w:r>
            <w:r w:rsidRPr="00D90E1B">
              <w:rPr>
                <w:rFonts w:ascii="Arial" w:hAnsi="Arial" w:cs="Arial"/>
                <w:noProof/>
                <w:webHidden/>
                <w:sz w:val="22"/>
              </w:rPr>
              <w:tab/>
            </w:r>
            <w:r w:rsidRPr="00D90E1B">
              <w:rPr>
                <w:rFonts w:ascii="Arial" w:hAnsi="Arial" w:cs="Arial"/>
                <w:noProof/>
                <w:webHidden/>
                <w:sz w:val="22"/>
              </w:rPr>
              <w:fldChar w:fldCharType="begin"/>
            </w:r>
            <w:r w:rsidRPr="00D90E1B">
              <w:rPr>
                <w:rFonts w:ascii="Arial" w:hAnsi="Arial" w:cs="Arial"/>
                <w:noProof/>
                <w:webHidden/>
                <w:sz w:val="22"/>
              </w:rPr>
              <w:instrText xml:space="preserve"> PAGEREF _Toc227500658 \h </w:instrText>
            </w:r>
            <w:r w:rsidRPr="00D90E1B">
              <w:rPr>
                <w:rFonts w:ascii="Arial" w:hAnsi="Arial" w:cs="Arial"/>
                <w:noProof/>
                <w:webHidden/>
                <w:sz w:val="22"/>
              </w:rPr>
            </w:r>
            <w:r w:rsidRPr="00D90E1B">
              <w:rPr>
                <w:rFonts w:ascii="Arial" w:hAnsi="Arial" w:cs="Arial"/>
                <w:noProof/>
                <w:webHidden/>
                <w:sz w:val="22"/>
              </w:rPr>
              <w:fldChar w:fldCharType="separate"/>
            </w:r>
            <w:r w:rsidRPr="00D90E1B">
              <w:rPr>
                <w:rFonts w:ascii="Arial" w:hAnsi="Arial" w:cs="Arial"/>
                <w:noProof/>
                <w:webHidden/>
                <w:sz w:val="22"/>
              </w:rPr>
              <w:t>5</w:t>
            </w:r>
            <w:r w:rsidRPr="00D90E1B">
              <w:rPr>
                <w:rFonts w:ascii="Arial" w:hAnsi="Arial" w:cs="Arial"/>
                <w:noProof/>
                <w:webHidden/>
                <w:sz w:val="22"/>
              </w:rPr>
              <w:fldChar w:fldCharType="end"/>
            </w:r>
          </w:hyperlink>
        </w:p>
        <w:p w14:paraId="0611A15B" w14:textId="5D08A074" w:rsidR="00D90E1B" w:rsidRPr="00D90E1B" w:rsidRDefault="00D90E1B">
          <w:pPr>
            <w:pStyle w:val="TOC1"/>
            <w:tabs>
              <w:tab w:val="right" w:leader="dot" w:pos="9016"/>
            </w:tabs>
            <w:rPr>
              <w:rFonts w:ascii="Arial" w:eastAsiaTheme="minorEastAsia" w:hAnsi="Arial" w:cs="Arial"/>
              <w:noProof/>
              <w:kern w:val="2"/>
              <w:sz w:val="22"/>
              <w:lang w:eastAsia="en-GB"/>
              <w14:ligatures w14:val="standardContextual"/>
            </w:rPr>
          </w:pPr>
          <w:hyperlink w:anchor="_Toc227500659" w:history="1">
            <w:r w:rsidRPr="00D90E1B">
              <w:rPr>
                <w:rStyle w:val="Hyperlink"/>
                <w:rFonts w:ascii="Arial" w:hAnsi="Arial" w:cs="Arial"/>
                <w:noProof/>
                <w:sz w:val="22"/>
              </w:rPr>
              <w:t>4. Collaborative working.</w:t>
            </w:r>
            <w:r w:rsidRPr="00D90E1B">
              <w:rPr>
                <w:rFonts w:ascii="Arial" w:hAnsi="Arial" w:cs="Arial"/>
                <w:noProof/>
                <w:webHidden/>
                <w:sz w:val="22"/>
              </w:rPr>
              <w:tab/>
            </w:r>
            <w:r w:rsidRPr="00D90E1B">
              <w:rPr>
                <w:rFonts w:ascii="Arial" w:hAnsi="Arial" w:cs="Arial"/>
                <w:noProof/>
                <w:webHidden/>
                <w:sz w:val="22"/>
              </w:rPr>
              <w:fldChar w:fldCharType="begin"/>
            </w:r>
            <w:r w:rsidRPr="00D90E1B">
              <w:rPr>
                <w:rFonts w:ascii="Arial" w:hAnsi="Arial" w:cs="Arial"/>
                <w:noProof/>
                <w:webHidden/>
                <w:sz w:val="22"/>
              </w:rPr>
              <w:instrText xml:space="preserve"> PAGEREF _Toc227500659 \h </w:instrText>
            </w:r>
            <w:r w:rsidRPr="00D90E1B">
              <w:rPr>
                <w:rFonts w:ascii="Arial" w:hAnsi="Arial" w:cs="Arial"/>
                <w:noProof/>
                <w:webHidden/>
                <w:sz w:val="22"/>
              </w:rPr>
            </w:r>
            <w:r w:rsidRPr="00D90E1B">
              <w:rPr>
                <w:rFonts w:ascii="Arial" w:hAnsi="Arial" w:cs="Arial"/>
                <w:noProof/>
                <w:webHidden/>
                <w:sz w:val="22"/>
              </w:rPr>
              <w:fldChar w:fldCharType="separate"/>
            </w:r>
            <w:r w:rsidRPr="00D90E1B">
              <w:rPr>
                <w:rFonts w:ascii="Arial" w:hAnsi="Arial" w:cs="Arial"/>
                <w:noProof/>
                <w:webHidden/>
                <w:sz w:val="22"/>
              </w:rPr>
              <w:t>6</w:t>
            </w:r>
            <w:r w:rsidRPr="00D90E1B">
              <w:rPr>
                <w:rFonts w:ascii="Arial" w:hAnsi="Arial" w:cs="Arial"/>
                <w:noProof/>
                <w:webHidden/>
                <w:sz w:val="22"/>
              </w:rPr>
              <w:fldChar w:fldCharType="end"/>
            </w:r>
          </w:hyperlink>
        </w:p>
        <w:p w14:paraId="6D67D4BB" w14:textId="3E22C358" w:rsidR="00D90E1B" w:rsidRPr="00D90E1B" w:rsidRDefault="00D90E1B">
          <w:pPr>
            <w:pStyle w:val="TOC1"/>
            <w:tabs>
              <w:tab w:val="right" w:leader="dot" w:pos="9016"/>
            </w:tabs>
            <w:rPr>
              <w:rFonts w:ascii="Arial" w:eastAsiaTheme="minorEastAsia" w:hAnsi="Arial" w:cs="Arial"/>
              <w:noProof/>
              <w:kern w:val="2"/>
              <w:sz w:val="22"/>
              <w:lang w:eastAsia="en-GB"/>
              <w14:ligatures w14:val="standardContextual"/>
            </w:rPr>
          </w:pPr>
          <w:hyperlink w:anchor="_Toc227500660" w:history="1">
            <w:r w:rsidRPr="00D90E1B">
              <w:rPr>
                <w:rStyle w:val="Hyperlink"/>
                <w:rFonts w:ascii="Arial" w:hAnsi="Arial" w:cs="Arial"/>
                <w:noProof/>
                <w:sz w:val="22"/>
              </w:rPr>
              <w:t>5. Conclusion</w:t>
            </w:r>
            <w:r w:rsidRPr="00D90E1B">
              <w:rPr>
                <w:rFonts w:ascii="Arial" w:hAnsi="Arial" w:cs="Arial"/>
                <w:noProof/>
                <w:webHidden/>
                <w:sz w:val="22"/>
              </w:rPr>
              <w:tab/>
            </w:r>
            <w:r w:rsidRPr="00D90E1B">
              <w:rPr>
                <w:rFonts w:ascii="Arial" w:hAnsi="Arial" w:cs="Arial"/>
                <w:noProof/>
                <w:webHidden/>
                <w:sz w:val="22"/>
              </w:rPr>
              <w:fldChar w:fldCharType="begin"/>
            </w:r>
            <w:r w:rsidRPr="00D90E1B">
              <w:rPr>
                <w:rFonts w:ascii="Arial" w:hAnsi="Arial" w:cs="Arial"/>
                <w:noProof/>
                <w:webHidden/>
                <w:sz w:val="22"/>
              </w:rPr>
              <w:instrText xml:space="preserve"> PAGEREF _Toc227500660 \h </w:instrText>
            </w:r>
            <w:r w:rsidRPr="00D90E1B">
              <w:rPr>
                <w:rFonts w:ascii="Arial" w:hAnsi="Arial" w:cs="Arial"/>
                <w:noProof/>
                <w:webHidden/>
                <w:sz w:val="22"/>
              </w:rPr>
            </w:r>
            <w:r w:rsidRPr="00D90E1B">
              <w:rPr>
                <w:rFonts w:ascii="Arial" w:hAnsi="Arial" w:cs="Arial"/>
                <w:noProof/>
                <w:webHidden/>
                <w:sz w:val="22"/>
              </w:rPr>
              <w:fldChar w:fldCharType="separate"/>
            </w:r>
            <w:r w:rsidRPr="00D90E1B">
              <w:rPr>
                <w:rFonts w:ascii="Arial" w:hAnsi="Arial" w:cs="Arial"/>
                <w:noProof/>
                <w:webHidden/>
                <w:sz w:val="22"/>
              </w:rPr>
              <w:t>6</w:t>
            </w:r>
            <w:r w:rsidRPr="00D90E1B">
              <w:rPr>
                <w:rFonts w:ascii="Arial" w:hAnsi="Arial" w:cs="Arial"/>
                <w:noProof/>
                <w:webHidden/>
                <w:sz w:val="22"/>
              </w:rPr>
              <w:fldChar w:fldCharType="end"/>
            </w:r>
          </w:hyperlink>
        </w:p>
        <w:p w14:paraId="4358FE5F" w14:textId="41085912" w:rsidR="00D90E1B" w:rsidRPr="00D90E1B" w:rsidRDefault="00D90E1B">
          <w:pPr>
            <w:pStyle w:val="TOC1"/>
            <w:tabs>
              <w:tab w:val="right" w:leader="dot" w:pos="9016"/>
            </w:tabs>
            <w:rPr>
              <w:rFonts w:ascii="Arial" w:eastAsiaTheme="minorEastAsia" w:hAnsi="Arial" w:cs="Arial"/>
              <w:noProof/>
              <w:kern w:val="2"/>
              <w:sz w:val="22"/>
              <w:lang w:eastAsia="en-GB"/>
              <w14:ligatures w14:val="standardContextual"/>
            </w:rPr>
          </w:pPr>
          <w:hyperlink w:anchor="_Toc227500661" w:history="1">
            <w:r w:rsidRPr="00D90E1B">
              <w:rPr>
                <w:rStyle w:val="Hyperlink"/>
                <w:rFonts w:ascii="Arial" w:hAnsi="Arial" w:cs="Arial"/>
                <w:noProof/>
                <w:sz w:val="22"/>
              </w:rPr>
              <w:t>5.</w:t>
            </w:r>
            <w:r w:rsidRPr="00D90E1B">
              <w:rPr>
                <w:rStyle w:val="Hyperlink"/>
                <w:rFonts w:ascii="Arial" w:eastAsia="Times New Roman" w:hAnsi="Arial" w:cs="Arial"/>
                <w:bCs/>
                <w:noProof/>
                <w:sz w:val="22"/>
                <w:lang w:eastAsia="en-GB"/>
              </w:rPr>
              <w:t>References</w:t>
            </w:r>
            <w:r w:rsidRPr="00D90E1B">
              <w:rPr>
                <w:rFonts w:ascii="Arial" w:hAnsi="Arial" w:cs="Arial"/>
                <w:noProof/>
                <w:webHidden/>
                <w:sz w:val="22"/>
              </w:rPr>
              <w:tab/>
            </w:r>
            <w:r w:rsidRPr="00D90E1B">
              <w:rPr>
                <w:rFonts w:ascii="Arial" w:hAnsi="Arial" w:cs="Arial"/>
                <w:noProof/>
                <w:webHidden/>
                <w:sz w:val="22"/>
              </w:rPr>
              <w:fldChar w:fldCharType="begin"/>
            </w:r>
            <w:r w:rsidRPr="00D90E1B">
              <w:rPr>
                <w:rFonts w:ascii="Arial" w:hAnsi="Arial" w:cs="Arial"/>
                <w:noProof/>
                <w:webHidden/>
                <w:sz w:val="22"/>
              </w:rPr>
              <w:instrText xml:space="preserve"> PAGEREF _Toc227500661 \h </w:instrText>
            </w:r>
            <w:r w:rsidRPr="00D90E1B">
              <w:rPr>
                <w:rFonts w:ascii="Arial" w:hAnsi="Arial" w:cs="Arial"/>
                <w:noProof/>
                <w:webHidden/>
                <w:sz w:val="22"/>
              </w:rPr>
            </w:r>
            <w:r w:rsidRPr="00D90E1B">
              <w:rPr>
                <w:rFonts w:ascii="Arial" w:hAnsi="Arial" w:cs="Arial"/>
                <w:noProof/>
                <w:webHidden/>
                <w:sz w:val="22"/>
              </w:rPr>
              <w:fldChar w:fldCharType="separate"/>
            </w:r>
            <w:r w:rsidRPr="00D90E1B">
              <w:rPr>
                <w:rFonts w:ascii="Arial" w:hAnsi="Arial" w:cs="Arial"/>
                <w:noProof/>
                <w:webHidden/>
                <w:sz w:val="22"/>
              </w:rPr>
              <w:t>7</w:t>
            </w:r>
            <w:r w:rsidRPr="00D90E1B">
              <w:rPr>
                <w:rFonts w:ascii="Arial" w:hAnsi="Arial" w:cs="Arial"/>
                <w:noProof/>
                <w:webHidden/>
                <w:sz w:val="22"/>
              </w:rPr>
              <w:fldChar w:fldCharType="end"/>
            </w:r>
          </w:hyperlink>
        </w:p>
        <w:p w14:paraId="51B663EA" w14:textId="482366D7" w:rsidR="002B3BDD" w:rsidRPr="002B3BDD" w:rsidRDefault="009D1F1F" w:rsidP="002B3BDD">
          <w:pPr>
            <w:spacing w:before="100" w:beforeAutospacing="1" w:after="100" w:afterAutospacing="1" w:line="360" w:lineRule="auto"/>
            <w:rPr>
              <w:rFonts w:ascii="Arial" w:hAnsi="Arial" w:cs="Arial"/>
              <w:b/>
              <w:bCs/>
              <w:sz w:val="22"/>
            </w:rPr>
          </w:pPr>
          <w:r w:rsidRPr="00D90E1B">
            <w:rPr>
              <w:rFonts w:ascii="Arial" w:hAnsi="Arial" w:cs="Arial"/>
              <w:b/>
              <w:bCs/>
              <w:sz w:val="22"/>
            </w:rPr>
            <w:fldChar w:fldCharType="end"/>
          </w:r>
        </w:p>
      </w:sdtContent>
    </w:sdt>
    <w:p w14:paraId="4F7320CB" w14:textId="7E9C6AB3" w:rsidR="00B87E75" w:rsidRPr="002B3BDD" w:rsidRDefault="00B87E75" w:rsidP="002B3BDD">
      <w:pPr>
        <w:spacing w:before="100" w:beforeAutospacing="1" w:after="100" w:afterAutospacing="1" w:line="360" w:lineRule="auto"/>
        <w:rPr>
          <w:rFonts w:ascii="Arial" w:hAnsi="Arial" w:cs="Arial"/>
          <w:sz w:val="22"/>
        </w:rPr>
      </w:pPr>
      <w:r w:rsidRPr="002B3BDD">
        <w:rPr>
          <w:rFonts w:ascii="Arial" w:hAnsi="Arial" w:cs="Arial"/>
          <w:sz w:val="22"/>
        </w:rPr>
        <w:br w:type="page"/>
      </w:r>
    </w:p>
    <w:p w14:paraId="12D76753" w14:textId="393172FB" w:rsidR="00B87E75" w:rsidRPr="008D3647" w:rsidRDefault="00B87E75" w:rsidP="008D3647">
      <w:pPr>
        <w:pStyle w:val="Heading1"/>
      </w:pPr>
      <w:bookmarkStart w:id="0" w:name="_Toc227500656"/>
      <w:r w:rsidRPr="008D3647">
        <w:lastRenderedPageBreak/>
        <w:t>1. Introduction</w:t>
      </w:r>
      <w:bookmarkEnd w:id="0"/>
    </w:p>
    <w:p w14:paraId="0C97E462" w14:textId="1E1D7E41" w:rsidR="00D24AEB" w:rsidRPr="002B3BDD" w:rsidRDefault="00D24AEB" w:rsidP="002B3BDD">
      <w:pPr>
        <w:tabs>
          <w:tab w:val="left" w:pos="6540"/>
        </w:tabs>
        <w:spacing w:before="100" w:beforeAutospacing="1" w:after="100" w:afterAutospacing="1" w:line="360" w:lineRule="auto"/>
        <w:rPr>
          <w:rFonts w:ascii="Arial" w:hAnsi="Arial" w:cs="Arial"/>
          <w:sz w:val="22"/>
        </w:rPr>
      </w:pPr>
      <w:r w:rsidRPr="002B3BDD">
        <w:rPr>
          <w:rFonts w:ascii="Arial" w:hAnsi="Arial" w:cs="Arial"/>
          <w:sz w:val="22"/>
        </w:rPr>
        <w:t>This report focuses on the case of Mr Ahmed, a 68-year-old man recovering at home following a stroke. His care is supported by a multidisciplinary team (MDT), including his GP, a district nurse, and a speech and language therapist. Due to the complexity of his condition, coordinated and consistent care is essential to support his recovery and reduce the risk of complications.</w:t>
      </w:r>
    </w:p>
    <w:p w14:paraId="3A212864" w14:textId="6C8153B6" w:rsidR="00D24AEB" w:rsidRPr="002B3BDD" w:rsidRDefault="00D24AEB" w:rsidP="002B3BDD">
      <w:pPr>
        <w:tabs>
          <w:tab w:val="left" w:pos="6540"/>
        </w:tabs>
        <w:spacing w:before="100" w:beforeAutospacing="1" w:after="100" w:afterAutospacing="1" w:line="360" w:lineRule="auto"/>
        <w:rPr>
          <w:rFonts w:ascii="Arial" w:hAnsi="Arial" w:cs="Arial"/>
          <w:sz w:val="22"/>
        </w:rPr>
      </w:pPr>
      <w:r w:rsidRPr="002B3BDD">
        <w:rPr>
          <w:rFonts w:ascii="Arial" w:hAnsi="Arial" w:cs="Arial"/>
          <w:sz w:val="22"/>
        </w:rPr>
        <w:t>However, several challenges affect the quality of care he receives. Mr Ahmed’s first language is Bengali, which creates a communication barrier with healthcare professionals. In addition, the physical and cognitive effects of his stroke may further limit his ability to understand and respond effectively. These factors increase the risk of misunderstanding and clinical errors.</w:t>
      </w:r>
    </w:p>
    <w:p w14:paraId="52010A5E" w14:textId="38754DA0" w:rsidR="0026393A" w:rsidRPr="002B3BDD" w:rsidRDefault="00D24AEB" w:rsidP="002B3BDD">
      <w:pPr>
        <w:tabs>
          <w:tab w:val="left" w:pos="6540"/>
        </w:tabs>
        <w:spacing w:before="100" w:beforeAutospacing="1" w:after="100" w:afterAutospacing="1" w:line="360" w:lineRule="auto"/>
        <w:rPr>
          <w:rFonts w:ascii="Arial" w:hAnsi="Arial" w:cs="Arial"/>
          <w:sz w:val="22"/>
        </w:rPr>
      </w:pPr>
      <w:r w:rsidRPr="002B3BDD">
        <w:rPr>
          <w:rFonts w:ascii="Arial" w:hAnsi="Arial" w:cs="Arial"/>
          <w:sz w:val="22"/>
        </w:rPr>
        <w:t>A serious incident occurred when a scheduled home visit was missed, resulting in delayed medication. This highlights the importance of effective communication, reliable administrative systems, and collaborative working. This report will critically analyse these aspects and examine how legislation supports safe and person-centred care.</w:t>
      </w:r>
      <w:r w:rsidR="00551973" w:rsidRPr="002B3BDD">
        <w:rPr>
          <w:rFonts w:ascii="Arial" w:hAnsi="Arial" w:cs="Arial"/>
          <w:sz w:val="22"/>
        </w:rPr>
        <w:t xml:space="preserve"> Furthermore, Mr Ahmed’s situation also highlights the importance of person-centred care within health and social care practice. His recovery is not only influenced by clinical treatment but also by how well services adapt to his individual needs, including language, culture, and personal preferences. If these factors are not considered, there is a higher risk of poor engagement with care and slower recovery. A holistic approach is therefore essential, focusing on both physical and emotional wellbeing. By recognising these needs, healthcare professionals can provide more tailored support, improve communication, and help Mr Ahmed maintain dignity, independence, and a better quality of life during his recovery.</w:t>
      </w:r>
    </w:p>
    <w:p w14:paraId="2C6110E8" w14:textId="77777777" w:rsidR="002F06EF" w:rsidRPr="002B3BDD" w:rsidRDefault="002F06EF" w:rsidP="002B3BDD">
      <w:pPr>
        <w:tabs>
          <w:tab w:val="left" w:pos="6540"/>
        </w:tabs>
        <w:spacing w:before="100" w:beforeAutospacing="1" w:after="100" w:afterAutospacing="1" w:line="360" w:lineRule="auto"/>
        <w:rPr>
          <w:rFonts w:ascii="Arial" w:hAnsi="Arial" w:cs="Arial"/>
          <w:sz w:val="22"/>
        </w:rPr>
      </w:pPr>
    </w:p>
    <w:p w14:paraId="0537CEF5" w14:textId="76215CB4" w:rsidR="003E4ECF" w:rsidRPr="002B3BDD" w:rsidRDefault="0026393A" w:rsidP="008D3647">
      <w:pPr>
        <w:pStyle w:val="Heading1"/>
      </w:pPr>
      <w:bookmarkStart w:id="1" w:name="_Hlk227500164"/>
      <w:bookmarkStart w:id="2" w:name="_Toc227500657"/>
      <w:r w:rsidRPr="002B3BDD">
        <w:t xml:space="preserve">2. </w:t>
      </w:r>
      <w:r w:rsidR="005F4329" w:rsidRPr="002B3BDD">
        <w:t>Effective Communication</w:t>
      </w:r>
      <w:bookmarkEnd w:id="2"/>
    </w:p>
    <w:bookmarkEnd w:id="1"/>
    <w:p w14:paraId="2FC7BC66" w14:textId="072FCB2B" w:rsidR="00B53B47" w:rsidRPr="002B3BDD" w:rsidRDefault="00B53B47" w:rsidP="002B3BDD">
      <w:pPr>
        <w:tabs>
          <w:tab w:val="left" w:pos="6540"/>
        </w:tabs>
        <w:spacing w:before="100" w:beforeAutospacing="1" w:after="100" w:afterAutospacing="1" w:line="360" w:lineRule="auto"/>
        <w:rPr>
          <w:rFonts w:ascii="Arial" w:hAnsi="Arial" w:cs="Arial"/>
          <w:sz w:val="22"/>
        </w:rPr>
      </w:pPr>
      <w:r w:rsidRPr="002B3BDD">
        <w:rPr>
          <w:rFonts w:ascii="Arial" w:hAnsi="Arial" w:cs="Arial"/>
          <w:sz w:val="22"/>
        </w:rPr>
        <w:t>Effective communication is essential for ensuring patient safety and delivering high-quality care. In Mr Ahmed’s case, communication is particularly complex due to language barriers and the impact of the stroke on speech and understanding. These challenges increase the likelihood of miscommunication, which may result in serious errors.</w:t>
      </w:r>
    </w:p>
    <w:p w14:paraId="5E43222C" w14:textId="4F91F481" w:rsidR="00B53B47" w:rsidRPr="002B3BDD" w:rsidRDefault="00B53B47" w:rsidP="002B3BDD">
      <w:pPr>
        <w:tabs>
          <w:tab w:val="left" w:pos="6540"/>
        </w:tabs>
        <w:spacing w:before="100" w:beforeAutospacing="1" w:after="100" w:afterAutospacing="1" w:line="360" w:lineRule="auto"/>
        <w:rPr>
          <w:rFonts w:ascii="Arial" w:hAnsi="Arial" w:cs="Arial"/>
          <w:sz w:val="22"/>
        </w:rPr>
      </w:pPr>
      <w:r w:rsidRPr="002B3BDD">
        <w:rPr>
          <w:rFonts w:ascii="Arial" w:hAnsi="Arial" w:cs="Arial"/>
          <w:sz w:val="22"/>
        </w:rPr>
        <w:t xml:space="preserve">Under the Equality Act 2010, healthcare providers must make reasonable adjustments to meet the needs of individuals with disabilities or language barriers (Gov.uk, 2010). In </w:t>
      </w:r>
      <w:r w:rsidRPr="002B3BDD">
        <w:rPr>
          <w:rFonts w:ascii="Arial" w:hAnsi="Arial" w:cs="Arial"/>
          <w:sz w:val="22"/>
        </w:rPr>
        <w:lastRenderedPageBreak/>
        <w:t>practice, relying on Mr Ahmed’s wife as a translator is not appropriate, as this may lead to inaccuracies, breaches of confidentiality, and additional emotional burden. Professional interpreters should be used to ensure accurate and ethical communication.</w:t>
      </w:r>
      <w:r w:rsidR="00EA65F6" w:rsidRPr="002B3BDD">
        <w:rPr>
          <w:rFonts w:ascii="Arial" w:hAnsi="Arial" w:cs="Arial"/>
          <w:sz w:val="22"/>
        </w:rPr>
        <w:t xml:space="preserve"> Additionally, healthcare professionals should use a range of communication methods to support Mr Ahmed’s understanding. Non-verbal communication, such as gestures, facial expressions, and tone of voice, can help reinforce verbal messages, especially when language barriers exist. It is also important to use techniques such as the teach-back method, where the patient repeats information to confirm understanding. This reduces the risk of errors and ensures clarity. Providing extra time during consultations can further support effective interaction. By adapting communication styles and checking understanding regularly, professionals can reduce misunderstandings, improve patient safety, and ensure that Mr Ahmed is actively involved in decisions about his care.</w:t>
      </w:r>
      <w:r w:rsidRPr="002B3BDD">
        <w:rPr>
          <w:rFonts w:ascii="Arial" w:hAnsi="Arial" w:cs="Arial"/>
          <w:sz w:val="22"/>
        </w:rPr>
        <w:t>​The Accessible Information Standard requires healthcare services to provide information in a way that patients can understand (NHS England, 2023). For Mr Ahmed, this could include translated materials, simplified language, or visual aids. Without these adjustments, he may misunderstand medication instructions, increasing the risk of non-adherence.</w:t>
      </w:r>
    </w:p>
    <w:p w14:paraId="1A7F74C4" w14:textId="2D5DE86F" w:rsidR="002F06EF" w:rsidRPr="002B3BDD" w:rsidRDefault="00B53B47" w:rsidP="002B3BDD">
      <w:pPr>
        <w:tabs>
          <w:tab w:val="left" w:pos="6540"/>
        </w:tabs>
        <w:spacing w:before="100" w:beforeAutospacing="1" w:after="100" w:afterAutospacing="1" w:line="360" w:lineRule="auto"/>
        <w:rPr>
          <w:rFonts w:ascii="Arial" w:hAnsi="Arial" w:cs="Arial"/>
          <w:sz w:val="22"/>
        </w:rPr>
      </w:pPr>
      <w:r w:rsidRPr="002B3BDD">
        <w:rPr>
          <w:rFonts w:ascii="Arial" w:hAnsi="Arial" w:cs="Arial"/>
          <w:sz w:val="22"/>
        </w:rPr>
        <w:t xml:space="preserve">The Shannon and Weaver Communication Model </w:t>
      </w:r>
      <w:proofErr w:type="gramStart"/>
      <w:r w:rsidRPr="002B3BDD">
        <w:rPr>
          <w:rFonts w:ascii="Arial" w:hAnsi="Arial" w:cs="Arial"/>
          <w:sz w:val="22"/>
        </w:rPr>
        <w:t>helps</w:t>
      </w:r>
      <w:proofErr w:type="gramEnd"/>
      <w:r w:rsidRPr="002B3BDD">
        <w:rPr>
          <w:rFonts w:ascii="Arial" w:hAnsi="Arial" w:cs="Arial"/>
          <w:sz w:val="22"/>
        </w:rPr>
        <w:t xml:space="preserve"> explain these barriers. The model includes a sender, message, channel, and receiver, with “noise” representing any interference (Shannon and Weaver, 1949). In Mr Ahmed’s case, both language differences and cognitive impairment act as noise, disrupting the transmission of information. This means that</w:t>
      </w:r>
      <w:r w:rsidR="0000472A" w:rsidRPr="002B3BDD">
        <w:rPr>
          <w:rFonts w:ascii="Arial" w:hAnsi="Arial" w:cs="Arial"/>
          <w:sz w:val="22"/>
        </w:rPr>
        <w:t xml:space="preserve"> </w:t>
      </w:r>
      <w:r w:rsidR="005820DA" w:rsidRPr="002B3BDD">
        <w:rPr>
          <w:rFonts w:ascii="Arial" w:hAnsi="Arial" w:cs="Arial"/>
          <w:sz w:val="22"/>
        </w:rPr>
        <w:t>even if healthcare professionals provide correct information, it may not be fully understood. To reduce this risk, professionals must use strategies such as checking understanding and using clear, simple language. Feedback is also essential to confirm that the message has been correctly received.</w:t>
      </w:r>
      <w:r w:rsidR="009A6BC1" w:rsidRPr="002B3BDD">
        <w:rPr>
          <w:rFonts w:ascii="Arial" w:hAnsi="Arial" w:cs="Arial"/>
          <w:sz w:val="22"/>
        </w:rPr>
        <w:t xml:space="preserve"> Additionally, healthcare professionals should use a range of communication methods to support Mr Ahmed’s understanding. Non-verbal communication, such as gestures, facial expressions, and tone of voice, can help reinforce verbal messages, especially when language barriers exist. It is also important to use techniques such as the teach-back method, where the patient repeats information to confirm understanding. This reduces the risk of errors and ensures clarity. Providing extra time during consultations can further support effective interaction. By adapting communication styles and checking understanding regularly, professionals can reduce misunderstandings, improve patient safety, and ensure that Mr Ahmed is actively involved in decisions about his care.</w:t>
      </w:r>
    </w:p>
    <w:p w14:paraId="5BFB71C0" w14:textId="77777777" w:rsidR="00F03A12" w:rsidRPr="002B3BDD" w:rsidRDefault="00F03A12" w:rsidP="002B3BDD">
      <w:pPr>
        <w:spacing w:before="100" w:beforeAutospacing="1" w:after="100" w:afterAutospacing="1" w:line="360" w:lineRule="auto"/>
        <w:rPr>
          <w:rFonts w:ascii="Arial" w:hAnsi="Arial" w:cs="Arial"/>
          <w:b/>
          <w:bCs/>
          <w:sz w:val="22"/>
        </w:rPr>
      </w:pPr>
      <w:r w:rsidRPr="002B3BDD">
        <w:rPr>
          <w:rFonts w:ascii="Arial" w:hAnsi="Arial" w:cs="Arial"/>
          <w:b/>
          <w:bCs/>
          <w:sz w:val="22"/>
        </w:rPr>
        <w:br w:type="page"/>
      </w:r>
    </w:p>
    <w:p w14:paraId="4FC14C6B" w14:textId="296F8D70" w:rsidR="00B87E75" w:rsidRPr="002B3BDD" w:rsidRDefault="000E3ECF" w:rsidP="008D3647">
      <w:pPr>
        <w:pStyle w:val="Heading1"/>
      </w:pPr>
      <w:bookmarkStart w:id="3" w:name="_Toc227500658"/>
      <w:r w:rsidRPr="002B3BDD">
        <w:lastRenderedPageBreak/>
        <w:t xml:space="preserve">3. </w:t>
      </w:r>
      <w:r w:rsidR="00F73236" w:rsidRPr="002B3BDD">
        <w:t>Administrative Skills and Record-Keeping</w:t>
      </w:r>
      <w:bookmarkEnd w:id="3"/>
    </w:p>
    <w:p w14:paraId="3ED36C1A" w14:textId="06AAAF90" w:rsidR="003C53A0" w:rsidRPr="002B3BDD" w:rsidRDefault="003C53A0" w:rsidP="002B3BDD">
      <w:pPr>
        <w:tabs>
          <w:tab w:val="left" w:pos="6540"/>
        </w:tabs>
        <w:spacing w:before="100" w:beforeAutospacing="1" w:after="100" w:afterAutospacing="1" w:line="360" w:lineRule="auto"/>
        <w:rPr>
          <w:rFonts w:ascii="Arial" w:hAnsi="Arial" w:cs="Arial"/>
          <w:sz w:val="22"/>
        </w:rPr>
      </w:pPr>
      <w:r w:rsidRPr="002B3BDD">
        <w:rPr>
          <w:rFonts w:ascii="Arial" w:hAnsi="Arial" w:cs="Arial"/>
          <w:sz w:val="22"/>
        </w:rPr>
        <w:t>Administrative skills and accurate record-keeping are fundamental to safe practice. The missed home visit in Mr Ahmed’s case demonstrates how administrative failures can directly impact patient safety. As a result of the missed visit, he did not receive his medication on time, which could have caused serious harm.</w:t>
      </w:r>
    </w:p>
    <w:p w14:paraId="01FD1991" w14:textId="5D1DD47E" w:rsidR="00C4089E" w:rsidRPr="002B3BDD" w:rsidRDefault="003C53A0" w:rsidP="002B3BDD">
      <w:pPr>
        <w:tabs>
          <w:tab w:val="left" w:pos="6540"/>
        </w:tabs>
        <w:spacing w:before="100" w:beforeAutospacing="1" w:after="100" w:afterAutospacing="1" w:line="360" w:lineRule="auto"/>
        <w:rPr>
          <w:rFonts w:ascii="Arial" w:hAnsi="Arial" w:cs="Arial"/>
          <w:sz w:val="22"/>
        </w:rPr>
      </w:pPr>
      <w:r w:rsidRPr="002B3BDD">
        <w:rPr>
          <w:rFonts w:ascii="Arial" w:hAnsi="Arial" w:cs="Arial"/>
          <w:sz w:val="22"/>
        </w:rPr>
        <w:t>The Data Protection Act 2018 outlines key principles for handling personal data, including accuracy, security, and accountability (Gov.uk, 2018). Accurate record-keeping ensures that all healthcare professionals have access to up-to-date information. If records are incomplete, this can lead to poor decision-making. In Mr Ahmed’s case, the missed visit may have resulted from poor documentation of schedules. If care records were not updated correctly, the care worker may not have been aware of their responsibility.</w:t>
      </w:r>
      <w:r w:rsidR="00C4089E" w:rsidRPr="002B3BDD">
        <w:rPr>
          <w:rFonts w:ascii="Arial" w:hAnsi="Arial" w:cs="Arial"/>
          <w:sz w:val="22"/>
        </w:rPr>
        <w:t xml:space="preserve"> ​The Records Management Code of Practice states that maintaining clear and accurate records is a legal requirement (NHS Digital, 2021). Proper documentation ensures continuity of care and provides evidence of accountability. It also supports safeguarding by allowing professionals to track interventions.</w:t>
      </w:r>
    </w:p>
    <w:p w14:paraId="46CC4359" w14:textId="5C6DD3EB" w:rsidR="00B81E0F" w:rsidRPr="002B3BDD" w:rsidRDefault="00C4089E" w:rsidP="002B3BDD">
      <w:pPr>
        <w:tabs>
          <w:tab w:val="left" w:pos="6540"/>
        </w:tabs>
        <w:spacing w:before="100" w:beforeAutospacing="1" w:after="100" w:afterAutospacing="1" w:line="360" w:lineRule="auto"/>
        <w:rPr>
          <w:rFonts w:ascii="Arial" w:hAnsi="Arial" w:cs="Arial"/>
          <w:b/>
          <w:bCs/>
          <w:sz w:val="22"/>
        </w:rPr>
      </w:pPr>
      <w:r w:rsidRPr="002B3BDD">
        <w:rPr>
          <w:rFonts w:ascii="Arial" w:hAnsi="Arial" w:cs="Arial"/>
          <w:sz w:val="22"/>
        </w:rPr>
        <w:t>To prevent similar incidents, organisations should implement digital systems that track scheduled visits and alert managers if a visit is missed. For example, electronic care records can improve communication and reduce human error. Additionally, strong governance frameworks, such as those outlined by the Care Quality Commission, emphasise the importance of effective systems to ensure safe care (CQC, 2023). In conclusion, improving record-keeping processes could significantly reduce the risk of future incidents for patients like Mr Ahmed.</w:t>
      </w:r>
      <w:r w:rsidR="00FB2697" w:rsidRPr="002B3BDD">
        <w:rPr>
          <w:rFonts w:ascii="Arial" w:hAnsi="Arial" w:cs="Arial"/>
          <w:sz w:val="22"/>
        </w:rPr>
        <w:t xml:space="preserve"> In addition, strong administrative systems are essential to ensure consistency and reliability in care delivery. In Mr Ahmed’s case, the missed visit suggests that there may be weaknesses in scheduling and communication between staff. Introducing digital care planning systems with automatic alerts could help prevent similar issues by notifying staff of upcoming visits and flagging missed appointments. Regular supervision and auditing of records can also ensure that information is accurate and up to date. When administrative processes are well managed, they support better decision-making and reduce risks. This ultimately leads to safer care, improved accountability, and greater trust between patients and healthcare providers.</w:t>
      </w:r>
    </w:p>
    <w:p w14:paraId="0C7A8742" w14:textId="77777777" w:rsidR="00F46004" w:rsidRPr="002B3BDD" w:rsidRDefault="00F46004" w:rsidP="002B3BDD">
      <w:pPr>
        <w:spacing w:before="100" w:beforeAutospacing="1" w:after="100" w:afterAutospacing="1" w:line="360" w:lineRule="auto"/>
        <w:rPr>
          <w:rFonts w:ascii="Arial" w:hAnsi="Arial" w:cs="Arial"/>
          <w:b/>
          <w:bCs/>
          <w:sz w:val="22"/>
        </w:rPr>
      </w:pPr>
      <w:r w:rsidRPr="002B3BDD">
        <w:rPr>
          <w:rFonts w:ascii="Arial" w:hAnsi="Arial" w:cs="Arial"/>
          <w:b/>
          <w:bCs/>
          <w:sz w:val="22"/>
        </w:rPr>
        <w:br w:type="page"/>
      </w:r>
    </w:p>
    <w:p w14:paraId="16C1D6AD" w14:textId="0F9757F7" w:rsidR="00B515E7" w:rsidRPr="002B3BDD" w:rsidRDefault="00705964" w:rsidP="008D3647">
      <w:pPr>
        <w:pStyle w:val="Heading1"/>
      </w:pPr>
      <w:bookmarkStart w:id="4" w:name="_Toc227500659"/>
      <w:r w:rsidRPr="002B3BDD">
        <w:lastRenderedPageBreak/>
        <w:t>4</w:t>
      </w:r>
      <w:r w:rsidR="00B515E7" w:rsidRPr="002B3BDD">
        <w:t>. C</w:t>
      </w:r>
      <w:r w:rsidR="00BF61B9" w:rsidRPr="002B3BDD">
        <w:t>ollaborative working</w:t>
      </w:r>
      <w:r w:rsidR="000E35EC" w:rsidRPr="002B3BDD">
        <w:t>.</w:t>
      </w:r>
      <w:bookmarkEnd w:id="4"/>
    </w:p>
    <w:p w14:paraId="07114BB5" w14:textId="73E441EB" w:rsidR="003C722F" w:rsidRPr="002B3BDD" w:rsidRDefault="003C722F" w:rsidP="002B3BDD">
      <w:pPr>
        <w:tabs>
          <w:tab w:val="left" w:pos="6540"/>
        </w:tabs>
        <w:spacing w:before="100" w:beforeAutospacing="1" w:after="100" w:afterAutospacing="1" w:line="360" w:lineRule="auto"/>
        <w:rPr>
          <w:rFonts w:ascii="Arial" w:hAnsi="Arial" w:cs="Arial"/>
          <w:sz w:val="22"/>
        </w:rPr>
      </w:pPr>
      <w:r w:rsidRPr="002B3BDD">
        <w:rPr>
          <w:rFonts w:ascii="Arial" w:hAnsi="Arial" w:cs="Arial"/>
          <w:sz w:val="22"/>
        </w:rPr>
        <w:t xml:space="preserve">Collaborative working is essential in managing complex healthcare needs. Multi-agency working ensures that care is coordinated and holistic, addressing both medical and social needs. The Health and Care Act 2022 </w:t>
      </w:r>
      <w:proofErr w:type="gramStart"/>
      <w:r w:rsidRPr="002B3BDD">
        <w:rPr>
          <w:rFonts w:ascii="Arial" w:hAnsi="Arial" w:cs="Arial"/>
          <w:sz w:val="22"/>
        </w:rPr>
        <w:t>promotes</w:t>
      </w:r>
      <w:proofErr w:type="gramEnd"/>
      <w:r w:rsidRPr="002B3BDD">
        <w:rPr>
          <w:rFonts w:ascii="Arial" w:hAnsi="Arial" w:cs="Arial"/>
          <w:sz w:val="22"/>
        </w:rPr>
        <w:t xml:space="preserve"> integrated care systems, encouraging organisations to work together effectively (Gov.uk, 2022).</w:t>
      </w:r>
    </w:p>
    <w:p w14:paraId="3D92244A" w14:textId="7C67B8A8" w:rsidR="003C722F" w:rsidRPr="002B3BDD" w:rsidRDefault="003C722F" w:rsidP="002B3BDD">
      <w:pPr>
        <w:tabs>
          <w:tab w:val="left" w:pos="6540"/>
        </w:tabs>
        <w:spacing w:before="100" w:beforeAutospacing="1" w:after="100" w:afterAutospacing="1" w:line="360" w:lineRule="auto"/>
        <w:rPr>
          <w:rFonts w:ascii="Arial" w:hAnsi="Arial" w:cs="Arial"/>
          <w:sz w:val="22"/>
        </w:rPr>
      </w:pPr>
      <w:r w:rsidRPr="002B3BDD">
        <w:rPr>
          <w:rFonts w:ascii="Arial" w:hAnsi="Arial" w:cs="Arial"/>
          <w:sz w:val="22"/>
        </w:rPr>
        <w:t>In Mr Ahmed’s case, collaboration between the GP, district nurse, domiciliary care workers, and speech and language therapist is essential. Multidisciplinary team (MDT) meetings allow professionals to share information and monitor progress. For example, the speech therapist may provide guidance on safe swallowing techniques, reducing the risk of aspiration.</w:t>
      </w:r>
    </w:p>
    <w:p w14:paraId="04E96D75" w14:textId="32240084" w:rsidR="00EA0C60" w:rsidRPr="002B3BDD" w:rsidRDefault="003C722F" w:rsidP="002B3BDD">
      <w:pPr>
        <w:tabs>
          <w:tab w:val="left" w:pos="6540"/>
        </w:tabs>
        <w:spacing w:before="100" w:beforeAutospacing="1" w:after="100" w:afterAutospacing="1" w:line="360" w:lineRule="auto"/>
        <w:rPr>
          <w:rFonts w:ascii="Arial" w:hAnsi="Arial" w:cs="Arial"/>
          <w:sz w:val="22"/>
        </w:rPr>
      </w:pPr>
      <w:r w:rsidRPr="002B3BDD">
        <w:rPr>
          <w:rFonts w:ascii="Arial" w:hAnsi="Arial" w:cs="Arial"/>
          <w:sz w:val="22"/>
        </w:rPr>
        <w:t>However, collaborative working presents challenges. Communication breakdowns between organisations and unclear roles can reduce effectiveness. The missed visit suggests a lack of coordination between the care agency and other professionals. One strategy to improve collaboration is the use of structured communication tools such as SBAR (Situation, Background, Assessment, Recommendation). This supports clear information sharing, particularly in complex cases. Shared care plans can also improve coordination by ensuring that all professionals are working towards the same goals, reducing the risk of conflicting advice.</w:t>
      </w:r>
      <w:r w:rsidR="00533070" w:rsidRPr="002B3BDD">
        <w:rPr>
          <w:rFonts w:ascii="Arial" w:hAnsi="Arial" w:cs="Arial"/>
          <w:sz w:val="22"/>
        </w:rPr>
        <w:t xml:space="preserve"> Furthermore, clear communication between members of the multidisciplinary team is essential for effective collaborative working. </w:t>
      </w:r>
    </w:p>
    <w:p w14:paraId="1964756F" w14:textId="5E127398" w:rsidR="00F64336" w:rsidRPr="002B3BDD" w:rsidRDefault="00533070" w:rsidP="002B3BDD">
      <w:pPr>
        <w:tabs>
          <w:tab w:val="left" w:pos="6540"/>
        </w:tabs>
        <w:spacing w:before="100" w:beforeAutospacing="1" w:after="100" w:afterAutospacing="1" w:line="360" w:lineRule="auto"/>
        <w:rPr>
          <w:rFonts w:ascii="Arial" w:hAnsi="Arial" w:cs="Arial"/>
          <w:b/>
          <w:bCs/>
          <w:sz w:val="22"/>
        </w:rPr>
      </w:pPr>
      <w:r w:rsidRPr="002B3BDD">
        <w:rPr>
          <w:rFonts w:ascii="Arial" w:hAnsi="Arial" w:cs="Arial"/>
          <w:sz w:val="22"/>
        </w:rPr>
        <w:t>Each professional involved in Mr Ahmed’s care must understand their responsibilities and share relevant information promptly. A lack of coordination can lead to gaps in care, as seen in the missed visit. Appointing a care coordinator could help ensure continuity and act as a central point of contact for both the patient and professionals. Regular MDT meetings also provide an opportunity to review progress and adjust care plans as needed. By improving coordination and communication, healthcare teams can deliver more consistent, safe, and person-centred care</w:t>
      </w:r>
      <w:r w:rsidRPr="002B3BDD">
        <w:rPr>
          <w:rFonts w:ascii="Arial" w:hAnsi="Arial" w:cs="Arial"/>
          <w:b/>
          <w:bCs/>
          <w:sz w:val="22"/>
        </w:rPr>
        <w:t>.</w:t>
      </w:r>
    </w:p>
    <w:p w14:paraId="16FAF0EA" w14:textId="4B1EDCD4" w:rsidR="00B87E75" w:rsidRPr="002B3BDD" w:rsidRDefault="008E3943" w:rsidP="008D3647">
      <w:pPr>
        <w:pStyle w:val="Heading1"/>
      </w:pPr>
      <w:bookmarkStart w:id="5" w:name="_Hlk227500630"/>
      <w:bookmarkStart w:id="6" w:name="_Toc227500660"/>
      <w:r w:rsidRPr="002B3BDD">
        <w:t>5</w:t>
      </w:r>
      <w:r w:rsidR="00B87E75" w:rsidRPr="002B3BDD">
        <w:t>. Conclusion</w:t>
      </w:r>
      <w:bookmarkEnd w:id="6"/>
      <w:r w:rsidR="00CD33A8" w:rsidRPr="002B3BDD">
        <w:t xml:space="preserve"> </w:t>
      </w:r>
    </w:p>
    <w:bookmarkEnd w:id="5"/>
    <w:p w14:paraId="307208EC" w14:textId="2A34889E" w:rsidR="00D41D93" w:rsidRPr="002B3BDD" w:rsidRDefault="0083564F" w:rsidP="002B3BDD">
      <w:pPr>
        <w:tabs>
          <w:tab w:val="left" w:pos="6540"/>
        </w:tabs>
        <w:spacing w:before="100" w:beforeAutospacing="1" w:after="100" w:afterAutospacing="1" w:line="360" w:lineRule="auto"/>
        <w:rPr>
          <w:rFonts w:ascii="Arial" w:hAnsi="Arial" w:cs="Arial"/>
          <w:sz w:val="22"/>
        </w:rPr>
      </w:pPr>
      <w:r w:rsidRPr="002B3BDD">
        <w:rPr>
          <w:rFonts w:ascii="Arial" w:hAnsi="Arial" w:cs="Arial"/>
          <w:sz w:val="22"/>
        </w:rPr>
        <w:t>This report has analysed the importance of communication, administrative systems, and collaborative working. In Mr Ahmed’s case, language barriers and administrative failures highlight how easily patient safety can be compromised. Effective communication is essential to ensure understanding, while reliable administrative systems prevent missed visits. Collaborative working enables professionals to deliver coordinated support.</w:t>
      </w:r>
    </w:p>
    <w:p w14:paraId="33F8F0BD" w14:textId="04D2D717" w:rsidR="00B87E75" w:rsidRDefault="0083564F" w:rsidP="002B3BDD">
      <w:pPr>
        <w:tabs>
          <w:tab w:val="left" w:pos="6540"/>
        </w:tabs>
        <w:spacing w:before="100" w:beforeAutospacing="1" w:after="100" w:afterAutospacing="1" w:line="360" w:lineRule="auto"/>
        <w:rPr>
          <w:rFonts w:ascii="Arial" w:hAnsi="Arial" w:cs="Arial"/>
          <w:sz w:val="22"/>
        </w:rPr>
      </w:pPr>
      <w:r w:rsidRPr="002B3BDD">
        <w:rPr>
          <w:rFonts w:ascii="Arial" w:hAnsi="Arial" w:cs="Arial"/>
          <w:sz w:val="22"/>
        </w:rPr>
        <w:lastRenderedPageBreak/>
        <w:t>Legal frameworks such as the Equality Act 2010 and Data Protection Act 2018 provide guidance to ensure that care is delivered safely and ethically. Overall, this case demonstrates that high-quality care depends on both individual professional skills and effective teamwork. By addressing these issues, healthcare providers can significantly improve patient outcomes and safety.</w:t>
      </w:r>
      <w:r w:rsidR="00DD1BE7" w:rsidRPr="002B3BDD">
        <w:rPr>
          <w:rFonts w:ascii="Arial" w:hAnsi="Arial" w:cs="Arial"/>
          <w:sz w:val="22"/>
        </w:rPr>
        <w:t xml:space="preserve"> Finally, this case highlights the importance of continuous improvement in health and social care practice. Incidents such as missed visits should be reviewed carefully to identify underlying causes and prevent future occurrences. Reflective practice allows professionals to learn from mistakes and improve their performance. Ongoing training in communication, administration, and teamwork is also essential to maintain high standards of care. By developing these skills, healthcare workers can better respond to complex patient needs. Overall, strengthening these areas will lead to safer, more effective, and person-centred care, ensuring that individuals like Mr Ahmed receive appropriate support throughout their recovery.</w:t>
      </w:r>
    </w:p>
    <w:p w14:paraId="4DA44803" w14:textId="326B7694" w:rsidR="00D43516" w:rsidRDefault="00D43516">
      <w:pPr>
        <w:rPr>
          <w:rFonts w:ascii="Arial" w:hAnsi="Arial" w:cs="Arial"/>
          <w:sz w:val="22"/>
        </w:rPr>
      </w:pPr>
      <w:r>
        <w:rPr>
          <w:rFonts w:ascii="Arial" w:hAnsi="Arial" w:cs="Arial"/>
          <w:sz w:val="22"/>
        </w:rPr>
        <w:br w:type="page"/>
      </w:r>
    </w:p>
    <w:p w14:paraId="2383EEAD" w14:textId="085817D6" w:rsidR="005E7042" w:rsidRPr="005E7042" w:rsidRDefault="005E7042" w:rsidP="00D90E1B">
      <w:pPr>
        <w:pStyle w:val="Heading1"/>
        <w:rPr>
          <w:rFonts w:eastAsia="Times New Roman"/>
          <w:sz w:val="22"/>
          <w:szCs w:val="22"/>
          <w:lang w:eastAsia="en-GB"/>
        </w:rPr>
      </w:pPr>
      <w:bookmarkStart w:id="7" w:name="_Toc227500661"/>
      <w:r w:rsidRPr="002B3BDD">
        <w:lastRenderedPageBreak/>
        <w:t>5.</w:t>
      </w:r>
      <w:r w:rsidRPr="005E7042">
        <w:rPr>
          <w:rFonts w:eastAsia="Times New Roman"/>
          <w:bCs/>
          <w:sz w:val="22"/>
          <w:szCs w:val="22"/>
          <w:lang w:eastAsia="en-GB"/>
        </w:rPr>
        <w:t>References</w:t>
      </w:r>
      <w:bookmarkEnd w:id="7"/>
    </w:p>
    <w:p w14:paraId="17682D7B" w14:textId="77777777" w:rsidR="005E7042" w:rsidRPr="005E7042" w:rsidRDefault="005E7042" w:rsidP="005E7042">
      <w:pPr>
        <w:spacing w:before="100" w:beforeAutospacing="1" w:after="100" w:afterAutospacing="1" w:line="240" w:lineRule="auto"/>
        <w:rPr>
          <w:rFonts w:ascii="Arial" w:eastAsia="Times New Roman" w:hAnsi="Arial" w:cs="Arial"/>
          <w:sz w:val="22"/>
          <w:lang w:eastAsia="en-GB"/>
        </w:rPr>
      </w:pPr>
      <w:r w:rsidRPr="005E7042">
        <w:rPr>
          <w:rFonts w:ascii="Arial" w:eastAsia="Times New Roman" w:hAnsi="Arial" w:cs="Arial"/>
          <w:sz w:val="22"/>
          <w:lang w:eastAsia="en-GB"/>
        </w:rPr>
        <w:t xml:space="preserve">Care Quality Commission (CQC) (2023) </w:t>
      </w:r>
      <w:r w:rsidRPr="005E7042">
        <w:rPr>
          <w:rFonts w:ascii="Arial" w:eastAsia="Times New Roman" w:hAnsi="Arial" w:cs="Arial"/>
          <w:i/>
          <w:iCs/>
          <w:sz w:val="22"/>
          <w:lang w:eastAsia="en-GB"/>
        </w:rPr>
        <w:t>Regulation 17: Good governance</w:t>
      </w:r>
      <w:r w:rsidRPr="005E7042">
        <w:rPr>
          <w:rFonts w:ascii="Arial" w:eastAsia="Times New Roman" w:hAnsi="Arial" w:cs="Arial"/>
          <w:sz w:val="22"/>
          <w:lang w:eastAsia="en-GB"/>
        </w:rPr>
        <w:t xml:space="preserve">. Available at: </w:t>
      </w:r>
      <w:hyperlink r:id="rId8" w:history="1">
        <w:r w:rsidRPr="005E7042">
          <w:rPr>
            <w:rFonts w:ascii="Arial" w:eastAsia="Times New Roman" w:hAnsi="Arial" w:cs="Arial"/>
            <w:color w:val="0000FF"/>
            <w:sz w:val="22"/>
            <w:u w:val="single"/>
            <w:lang w:eastAsia="en-GB"/>
          </w:rPr>
          <w:t>https://www.cqc.org.uk</w:t>
        </w:r>
      </w:hyperlink>
      <w:r w:rsidRPr="005E7042">
        <w:rPr>
          <w:rFonts w:ascii="Arial" w:eastAsia="Times New Roman" w:hAnsi="Arial" w:cs="Arial"/>
          <w:sz w:val="22"/>
          <w:lang w:eastAsia="en-GB"/>
        </w:rPr>
        <w:t xml:space="preserve"> (Accessed: 15 April 2026).</w:t>
      </w:r>
    </w:p>
    <w:p w14:paraId="12A577DE" w14:textId="77777777" w:rsidR="005E7042" w:rsidRPr="005E7042" w:rsidRDefault="005E7042" w:rsidP="005E7042">
      <w:pPr>
        <w:spacing w:before="100" w:beforeAutospacing="1" w:after="100" w:afterAutospacing="1" w:line="240" w:lineRule="auto"/>
        <w:rPr>
          <w:rFonts w:ascii="Arial" w:eastAsia="Times New Roman" w:hAnsi="Arial" w:cs="Arial"/>
          <w:sz w:val="22"/>
          <w:lang w:eastAsia="en-GB"/>
        </w:rPr>
      </w:pPr>
      <w:r w:rsidRPr="005E7042">
        <w:rPr>
          <w:rFonts w:ascii="Arial" w:eastAsia="Times New Roman" w:hAnsi="Arial" w:cs="Arial"/>
          <w:sz w:val="22"/>
          <w:lang w:eastAsia="en-GB"/>
        </w:rPr>
        <w:t xml:space="preserve">Gov.uk (2010) </w:t>
      </w:r>
      <w:r w:rsidRPr="005E7042">
        <w:rPr>
          <w:rFonts w:ascii="Arial" w:eastAsia="Times New Roman" w:hAnsi="Arial" w:cs="Arial"/>
          <w:i/>
          <w:iCs/>
          <w:sz w:val="22"/>
          <w:lang w:eastAsia="en-GB"/>
        </w:rPr>
        <w:t>Equality Act 2010</w:t>
      </w:r>
      <w:r w:rsidRPr="005E7042">
        <w:rPr>
          <w:rFonts w:ascii="Arial" w:eastAsia="Times New Roman" w:hAnsi="Arial" w:cs="Arial"/>
          <w:sz w:val="22"/>
          <w:lang w:eastAsia="en-GB"/>
        </w:rPr>
        <w:t xml:space="preserve">. Available at: </w:t>
      </w:r>
      <w:hyperlink r:id="rId9" w:history="1">
        <w:r w:rsidRPr="005E7042">
          <w:rPr>
            <w:rFonts w:ascii="Arial" w:eastAsia="Times New Roman" w:hAnsi="Arial" w:cs="Arial"/>
            <w:color w:val="0000FF"/>
            <w:sz w:val="22"/>
            <w:u w:val="single"/>
            <w:lang w:eastAsia="en-GB"/>
          </w:rPr>
          <w:t>https://www.legislation.gov.uk</w:t>
        </w:r>
      </w:hyperlink>
      <w:r w:rsidRPr="005E7042">
        <w:rPr>
          <w:rFonts w:ascii="Arial" w:eastAsia="Times New Roman" w:hAnsi="Arial" w:cs="Arial"/>
          <w:sz w:val="22"/>
          <w:lang w:eastAsia="en-GB"/>
        </w:rPr>
        <w:t xml:space="preserve"> (Accessed: 15 April 2026).</w:t>
      </w:r>
    </w:p>
    <w:p w14:paraId="70F42B41" w14:textId="77777777" w:rsidR="005E7042" w:rsidRPr="005E7042" w:rsidRDefault="005E7042" w:rsidP="005E7042">
      <w:pPr>
        <w:spacing w:before="100" w:beforeAutospacing="1" w:after="100" w:afterAutospacing="1" w:line="240" w:lineRule="auto"/>
        <w:rPr>
          <w:rFonts w:ascii="Arial" w:eastAsia="Times New Roman" w:hAnsi="Arial" w:cs="Arial"/>
          <w:sz w:val="22"/>
          <w:lang w:eastAsia="en-GB"/>
        </w:rPr>
      </w:pPr>
      <w:r w:rsidRPr="005E7042">
        <w:rPr>
          <w:rFonts w:ascii="Arial" w:eastAsia="Times New Roman" w:hAnsi="Arial" w:cs="Arial"/>
          <w:sz w:val="22"/>
          <w:lang w:eastAsia="en-GB"/>
        </w:rPr>
        <w:t xml:space="preserve">Gov.uk (2018) </w:t>
      </w:r>
      <w:r w:rsidRPr="005E7042">
        <w:rPr>
          <w:rFonts w:ascii="Arial" w:eastAsia="Times New Roman" w:hAnsi="Arial" w:cs="Arial"/>
          <w:i/>
          <w:iCs/>
          <w:sz w:val="22"/>
          <w:lang w:eastAsia="en-GB"/>
        </w:rPr>
        <w:t>Data Protection Act 2018</w:t>
      </w:r>
      <w:r w:rsidRPr="005E7042">
        <w:rPr>
          <w:rFonts w:ascii="Arial" w:eastAsia="Times New Roman" w:hAnsi="Arial" w:cs="Arial"/>
          <w:sz w:val="22"/>
          <w:lang w:eastAsia="en-GB"/>
        </w:rPr>
        <w:t xml:space="preserve">. Available at: </w:t>
      </w:r>
      <w:hyperlink r:id="rId10" w:history="1">
        <w:r w:rsidRPr="005E7042">
          <w:rPr>
            <w:rFonts w:ascii="Arial" w:eastAsia="Times New Roman" w:hAnsi="Arial" w:cs="Arial"/>
            <w:color w:val="0000FF"/>
            <w:sz w:val="22"/>
            <w:u w:val="single"/>
            <w:lang w:eastAsia="en-GB"/>
          </w:rPr>
          <w:t>https://www.legislation.gov.uk</w:t>
        </w:r>
      </w:hyperlink>
      <w:r w:rsidRPr="005E7042">
        <w:rPr>
          <w:rFonts w:ascii="Arial" w:eastAsia="Times New Roman" w:hAnsi="Arial" w:cs="Arial"/>
          <w:sz w:val="22"/>
          <w:lang w:eastAsia="en-GB"/>
        </w:rPr>
        <w:t xml:space="preserve"> (Accessed: 15 April 2026).</w:t>
      </w:r>
    </w:p>
    <w:p w14:paraId="622C51E0" w14:textId="77777777" w:rsidR="005E7042" w:rsidRPr="005E7042" w:rsidRDefault="005E7042" w:rsidP="005E7042">
      <w:pPr>
        <w:spacing w:before="100" w:beforeAutospacing="1" w:after="100" w:afterAutospacing="1" w:line="240" w:lineRule="auto"/>
        <w:rPr>
          <w:rFonts w:ascii="Arial" w:eastAsia="Times New Roman" w:hAnsi="Arial" w:cs="Arial"/>
          <w:sz w:val="22"/>
          <w:lang w:eastAsia="en-GB"/>
        </w:rPr>
      </w:pPr>
      <w:r w:rsidRPr="005E7042">
        <w:rPr>
          <w:rFonts w:ascii="Arial" w:eastAsia="Times New Roman" w:hAnsi="Arial" w:cs="Arial"/>
          <w:sz w:val="22"/>
          <w:lang w:eastAsia="en-GB"/>
        </w:rPr>
        <w:t xml:space="preserve">Gov.uk (2022) </w:t>
      </w:r>
      <w:r w:rsidRPr="005E7042">
        <w:rPr>
          <w:rFonts w:ascii="Arial" w:eastAsia="Times New Roman" w:hAnsi="Arial" w:cs="Arial"/>
          <w:i/>
          <w:iCs/>
          <w:sz w:val="22"/>
          <w:lang w:eastAsia="en-GB"/>
        </w:rPr>
        <w:t>Health and Care Act 2022</w:t>
      </w:r>
      <w:r w:rsidRPr="005E7042">
        <w:rPr>
          <w:rFonts w:ascii="Arial" w:eastAsia="Times New Roman" w:hAnsi="Arial" w:cs="Arial"/>
          <w:sz w:val="22"/>
          <w:lang w:eastAsia="en-GB"/>
        </w:rPr>
        <w:t xml:space="preserve">. Available at: </w:t>
      </w:r>
      <w:hyperlink r:id="rId11" w:history="1">
        <w:r w:rsidRPr="005E7042">
          <w:rPr>
            <w:rFonts w:ascii="Arial" w:eastAsia="Times New Roman" w:hAnsi="Arial" w:cs="Arial"/>
            <w:color w:val="0000FF"/>
            <w:sz w:val="22"/>
            <w:u w:val="single"/>
            <w:lang w:eastAsia="en-GB"/>
          </w:rPr>
          <w:t>https://www.legislation.gov.uk</w:t>
        </w:r>
      </w:hyperlink>
      <w:r w:rsidRPr="005E7042">
        <w:rPr>
          <w:rFonts w:ascii="Arial" w:eastAsia="Times New Roman" w:hAnsi="Arial" w:cs="Arial"/>
          <w:sz w:val="22"/>
          <w:lang w:eastAsia="en-GB"/>
        </w:rPr>
        <w:t xml:space="preserve"> (Accessed: 15 April 2026).</w:t>
      </w:r>
    </w:p>
    <w:p w14:paraId="594DE28E" w14:textId="77777777" w:rsidR="005E7042" w:rsidRPr="005E7042" w:rsidRDefault="005E7042" w:rsidP="005E7042">
      <w:pPr>
        <w:spacing w:before="100" w:beforeAutospacing="1" w:after="100" w:afterAutospacing="1" w:line="240" w:lineRule="auto"/>
        <w:rPr>
          <w:rFonts w:ascii="Arial" w:eastAsia="Times New Roman" w:hAnsi="Arial" w:cs="Arial"/>
          <w:sz w:val="22"/>
          <w:lang w:eastAsia="en-GB"/>
        </w:rPr>
      </w:pPr>
      <w:r w:rsidRPr="005E7042">
        <w:rPr>
          <w:rFonts w:ascii="Arial" w:eastAsia="Times New Roman" w:hAnsi="Arial" w:cs="Arial"/>
          <w:sz w:val="22"/>
          <w:lang w:eastAsia="en-GB"/>
        </w:rPr>
        <w:t xml:space="preserve">NHS Digital (2021) </w:t>
      </w:r>
      <w:r w:rsidRPr="005E7042">
        <w:rPr>
          <w:rFonts w:ascii="Arial" w:eastAsia="Times New Roman" w:hAnsi="Arial" w:cs="Arial"/>
          <w:i/>
          <w:iCs/>
          <w:sz w:val="22"/>
          <w:lang w:eastAsia="en-GB"/>
        </w:rPr>
        <w:t>Records Management Code of Practice for Health and Social Care</w:t>
      </w:r>
      <w:r w:rsidRPr="005E7042">
        <w:rPr>
          <w:rFonts w:ascii="Arial" w:eastAsia="Times New Roman" w:hAnsi="Arial" w:cs="Arial"/>
          <w:sz w:val="22"/>
          <w:lang w:eastAsia="en-GB"/>
        </w:rPr>
        <w:t xml:space="preserve">. Available at: </w:t>
      </w:r>
      <w:hyperlink r:id="rId12" w:history="1">
        <w:r w:rsidRPr="005E7042">
          <w:rPr>
            <w:rFonts w:ascii="Arial" w:eastAsia="Times New Roman" w:hAnsi="Arial" w:cs="Arial"/>
            <w:color w:val="0000FF"/>
            <w:sz w:val="22"/>
            <w:u w:val="single"/>
            <w:lang w:eastAsia="en-GB"/>
          </w:rPr>
          <w:t>https://digital.nhs.uk</w:t>
        </w:r>
      </w:hyperlink>
      <w:r w:rsidRPr="005E7042">
        <w:rPr>
          <w:rFonts w:ascii="Arial" w:eastAsia="Times New Roman" w:hAnsi="Arial" w:cs="Arial"/>
          <w:sz w:val="22"/>
          <w:lang w:eastAsia="en-GB"/>
        </w:rPr>
        <w:t xml:space="preserve"> (Accessed: 15 April 2026).</w:t>
      </w:r>
    </w:p>
    <w:p w14:paraId="1BF935CF" w14:textId="77777777" w:rsidR="005E7042" w:rsidRPr="005E7042" w:rsidRDefault="005E7042" w:rsidP="005E7042">
      <w:pPr>
        <w:spacing w:before="100" w:beforeAutospacing="1" w:after="100" w:afterAutospacing="1" w:line="240" w:lineRule="auto"/>
        <w:rPr>
          <w:rFonts w:ascii="Arial" w:eastAsia="Times New Roman" w:hAnsi="Arial" w:cs="Arial"/>
          <w:sz w:val="22"/>
          <w:lang w:eastAsia="en-GB"/>
        </w:rPr>
      </w:pPr>
      <w:r w:rsidRPr="005E7042">
        <w:rPr>
          <w:rFonts w:ascii="Arial" w:eastAsia="Times New Roman" w:hAnsi="Arial" w:cs="Arial"/>
          <w:sz w:val="22"/>
          <w:lang w:eastAsia="en-GB"/>
        </w:rPr>
        <w:t xml:space="preserve">NHS England (2023) </w:t>
      </w:r>
      <w:r w:rsidRPr="005E7042">
        <w:rPr>
          <w:rFonts w:ascii="Arial" w:eastAsia="Times New Roman" w:hAnsi="Arial" w:cs="Arial"/>
          <w:i/>
          <w:iCs/>
          <w:sz w:val="22"/>
          <w:lang w:eastAsia="en-GB"/>
        </w:rPr>
        <w:t>Accessible Information Standard</w:t>
      </w:r>
      <w:r w:rsidRPr="005E7042">
        <w:rPr>
          <w:rFonts w:ascii="Arial" w:eastAsia="Times New Roman" w:hAnsi="Arial" w:cs="Arial"/>
          <w:sz w:val="22"/>
          <w:lang w:eastAsia="en-GB"/>
        </w:rPr>
        <w:t xml:space="preserve">. Available at: </w:t>
      </w:r>
      <w:hyperlink r:id="rId13" w:history="1">
        <w:r w:rsidRPr="005E7042">
          <w:rPr>
            <w:rFonts w:ascii="Arial" w:eastAsia="Times New Roman" w:hAnsi="Arial" w:cs="Arial"/>
            <w:color w:val="0000FF"/>
            <w:sz w:val="22"/>
            <w:u w:val="single"/>
            <w:lang w:eastAsia="en-GB"/>
          </w:rPr>
          <w:t>https://www.england.nhs.uk</w:t>
        </w:r>
      </w:hyperlink>
      <w:r w:rsidRPr="005E7042">
        <w:rPr>
          <w:rFonts w:ascii="Arial" w:eastAsia="Times New Roman" w:hAnsi="Arial" w:cs="Arial"/>
          <w:sz w:val="22"/>
          <w:lang w:eastAsia="en-GB"/>
        </w:rPr>
        <w:t xml:space="preserve"> (Accessed: 15 April 2026).</w:t>
      </w:r>
    </w:p>
    <w:p w14:paraId="4291FFF8" w14:textId="77777777" w:rsidR="005E7042" w:rsidRPr="005E7042" w:rsidRDefault="005E7042" w:rsidP="005E7042">
      <w:pPr>
        <w:spacing w:before="100" w:beforeAutospacing="1" w:after="100" w:afterAutospacing="1" w:line="240" w:lineRule="auto"/>
        <w:rPr>
          <w:rFonts w:ascii="Arial" w:eastAsia="Times New Roman" w:hAnsi="Arial" w:cs="Arial"/>
          <w:sz w:val="22"/>
          <w:lang w:eastAsia="en-GB"/>
        </w:rPr>
      </w:pPr>
      <w:r w:rsidRPr="005E7042">
        <w:rPr>
          <w:rFonts w:ascii="Arial" w:eastAsia="Times New Roman" w:hAnsi="Arial" w:cs="Arial"/>
          <w:sz w:val="22"/>
          <w:lang w:eastAsia="en-GB"/>
        </w:rPr>
        <w:t xml:space="preserve">Shannon, C.E. and Weaver, W. (1949) </w:t>
      </w:r>
      <w:r w:rsidRPr="005E7042">
        <w:rPr>
          <w:rFonts w:ascii="Arial" w:eastAsia="Times New Roman" w:hAnsi="Arial" w:cs="Arial"/>
          <w:i/>
          <w:iCs/>
          <w:sz w:val="22"/>
          <w:lang w:eastAsia="en-GB"/>
        </w:rPr>
        <w:t>The Mathematical Theory of Communication</w:t>
      </w:r>
      <w:r w:rsidRPr="005E7042">
        <w:rPr>
          <w:rFonts w:ascii="Arial" w:eastAsia="Times New Roman" w:hAnsi="Arial" w:cs="Arial"/>
          <w:sz w:val="22"/>
          <w:lang w:eastAsia="en-GB"/>
        </w:rPr>
        <w:t>. Urbana: University of Illinois Press.</w:t>
      </w:r>
    </w:p>
    <w:p w14:paraId="1425F4AC" w14:textId="2FA3370E" w:rsidR="001D7C03" w:rsidRPr="002B3BDD" w:rsidRDefault="001D7C03" w:rsidP="005E7042">
      <w:pPr>
        <w:pStyle w:val="Heading1"/>
        <w:rPr>
          <w:sz w:val="22"/>
          <w:szCs w:val="22"/>
        </w:rPr>
      </w:pPr>
    </w:p>
    <w:sectPr w:rsidR="001D7C03" w:rsidRPr="002B3BDD" w:rsidSect="00E620E7">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1C47E" w14:textId="77777777" w:rsidR="00C32F68" w:rsidRDefault="00C32F68" w:rsidP="003E4ECF">
      <w:pPr>
        <w:spacing w:after="0" w:line="240" w:lineRule="auto"/>
      </w:pPr>
      <w:r>
        <w:separator/>
      </w:r>
    </w:p>
  </w:endnote>
  <w:endnote w:type="continuationSeparator" w:id="0">
    <w:p w14:paraId="0E65D6D6" w14:textId="77777777" w:rsidR="00C32F68" w:rsidRDefault="00C32F68"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5507740"/>
      <w:docPartObj>
        <w:docPartGallery w:val="Page Numbers (Bottom of Page)"/>
        <w:docPartUnique/>
      </w:docPartObj>
    </w:sdtPr>
    <w:sdtEndPr/>
    <w:sdtContent>
      <w:p w14:paraId="2C44E63D" w14:textId="6F42F211" w:rsidR="00CE478C" w:rsidRDefault="00CE478C">
        <w:pPr>
          <w:pStyle w:val="Footer"/>
          <w:jc w:val="right"/>
        </w:pPr>
        <w:r>
          <w:fldChar w:fldCharType="begin"/>
        </w:r>
        <w:r>
          <w:instrText>PAGE   \* MERGEFORMAT</w:instrText>
        </w:r>
        <w:r>
          <w:fldChar w:fldCharType="separate"/>
        </w:r>
        <w:r>
          <w:t>2</w:t>
        </w:r>
        <w: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5F8EB" w14:textId="77777777" w:rsidR="00C32F68" w:rsidRDefault="00C32F68" w:rsidP="003E4ECF">
      <w:pPr>
        <w:spacing w:after="0" w:line="240" w:lineRule="auto"/>
      </w:pPr>
      <w:r>
        <w:separator/>
      </w:r>
    </w:p>
  </w:footnote>
  <w:footnote w:type="continuationSeparator" w:id="0">
    <w:p w14:paraId="53071D16" w14:textId="77777777" w:rsidR="00C32F68" w:rsidRDefault="00C32F68"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3120BD"/>
    <w:multiLevelType w:val="hybridMultilevel"/>
    <w:tmpl w:val="5F70C5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9F18B4"/>
    <w:multiLevelType w:val="hybridMultilevel"/>
    <w:tmpl w:val="BBC28C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7E482B"/>
    <w:multiLevelType w:val="hybridMultilevel"/>
    <w:tmpl w:val="FF66A1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849213">
    <w:abstractNumId w:val="2"/>
  </w:num>
  <w:num w:numId="2" w16cid:durableId="1913539639">
    <w:abstractNumId w:val="0"/>
  </w:num>
  <w:num w:numId="3" w16cid:durableId="1934697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472A"/>
    <w:rsid w:val="000572BF"/>
    <w:rsid w:val="00074402"/>
    <w:rsid w:val="000D3BD2"/>
    <w:rsid w:val="000E35EC"/>
    <w:rsid w:val="000E3ECF"/>
    <w:rsid w:val="000F0FE6"/>
    <w:rsid w:val="0010061C"/>
    <w:rsid w:val="001140A0"/>
    <w:rsid w:val="0013663B"/>
    <w:rsid w:val="00180FF1"/>
    <w:rsid w:val="001B0104"/>
    <w:rsid w:val="001D7C03"/>
    <w:rsid w:val="001E2DA7"/>
    <w:rsid w:val="001F4CC6"/>
    <w:rsid w:val="00216C85"/>
    <w:rsid w:val="0026393A"/>
    <w:rsid w:val="00273EDD"/>
    <w:rsid w:val="00284985"/>
    <w:rsid w:val="002930E5"/>
    <w:rsid w:val="002B3BDD"/>
    <w:rsid w:val="002C3965"/>
    <w:rsid w:val="002D34A2"/>
    <w:rsid w:val="002F06EF"/>
    <w:rsid w:val="0030053B"/>
    <w:rsid w:val="00310EDA"/>
    <w:rsid w:val="00321C4C"/>
    <w:rsid w:val="00392BBC"/>
    <w:rsid w:val="003C53A0"/>
    <w:rsid w:val="003C722F"/>
    <w:rsid w:val="003E4ECF"/>
    <w:rsid w:val="004A736E"/>
    <w:rsid w:val="004D2503"/>
    <w:rsid w:val="004F5392"/>
    <w:rsid w:val="00512E1E"/>
    <w:rsid w:val="00533070"/>
    <w:rsid w:val="00551973"/>
    <w:rsid w:val="005820DA"/>
    <w:rsid w:val="005C1686"/>
    <w:rsid w:val="005E7042"/>
    <w:rsid w:val="005F4329"/>
    <w:rsid w:val="005F7A4E"/>
    <w:rsid w:val="006925AA"/>
    <w:rsid w:val="006A6E5D"/>
    <w:rsid w:val="006D5B4A"/>
    <w:rsid w:val="00705964"/>
    <w:rsid w:val="007132CC"/>
    <w:rsid w:val="00725177"/>
    <w:rsid w:val="007629E9"/>
    <w:rsid w:val="007A1B8D"/>
    <w:rsid w:val="00814A9E"/>
    <w:rsid w:val="0083564F"/>
    <w:rsid w:val="008D3647"/>
    <w:rsid w:val="008D3A8E"/>
    <w:rsid w:val="008E3943"/>
    <w:rsid w:val="0090040D"/>
    <w:rsid w:val="00927F03"/>
    <w:rsid w:val="00971607"/>
    <w:rsid w:val="009A6BC1"/>
    <w:rsid w:val="009C5E97"/>
    <w:rsid w:val="009D052C"/>
    <w:rsid w:val="009D1D1E"/>
    <w:rsid w:val="009D1F1F"/>
    <w:rsid w:val="00A035FD"/>
    <w:rsid w:val="00A76684"/>
    <w:rsid w:val="00AC243C"/>
    <w:rsid w:val="00AD23A0"/>
    <w:rsid w:val="00AE1F8E"/>
    <w:rsid w:val="00B515E7"/>
    <w:rsid w:val="00B53B47"/>
    <w:rsid w:val="00B81E0F"/>
    <w:rsid w:val="00B87E75"/>
    <w:rsid w:val="00BF61B9"/>
    <w:rsid w:val="00C32F68"/>
    <w:rsid w:val="00C35DB0"/>
    <w:rsid w:val="00C4089E"/>
    <w:rsid w:val="00CB1E34"/>
    <w:rsid w:val="00CD33A8"/>
    <w:rsid w:val="00CE23FC"/>
    <w:rsid w:val="00CE2D99"/>
    <w:rsid w:val="00CE478C"/>
    <w:rsid w:val="00D24AEB"/>
    <w:rsid w:val="00D33B58"/>
    <w:rsid w:val="00D41D93"/>
    <w:rsid w:val="00D43516"/>
    <w:rsid w:val="00D51460"/>
    <w:rsid w:val="00D90E1B"/>
    <w:rsid w:val="00DA0B7F"/>
    <w:rsid w:val="00DB57EA"/>
    <w:rsid w:val="00DC77C0"/>
    <w:rsid w:val="00DD1BE7"/>
    <w:rsid w:val="00E569FD"/>
    <w:rsid w:val="00E620E7"/>
    <w:rsid w:val="00E76ACD"/>
    <w:rsid w:val="00E847F2"/>
    <w:rsid w:val="00EA0C60"/>
    <w:rsid w:val="00EA65F6"/>
    <w:rsid w:val="00F03A12"/>
    <w:rsid w:val="00F46004"/>
    <w:rsid w:val="00F64216"/>
    <w:rsid w:val="00F64336"/>
    <w:rsid w:val="00F66E1B"/>
    <w:rsid w:val="00F73236"/>
    <w:rsid w:val="00FB2697"/>
    <w:rsid w:val="00FC3DA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D3647"/>
    <w:pPr>
      <w:keepNext/>
      <w:keepLines/>
      <w:spacing w:before="100" w:beforeAutospacing="1" w:after="100" w:afterAutospacing="1" w:line="360" w:lineRule="auto"/>
      <w:outlineLvl w:val="0"/>
    </w:pPr>
    <w:rPr>
      <w:rFonts w:ascii="Arial" w:eastAsiaTheme="majorEastAsia" w:hAnsi="Arial" w:cs="Arial"/>
      <w:b/>
      <w:szCs w:val="24"/>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3647"/>
    <w:rPr>
      <w:rFonts w:ascii="Arial" w:eastAsiaTheme="majorEastAsia" w:hAnsi="Arial" w:cs="Arial"/>
      <w:b/>
      <w:szCs w:val="24"/>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F03A12"/>
    <w:pPr>
      <w:ind w:left="720"/>
      <w:contextualSpacing/>
    </w:pPr>
  </w:style>
  <w:style w:type="paragraph" w:styleId="TOCHeading">
    <w:name w:val="TOC Heading"/>
    <w:basedOn w:val="Heading1"/>
    <w:next w:val="Normal"/>
    <w:uiPriority w:val="39"/>
    <w:unhideWhenUsed/>
    <w:qFormat/>
    <w:rsid w:val="009D1F1F"/>
    <w:pPr>
      <w:spacing w:line="259" w:lineRule="auto"/>
      <w:outlineLvl w:val="9"/>
    </w:pPr>
    <w:rPr>
      <w:rFonts w:asciiTheme="majorHAnsi" w:hAnsiTheme="majorHAnsi" w:cstheme="majorBidi"/>
      <w:b w:val="0"/>
      <w:color w:val="2F5496" w:themeColor="accent1" w:themeShade="BF"/>
      <w:szCs w:val="32"/>
      <w:lang w:eastAsia="en-GB"/>
    </w:rPr>
  </w:style>
  <w:style w:type="paragraph" w:styleId="TOC1">
    <w:name w:val="toc 1"/>
    <w:basedOn w:val="Normal"/>
    <w:next w:val="Normal"/>
    <w:autoRedefine/>
    <w:uiPriority w:val="39"/>
    <w:unhideWhenUsed/>
    <w:rsid w:val="009D1F1F"/>
    <w:pPr>
      <w:spacing w:after="100"/>
    </w:pPr>
  </w:style>
  <w:style w:type="character" w:styleId="Hyperlink">
    <w:name w:val="Hyperlink"/>
    <w:basedOn w:val="DefaultParagraphFont"/>
    <w:uiPriority w:val="99"/>
    <w:unhideWhenUsed/>
    <w:rsid w:val="009D1F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 TargetMode="External"/><Relationship Id="rId13" Type="http://schemas.openxmlformats.org/officeDocument/2006/relationships/hyperlink" Target="https://www.england.nhs.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igital.nhs.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gislation.gov.uk/" TargetMode="External"/><Relationship Id="rId4" Type="http://schemas.openxmlformats.org/officeDocument/2006/relationships/webSettings" Target="webSettings.xml"/><Relationship Id="rId9" Type="http://schemas.openxmlformats.org/officeDocument/2006/relationships/hyperlink" Target="https://www.legislation.gov.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1967</Words>
  <Characters>11215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jowita.nowacka50@gmail.com</cp:lastModifiedBy>
  <cp:revision>2</cp:revision>
  <dcterms:created xsi:type="dcterms:W3CDTF">2026-04-19T13:24:00Z</dcterms:created>
  <dcterms:modified xsi:type="dcterms:W3CDTF">2026-04-19T13:24:00Z</dcterms:modified>
</cp:coreProperties>
</file>