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B475F" w:rsidRPr="00074402" w:rsidRDefault="00074402" w:rsidP="003E4ECF">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74402" w:rsidRDefault="00074402" w:rsidP="003E4ECF">
      <w:pPr>
        <w:spacing w:line="360" w:lineRule="auto"/>
        <w:rPr>
          <w:rFonts w:ascii="Arial" w:hAnsi="Arial" w:cs="Arial"/>
          <w:szCs w:val="24"/>
        </w:rPr>
      </w:pPr>
    </w:p>
    <w:p w14:paraId="4E267F2C" w14:textId="35E99859" w:rsidR="00074402" w:rsidRPr="00074402" w:rsidRDefault="00074402" w:rsidP="003E4ECF">
      <w:pPr>
        <w:spacing w:line="360" w:lineRule="auto"/>
        <w:rPr>
          <w:rFonts w:ascii="Arial" w:hAnsi="Arial" w:cs="Arial"/>
          <w:szCs w:val="24"/>
        </w:rPr>
      </w:pPr>
    </w:p>
    <w:p w14:paraId="5D864E3F" w14:textId="04749E68" w:rsidR="00074402" w:rsidRPr="00074402" w:rsidRDefault="00074402" w:rsidP="003E4ECF">
      <w:pPr>
        <w:spacing w:line="360" w:lineRule="auto"/>
        <w:rPr>
          <w:rFonts w:ascii="Arial" w:hAnsi="Arial" w:cs="Arial"/>
          <w:szCs w:val="24"/>
        </w:rPr>
      </w:pPr>
    </w:p>
    <w:p w14:paraId="22F2817A" w14:textId="77777777" w:rsidR="00074402" w:rsidRDefault="00074402" w:rsidP="003E4ECF">
      <w:pPr>
        <w:tabs>
          <w:tab w:val="left" w:pos="6540"/>
        </w:tabs>
        <w:spacing w:line="360" w:lineRule="auto"/>
        <w:rPr>
          <w:rFonts w:ascii="Arial" w:hAnsi="Arial" w:cs="Arial"/>
          <w:sz w:val="28"/>
          <w:szCs w:val="28"/>
        </w:rPr>
      </w:pPr>
    </w:p>
    <w:p w14:paraId="0A48766D" w14:textId="7A50961C"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w:t>
      </w:r>
      <w:r w:rsidR="00AF6D12">
        <w:rPr>
          <w:rFonts w:ascii="Arial" w:hAnsi="Arial" w:cs="Arial"/>
          <w:sz w:val="28"/>
          <w:szCs w:val="28"/>
        </w:rPr>
        <w:t xml:space="preserve"> Ruth Sene</w:t>
      </w:r>
    </w:p>
    <w:p w14:paraId="39AA4413" w14:textId="1573EABE"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w:t>
      </w:r>
      <w:r w:rsidR="00AF6D12">
        <w:rPr>
          <w:rFonts w:ascii="Arial" w:hAnsi="Arial" w:cs="Arial"/>
          <w:sz w:val="28"/>
          <w:szCs w:val="28"/>
        </w:rPr>
        <w:t xml:space="preserve"> 2029258</w:t>
      </w:r>
    </w:p>
    <w:p w14:paraId="5E81F6AD" w14:textId="77777777" w:rsidR="00074402" w:rsidRDefault="00074402" w:rsidP="003E4ECF">
      <w:pPr>
        <w:tabs>
          <w:tab w:val="left" w:pos="6540"/>
        </w:tabs>
        <w:spacing w:line="360" w:lineRule="auto"/>
        <w:rPr>
          <w:rFonts w:ascii="Arial" w:hAnsi="Arial" w:cs="Arial"/>
          <w:sz w:val="28"/>
          <w:szCs w:val="28"/>
        </w:rPr>
      </w:pPr>
    </w:p>
    <w:p w14:paraId="76B6655A" w14:textId="01ADF3BC"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sidR="002A6336">
        <w:rPr>
          <w:rFonts w:ascii="Arial" w:hAnsi="Arial" w:cs="Arial"/>
          <w:sz w:val="28"/>
          <w:szCs w:val="28"/>
        </w:rPr>
        <w:t>intro</w:t>
      </w:r>
      <w:r w:rsidR="00961E6D">
        <w:rPr>
          <w:rFonts w:ascii="Arial" w:hAnsi="Arial" w:cs="Arial"/>
          <w:sz w:val="28"/>
          <w:szCs w:val="28"/>
        </w:rPr>
        <w:t xml:space="preserve">duction to research </w:t>
      </w:r>
    </w:p>
    <w:p w14:paraId="4E5B279A" w14:textId="33BB38C7"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961E6D">
        <w:rPr>
          <w:rFonts w:ascii="Arial" w:hAnsi="Arial" w:cs="Arial"/>
          <w:sz w:val="28"/>
          <w:szCs w:val="28"/>
        </w:rPr>
        <w:t>3500</w:t>
      </w:r>
    </w:p>
    <w:p w14:paraId="1A0B2D2B" w14:textId="2C4A8D1C"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 xml:space="preserve">Lecturer </w:t>
      </w:r>
      <w:r w:rsidR="00AF6D12" w:rsidRPr="00074402">
        <w:rPr>
          <w:rFonts w:ascii="Arial" w:hAnsi="Arial" w:cs="Arial"/>
          <w:b/>
          <w:bCs/>
          <w:sz w:val="28"/>
          <w:szCs w:val="28"/>
        </w:rPr>
        <w:t>name</w:t>
      </w:r>
      <w:r w:rsidR="00AF6D12">
        <w:rPr>
          <w:rFonts w:ascii="Arial" w:hAnsi="Arial" w:cs="Arial"/>
          <w:sz w:val="28"/>
          <w:szCs w:val="28"/>
        </w:rPr>
        <w:t xml:space="preserve">: Rachel Cohen </w:t>
      </w:r>
    </w:p>
    <w:p w14:paraId="39D08584" w14:textId="77777777" w:rsidR="00074402" w:rsidRDefault="00074402" w:rsidP="003E4ECF">
      <w:pPr>
        <w:tabs>
          <w:tab w:val="left" w:pos="6540"/>
        </w:tabs>
        <w:spacing w:line="360" w:lineRule="auto"/>
        <w:rPr>
          <w:rFonts w:ascii="Arial" w:hAnsi="Arial" w:cs="Arial"/>
          <w:sz w:val="28"/>
          <w:szCs w:val="28"/>
        </w:rPr>
      </w:pPr>
    </w:p>
    <w:p w14:paraId="5B66D125" w14:textId="77777777" w:rsidR="00074402" w:rsidRDefault="00074402" w:rsidP="003E4ECF">
      <w:pPr>
        <w:tabs>
          <w:tab w:val="left" w:pos="6540"/>
        </w:tabs>
        <w:spacing w:line="360" w:lineRule="auto"/>
        <w:rPr>
          <w:rFonts w:ascii="Arial" w:hAnsi="Arial" w:cs="Arial"/>
          <w:sz w:val="28"/>
          <w:szCs w:val="28"/>
        </w:rPr>
      </w:pPr>
    </w:p>
    <w:p w14:paraId="291524A2" w14:textId="2CBFF360" w:rsidR="00074402" w:rsidRDefault="00074402" w:rsidP="003E4ECF">
      <w:pPr>
        <w:tabs>
          <w:tab w:val="left" w:pos="6540"/>
        </w:tabs>
        <w:spacing w:line="360" w:lineRule="auto"/>
        <w:rPr>
          <w:rFonts w:ascii="Arial" w:hAnsi="Arial" w:cs="Arial"/>
          <w:sz w:val="28"/>
          <w:szCs w:val="28"/>
        </w:rPr>
      </w:pPr>
    </w:p>
    <w:p w14:paraId="5AE88297" w14:textId="24E6B718" w:rsidR="00B87E75" w:rsidRDefault="00B87E75" w:rsidP="003E4ECF">
      <w:pPr>
        <w:tabs>
          <w:tab w:val="left" w:pos="6540"/>
        </w:tabs>
        <w:spacing w:line="360" w:lineRule="auto"/>
        <w:rPr>
          <w:rFonts w:ascii="Arial" w:hAnsi="Arial" w:cs="Arial"/>
          <w:sz w:val="28"/>
          <w:szCs w:val="28"/>
        </w:rPr>
      </w:pPr>
    </w:p>
    <w:p w14:paraId="420ADE33" w14:textId="35FB1322" w:rsidR="00B87E75" w:rsidRDefault="00B87E75" w:rsidP="003E4ECF">
      <w:pPr>
        <w:spacing w:line="360" w:lineRule="auto"/>
        <w:rPr>
          <w:rFonts w:ascii="Arial" w:hAnsi="Arial" w:cs="Arial"/>
          <w:sz w:val="28"/>
          <w:szCs w:val="28"/>
        </w:rPr>
      </w:pPr>
      <w:r>
        <w:rPr>
          <w:rFonts w:ascii="Arial" w:hAnsi="Arial" w:cs="Arial"/>
          <w:sz w:val="28"/>
          <w:szCs w:val="28"/>
        </w:rPr>
        <w:br w:type="page"/>
      </w:r>
    </w:p>
    <w:p w14:paraId="05AB2C84" w14:textId="4D2C1F1C" w:rsidR="00B87E75" w:rsidRDefault="00B87E75" w:rsidP="00AD28EE">
      <w:pPr>
        <w:pStyle w:val="Heading1"/>
      </w:pPr>
      <w:r w:rsidRPr="00B87E75">
        <w:lastRenderedPageBreak/>
        <w:t>Table of contents</w:t>
      </w:r>
    </w:p>
    <w:p w14:paraId="13E00080" w14:textId="137FF22A" w:rsidR="00B87E75" w:rsidRPr="001D7C03" w:rsidRDefault="00B87E75" w:rsidP="001D7C03">
      <w:pPr>
        <w:rPr>
          <w:rFonts w:ascii="Arial" w:hAnsi="Arial" w:cs="Arial"/>
          <w:szCs w:val="24"/>
        </w:rPr>
      </w:pPr>
    </w:p>
    <w:p w14:paraId="51C5A05A" w14:textId="7E8BF213" w:rsidR="006D2748" w:rsidRDefault="006D2748" w:rsidP="001D7C03">
      <w:pPr>
        <w:rPr>
          <w:rFonts w:ascii="Arial" w:hAnsi="Arial" w:cs="Arial"/>
          <w:szCs w:val="24"/>
        </w:rPr>
      </w:pPr>
      <w:r>
        <w:rPr>
          <w:rFonts w:ascii="Arial" w:hAnsi="Arial" w:cs="Arial"/>
          <w:szCs w:val="24"/>
        </w:rPr>
        <w:t>Introduction………………………………………………………………………………….</w:t>
      </w:r>
    </w:p>
    <w:p w14:paraId="2E79F7ED" w14:textId="3D611DEB" w:rsidR="00B87E75" w:rsidRDefault="00FF5A2C" w:rsidP="001D7C03">
      <w:pPr>
        <w:rPr>
          <w:rFonts w:ascii="Arial" w:hAnsi="Arial" w:cs="Arial"/>
          <w:szCs w:val="24"/>
        </w:rPr>
      </w:pPr>
      <w:r>
        <w:rPr>
          <w:rFonts w:ascii="Arial" w:hAnsi="Arial" w:cs="Arial"/>
          <w:szCs w:val="24"/>
        </w:rPr>
        <w:t>Aim</w:t>
      </w:r>
      <w:r w:rsidR="001C5264">
        <w:rPr>
          <w:rFonts w:ascii="Arial" w:hAnsi="Arial" w:cs="Arial"/>
          <w:szCs w:val="24"/>
        </w:rPr>
        <w:t>, objectives, background</w:t>
      </w:r>
      <w:r w:rsidR="00AD0372">
        <w:rPr>
          <w:rFonts w:ascii="Arial" w:hAnsi="Arial" w:cs="Arial"/>
          <w:szCs w:val="24"/>
        </w:rPr>
        <w:t>…………………………………………………………………</w:t>
      </w:r>
    </w:p>
    <w:p w14:paraId="6252C77D" w14:textId="1D885ED6" w:rsidR="00AD0372" w:rsidRDefault="00AD0372" w:rsidP="001D7C03">
      <w:pPr>
        <w:rPr>
          <w:rFonts w:ascii="Arial" w:hAnsi="Arial" w:cs="Arial"/>
          <w:szCs w:val="24"/>
        </w:rPr>
      </w:pPr>
      <w:r>
        <w:rPr>
          <w:rFonts w:ascii="Arial" w:hAnsi="Arial" w:cs="Arial"/>
          <w:szCs w:val="24"/>
        </w:rPr>
        <w:t>Methodology and method</w:t>
      </w:r>
      <w:r w:rsidR="0045335D">
        <w:rPr>
          <w:rFonts w:ascii="Arial" w:hAnsi="Arial" w:cs="Arial"/>
          <w:szCs w:val="24"/>
        </w:rPr>
        <w:t>s…………………………………………………………………</w:t>
      </w:r>
    </w:p>
    <w:p w14:paraId="13AAFBC8" w14:textId="6566015D" w:rsidR="0045335D" w:rsidRDefault="0045335D" w:rsidP="001D7C03">
      <w:pPr>
        <w:rPr>
          <w:rFonts w:ascii="Arial" w:hAnsi="Arial" w:cs="Arial"/>
          <w:szCs w:val="24"/>
        </w:rPr>
      </w:pPr>
      <w:r>
        <w:rPr>
          <w:rFonts w:ascii="Arial" w:hAnsi="Arial" w:cs="Arial"/>
          <w:szCs w:val="24"/>
        </w:rPr>
        <w:t>Consideration of the import</w:t>
      </w:r>
      <w:r w:rsidR="001029FA">
        <w:rPr>
          <w:rFonts w:ascii="Arial" w:hAnsi="Arial" w:cs="Arial"/>
          <w:szCs w:val="24"/>
        </w:rPr>
        <w:t>ance of ethical practice</w:t>
      </w:r>
      <w:r w:rsidR="002C3306">
        <w:rPr>
          <w:rFonts w:ascii="Arial" w:hAnsi="Arial" w:cs="Arial"/>
          <w:szCs w:val="24"/>
        </w:rPr>
        <w:t xml:space="preserve"> in research</w:t>
      </w:r>
      <w:r w:rsidR="001029FA">
        <w:rPr>
          <w:rFonts w:ascii="Arial" w:hAnsi="Arial" w:cs="Arial"/>
          <w:szCs w:val="24"/>
        </w:rPr>
        <w:t>………………………</w:t>
      </w:r>
      <w:r w:rsidR="002C3306">
        <w:rPr>
          <w:rFonts w:ascii="Arial" w:hAnsi="Arial" w:cs="Arial"/>
          <w:szCs w:val="24"/>
        </w:rPr>
        <w:t>.</w:t>
      </w:r>
    </w:p>
    <w:p w14:paraId="154F4A25" w14:textId="48BFADB1" w:rsidR="002C3306" w:rsidRDefault="002C3306" w:rsidP="001D7C03">
      <w:pPr>
        <w:rPr>
          <w:rFonts w:ascii="Arial" w:hAnsi="Arial" w:cs="Arial"/>
          <w:szCs w:val="24"/>
        </w:rPr>
      </w:pPr>
      <w:r>
        <w:rPr>
          <w:rFonts w:ascii="Arial" w:hAnsi="Arial" w:cs="Arial"/>
          <w:szCs w:val="24"/>
        </w:rPr>
        <w:t>A the</w:t>
      </w:r>
      <w:r w:rsidR="00790280">
        <w:rPr>
          <w:rFonts w:ascii="Arial" w:hAnsi="Arial" w:cs="Arial"/>
          <w:szCs w:val="24"/>
        </w:rPr>
        <w:t xml:space="preserve">matic review of published literature related </w:t>
      </w:r>
      <w:r w:rsidR="00C767DD">
        <w:rPr>
          <w:rFonts w:ascii="Arial" w:hAnsi="Arial" w:cs="Arial"/>
          <w:szCs w:val="24"/>
        </w:rPr>
        <w:t>to the research topic…………………</w:t>
      </w:r>
    </w:p>
    <w:p w14:paraId="7C773FBB" w14:textId="14205781" w:rsidR="00C767DD" w:rsidRDefault="00C767DD" w:rsidP="001D7C03">
      <w:pPr>
        <w:rPr>
          <w:rFonts w:ascii="Arial" w:hAnsi="Arial" w:cs="Arial"/>
          <w:szCs w:val="24"/>
        </w:rPr>
      </w:pPr>
      <w:r>
        <w:rPr>
          <w:rFonts w:ascii="Arial" w:hAnsi="Arial" w:cs="Arial"/>
          <w:szCs w:val="24"/>
        </w:rPr>
        <w:t>Discussion of the finding</w:t>
      </w:r>
      <w:r w:rsidR="006617DF">
        <w:rPr>
          <w:rFonts w:ascii="Arial" w:hAnsi="Arial" w:cs="Arial"/>
          <w:szCs w:val="24"/>
        </w:rPr>
        <w:t>s of the review…………………………………………………….</w:t>
      </w:r>
    </w:p>
    <w:p w14:paraId="37C9BD57" w14:textId="639B92BB" w:rsidR="006617DF" w:rsidRDefault="00DC4F30" w:rsidP="001D7C03">
      <w:pPr>
        <w:rPr>
          <w:rFonts w:ascii="Arial" w:hAnsi="Arial" w:cs="Arial"/>
          <w:szCs w:val="24"/>
        </w:rPr>
      </w:pPr>
      <w:r>
        <w:rPr>
          <w:rFonts w:ascii="Arial" w:hAnsi="Arial" w:cs="Arial"/>
          <w:szCs w:val="24"/>
        </w:rPr>
        <w:t xml:space="preserve">Conclusion and recommendations for </w:t>
      </w:r>
      <w:r w:rsidR="00C41B68">
        <w:rPr>
          <w:rFonts w:ascii="Arial" w:hAnsi="Arial" w:cs="Arial"/>
          <w:szCs w:val="24"/>
        </w:rPr>
        <w:t>future research, policy and/or practice…………</w:t>
      </w:r>
    </w:p>
    <w:p w14:paraId="031A002F" w14:textId="77777777" w:rsidR="001029FA" w:rsidRPr="001D7C03" w:rsidRDefault="001029FA" w:rsidP="001D7C03">
      <w:pPr>
        <w:rPr>
          <w:rFonts w:ascii="Arial" w:hAnsi="Arial" w:cs="Arial"/>
          <w:szCs w:val="24"/>
        </w:rPr>
      </w:pPr>
    </w:p>
    <w:p w14:paraId="7AE771D5" w14:textId="1C06E45A" w:rsidR="00B87E75" w:rsidRPr="001D7C03" w:rsidRDefault="00B87E75" w:rsidP="001D7C03">
      <w:pPr>
        <w:rPr>
          <w:rFonts w:ascii="Arial" w:hAnsi="Arial" w:cs="Arial"/>
          <w:szCs w:val="24"/>
        </w:rPr>
      </w:pPr>
    </w:p>
    <w:p w14:paraId="4F7320CB" w14:textId="000D21B8" w:rsidR="00B87E75" w:rsidRDefault="00B87E75" w:rsidP="003E4ECF">
      <w:pPr>
        <w:spacing w:line="360" w:lineRule="auto"/>
        <w:rPr>
          <w:rFonts w:ascii="Arial" w:hAnsi="Arial" w:cs="Arial"/>
          <w:sz w:val="28"/>
          <w:szCs w:val="28"/>
        </w:rPr>
      </w:pPr>
      <w:r>
        <w:rPr>
          <w:rFonts w:ascii="Arial" w:hAnsi="Arial" w:cs="Arial"/>
          <w:sz w:val="28"/>
          <w:szCs w:val="28"/>
        </w:rPr>
        <w:br w:type="page"/>
      </w:r>
    </w:p>
    <w:p w14:paraId="12D76753" w14:textId="2ED51256" w:rsidR="00B87E75" w:rsidRPr="00353F24" w:rsidRDefault="00B87E75" w:rsidP="00AD28EE">
      <w:pPr>
        <w:pStyle w:val="Heading1"/>
      </w:pPr>
      <w:r w:rsidRPr="00B87E75">
        <w:lastRenderedPageBreak/>
        <w:t xml:space="preserve">1. </w:t>
      </w:r>
      <w:r w:rsidRPr="00353F24">
        <w:t>Introduction</w:t>
      </w:r>
    </w:p>
    <w:p w14:paraId="4751EF6F" w14:textId="673E73A8" w:rsidR="00B87E75" w:rsidRPr="00353F24" w:rsidRDefault="001D7C03" w:rsidP="009D052C">
      <w:pPr>
        <w:tabs>
          <w:tab w:val="left" w:pos="6540"/>
        </w:tabs>
        <w:spacing w:line="360" w:lineRule="auto"/>
        <w:rPr>
          <w:rFonts w:ascii="Arial" w:hAnsi="Arial" w:cs="Arial"/>
          <w:szCs w:val="24"/>
        </w:rPr>
      </w:pPr>
      <w:r w:rsidRPr="00353F24">
        <w:rPr>
          <w:rFonts w:ascii="Arial" w:hAnsi="Arial" w:cs="Arial"/>
          <w:szCs w:val="24"/>
        </w:rPr>
        <w:t>D</w:t>
      </w:r>
      <w:r w:rsidR="00B87E75" w:rsidRPr="00353F24">
        <w:rPr>
          <w:rFonts w:ascii="Arial" w:hAnsi="Arial" w:cs="Arial"/>
          <w:szCs w:val="24"/>
        </w:rPr>
        <w:t>efinition</w:t>
      </w:r>
      <w:r w:rsidRPr="00353F24">
        <w:rPr>
          <w:rFonts w:ascii="Arial" w:hAnsi="Arial" w:cs="Arial"/>
          <w:szCs w:val="24"/>
        </w:rPr>
        <w:t xml:space="preserve"> of main concepts</w:t>
      </w:r>
      <w:r w:rsidR="0026393A" w:rsidRPr="00353F24">
        <w:rPr>
          <w:rFonts w:ascii="Arial" w:hAnsi="Arial" w:cs="Arial"/>
          <w:szCs w:val="24"/>
        </w:rPr>
        <w:t xml:space="preserve"> and what this study is about</w:t>
      </w:r>
    </w:p>
    <w:p w14:paraId="339AA837" w14:textId="2F07D78F" w:rsidR="002B53ED" w:rsidRPr="00353F24" w:rsidRDefault="00A46E4C" w:rsidP="002B53ED">
      <w:pPr>
        <w:tabs>
          <w:tab w:val="left" w:pos="6540"/>
        </w:tabs>
        <w:spacing w:line="360" w:lineRule="auto"/>
        <w:rPr>
          <w:rFonts w:ascii="Arial" w:hAnsi="Arial" w:cs="Arial"/>
          <w:szCs w:val="24"/>
        </w:rPr>
      </w:pPr>
      <w:r w:rsidRPr="00353F24">
        <w:rPr>
          <w:rFonts w:ascii="Arial" w:hAnsi="Arial" w:cs="Arial"/>
          <w:szCs w:val="24"/>
        </w:rPr>
        <w:t>This study is about</w:t>
      </w:r>
      <w:r w:rsidR="009A5102" w:rsidRPr="00353F24">
        <w:rPr>
          <w:rFonts w:ascii="Arial" w:hAnsi="Arial" w:cs="Arial"/>
          <w:szCs w:val="24"/>
        </w:rPr>
        <w:t xml:space="preserve"> to</w:t>
      </w:r>
      <w:r w:rsidRPr="00353F24">
        <w:rPr>
          <w:rFonts w:ascii="Arial" w:hAnsi="Arial" w:cs="Arial"/>
          <w:szCs w:val="24"/>
        </w:rPr>
        <w:t xml:space="preserve"> research</w:t>
      </w:r>
      <w:r w:rsidR="009A5102" w:rsidRPr="00353F24">
        <w:rPr>
          <w:rFonts w:ascii="Arial" w:hAnsi="Arial" w:cs="Arial"/>
          <w:szCs w:val="24"/>
        </w:rPr>
        <w:t xml:space="preserve"> my topic</w:t>
      </w:r>
      <w:r w:rsidR="0038189D" w:rsidRPr="00353F24">
        <w:rPr>
          <w:rFonts w:ascii="Arial" w:hAnsi="Arial" w:cs="Arial"/>
          <w:szCs w:val="24"/>
        </w:rPr>
        <w:t xml:space="preserve"> so my topic is about people with de</w:t>
      </w:r>
      <w:r w:rsidR="00CB22B3" w:rsidRPr="00353F24">
        <w:rPr>
          <w:rFonts w:ascii="Arial" w:hAnsi="Arial" w:cs="Arial"/>
          <w:szCs w:val="24"/>
        </w:rPr>
        <w:t>mentia end of life so,</w:t>
      </w:r>
      <w:r w:rsidRPr="00353F24">
        <w:rPr>
          <w:rFonts w:ascii="Arial" w:hAnsi="Arial" w:cs="Arial"/>
          <w:szCs w:val="24"/>
        </w:rPr>
        <w:t xml:space="preserve"> </w:t>
      </w:r>
      <w:r w:rsidR="00DE11B2" w:rsidRPr="00353F24">
        <w:rPr>
          <w:rFonts w:ascii="Arial" w:hAnsi="Arial" w:cs="Arial"/>
          <w:szCs w:val="24"/>
        </w:rPr>
        <w:t>many</w:t>
      </w:r>
      <w:r w:rsidR="002B53ED" w:rsidRPr="00353F24">
        <w:rPr>
          <w:rFonts w:ascii="Arial" w:hAnsi="Arial" w:cs="Arial"/>
          <w:szCs w:val="24"/>
        </w:rPr>
        <w:t xml:space="preserve"> countries have implemented legislation guaranteeing the right of people with dementia to participate in choices concerning their care, albeit this trend may be more prevalent in economically advanced nations. However, dementia impairs a person's ability to remember details, evaluate alternatives, and develop sound judgements, which in turn reduces their ability to make sound decisions.</w:t>
      </w:r>
    </w:p>
    <w:p w14:paraId="770FB7D6" w14:textId="024265C6" w:rsidR="00C32A45" w:rsidRPr="00353F24" w:rsidRDefault="002B53ED" w:rsidP="002B53ED">
      <w:pPr>
        <w:tabs>
          <w:tab w:val="left" w:pos="6540"/>
        </w:tabs>
        <w:spacing w:line="360" w:lineRule="auto"/>
        <w:rPr>
          <w:rFonts w:ascii="Arial" w:hAnsi="Arial" w:cs="Arial"/>
          <w:szCs w:val="24"/>
        </w:rPr>
      </w:pPr>
      <w:r w:rsidRPr="00353F24">
        <w:rPr>
          <w:rFonts w:ascii="Arial" w:hAnsi="Arial" w:cs="Arial"/>
          <w:szCs w:val="24"/>
        </w:rPr>
        <w:t xml:space="preserve">Dementia patients may need help from loved ones or medical staff while making important life choices. Examples of such choices include those pertaining to one's health and treatment, housing, money, and routine daily activities. Dementia patients are often unable to make choices on their own behalf as their disease progresses and they near the end of </w:t>
      </w:r>
      <w:r w:rsidR="00CB22B3" w:rsidRPr="00353F24">
        <w:rPr>
          <w:rFonts w:ascii="Arial" w:hAnsi="Arial" w:cs="Arial"/>
          <w:szCs w:val="24"/>
        </w:rPr>
        <w:t>life</w:t>
      </w:r>
      <w:r w:rsidR="00BE050A" w:rsidRPr="00353F24">
        <w:rPr>
          <w:rFonts w:ascii="Arial" w:hAnsi="Arial" w:cs="Arial"/>
          <w:szCs w:val="24"/>
        </w:rPr>
        <w:t xml:space="preserve">. </w:t>
      </w:r>
      <w:r w:rsidR="00F751AC" w:rsidRPr="00353F24">
        <w:rPr>
          <w:rFonts w:ascii="Arial" w:hAnsi="Arial" w:cs="Arial"/>
          <w:szCs w:val="24"/>
        </w:rPr>
        <w:t xml:space="preserve">Depending on the importance of the choice and relevant circumstances, this might be a member of the family or a neutral third party. Additionally, some people with dementia in the UK have gone out while they are still able to do so. </w:t>
      </w:r>
    </w:p>
    <w:p w14:paraId="49426F93" w14:textId="4DE576E9" w:rsidR="0026393A" w:rsidRPr="00353F24" w:rsidRDefault="00CB22B3" w:rsidP="002B53ED">
      <w:pPr>
        <w:tabs>
          <w:tab w:val="left" w:pos="6540"/>
        </w:tabs>
        <w:spacing w:line="360" w:lineRule="auto"/>
        <w:rPr>
          <w:rFonts w:ascii="Arial" w:hAnsi="Arial" w:cs="Arial"/>
          <w:b/>
          <w:bCs/>
          <w:szCs w:val="24"/>
        </w:rPr>
      </w:pPr>
      <w:r w:rsidRPr="00353F24">
        <w:rPr>
          <w:rFonts w:ascii="Arial" w:hAnsi="Arial" w:cs="Arial"/>
          <w:b/>
          <w:bCs/>
          <w:szCs w:val="24"/>
        </w:rPr>
        <w:t>Aim</w:t>
      </w:r>
      <w:r w:rsidR="0026393A" w:rsidRPr="00353F24">
        <w:rPr>
          <w:rFonts w:ascii="Arial" w:hAnsi="Arial" w:cs="Arial"/>
          <w:b/>
          <w:bCs/>
          <w:szCs w:val="24"/>
        </w:rPr>
        <w:t xml:space="preserve"> </w:t>
      </w:r>
    </w:p>
    <w:p w14:paraId="4A29DC71" w14:textId="77777777" w:rsidR="008818E7" w:rsidRPr="00353F24" w:rsidRDefault="008818E7" w:rsidP="008818E7">
      <w:pPr>
        <w:tabs>
          <w:tab w:val="left" w:pos="6540"/>
        </w:tabs>
        <w:spacing w:line="360" w:lineRule="auto"/>
        <w:rPr>
          <w:rFonts w:ascii="Arial" w:hAnsi="Arial" w:cs="Arial"/>
          <w:szCs w:val="24"/>
        </w:rPr>
      </w:pPr>
      <w:r w:rsidRPr="00353F24">
        <w:rPr>
          <w:rFonts w:ascii="Arial" w:hAnsi="Arial" w:cs="Arial"/>
          <w:szCs w:val="24"/>
        </w:rPr>
        <w:t>In order to create a model of decision-making in the context of dementia end-of-life care, it is important to do research with family carers and persons living with dementia to better understand the decision-making process and the variables that impact it. During the first phase of the COVID-19 epidemic in England, we intended to learn more about the difficulties experienced by family carers of patients with dementia. We paid special attention to the issues that matter most and the choices that must be made at the end of life.</w:t>
      </w:r>
    </w:p>
    <w:p w14:paraId="42FAC407" w14:textId="77777777" w:rsidR="008818E7" w:rsidRPr="00353F24" w:rsidRDefault="008818E7" w:rsidP="008818E7">
      <w:pPr>
        <w:tabs>
          <w:tab w:val="left" w:pos="6540"/>
        </w:tabs>
        <w:spacing w:line="360" w:lineRule="auto"/>
        <w:rPr>
          <w:rFonts w:ascii="Arial" w:hAnsi="Arial" w:cs="Arial"/>
          <w:szCs w:val="24"/>
        </w:rPr>
      </w:pPr>
      <w:r w:rsidRPr="00353F24">
        <w:rPr>
          <w:rFonts w:ascii="Arial" w:hAnsi="Arial" w:cs="Arial"/>
          <w:szCs w:val="24"/>
        </w:rPr>
        <w:t>Facilitate remote end-of-life care by providing an alternative to in-person evaluation in nursing homes. Facilitate the prevention of unnecessary hospitalisations. Facilitate the improvement of clinical skills, the building of self-assurance and competence, and the provision of emotional support in care facilities in the face of the COVID-19 epidemic. project Because of ECHO, hospitals that are already doing great work can assist communities in doing great work while simultaneously learning what they need to do together. Max Watson, Professor (Eaton, 2019).</w:t>
      </w:r>
    </w:p>
    <w:p w14:paraId="5E619837" w14:textId="77777777" w:rsidR="00465D47" w:rsidRPr="00353F24" w:rsidRDefault="008818E7" w:rsidP="008818E7">
      <w:pPr>
        <w:tabs>
          <w:tab w:val="left" w:pos="6540"/>
        </w:tabs>
        <w:spacing w:line="360" w:lineRule="auto"/>
        <w:rPr>
          <w:rFonts w:ascii="Arial" w:hAnsi="Arial" w:cs="Arial"/>
          <w:szCs w:val="24"/>
        </w:rPr>
      </w:pPr>
      <w:r w:rsidRPr="00353F24">
        <w:rPr>
          <w:rFonts w:ascii="Arial" w:hAnsi="Arial" w:cs="Arial"/>
          <w:szCs w:val="24"/>
        </w:rPr>
        <w:lastRenderedPageBreak/>
        <w:t>These words echoed in our heads as we thought about the importance of community and information sharing during times of crisis. By using the ECHO Platform, we can get our message out to nursing facilities all around the county.</w:t>
      </w:r>
    </w:p>
    <w:p w14:paraId="14BF3272" w14:textId="38BDA4A1" w:rsidR="0026393A" w:rsidRPr="00353F24" w:rsidRDefault="0026393A" w:rsidP="008818E7">
      <w:pPr>
        <w:tabs>
          <w:tab w:val="left" w:pos="6540"/>
        </w:tabs>
        <w:spacing w:line="360" w:lineRule="auto"/>
        <w:rPr>
          <w:rFonts w:ascii="Arial" w:hAnsi="Arial" w:cs="Arial"/>
          <w:szCs w:val="24"/>
        </w:rPr>
      </w:pPr>
      <w:r w:rsidRPr="00353F24">
        <w:rPr>
          <w:rFonts w:ascii="Arial" w:hAnsi="Arial" w:cs="Arial"/>
          <w:szCs w:val="24"/>
        </w:rPr>
        <w:t xml:space="preserve">Objectives </w:t>
      </w:r>
    </w:p>
    <w:p w14:paraId="52010A5E" w14:textId="77777777" w:rsidR="0026393A" w:rsidRPr="00353F24" w:rsidRDefault="0026393A" w:rsidP="009D052C">
      <w:pPr>
        <w:tabs>
          <w:tab w:val="left" w:pos="6540"/>
        </w:tabs>
        <w:spacing w:line="360" w:lineRule="auto"/>
        <w:rPr>
          <w:rFonts w:ascii="Arial" w:hAnsi="Arial" w:cs="Arial"/>
          <w:szCs w:val="24"/>
        </w:rPr>
      </w:pPr>
    </w:p>
    <w:p w14:paraId="232E6A2E" w14:textId="5004A5D3" w:rsidR="0026393A" w:rsidRPr="00353F24" w:rsidRDefault="0026393A" w:rsidP="00AD28EE">
      <w:pPr>
        <w:pStyle w:val="Heading1"/>
      </w:pPr>
      <w:r w:rsidRPr="00353F24">
        <w:t>2. Background</w:t>
      </w:r>
    </w:p>
    <w:p w14:paraId="43567CBC" w14:textId="77777777" w:rsidR="007C3A00" w:rsidRPr="00353F24" w:rsidRDefault="007C3A00" w:rsidP="007C3A00">
      <w:pPr>
        <w:tabs>
          <w:tab w:val="left" w:pos="6540"/>
        </w:tabs>
        <w:spacing w:line="360" w:lineRule="auto"/>
        <w:rPr>
          <w:rFonts w:ascii="Arial" w:hAnsi="Arial" w:cs="Arial"/>
          <w:szCs w:val="24"/>
        </w:rPr>
      </w:pPr>
      <w:r w:rsidRPr="00353F24">
        <w:rPr>
          <w:rFonts w:ascii="Arial" w:hAnsi="Arial" w:cs="Arial"/>
          <w:szCs w:val="24"/>
        </w:rPr>
        <w:t xml:space="preserve">Patients suffering from dementia account for a disproportionate percentage of deaths caused by COVID-19. Caregivers within families are put in the position of having to make decisions that are challenging and at times excruciating, such as those concerning end-of-life care. Our study's overarching objective was to investigate the challenges that family carers of people with dementia faced during the initial wave of the COVID-19 pandemic in England. These challenges were reported by staff members of charity telephone support lines, who are in a unique position to discuss the diverse experiences of a variety of carers who call the helpline. We focused a lot of attention on the matters that are most important as well as the decisions that need to be made at the end of life. Dementia has been identified as a significant factor in mortality associated with COVID-19 in </w:t>
      </w:r>
      <w:proofErr w:type="gramStart"/>
      <w:r w:rsidRPr="00353F24">
        <w:rPr>
          <w:rFonts w:ascii="Arial" w:hAnsi="Arial" w:cs="Arial"/>
          <w:szCs w:val="24"/>
        </w:rPr>
        <w:t>the majority of</w:t>
      </w:r>
      <w:proofErr w:type="gramEnd"/>
      <w:r w:rsidRPr="00353F24">
        <w:rPr>
          <w:rFonts w:ascii="Arial" w:hAnsi="Arial" w:cs="Arial"/>
          <w:szCs w:val="24"/>
        </w:rPr>
        <w:t xml:space="preserve"> areas. In the United Kingdom, between March 2020 and June 2020, this condition was the underlying cause of death for 25.6% of the population.</w:t>
      </w:r>
    </w:p>
    <w:p w14:paraId="67FC17FA" w14:textId="77777777" w:rsidR="007C3A00" w:rsidRPr="00353F24" w:rsidRDefault="007C3A00" w:rsidP="007C3A00">
      <w:pPr>
        <w:tabs>
          <w:tab w:val="left" w:pos="6540"/>
        </w:tabs>
        <w:spacing w:line="360" w:lineRule="auto"/>
        <w:rPr>
          <w:rFonts w:ascii="Arial" w:hAnsi="Arial" w:cs="Arial"/>
          <w:szCs w:val="24"/>
        </w:rPr>
      </w:pPr>
      <w:proofErr w:type="spellStart"/>
      <w:r w:rsidRPr="00353F24">
        <w:rPr>
          <w:rFonts w:ascii="Arial" w:hAnsi="Arial" w:cs="Arial"/>
          <w:szCs w:val="24"/>
        </w:rPr>
        <w:t>Unfortuitously</w:t>
      </w:r>
      <w:proofErr w:type="spellEnd"/>
      <w:r w:rsidRPr="00353F24">
        <w:rPr>
          <w:rFonts w:ascii="Arial" w:hAnsi="Arial" w:cs="Arial"/>
          <w:szCs w:val="24"/>
        </w:rPr>
        <w:t xml:space="preserve">, a significant number of people living with dementia get to the latter phases of their lives without having made any form of proactive preparations for their care. A lot of individuals don't want to speak about death and dying until it's too late, so they let their loved ones and the medical personnel to make choices about their care instead. It may be useful for carers to have additional aid in decision-making. It is essential to have a working knowledge of the decision-making process in order to cultivate this sort of support. As the population of the UK continues to become older, experts anticipate an increase in the prevalence of Alzheimer's disease and cancer. When a person has dementia and a cancer diagnosis at the same time, the people who care for them within their family are generally sought for input about treatment options. </w:t>
      </w:r>
      <w:proofErr w:type="gramStart"/>
      <w:r w:rsidRPr="00353F24">
        <w:rPr>
          <w:rFonts w:ascii="Arial" w:hAnsi="Arial" w:cs="Arial"/>
          <w:szCs w:val="24"/>
        </w:rPr>
        <w:t>Never before</w:t>
      </w:r>
      <w:proofErr w:type="gramEnd"/>
      <w:r w:rsidRPr="00353F24">
        <w:rPr>
          <w:rFonts w:ascii="Arial" w:hAnsi="Arial" w:cs="Arial"/>
          <w:szCs w:val="24"/>
        </w:rPr>
        <w:t xml:space="preserve"> have we been faced with decisions of such magnitude. Caregivers of people suffering from dementia may have a hard time making decisions due to the condition. It may be difficult for many individuals to decide how </w:t>
      </w:r>
      <w:r w:rsidRPr="00353F24">
        <w:rPr>
          <w:rFonts w:ascii="Arial" w:hAnsi="Arial" w:cs="Arial"/>
          <w:szCs w:val="24"/>
        </w:rPr>
        <w:lastRenderedPageBreak/>
        <w:t>they want to be cared for in their last days. The objective of this article is to offer a technique for constructing a decision aid that is founded in research and theory in order to allow family carers of persons with dementia who are in the final stages of life to have access to it.</w:t>
      </w:r>
    </w:p>
    <w:p w14:paraId="380611B7" w14:textId="33FCA6B6" w:rsidR="003E4ECF" w:rsidRPr="00353F24" w:rsidRDefault="007C3A00" w:rsidP="007C3A00">
      <w:pPr>
        <w:tabs>
          <w:tab w:val="left" w:pos="6540"/>
        </w:tabs>
        <w:spacing w:line="360" w:lineRule="auto"/>
        <w:rPr>
          <w:rFonts w:ascii="Arial" w:hAnsi="Arial" w:cs="Arial"/>
          <w:szCs w:val="24"/>
        </w:rPr>
      </w:pPr>
      <w:r w:rsidRPr="00353F24">
        <w:rPr>
          <w:rFonts w:ascii="Arial" w:hAnsi="Arial" w:cs="Arial"/>
          <w:szCs w:val="24"/>
        </w:rPr>
        <w:t xml:space="preserve">When it comes to the treatment of pain in advanced stages of dementia, it is not known what challenges and opportunities nurses face in practise, if they vary depending on the kind of care environment, or whether training </w:t>
      </w:r>
      <w:proofErr w:type="gramStart"/>
      <w:r w:rsidRPr="00353F24">
        <w:rPr>
          <w:rFonts w:ascii="Arial" w:hAnsi="Arial" w:cs="Arial"/>
          <w:szCs w:val="24"/>
        </w:rPr>
        <w:t>has to</w:t>
      </w:r>
      <w:proofErr w:type="gramEnd"/>
      <w:r w:rsidRPr="00353F24">
        <w:rPr>
          <w:rFonts w:ascii="Arial" w:hAnsi="Arial" w:cs="Arial"/>
          <w:szCs w:val="24"/>
        </w:rPr>
        <w:t xml:space="preserve"> be adapted to fit the specifics of the care setting. Because it has taken the providers of health and social services some time to adjust to new modes of operation, some services, such as day centres, are still not available. This is due to the rules imposed by COVID-19. As a direct consequence of this, many individuals who provide care inside their families have taken on new responsibilities. Caregivers UK found that 70 percent of carers are providing more care than normal as a direct result of the COVID-19 outbreak. The average increase in the number of hours provided by a carer each week was found to be 10 hours. Over a third of carers, or 35%, are providing more care as a direct result of local service cutbacks or closures, and more than half of carers, or 55%, have expressed concerns about feeling overwhelmed as a result of the situation. For family carers, emotionally taxing decisions and talks about end-of-life care and severe dementia, such as the decision </w:t>
      </w:r>
      <w:proofErr w:type="gramStart"/>
      <w:r w:rsidRPr="00353F24">
        <w:rPr>
          <w:rFonts w:ascii="Arial" w:hAnsi="Arial" w:cs="Arial"/>
          <w:szCs w:val="24"/>
        </w:rPr>
        <w:t>whether or not</w:t>
      </w:r>
      <w:proofErr w:type="gramEnd"/>
      <w:r w:rsidRPr="00353F24">
        <w:rPr>
          <w:rFonts w:ascii="Arial" w:hAnsi="Arial" w:cs="Arial"/>
          <w:szCs w:val="24"/>
        </w:rPr>
        <w:t xml:space="preserve"> to discontinue treatment, may include the option to cease care.</w:t>
      </w:r>
    </w:p>
    <w:p w14:paraId="60B2CDC3" w14:textId="16F964EF" w:rsidR="00B87E75" w:rsidRPr="00353F24" w:rsidRDefault="0026393A" w:rsidP="00AD28EE">
      <w:pPr>
        <w:pStyle w:val="Heading1"/>
      </w:pPr>
      <w:r w:rsidRPr="00353F24">
        <w:t>3</w:t>
      </w:r>
      <w:r w:rsidR="00B87E75" w:rsidRPr="00353F24">
        <w:t>. Method</w:t>
      </w:r>
      <w:r w:rsidR="003E4ECF" w:rsidRPr="00353F24">
        <w:t>s</w:t>
      </w:r>
    </w:p>
    <w:p w14:paraId="5DC3AF92" w14:textId="437885DA" w:rsidR="00B87E75" w:rsidRPr="00353F24" w:rsidRDefault="003E4ECF" w:rsidP="009D052C">
      <w:pPr>
        <w:tabs>
          <w:tab w:val="left" w:pos="6540"/>
        </w:tabs>
        <w:spacing w:line="360" w:lineRule="auto"/>
        <w:rPr>
          <w:rFonts w:ascii="Arial" w:hAnsi="Arial" w:cs="Arial"/>
          <w:szCs w:val="24"/>
        </w:rPr>
      </w:pPr>
      <w:r w:rsidRPr="00353F24">
        <w:rPr>
          <w:rFonts w:ascii="Arial" w:hAnsi="Arial" w:cs="Arial"/>
          <w:szCs w:val="24"/>
        </w:rPr>
        <w:t xml:space="preserve">Data collection </w:t>
      </w:r>
      <w:r w:rsidR="001D7C03" w:rsidRPr="00353F24">
        <w:rPr>
          <w:rFonts w:ascii="Arial" w:hAnsi="Arial" w:cs="Arial"/>
          <w:szCs w:val="24"/>
        </w:rPr>
        <w:t xml:space="preserve">/ </w:t>
      </w:r>
      <w:r w:rsidR="00B87E75" w:rsidRPr="00353F24">
        <w:rPr>
          <w:rFonts w:ascii="Arial" w:hAnsi="Arial" w:cs="Arial"/>
          <w:szCs w:val="24"/>
        </w:rPr>
        <w:t>Search strategy</w:t>
      </w:r>
    </w:p>
    <w:p w14:paraId="4709E3A8" w14:textId="77777777" w:rsidR="003B6456" w:rsidRPr="00353F24" w:rsidRDefault="003B6456" w:rsidP="003B6456">
      <w:pPr>
        <w:tabs>
          <w:tab w:val="left" w:pos="6540"/>
        </w:tabs>
        <w:spacing w:line="360" w:lineRule="auto"/>
        <w:rPr>
          <w:rFonts w:ascii="Arial" w:hAnsi="Arial" w:cs="Arial"/>
          <w:szCs w:val="24"/>
        </w:rPr>
      </w:pPr>
      <w:r w:rsidRPr="00353F24">
        <w:rPr>
          <w:rFonts w:ascii="Arial" w:hAnsi="Arial" w:cs="Arial"/>
          <w:szCs w:val="24"/>
        </w:rPr>
        <w:t>Researchers performed a qualitative research utilising semi-structured interviews with eight telephone help line personnel from two UK-based charities that assist carers of dementia patients and persons at the end of life. In May and June of 2020, interviews were done during the initial wave of the epidemic in England.</w:t>
      </w:r>
    </w:p>
    <w:p w14:paraId="01B3DDC2" w14:textId="1A47F5F9" w:rsidR="00572B5C" w:rsidRPr="00353F24" w:rsidRDefault="003B6456" w:rsidP="003B6456">
      <w:pPr>
        <w:tabs>
          <w:tab w:val="left" w:pos="6540"/>
        </w:tabs>
        <w:spacing w:line="360" w:lineRule="auto"/>
        <w:rPr>
          <w:rFonts w:ascii="Arial" w:hAnsi="Arial" w:cs="Arial"/>
          <w:szCs w:val="24"/>
        </w:rPr>
      </w:pPr>
      <w:r w:rsidRPr="00353F24">
        <w:rPr>
          <w:rFonts w:ascii="Arial" w:hAnsi="Arial" w:cs="Arial"/>
          <w:szCs w:val="24"/>
        </w:rPr>
        <w:t xml:space="preserve">In England (2018–2019), semi-structured interviews were conducted with 21 family carers and 11 adults with dementia from memory clinics, general practise, and carer organisations. The interviews were analysed using theme analysis, and the results were projected onto the Interprofessional Shared Decision-Making model, which was then modified to create a model of decision-making in dementia. The research design was created in conjunction with a local PPI group specialising in dementia. </w:t>
      </w:r>
      <w:r w:rsidRPr="00353F24">
        <w:rPr>
          <w:rFonts w:ascii="Arial" w:hAnsi="Arial" w:cs="Arial"/>
          <w:szCs w:val="24"/>
        </w:rPr>
        <w:lastRenderedPageBreak/>
        <w:t>The concept and technique of the study were presented in a face-to-face meeting with three dementia patients and three carers. The manner of recruiting was examined in depth, and they provided input on the phrasing of the first invitation letter. With the aid of the Alzheimer's Society Research Partnership programme, a project specific PPI group was established to give further individualised feedback. This comprises of four previous dementia carers that are female. The inaugural project meeting was conducted in-person and centred on the creation of an interview subject guide. Due to the COVID19 epidemic, we met remotely after data collection to discuss outcomes and their interpretation.</w:t>
      </w:r>
      <w:r w:rsidR="0025227E" w:rsidRPr="00353F24">
        <w:rPr>
          <w:rFonts w:ascii="Arial" w:hAnsi="Arial" w:cs="Arial"/>
          <w:szCs w:val="24"/>
        </w:rPr>
        <w:t xml:space="preserve"> </w:t>
      </w:r>
    </w:p>
    <w:p w14:paraId="55B41E55" w14:textId="6CEDBE52" w:rsidR="007C0205" w:rsidRPr="00353F24" w:rsidRDefault="008D56F2" w:rsidP="003B6456">
      <w:pPr>
        <w:tabs>
          <w:tab w:val="left" w:pos="6540"/>
        </w:tabs>
        <w:spacing w:line="360" w:lineRule="auto"/>
        <w:rPr>
          <w:rFonts w:ascii="Arial" w:hAnsi="Arial" w:cs="Arial"/>
          <w:szCs w:val="24"/>
        </w:rPr>
      </w:pPr>
      <w:r w:rsidRPr="00353F24">
        <w:rPr>
          <w:rFonts w:ascii="Arial" w:hAnsi="Arial" w:cs="Arial"/>
          <w:szCs w:val="24"/>
        </w:rPr>
        <w:t xml:space="preserve">Using Microsoft Teams, a corporate communication system that incorporates video conferencing, we were able to carry out semi-structured qualitative interviews. Each member of the help line participated in a video chat with two researchers (an interviewer and a notetaker) from the company (EW and NA), who asked questions based on a subject guide. Caregivers of dementia patients who called the hotline during the epidemic were surveyed to collect information for a subject guide on the most significant obstacles and choices they encounter at the end of life. We questioned the carers to get a better understanding of how their worries contrasted to those that were often voiced in calls we had received before the pandemic. Participants in the interviews were given the opportunity to meet the researchers who were conducting the study, were briefed on the kinds of questions that would be asked of them and were assured that their responses would be kept confidential. The participants were given the chance to ask any questions that they may have had prior to the start of the interview. Every single one of the six people who were asked for permission to record their interviews utilising Microsoft gave their affirmative agreement to do so. </w:t>
      </w:r>
      <w:proofErr w:type="gramStart"/>
      <w:r w:rsidRPr="00353F24">
        <w:rPr>
          <w:rFonts w:ascii="Arial" w:hAnsi="Arial" w:cs="Arial"/>
          <w:szCs w:val="24"/>
        </w:rPr>
        <w:t>Both of these</w:t>
      </w:r>
      <w:proofErr w:type="gramEnd"/>
      <w:r w:rsidRPr="00353F24">
        <w:rPr>
          <w:rFonts w:ascii="Arial" w:hAnsi="Arial" w:cs="Arial"/>
          <w:szCs w:val="24"/>
        </w:rPr>
        <w:t xml:space="preserve"> interviews were meticulously recorded by the researchers who conducted the subsequent interviews. Consent was solicited by email, and each member of the team promptly responded affirmatively. Interviews took a total of thirty to sixty minutes of time throughout the months of May 2020 and June 2020.</w:t>
      </w:r>
    </w:p>
    <w:p w14:paraId="6CA3846F" w14:textId="6C1B6299" w:rsidR="00B87E75" w:rsidRPr="00353F24" w:rsidRDefault="00B87E75" w:rsidP="009D052C">
      <w:pPr>
        <w:tabs>
          <w:tab w:val="left" w:pos="6540"/>
        </w:tabs>
        <w:spacing w:line="360" w:lineRule="auto"/>
        <w:rPr>
          <w:rFonts w:ascii="Arial" w:hAnsi="Arial" w:cs="Arial"/>
          <w:szCs w:val="24"/>
        </w:rPr>
      </w:pPr>
      <w:r w:rsidRPr="00353F24">
        <w:rPr>
          <w:rFonts w:ascii="Arial" w:hAnsi="Arial" w:cs="Arial"/>
          <w:szCs w:val="24"/>
        </w:rPr>
        <w:t>Data analysis</w:t>
      </w:r>
    </w:p>
    <w:p w14:paraId="71A27EDD" w14:textId="3C2F9745" w:rsidR="00D73306" w:rsidRPr="00353F24" w:rsidRDefault="00FA1C2E" w:rsidP="009D052C">
      <w:pPr>
        <w:tabs>
          <w:tab w:val="left" w:pos="6540"/>
        </w:tabs>
        <w:spacing w:line="360" w:lineRule="auto"/>
        <w:rPr>
          <w:rFonts w:ascii="Arial" w:hAnsi="Arial" w:cs="Arial"/>
          <w:szCs w:val="24"/>
        </w:rPr>
      </w:pPr>
      <w:r w:rsidRPr="00353F24">
        <w:rPr>
          <w:rFonts w:ascii="Arial" w:hAnsi="Arial" w:cs="Arial"/>
          <w:szCs w:val="24"/>
        </w:rPr>
        <w:t xml:space="preserve">Researchers were able to identify the data by using theme analysis. After retrieving the transcripts of each interview, they were checked for accuracy by comparing them </w:t>
      </w:r>
      <w:r w:rsidRPr="00353F24">
        <w:rPr>
          <w:rFonts w:ascii="Arial" w:hAnsi="Arial" w:cs="Arial"/>
          <w:szCs w:val="24"/>
        </w:rPr>
        <w:lastRenderedPageBreak/>
        <w:t xml:space="preserve">to the corresponding audio recordings and then being uploaded to NVIVO 11 for coding. </w:t>
      </w:r>
      <w:proofErr w:type="gramStart"/>
      <w:r w:rsidRPr="00353F24">
        <w:rPr>
          <w:rFonts w:ascii="Arial" w:hAnsi="Arial" w:cs="Arial"/>
          <w:szCs w:val="24"/>
        </w:rPr>
        <w:t>Through the use of</w:t>
      </w:r>
      <w:proofErr w:type="gramEnd"/>
      <w:r w:rsidRPr="00353F24">
        <w:rPr>
          <w:rFonts w:ascii="Arial" w:hAnsi="Arial" w:cs="Arial"/>
          <w:szCs w:val="24"/>
        </w:rPr>
        <w:t xml:space="preserve"> the Microsoft Teams application, the transcripts were produced in an automated manner. In the beginning, one researcher (NA) read through </w:t>
      </w:r>
      <w:proofErr w:type="gramStart"/>
      <w:r w:rsidRPr="00353F24">
        <w:rPr>
          <w:rFonts w:ascii="Arial" w:hAnsi="Arial" w:cs="Arial"/>
          <w:szCs w:val="24"/>
        </w:rPr>
        <w:t>all of</w:t>
      </w:r>
      <w:proofErr w:type="gramEnd"/>
      <w:r w:rsidRPr="00353F24">
        <w:rPr>
          <w:rFonts w:ascii="Arial" w:hAnsi="Arial" w:cs="Arial"/>
          <w:szCs w:val="24"/>
        </w:rPr>
        <w:t xml:space="preserve"> the transcripts to get familiar with the subject matter. </w:t>
      </w:r>
      <w:proofErr w:type="gramStart"/>
      <w:r w:rsidRPr="00353F24">
        <w:rPr>
          <w:rFonts w:ascii="Arial" w:hAnsi="Arial" w:cs="Arial"/>
          <w:szCs w:val="24"/>
        </w:rPr>
        <w:t>All of</w:t>
      </w:r>
      <w:proofErr w:type="gramEnd"/>
      <w:r w:rsidRPr="00353F24">
        <w:rPr>
          <w:rFonts w:ascii="Arial" w:hAnsi="Arial" w:cs="Arial"/>
          <w:szCs w:val="24"/>
        </w:rPr>
        <w:t xml:space="preserve"> the coding for the transcripts was done by a single researcher (NA). A second researcher, who goes by the initials NK, looked through two transcripts to validate the coding, and in the end, a coding structure and code definitions were reached a consensus on. After then, the remaining members of the study team (ND, EW, and KM) spoke about the framework. During the interviews, the researchers made detailed notes, which were then used to assign codes to those interviews that were not transcribed in accordance with the coding scheme that was previously established. Additional transcripts necessitated the addition of additional codes as the process continued. The grouping of codes into broad categories was the result of many roundtable discussions including </w:t>
      </w:r>
      <w:proofErr w:type="gramStart"/>
      <w:r w:rsidRPr="00353F24">
        <w:rPr>
          <w:rFonts w:ascii="Arial" w:hAnsi="Arial" w:cs="Arial"/>
          <w:szCs w:val="24"/>
        </w:rPr>
        <w:t>all of</w:t>
      </w:r>
      <w:proofErr w:type="gramEnd"/>
      <w:r w:rsidRPr="00353F24">
        <w:rPr>
          <w:rFonts w:ascii="Arial" w:hAnsi="Arial" w:cs="Arial"/>
          <w:szCs w:val="24"/>
        </w:rPr>
        <w:t xml:space="preserve"> the authors. </w:t>
      </w:r>
      <w:proofErr w:type="gramStart"/>
      <w:r w:rsidRPr="00353F24">
        <w:rPr>
          <w:rFonts w:ascii="Arial" w:hAnsi="Arial" w:cs="Arial"/>
          <w:szCs w:val="24"/>
        </w:rPr>
        <w:t>During the course of</w:t>
      </w:r>
      <w:proofErr w:type="gramEnd"/>
      <w:r w:rsidRPr="00353F24">
        <w:rPr>
          <w:rFonts w:ascii="Arial" w:hAnsi="Arial" w:cs="Arial"/>
          <w:szCs w:val="24"/>
        </w:rPr>
        <w:t xml:space="preserve"> the outbreak, recurring motifs that seemed to be time-bound began to emerge about the time that the first lockdown was implemented in England and continued until around three months later.</w:t>
      </w:r>
    </w:p>
    <w:p w14:paraId="6A5D0371" w14:textId="77777777" w:rsidR="00D73306" w:rsidRPr="00353F24" w:rsidRDefault="00D73306" w:rsidP="009D052C">
      <w:pPr>
        <w:tabs>
          <w:tab w:val="left" w:pos="6540"/>
        </w:tabs>
        <w:spacing w:line="360" w:lineRule="auto"/>
        <w:rPr>
          <w:rFonts w:ascii="Arial" w:hAnsi="Arial" w:cs="Arial"/>
          <w:szCs w:val="24"/>
        </w:rPr>
      </w:pPr>
    </w:p>
    <w:p w14:paraId="39F89E65" w14:textId="279CE3CA" w:rsidR="00B87E75" w:rsidRPr="00353F24" w:rsidRDefault="00B87E75" w:rsidP="009D052C">
      <w:pPr>
        <w:tabs>
          <w:tab w:val="left" w:pos="6540"/>
        </w:tabs>
        <w:spacing w:line="360" w:lineRule="auto"/>
        <w:rPr>
          <w:rFonts w:ascii="Arial" w:hAnsi="Arial" w:cs="Arial"/>
          <w:szCs w:val="24"/>
        </w:rPr>
      </w:pPr>
      <w:r w:rsidRPr="00353F24">
        <w:rPr>
          <w:rFonts w:ascii="Arial" w:hAnsi="Arial" w:cs="Arial"/>
          <w:szCs w:val="24"/>
        </w:rPr>
        <w:t xml:space="preserve">Ethical considerations </w:t>
      </w:r>
    </w:p>
    <w:p w14:paraId="2FE2BFE4" w14:textId="77777777" w:rsidR="006C7881" w:rsidRPr="00353F24" w:rsidRDefault="006C7881" w:rsidP="006C7881">
      <w:pPr>
        <w:tabs>
          <w:tab w:val="left" w:pos="6540"/>
        </w:tabs>
        <w:spacing w:line="360" w:lineRule="auto"/>
        <w:rPr>
          <w:rFonts w:ascii="Arial" w:hAnsi="Arial" w:cs="Arial"/>
          <w:szCs w:val="24"/>
        </w:rPr>
      </w:pPr>
      <w:r w:rsidRPr="00353F24">
        <w:rPr>
          <w:rFonts w:ascii="Arial" w:hAnsi="Arial" w:cs="Arial"/>
          <w:szCs w:val="24"/>
        </w:rPr>
        <w:t xml:space="preserve">The study was given the go light by the London Queen Square Research Ethics Committee (18/LO/0408), which required </w:t>
      </w:r>
      <w:proofErr w:type="gramStart"/>
      <w:r w:rsidRPr="00353F24">
        <w:rPr>
          <w:rFonts w:ascii="Arial" w:hAnsi="Arial" w:cs="Arial"/>
          <w:szCs w:val="24"/>
        </w:rPr>
        <w:t>all of</w:t>
      </w:r>
      <w:proofErr w:type="gramEnd"/>
      <w:r w:rsidRPr="00353F24">
        <w:rPr>
          <w:rFonts w:ascii="Arial" w:hAnsi="Arial" w:cs="Arial"/>
          <w:szCs w:val="24"/>
        </w:rPr>
        <w:t xml:space="preserve"> the participants to provide their written informed consent.</w:t>
      </w:r>
    </w:p>
    <w:p w14:paraId="4FC14C6B" w14:textId="28E84F64" w:rsidR="00B87E75" w:rsidRPr="00353F24" w:rsidRDefault="006C7881" w:rsidP="006C7881">
      <w:pPr>
        <w:tabs>
          <w:tab w:val="left" w:pos="6540"/>
        </w:tabs>
        <w:spacing w:line="360" w:lineRule="auto"/>
        <w:rPr>
          <w:rFonts w:ascii="Arial" w:hAnsi="Arial" w:cs="Arial"/>
          <w:szCs w:val="24"/>
        </w:rPr>
      </w:pPr>
      <w:r w:rsidRPr="00353F24">
        <w:rPr>
          <w:rFonts w:ascii="Arial" w:hAnsi="Arial" w:cs="Arial"/>
          <w:szCs w:val="24"/>
        </w:rPr>
        <w:t>An MHRA-compliant Research Ethics Committee (REC number 18/NW/085) gave its authorization after consulting with their ethics committee. The University of Sheffield gave its stamp of approval to the governance of the research endeavour. Everyone who took part in the research gave their consent in writing for it to be conducted.</w:t>
      </w:r>
    </w:p>
    <w:p w14:paraId="581C99BF" w14:textId="794A5B0B" w:rsidR="00B87E75" w:rsidRPr="00353F24" w:rsidRDefault="004A736E" w:rsidP="00AD28EE">
      <w:pPr>
        <w:pStyle w:val="Heading1"/>
      </w:pPr>
      <w:r w:rsidRPr="00353F24">
        <w:t>4</w:t>
      </w:r>
      <w:r w:rsidR="00B87E75" w:rsidRPr="00353F24">
        <w:t>. Results</w:t>
      </w:r>
    </w:p>
    <w:p w14:paraId="0C60738B" w14:textId="77777777" w:rsidR="004570F2" w:rsidRPr="00353F24" w:rsidRDefault="004570F2" w:rsidP="004570F2">
      <w:pPr>
        <w:tabs>
          <w:tab w:val="left" w:pos="6540"/>
        </w:tabs>
        <w:spacing w:line="360" w:lineRule="auto"/>
        <w:rPr>
          <w:rFonts w:ascii="Arial" w:hAnsi="Arial" w:cs="Arial"/>
          <w:szCs w:val="24"/>
        </w:rPr>
      </w:pPr>
      <w:r w:rsidRPr="00353F24">
        <w:rPr>
          <w:rFonts w:ascii="Arial" w:hAnsi="Arial" w:cs="Arial"/>
          <w:szCs w:val="24"/>
        </w:rPr>
        <w:t xml:space="preserve">Interviews were conducted with twenty-one family carers, eleven persons living with dementia, and six dyads of the two groups (including six dyads). The responsibility of leading the conversation in the dyads was passed from one pair to the next. </w:t>
      </w:r>
      <w:proofErr w:type="gramStart"/>
      <w:r w:rsidRPr="00353F24">
        <w:rPr>
          <w:rFonts w:ascii="Arial" w:hAnsi="Arial" w:cs="Arial"/>
          <w:szCs w:val="24"/>
        </w:rPr>
        <w:t>The majority of</w:t>
      </w:r>
      <w:proofErr w:type="gramEnd"/>
      <w:r w:rsidRPr="00353F24">
        <w:rPr>
          <w:rFonts w:ascii="Arial" w:hAnsi="Arial" w:cs="Arial"/>
          <w:szCs w:val="24"/>
        </w:rPr>
        <w:t xml:space="preserve"> people who took part in the study were white Britons (57% of those who </w:t>
      </w:r>
      <w:r w:rsidRPr="00353F24">
        <w:rPr>
          <w:rFonts w:ascii="Arial" w:hAnsi="Arial" w:cs="Arial"/>
          <w:szCs w:val="24"/>
        </w:rPr>
        <w:lastRenderedPageBreak/>
        <w:t xml:space="preserve">did not have dementia and 64% of those who did have dementia). The age range of family carers was rather wide (ranging from 41 to 86 years old), and while the gender distribution was </w:t>
      </w:r>
      <w:proofErr w:type="gramStart"/>
      <w:r w:rsidRPr="00353F24">
        <w:rPr>
          <w:rFonts w:ascii="Arial" w:hAnsi="Arial" w:cs="Arial"/>
          <w:szCs w:val="24"/>
        </w:rPr>
        <w:t>fairly even</w:t>
      </w:r>
      <w:proofErr w:type="gramEnd"/>
      <w:r w:rsidRPr="00353F24">
        <w:rPr>
          <w:rFonts w:ascii="Arial" w:hAnsi="Arial" w:cs="Arial"/>
          <w:szCs w:val="24"/>
        </w:rPr>
        <w:t xml:space="preserve">, the vast majority of family carers (76%) were still providing care for other people. Patients diagnosed with dementia varied in age from 72 to 90 years old, with males comprising more than half (55%) of the sample. We go into detail about the decisions that the participants made, the aspects of the environment that played a part in those decisions, the stages of decision-making and the considerations that should be made at each level, and the factors that should be </w:t>
      </w:r>
      <w:proofErr w:type="gramStart"/>
      <w:r w:rsidRPr="00353F24">
        <w:rPr>
          <w:rFonts w:ascii="Arial" w:hAnsi="Arial" w:cs="Arial"/>
          <w:szCs w:val="24"/>
        </w:rPr>
        <w:t>taken into account</w:t>
      </w:r>
      <w:proofErr w:type="gramEnd"/>
      <w:r w:rsidRPr="00353F24">
        <w:rPr>
          <w:rFonts w:ascii="Arial" w:hAnsi="Arial" w:cs="Arial"/>
          <w:szCs w:val="24"/>
        </w:rPr>
        <w:t xml:space="preserve"> at each step in the process. The updated IP-SDM model that was recommended in focuses on the areas that were listed below.</w:t>
      </w:r>
    </w:p>
    <w:p w14:paraId="0B299BAA" w14:textId="54E5D6D4" w:rsidR="00B87E75" w:rsidRPr="00353F24" w:rsidRDefault="004570F2" w:rsidP="004570F2">
      <w:pPr>
        <w:tabs>
          <w:tab w:val="left" w:pos="6540"/>
        </w:tabs>
        <w:spacing w:line="360" w:lineRule="auto"/>
        <w:rPr>
          <w:rFonts w:ascii="Arial" w:hAnsi="Arial" w:cs="Arial"/>
          <w:szCs w:val="24"/>
        </w:rPr>
      </w:pPr>
      <w:r w:rsidRPr="00353F24">
        <w:rPr>
          <w:rFonts w:ascii="Arial" w:hAnsi="Arial" w:cs="Arial"/>
          <w:szCs w:val="24"/>
        </w:rPr>
        <w:t>In the wake of the crisis, it became abundantly clear that two repeating elements, namely uncertainty and a prompt reaction, were at play. Concerns regarding care transitions, reluctance to seek out support and assistance, care planning in the wake of a global pandemic, ensuring the well-being of the person living with dementia, and trust issues, as well as a diminished sense of control over one's own life, are the five major themes contained within this umbrella category.</w:t>
      </w:r>
    </w:p>
    <w:p w14:paraId="4AF79DB1" w14:textId="77777777" w:rsidR="006A704C" w:rsidRPr="00AD28EE" w:rsidRDefault="003B5947" w:rsidP="00AD28EE">
      <w:pPr>
        <w:pStyle w:val="Heading1"/>
      </w:pPr>
      <w:r w:rsidRPr="00AD28EE">
        <w:t xml:space="preserve">At least one ECHO session was attended by 361 medical professionals across </w:t>
      </w:r>
      <w:proofErr w:type="gramStart"/>
      <w:r w:rsidRPr="00AD28EE">
        <w:t>all of</w:t>
      </w:r>
      <w:proofErr w:type="gramEnd"/>
      <w:r w:rsidRPr="00AD28EE">
        <w:t xml:space="preserve"> the aforementioned networks combined. The assessment poll was answered by 36% of people (131/361). According to the findings, participants appreciated having access to education from professionals, the ability to directly challenge experts, and the opportunity to seek assistance from peers working in secondary care. The participants' knowledge of diseases and symptoms, as well as their confidence and competence to treat patients in primary care, all enhanced. It has also been observed that the ties between main and secondary care have become better. The advantages cited by the GP</w:t>
      </w:r>
    </w:p>
    <w:p w14:paraId="5C43254D" w14:textId="62900AB5" w:rsidR="00B87E75" w:rsidRPr="00353F24" w:rsidRDefault="004A736E" w:rsidP="00AD28EE">
      <w:pPr>
        <w:pStyle w:val="Heading1"/>
      </w:pPr>
      <w:r w:rsidRPr="00353F24">
        <w:t>5</w:t>
      </w:r>
      <w:r w:rsidR="00B87E75" w:rsidRPr="00353F24">
        <w:t>. Discussion</w:t>
      </w:r>
    </w:p>
    <w:p w14:paraId="587D4633" w14:textId="343AE833" w:rsidR="00B10820" w:rsidRPr="00353F24" w:rsidRDefault="001451D5" w:rsidP="009D052C">
      <w:pPr>
        <w:tabs>
          <w:tab w:val="left" w:pos="6540"/>
        </w:tabs>
        <w:spacing w:line="360" w:lineRule="auto"/>
        <w:rPr>
          <w:rFonts w:ascii="Arial" w:hAnsi="Arial" w:cs="Arial"/>
          <w:szCs w:val="24"/>
        </w:rPr>
      </w:pPr>
      <w:r w:rsidRPr="00353F24">
        <w:rPr>
          <w:rFonts w:ascii="Arial" w:hAnsi="Arial" w:cs="Arial"/>
          <w:szCs w:val="24"/>
        </w:rPr>
        <w:t xml:space="preserve">For the NHS, for instance, the message from the media was that it was overburdened during the epidemic, thus carers may have thought it was necessary not to add to this. During the initial wave of the epidemic, telephone help lines, online forums, and other methods like email have been a vital source of support for carers, as indicated by both callers and support line workers. During the first lockdown, when many services were ill-equipped or unable to react to the fast changes that </w:t>
      </w:r>
      <w:r w:rsidRPr="00353F24">
        <w:rPr>
          <w:rFonts w:ascii="Arial" w:hAnsi="Arial" w:cs="Arial"/>
          <w:szCs w:val="24"/>
        </w:rPr>
        <w:lastRenderedPageBreak/>
        <w:t>were occurring, support employees felt that their faith in experts had altered. However, telephone help lines had specialised and trained personnel who were conversant with the specific situation of dementia caregiving. The rising usage of these services parallels what is seen in the present health service, which has incorporated more alternative digital methods for providing healthcare and made suggestions for sustaining treatment. Reports from the Alzheimer's Society and its Dementia Connect programme, which highlighted the paucity of assistance available across services and the increasing burden on family carers, mirror our findings.</w:t>
      </w:r>
    </w:p>
    <w:p w14:paraId="52EAB44F" w14:textId="1E39E234" w:rsidR="008D2CB4" w:rsidRPr="00353F24" w:rsidRDefault="008D2CB4" w:rsidP="009D052C">
      <w:pPr>
        <w:tabs>
          <w:tab w:val="left" w:pos="6540"/>
        </w:tabs>
        <w:spacing w:line="360" w:lineRule="auto"/>
        <w:rPr>
          <w:rFonts w:ascii="Arial" w:hAnsi="Arial" w:cs="Arial"/>
          <w:szCs w:val="24"/>
        </w:rPr>
      </w:pPr>
      <w:r w:rsidRPr="00353F24">
        <w:rPr>
          <w:rFonts w:ascii="Arial" w:hAnsi="Arial" w:cs="Arial"/>
          <w:szCs w:val="24"/>
        </w:rPr>
        <w:t>During the early stages of the dementia epidemic in England, particular emphasis was given to individuals who provided end-of-life care for persons who had dementia, as well as the difficulties they encountered and the choices they needed to make. Concerns about care transitions; ambiguity in engaging support and aid; care planning inspired by the pandemic; protecting the well-being of the person living with dementia; trust, loss of agency, and confusion; these are the five major themes that emerged from our investigation. Care planning inspired by the pandemic; protecting the well-being of the person living with dementia; To the best of our knowledge, this is the first research that, from the point of view of significant philanthropies headquartered in the United Kingdom that specialise in dementia and end-of-life care, investigates the concerns and help-seeking behaviours of dementia carers during the COVID-19 epidemic.</w:t>
      </w:r>
    </w:p>
    <w:p w14:paraId="3D55E2C7" w14:textId="77777777" w:rsidR="00BD27F3" w:rsidRPr="00353F24" w:rsidRDefault="00BD27F3" w:rsidP="009D052C">
      <w:pPr>
        <w:tabs>
          <w:tab w:val="left" w:pos="6540"/>
        </w:tabs>
        <w:spacing w:line="360" w:lineRule="auto"/>
        <w:rPr>
          <w:rFonts w:ascii="Arial" w:hAnsi="Arial" w:cs="Arial"/>
          <w:szCs w:val="24"/>
        </w:rPr>
      </w:pPr>
    </w:p>
    <w:p w14:paraId="596135D9" w14:textId="32DB3531" w:rsidR="001D7C03" w:rsidRPr="00353F24" w:rsidRDefault="00677300" w:rsidP="009D052C">
      <w:pPr>
        <w:tabs>
          <w:tab w:val="left" w:pos="6540"/>
        </w:tabs>
        <w:spacing w:line="360" w:lineRule="auto"/>
        <w:rPr>
          <w:rFonts w:ascii="Arial" w:hAnsi="Arial" w:cs="Arial"/>
          <w:szCs w:val="24"/>
        </w:rPr>
      </w:pPr>
      <w:r w:rsidRPr="00353F24">
        <w:rPr>
          <w:rFonts w:ascii="Arial" w:hAnsi="Arial" w:cs="Arial"/>
          <w:szCs w:val="24"/>
        </w:rPr>
        <w:t xml:space="preserve">This decision-making tool may be beneficial to </w:t>
      </w:r>
      <w:proofErr w:type="gramStart"/>
      <w:r w:rsidRPr="00353F24">
        <w:rPr>
          <w:rFonts w:ascii="Arial" w:hAnsi="Arial" w:cs="Arial"/>
          <w:szCs w:val="24"/>
        </w:rPr>
        <w:t>a large number of</w:t>
      </w:r>
      <w:proofErr w:type="gramEnd"/>
      <w:r w:rsidRPr="00353F24">
        <w:rPr>
          <w:rFonts w:ascii="Arial" w:hAnsi="Arial" w:cs="Arial"/>
          <w:szCs w:val="24"/>
        </w:rPr>
        <w:t xml:space="preserve"> persons, including family carers, individuals living with dementia, and professionals working in health and social care. During doctor's appointments with family carers, assistance might be offered as part of the emphasis on shared decision making that is included in the NHS Long Term Plan. 57 It may shed light on the situation at hand, assisting them in making choices that are more informed and reducing any internal tensions or guilt that they may be experiencing as a result of having to make tough decisions for a loved one who is on their deathbed. This decision aid was originally developed for use by family carers in the latter stages of life; however, it may also be valuable for people living with dementia who are making decisions on advance care planning (ACP). Because of the pandemic's effect on the availability of resources, it is likely </w:t>
      </w:r>
      <w:r w:rsidRPr="00353F24">
        <w:rPr>
          <w:rFonts w:ascii="Arial" w:hAnsi="Arial" w:cs="Arial"/>
          <w:szCs w:val="24"/>
        </w:rPr>
        <w:lastRenderedPageBreak/>
        <w:t xml:space="preserve">that family members who provide care are not getting the typical level of help. Because of the increased number of calls as well as the fact that family carers are taking on new tasks, </w:t>
      </w:r>
      <w:proofErr w:type="gramStart"/>
      <w:r w:rsidRPr="00353F24">
        <w:rPr>
          <w:rFonts w:ascii="Arial" w:hAnsi="Arial" w:cs="Arial"/>
          <w:szCs w:val="24"/>
        </w:rPr>
        <w:t>it is clear that they</w:t>
      </w:r>
      <w:proofErr w:type="gramEnd"/>
      <w:r w:rsidRPr="00353F24">
        <w:rPr>
          <w:rFonts w:ascii="Arial" w:hAnsi="Arial" w:cs="Arial"/>
          <w:szCs w:val="24"/>
        </w:rPr>
        <w:t xml:space="preserve"> will need far more assistance than usual throughout the course of the epidemic. One aspect that may be especially difficult is decision-making, since family carers often find themselves in situations where they are required to make choices that they would not otherwise be required to make.</w:t>
      </w:r>
    </w:p>
    <w:p w14:paraId="52BA7FFD" w14:textId="00E4DE3F" w:rsidR="00547914" w:rsidRPr="00353F24" w:rsidRDefault="00547914" w:rsidP="009D052C">
      <w:pPr>
        <w:tabs>
          <w:tab w:val="left" w:pos="6540"/>
        </w:tabs>
        <w:spacing w:line="360" w:lineRule="auto"/>
        <w:rPr>
          <w:rFonts w:ascii="Arial" w:hAnsi="Arial" w:cs="Arial"/>
          <w:szCs w:val="24"/>
        </w:rPr>
      </w:pPr>
      <w:r w:rsidRPr="00353F24">
        <w:rPr>
          <w:rFonts w:ascii="Arial" w:hAnsi="Arial" w:cs="Arial"/>
          <w:szCs w:val="24"/>
        </w:rPr>
        <w:t>This is the first study of its kind to conduct in-depth interviews with frontline telephone support line staff who receive calls and messages from anxious and overwhelmed family carers during an epidemic. The staff at these lines receive calls and messages from worried and overwhelmed family carers. They have assisted us in gaining a better understanding of the perspectives of carers, who are likely to be experiencing the greatest suffering and difficulty, but who are also the least likely to participate in research studies. Please keep in mind that our results should be considered with the proviso that they should be evaluated with the understanding that they are based on hearsay on the concerns and choices made by carers during the epidemic. Secondary analysis of data obtained by non-governmental organisations (NGOs) has been shown in earlier research to be an effective method for accelerating the research process. This was proved by the findings of a prior study.</w:t>
      </w:r>
    </w:p>
    <w:p w14:paraId="0C8CFC9C" w14:textId="77777777" w:rsidR="003165D4" w:rsidRPr="00353F24" w:rsidRDefault="0036073E" w:rsidP="002B31C3">
      <w:pPr>
        <w:tabs>
          <w:tab w:val="left" w:pos="6540"/>
        </w:tabs>
        <w:spacing w:line="360" w:lineRule="auto"/>
        <w:rPr>
          <w:rFonts w:ascii="Arial" w:hAnsi="Arial" w:cs="Arial"/>
          <w:szCs w:val="24"/>
        </w:rPr>
      </w:pPr>
      <w:r w:rsidRPr="00353F24">
        <w:rPr>
          <w:rFonts w:ascii="Arial" w:hAnsi="Arial" w:cs="Arial"/>
          <w:szCs w:val="24"/>
        </w:rPr>
        <w:t xml:space="preserve">The validity of this research is strengthened by the participation of both family carers and people living with dementia. [Citation needed] Patients suffering from dementia are often excluded from EOLC investigations. </w:t>
      </w:r>
    </w:p>
    <w:p w14:paraId="109BF72B" w14:textId="77777777" w:rsidR="00353F24" w:rsidRDefault="00353F24" w:rsidP="003165D4">
      <w:pPr>
        <w:tabs>
          <w:tab w:val="left" w:pos="6540"/>
        </w:tabs>
        <w:spacing w:line="360" w:lineRule="auto"/>
        <w:rPr>
          <w:rFonts w:ascii="Arial" w:hAnsi="Arial" w:cs="Arial"/>
          <w:b/>
          <w:szCs w:val="24"/>
        </w:rPr>
      </w:pPr>
    </w:p>
    <w:p w14:paraId="1CA278DF" w14:textId="07CE4E3C" w:rsidR="003165D4" w:rsidRPr="00353F24" w:rsidRDefault="004A736E" w:rsidP="003165D4">
      <w:pPr>
        <w:tabs>
          <w:tab w:val="left" w:pos="6540"/>
        </w:tabs>
        <w:spacing w:line="360" w:lineRule="auto"/>
        <w:rPr>
          <w:rFonts w:ascii="Arial" w:hAnsi="Arial" w:cs="Arial"/>
          <w:b/>
          <w:szCs w:val="24"/>
        </w:rPr>
      </w:pPr>
      <w:r w:rsidRPr="00353F24">
        <w:rPr>
          <w:rFonts w:ascii="Arial" w:hAnsi="Arial" w:cs="Arial"/>
          <w:b/>
          <w:szCs w:val="24"/>
        </w:rPr>
        <w:t>6</w:t>
      </w:r>
      <w:r w:rsidR="00B87E75" w:rsidRPr="00353F24">
        <w:rPr>
          <w:rFonts w:ascii="Arial" w:hAnsi="Arial" w:cs="Arial"/>
          <w:b/>
          <w:szCs w:val="24"/>
        </w:rPr>
        <w:t>. Conclusi</w:t>
      </w:r>
      <w:r w:rsidR="000E553E" w:rsidRPr="00353F24">
        <w:rPr>
          <w:rFonts w:ascii="Arial" w:hAnsi="Arial" w:cs="Arial"/>
          <w:b/>
          <w:szCs w:val="24"/>
        </w:rPr>
        <w:t>on</w:t>
      </w:r>
    </w:p>
    <w:p w14:paraId="7E856ACE" w14:textId="03061D66" w:rsidR="00F24899" w:rsidRPr="00353F24" w:rsidRDefault="00F24899" w:rsidP="003165D4">
      <w:pPr>
        <w:tabs>
          <w:tab w:val="left" w:pos="6540"/>
        </w:tabs>
        <w:spacing w:line="360" w:lineRule="auto"/>
        <w:rPr>
          <w:rFonts w:ascii="Arial" w:hAnsi="Arial" w:cs="Arial"/>
          <w:szCs w:val="24"/>
        </w:rPr>
      </w:pPr>
      <w:r w:rsidRPr="00353F24">
        <w:rPr>
          <w:rFonts w:ascii="Arial" w:hAnsi="Arial" w:cs="Arial"/>
          <w:szCs w:val="24"/>
        </w:rPr>
        <w:t>This article provides the first decision assistance for dementia patients that addresses a variety of end-of-life options. We provide a complete account of the systematic development of a decision-making tool for dementia caring.</w:t>
      </w:r>
    </w:p>
    <w:p w14:paraId="429DF682" w14:textId="5F5F6648" w:rsidR="003429ED" w:rsidRPr="00353F24" w:rsidRDefault="00F24899" w:rsidP="00AD28EE">
      <w:pPr>
        <w:pStyle w:val="Heading1"/>
      </w:pPr>
      <w:r w:rsidRPr="00353F24">
        <w:lastRenderedPageBreak/>
        <w:t>Caregivers may be reluctant to seek assistance for fear that their loved one may be institutionalised and labelled with COVID-19, put in a care facility, or pass away without their presence. Due to a lack in confidence, some carers are seeking aid from more respectable organisations, such as national charities. Because persons with dementia often lack the mental capacity to make decisions about their own care, this study was used to inform the development of a decision aid for family carers. Caregivers and dementia patients sometimes have trouble discussing end-of-life care (EOLC). Despite the complexity of the decision-making process, our strategy tries to simplify it by deconstructing it into its component elements. We have shown that decision making is a cyclical rather than linear process.</w:t>
      </w:r>
    </w:p>
    <w:p w14:paraId="377DF6F4" w14:textId="77777777" w:rsidR="003429ED" w:rsidRPr="00353F24" w:rsidRDefault="003429ED" w:rsidP="00AD28EE">
      <w:pPr>
        <w:pStyle w:val="Heading1"/>
      </w:pPr>
    </w:p>
    <w:p w14:paraId="6C7B268B" w14:textId="77777777" w:rsidR="003429ED" w:rsidRPr="00353F24" w:rsidRDefault="003429ED" w:rsidP="00AD28EE">
      <w:pPr>
        <w:pStyle w:val="Heading1"/>
      </w:pPr>
    </w:p>
    <w:p w14:paraId="3BD404C1" w14:textId="77777777" w:rsidR="002B76B1" w:rsidRDefault="002B76B1" w:rsidP="00AD28EE">
      <w:pPr>
        <w:pStyle w:val="Heading1"/>
      </w:pPr>
    </w:p>
    <w:p w14:paraId="257DA00D" w14:textId="77777777" w:rsidR="002B76B1" w:rsidRDefault="002B76B1" w:rsidP="00AD28EE">
      <w:pPr>
        <w:pStyle w:val="Heading1"/>
      </w:pPr>
    </w:p>
    <w:p w14:paraId="33F8F0BD" w14:textId="4FC72259" w:rsidR="00B87E75" w:rsidRDefault="00B87E75" w:rsidP="00AD28EE">
      <w:pPr>
        <w:pStyle w:val="Heading1"/>
      </w:pPr>
      <w:r w:rsidRPr="00B87E75">
        <w:t>References</w:t>
      </w:r>
    </w:p>
    <w:p w14:paraId="0AB4A1EE" w14:textId="77777777" w:rsidR="00C26AD8" w:rsidRDefault="00C26AD8" w:rsidP="00C26AD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Making decisions A guide for people who work in health and social care. (n.d.). [online] Available at: https://www.elft.nhs.uk/sites/default/files/2022-01/mental_capacity_act_-_guide_for_professionals.pdf.</w:t>
      </w:r>
    </w:p>
    <w:p w14:paraId="16BF659C" w14:textId="002945F4" w:rsidR="00931F9D" w:rsidRDefault="00C26AD8" w:rsidP="00931F9D">
      <w:pPr>
        <w:pStyle w:val="NormalWeb"/>
        <w:rPr>
          <w:rFonts w:ascii="Calibri" w:hAnsi="Calibri" w:cs="Calibri"/>
          <w:color w:val="000000"/>
          <w:sz w:val="27"/>
          <w:szCs w:val="27"/>
        </w:rPr>
      </w:pPr>
      <w:r>
        <w:rPr>
          <w:rFonts w:ascii="Calibri" w:hAnsi="Calibri" w:cs="Calibri"/>
          <w:color w:val="000000"/>
          <w:sz w:val="27"/>
          <w:szCs w:val="27"/>
        </w:rPr>
        <w:t>‌</w:t>
      </w:r>
      <w:r w:rsidR="00931F9D">
        <w:rPr>
          <w:rFonts w:ascii="Calibri" w:hAnsi="Calibri" w:cs="Calibri"/>
          <w:color w:val="000000"/>
          <w:sz w:val="27"/>
          <w:szCs w:val="27"/>
        </w:rPr>
        <w:t>www.legacywillsandtrusts.co.uk. (n.d.). </w:t>
      </w:r>
      <w:r w:rsidR="00931F9D">
        <w:rPr>
          <w:rFonts w:ascii="Calibri" w:hAnsi="Calibri" w:cs="Calibri"/>
          <w:i/>
          <w:iCs/>
          <w:color w:val="000000"/>
          <w:sz w:val="27"/>
          <w:szCs w:val="27"/>
        </w:rPr>
        <w:t>partnerdementiasellinghouse - Legacy Wills and Trusts</w:t>
      </w:r>
      <w:r w:rsidR="00931F9D">
        <w:rPr>
          <w:rFonts w:ascii="Calibri" w:hAnsi="Calibri" w:cs="Calibri"/>
          <w:color w:val="000000"/>
          <w:sz w:val="27"/>
          <w:szCs w:val="27"/>
        </w:rPr>
        <w:t>. [online] Available at: http://www.legacywillsandtrusts.co.uk/pages/partnerdementiasellinghouse.aspx [Accessed 3 Jan. 2023].</w:t>
      </w:r>
    </w:p>
    <w:p w14:paraId="33D801A8" w14:textId="074342B4" w:rsidR="00FF5FB2" w:rsidRDefault="00931F9D" w:rsidP="00FF5FB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FF5FB2" w:rsidRPr="00FF5FB2">
        <w:rPr>
          <w:rFonts w:ascii="Calibri" w:hAnsi="Calibri" w:cs="Calibri"/>
          <w:color w:val="000000"/>
          <w:sz w:val="27"/>
          <w:szCs w:val="27"/>
        </w:rPr>
        <w:t xml:space="preserve"> </w:t>
      </w:r>
      <w:r w:rsidR="00FF5FB2">
        <w:rPr>
          <w:rFonts w:ascii="Calibri" w:hAnsi="Calibri" w:cs="Calibri"/>
          <w:color w:val="000000"/>
          <w:sz w:val="27"/>
          <w:szCs w:val="27"/>
        </w:rPr>
        <w:t>projectplux.com. (n.d.). </w:t>
      </w:r>
      <w:r w:rsidR="00FF5FB2">
        <w:rPr>
          <w:rFonts w:ascii="Calibri" w:hAnsi="Calibri" w:cs="Calibri"/>
          <w:i/>
          <w:iCs/>
          <w:color w:val="000000"/>
          <w:sz w:val="27"/>
          <w:szCs w:val="27"/>
        </w:rPr>
        <w:t>THE CHALLENGES OF COST BENEFIT ANALYSIS, IN A COMPUTERIZED ACCOUNTING SYSTEM</w:t>
      </w:r>
      <w:r w:rsidR="00FF5FB2">
        <w:rPr>
          <w:rFonts w:ascii="Calibri" w:hAnsi="Calibri" w:cs="Calibri"/>
          <w:color w:val="000000"/>
          <w:sz w:val="27"/>
          <w:szCs w:val="27"/>
        </w:rPr>
        <w:t>. [online] Available at: https://projectplux.com/sample.php?link=acc43&amp;folder=accountancy [Accessed 3 Jan. 2023].</w:t>
      </w:r>
    </w:p>
    <w:p w14:paraId="644ADD9F" w14:textId="77777777" w:rsidR="00CF3531" w:rsidRDefault="00FF5FB2" w:rsidP="00CF353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184AD1C3" w14:textId="480B18AC" w:rsidR="00CF3531" w:rsidRDefault="00CF3531" w:rsidP="00CF3531">
      <w:pPr>
        <w:pStyle w:val="NormalWeb"/>
        <w:spacing w:before="0" w:beforeAutospacing="0" w:after="0" w:afterAutospacing="0" w:line="360" w:lineRule="atLeast"/>
        <w:rPr>
          <w:rFonts w:ascii="Calibri" w:hAnsi="Calibri" w:cs="Calibri"/>
          <w:color w:val="000000"/>
          <w:sz w:val="27"/>
          <w:szCs w:val="27"/>
        </w:rPr>
      </w:pPr>
      <w:r w:rsidRPr="00CF3531">
        <w:rPr>
          <w:rFonts w:ascii="Calibri" w:hAnsi="Calibri" w:cs="Calibri"/>
          <w:color w:val="000000"/>
          <w:sz w:val="27"/>
          <w:szCs w:val="27"/>
        </w:rPr>
        <w:t xml:space="preserve"> </w:t>
      </w:r>
      <w:r>
        <w:rPr>
          <w:rFonts w:ascii="Calibri" w:hAnsi="Calibri" w:cs="Calibri"/>
          <w:color w:val="000000"/>
          <w:sz w:val="27"/>
          <w:szCs w:val="27"/>
        </w:rPr>
        <w:t>jories.ntnu.edu.tw. (n.d.). </w:t>
      </w:r>
      <w:r>
        <w:rPr>
          <w:rFonts w:ascii="Calibri" w:hAnsi="Calibri" w:cs="Calibri"/>
          <w:i/>
          <w:iCs/>
          <w:color w:val="000000"/>
          <w:sz w:val="27"/>
          <w:szCs w:val="27"/>
        </w:rPr>
        <w:t>Journal of Research in Education Sciences - Journal directory listing - Volume 21-30 (1976-1985) - Volume 25 (1980)</w:t>
      </w:r>
      <w:r>
        <w:rPr>
          <w:rFonts w:ascii="Calibri" w:hAnsi="Calibri" w:cs="Calibri"/>
          <w:color w:val="000000"/>
          <w:sz w:val="27"/>
          <w:szCs w:val="27"/>
        </w:rPr>
        <w:t xml:space="preserve">. [online] Available </w:t>
      </w:r>
      <w:r w:rsidR="008B2FAC">
        <w:rPr>
          <w:rFonts w:ascii="Calibri" w:hAnsi="Calibri" w:cs="Calibri"/>
          <w:color w:val="000000"/>
          <w:sz w:val="27"/>
          <w:szCs w:val="27"/>
        </w:rPr>
        <w:t xml:space="preserve">at: </w:t>
      </w:r>
      <w:r w:rsidR="008B2FAC">
        <w:rPr>
          <w:rFonts w:ascii="Calibri" w:hAnsi="Calibri" w:cs="Calibri"/>
          <w:color w:val="000000"/>
          <w:sz w:val="27"/>
          <w:szCs w:val="27"/>
        </w:rPr>
        <w:lastRenderedPageBreak/>
        <w:t>http://jories.ntnu.edu.tw/jres/PaperContent.aspx?cid=52&amp;ItemId=476&amp;loc=en</w:t>
      </w:r>
      <w:r>
        <w:rPr>
          <w:rFonts w:ascii="Calibri" w:hAnsi="Calibri" w:cs="Calibri"/>
          <w:color w:val="000000"/>
          <w:sz w:val="27"/>
          <w:szCs w:val="27"/>
        </w:rPr>
        <w:t xml:space="preserve"> [Accessed 3 Jan. 2023].</w:t>
      </w:r>
    </w:p>
    <w:p w14:paraId="62919E06" w14:textId="585D4780" w:rsidR="002B76B1" w:rsidRDefault="002B76B1" w:rsidP="0090777C">
      <w:pPr>
        <w:pStyle w:val="NormalWeb"/>
        <w:spacing w:before="0" w:beforeAutospacing="0" w:after="0" w:afterAutospacing="0" w:line="360" w:lineRule="atLeast"/>
        <w:rPr>
          <w:rFonts w:ascii="Calibri" w:hAnsi="Calibri" w:cs="Calibri"/>
          <w:color w:val="000000"/>
          <w:sz w:val="27"/>
          <w:szCs w:val="27"/>
        </w:rPr>
      </w:pPr>
    </w:p>
    <w:p w14:paraId="3656DF58" w14:textId="77777777" w:rsidR="00543DC1" w:rsidRDefault="0090777C" w:rsidP="00CA3006">
      <w:pPr>
        <w:pStyle w:val="NormalWeb"/>
        <w:spacing w:before="0" w:beforeAutospacing="0" w:after="0" w:afterAutospacing="0" w:line="360" w:lineRule="atLeast"/>
        <w:rPr>
          <w:rFonts w:ascii="Calibri" w:hAnsi="Calibri" w:cs="Calibri"/>
          <w:color w:val="000000"/>
          <w:sz w:val="27"/>
          <w:szCs w:val="27"/>
        </w:rPr>
      </w:pPr>
      <w:r w:rsidRPr="0090777C">
        <w:rPr>
          <w:rFonts w:ascii="Calibri" w:hAnsi="Calibri" w:cs="Calibri"/>
          <w:color w:val="000000"/>
          <w:sz w:val="27"/>
          <w:szCs w:val="27"/>
        </w:rPr>
        <w:t xml:space="preserve"> </w:t>
      </w:r>
      <w:r>
        <w:rPr>
          <w:rFonts w:ascii="Calibri" w:hAnsi="Calibri" w:cs="Calibri"/>
          <w:color w:val="000000"/>
          <w:sz w:val="27"/>
          <w:szCs w:val="27"/>
        </w:rPr>
        <w:t>Accounting Nest. (n.d.). </w:t>
      </w:r>
      <w:r>
        <w:rPr>
          <w:rFonts w:ascii="Calibri" w:hAnsi="Calibri" w:cs="Calibri"/>
          <w:i/>
          <w:iCs/>
          <w:color w:val="000000"/>
          <w:sz w:val="27"/>
          <w:szCs w:val="27"/>
        </w:rPr>
        <w:t>Accounting Nest | RESEARCH-Research findings</w:t>
      </w:r>
      <w:r>
        <w:rPr>
          <w:rFonts w:ascii="Calibri" w:hAnsi="Calibri" w:cs="Calibri"/>
          <w:color w:val="000000"/>
          <w:sz w:val="27"/>
          <w:szCs w:val="27"/>
        </w:rPr>
        <w:t>. [online] Available at: https://www.accountingnest.com/articles/research/research-findings.</w:t>
      </w:r>
      <w:r w:rsidR="00543DC1">
        <w:rPr>
          <w:rFonts w:ascii="Calibri" w:hAnsi="Calibri" w:cs="Calibri"/>
          <w:color w:val="000000"/>
          <w:sz w:val="27"/>
          <w:szCs w:val="27"/>
        </w:rPr>
        <w:t xml:space="preserve"> </w:t>
      </w:r>
    </w:p>
    <w:p w14:paraId="7D0BE72C" w14:textId="77777777" w:rsidR="00543DC1" w:rsidRDefault="00543DC1" w:rsidP="00CA3006">
      <w:pPr>
        <w:pStyle w:val="NormalWeb"/>
        <w:spacing w:before="0" w:beforeAutospacing="0" w:after="0" w:afterAutospacing="0" w:line="360" w:lineRule="atLeast"/>
        <w:rPr>
          <w:rFonts w:ascii="Calibri" w:hAnsi="Calibri" w:cs="Calibri"/>
          <w:color w:val="000000"/>
          <w:sz w:val="27"/>
          <w:szCs w:val="27"/>
        </w:rPr>
      </w:pPr>
    </w:p>
    <w:p w14:paraId="706AF191" w14:textId="3DC3010B" w:rsidR="00CA3006" w:rsidRDefault="00CA3006" w:rsidP="00CA300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Health Research Authority (2018). </w:t>
      </w:r>
      <w:r>
        <w:rPr>
          <w:rFonts w:ascii="Calibri" w:hAnsi="Calibri" w:cs="Calibri"/>
          <w:i/>
          <w:iCs/>
          <w:color w:val="000000"/>
          <w:sz w:val="27"/>
          <w:szCs w:val="27"/>
        </w:rPr>
        <w:t>How we regulate health and social care research</w:t>
      </w:r>
      <w:r>
        <w:rPr>
          <w:rFonts w:ascii="Calibri" w:hAnsi="Calibri" w:cs="Calibri"/>
          <w:color w:val="000000"/>
          <w:sz w:val="27"/>
          <w:szCs w:val="27"/>
        </w:rPr>
        <w:t>. [online] Health Research Authority. Available at: https://www.hra.nhs.uk/about-us/what-we-do/how-we-regulate-health-and-social-care-research/.</w:t>
      </w:r>
    </w:p>
    <w:p w14:paraId="303F1E6A" w14:textId="77777777" w:rsidR="00E54062" w:rsidRDefault="00CA3006" w:rsidP="00BD5B8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45DF0F78" w14:textId="4CDC8F72" w:rsidR="00BD5B81" w:rsidRDefault="00BD5B81" w:rsidP="00BD5B81">
      <w:pPr>
        <w:pStyle w:val="NormalWeb"/>
        <w:spacing w:before="0" w:beforeAutospacing="0" w:after="0" w:afterAutospacing="0" w:line="360" w:lineRule="atLeast"/>
        <w:rPr>
          <w:rFonts w:ascii="Calibri" w:hAnsi="Calibri" w:cs="Calibri"/>
          <w:color w:val="000000"/>
          <w:sz w:val="27"/>
          <w:szCs w:val="27"/>
        </w:rPr>
      </w:pPr>
      <w:r w:rsidRPr="00BD5B81">
        <w:rPr>
          <w:rFonts w:ascii="Calibri" w:hAnsi="Calibri" w:cs="Calibri"/>
          <w:color w:val="000000"/>
          <w:sz w:val="27"/>
          <w:szCs w:val="27"/>
        </w:rPr>
        <w:t xml:space="preserve"> </w:t>
      </w:r>
      <w:r>
        <w:rPr>
          <w:rFonts w:ascii="Calibri" w:hAnsi="Calibri" w:cs="Calibri"/>
          <w:color w:val="000000"/>
          <w:sz w:val="27"/>
          <w:szCs w:val="27"/>
        </w:rPr>
        <w:t xml:space="preserve">Jansen, B.D.W., Brazil, K., Passmore, P., Buchanan, H., Maxwell, D., </w:t>
      </w:r>
      <w:proofErr w:type="spellStart"/>
      <w:r>
        <w:rPr>
          <w:rFonts w:ascii="Calibri" w:hAnsi="Calibri" w:cs="Calibri"/>
          <w:color w:val="000000"/>
          <w:sz w:val="27"/>
          <w:szCs w:val="27"/>
        </w:rPr>
        <w:t>McIlfatrick</w:t>
      </w:r>
      <w:proofErr w:type="spellEnd"/>
      <w:r>
        <w:rPr>
          <w:rFonts w:ascii="Calibri" w:hAnsi="Calibri" w:cs="Calibri"/>
          <w:color w:val="000000"/>
          <w:sz w:val="27"/>
          <w:szCs w:val="27"/>
        </w:rPr>
        <w:t>, S.J., Morgan, S.M., Watson, M. and Parsons, C. (2017). Exploring healthcare assistants’ role and experience in pain assessment and management for people with advanced dementia towards the end of life: a qualitative study. </w:t>
      </w:r>
      <w:r>
        <w:rPr>
          <w:rFonts w:ascii="Calibri" w:hAnsi="Calibri" w:cs="Calibri"/>
          <w:i/>
          <w:iCs/>
          <w:color w:val="000000"/>
          <w:sz w:val="27"/>
          <w:szCs w:val="27"/>
        </w:rPr>
        <w:t>BMC Palliative Care</w:t>
      </w:r>
      <w:r>
        <w:rPr>
          <w:rFonts w:ascii="Calibri" w:hAnsi="Calibri" w:cs="Calibri"/>
          <w:color w:val="000000"/>
          <w:sz w:val="27"/>
          <w:szCs w:val="27"/>
        </w:rPr>
        <w:t xml:space="preserve">, [online] 16(1). </w:t>
      </w:r>
    </w:p>
    <w:p w14:paraId="7312BEAF" w14:textId="7603F38A" w:rsidR="00E639A5" w:rsidRDefault="00BD5B81" w:rsidP="00E639A5">
      <w:pPr>
        <w:pStyle w:val="NormalWeb"/>
        <w:rPr>
          <w:rFonts w:ascii="Calibri" w:hAnsi="Calibri" w:cs="Calibri"/>
          <w:color w:val="000000"/>
          <w:sz w:val="27"/>
          <w:szCs w:val="27"/>
        </w:rPr>
      </w:pPr>
      <w:r>
        <w:rPr>
          <w:rFonts w:ascii="Calibri" w:hAnsi="Calibri" w:cs="Calibri"/>
          <w:color w:val="000000"/>
          <w:sz w:val="27"/>
          <w:szCs w:val="27"/>
        </w:rPr>
        <w:t>‌</w:t>
      </w:r>
      <w:r w:rsidR="00E639A5" w:rsidRPr="00E639A5">
        <w:rPr>
          <w:rFonts w:ascii="Calibri" w:hAnsi="Calibri" w:cs="Calibri"/>
          <w:color w:val="000000"/>
          <w:sz w:val="27"/>
          <w:szCs w:val="27"/>
        </w:rPr>
        <w:t xml:space="preserve"> </w:t>
      </w:r>
      <w:proofErr w:type="spellStart"/>
      <w:r w:rsidR="00E639A5">
        <w:rPr>
          <w:rFonts w:ascii="Calibri" w:hAnsi="Calibri" w:cs="Calibri"/>
          <w:color w:val="000000"/>
          <w:sz w:val="27"/>
          <w:szCs w:val="27"/>
        </w:rPr>
        <w:t>Midtbust</w:t>
      </w:r>
      <w:proofErr w:type="spellEnd"/>
      <w:r w:rsidR="00E639A5">
        <w:rPr>
          <w:rFonts w:ascii="Calibri" w:hAnsi="Calibri" w:cs="Calibri"/>
          <w:color w:val="000000"/>
          <w:sz w:val="27"/>
          <w:szCs w:val="27"/>
        </w:rPr>
        <w:t xml:space="preserve">, M.H., </w:t>
      </w:r>
      <w:proofErr w:type="spellStart"/>
      <w:r w:rsidR="00E639A5">
        <w:rPr>
          <w:rFonts w:ascii="Calibri" w:hAnsi="Calibri" w:cs="Calibri"/>
          <w:color w:val="000000"/>
          <w:sz w:val="27"/>
          <w:szCs w:val="27"/>
        </w:rPr>
        <w:t>Alnes</w:t>
      </w:r>
      <w:proofErr w:type="spellEnd"/>
      <w:r w:rsidR="00E639A5">
        <w:rPr>
          <w:rFonts w:ascii="Calibri" w:hAnsi="Calibri" w:cs="Calibri"/>
          <w:color w:val="000000"/>
          <w:sz w:val="27"/>
          <w:szCs w:val="27"/>
        </w:rPr>
        <w:t xml:space="preserve">, R.E., </w:t>
      </w:r>
      <w:proofErr w:type="spellStart"/>
      <w:r w:rsidR="00E639A5">
        <w:rPr>
          <w:rFonts w:ascii="Calibri" w:hAnsi="Calibri" w:cs="Calibri"/>
          <w:color w:val="000000"/>
          <w:sz w:val="27"/>
          <w:szCs w:val="27"/>
        </w:rPr>
        <w:t>Gjengedal</w:t>
      </w:r>
      <w:proofErr w:type="spellEnd"/>
      <w:r w:rsidR="00E639A5">
        <w:rPr>
          <w:rFonts w:ascii="Calibri" w:hAnsi="Calibri" w:cs="Calibri"/>
          <w:color w:val="000000"/>
          <w:sz w:val="27"/>
          <w:szCs w:val="27"/>
        </w:rPr>
        <w:t xml:space="preserve">, E. and </w:t>
      </w:r>
      <w:proofErr w:type="spellStart"/>
      <w:r w:rsidR="00E639A5">
        <w:rPr>
          <w:rFonts w:ascii="Calibri" w:hAnsi="Calibri" w:cs="Calibri"/>
          <w:color w:val="000000"/>
          <w:sz w:val="27"/>
          <w:szCs w:val="27"/>
        </w:rPr>
        <w:t>Lykkeslet</w:t>
      </w:r>
      <w:proofErr w:type="spellEnd"/>
      <w:r w:rsidR="00E639A5">
        <w:rPr>
          <w:rFonts w:ascii="Calibri" w:hAnsi="Calibri" w:cs="Calibri"/>
          <w:color w:val="000000"/>
          <w:sz w:val="27"/>
          <w:szCs w:val="27"/>
        </w:rPr>
        <w:t>, E. (2018). A painful experience of limited understanding: healthcare professionals’ experiences with palliative care of people with severe dementia in Norwegian nursing homes. </w:t>
      </w:r>
      <w:r w:rsidR="00E639A5">
        <w:rPr>
          <w:rFonts w:ascii="Calibri" w:hAnsi="Calibri" w:cs="Calibri"/>
          <w:i/>
          <w:iCs/>
          <w:color w:val="000000"/>
          <w:sz w:val="27"/>
          <w:szCs w:val="27"/>
        </w:rPr>
        <w:t>BMC Palliative Care</w:t>
      </w:r>
      <w:r w:rsidR="00E639A5">
        <w:rPr>
          <w:rFonts w:ascii="Calibri" w:hAnsi="Calibri" w:cs="Calibri"/>
          <w:color w:val="000000"/>
          <w:sz w:val="27"/>
          <w:szCs w:val="27"/>
        </w:rPr>
        <w:t xml:space="preserve">, 17(1). </w:t>
      </w:r>
    </w:p>
    <w:p w14:paraId="7BEF2285" w14:textId="77777777" w:rsidR="00E02274" w:rsidRDefault="00E639A5" w:rsidP="00E02274">
      <w:pPr>
        <w:pStyle w:val="NormalWeb"/>
        <w:rPr>
          <w:rFonts w:ascii="Calibri" w:hAnsi="Calibri" w:cs="Calibri"/>
          <w:color w:val="000000"/>
          <w:sz w:val="27"/>
          <w:szCs w:val="27"/>
        </w:rPr>
      </w:pPr>
      <w:r>
        <w:rPr>
          <w:rFonts w:ascii="Calibri" w:hAnsi="Calibri" w:cs="Calibri"/>
          <w:color w:val="000000"/>
          <w:sz w:val="27"/>
          <w:szCs w:val="27"/>
        </w:rPr>
        <w:t>‌</w:t>
      </w:r>
      <w:r w:rsidR="008C5292">
        <w:rPr>
          <w:rFonts w:ascii="Calibri" w:hAnsi="Calibri" w:cs="Calibri"/>
          <w:color w:val="000000"/>
          <w:sz w:val="27"/>
          <w:szCs w:val="27"/>
        </w:rPr>
        <w:t xml:space="preserve">Moore, K.J., Davis, S., Gola, A., Harrington, J., </w:t>
      </w:r>
      <w:proofErr w:type="spellStart"/>
      <w:r w:rsidR="008C5292">
        <w:rPr>
          <w:rFonts w:ascii="Calibri" w:hAnsi="Calibri" w:cs="Calibri"/>
          <w:color w:val="000000"/>
          <w:sz w:val="27"/>
          <w:szCs w:val="27"/>
        </w:rPr>
        <w:t>Kupeli</w:t>
      </w:r>
      <w:proofErr w:type="spellEnd"/>
      <w:r w:rsidR="008C5292">
        <w:rPr>
          <w:rFonts w:ascii="Calibri" w:hAnsi="Calibri" w:cs="Calibri"/>
          <w:color w:val="000000"/>
          <w:sz w:val="27"/>
          <w:szCs w:val="27"/>
        </w:rPr>
        <w:t xml:space="preserve">, N., </w:t>
      </w:r>
      <w:proofErr w:type="spellStart"/>
      <w:r w:rsidR="008C5292">
        <w:rPr>
          <w:rFonts w:ascii="Calibri" w:hAnsi="Calibri" w:cs="Calibri"/>
          <w:color w:val="000000"/>
          <w:sz w:val="27"/>
          <w:szCs w:val="27"/>
        </w:rPr>
        <w:t>Vickerstaff</w:t>
      </w:r>
      <w:proofErr w:type="spellEnd"/>
      <w:r w:rsidR="008C5292">
        <w:rPr>
          <w:rFonts w:ascii="Calibri" w:hAnsi="Calibri" w:cs="Calibri"/>
          <w:color w:val="000000"/>
          <w:sz w:val="27"/>
          <w:szCs w:val="27"/>
        </w:rPr>
        <w:t>, V., King, M., Leavey, G., Nazareth, I., Jones, L. and Sampson, E.L. (2017). Experiences of end of life amongst family carers of people with advanced dementia: longitudinal cohort study with mixed methods. </w:t>
      </w:r>
      <w:r w:rsidR="008C5292">
        <w:rPr>
          <w:rFonts w:ascii="Calibri" w:hAnsi="Calibri" w:cs="Calibri"/>
          <w:i/>
          <w:iCs/>
          <w:color w:val="000000"/>
          <w:sz w:val="27"/>
          <w:szCs w:val="27"/>
        </w:rPr>
        <w:t>BMC Geriatrics</w:t>
      </w:r>
      <w:r w:rsidR="008C5292">
        <w:rPr>
          <w:rFonts w:ascii="Calibri" w:hAnsi="Calibri" w:cs="Calibri"/>
          <w:color w:val="000000"/>
          <w:sz w:val="27"/>
          <w:szCs w:val="27"/>
        </w:rPr>
        <w:t>, 17(1). doi:10.1186/s12877-017-0523-3.</w:t>
      </w:r>
    </w:p>
    <w:p w14:paraId="6BD51C65" w14:textId="1DAC741C" w:rsidR="00E02274" w:rsidRDefault="008C5292" w:rsidP="00E02274">
      <w:pPr>
        <w:pStyle w:val="NormalWeb"/>
        <w:rPr>
          <w:rFonts w:ascii="Calibri" w:hAnsi="Calibri" w:cs="Calibri"/>
          <w:color w:val="000000"/>
          <w:sz w:val="27"/>
          <w:szCs w:val="27"/>
        </w:rPr>
      </w:pPr>
      <w:r>
        <w:rPr>
          <w:rFonts w:ascii="Calibri" w:hAnsi="Calibri" w:cs="Calibri"/>
          <w:color w:val="000000"/>
          <w:sz w:val="27"/>
          <w:szCs w:val="27"/>
        </w:rPr>
        <w:t>‌</w:t>
      </w:r>
      <w:r w:rsidR="00E02274">
        <w:rPr>
          <w:rFonts w:ascii="Calibri" w:hAnsi="Calibri" w:cs="Calibri"/>
          <w:color w:val="000000"/>
          <w:sz w:val="27"/>
          <w:szCs w:val="27"/>
        </w:rPr>
        <w:t>www.alzheimers.org.uk. (n.d.). </w:t>
      </w:r>
      <w:r w:rsidR="00E02274">
        <w:rPr>
          <w:rFonts w:ascii="Calibri" w:hAnsi="Calibri" w:cs="Calibri"/>
          <w:i/>
          <w:iCs/>
          <w:color w:val="000000"/>
          <w:sz w:val="27"/>
          <w:szCs w:val="27"/>
        </w:rPr>
        <w:t>End of life care for a person with dementia | Alzheimer’s Society</w:t>
      </w:r>
      <w:r w:rsidR="00E02274">
        <w:rPr>
          <w:rFonts w:ascii="Calibri" w:hAnsi="Calibri" w:cs="Calibri"/>
          <w:color w:val="000000"/>
          <w:sz w:val="27"/>
          <w:szCs w:val="27"/>
        </w:rPr>
        <w:t>. [online] Available at: https://www.alzheimers.org.uk/get-support/help-dementia-care/end-life-care-dementia.</w:t>
      </w:r>
    </w:p>
    <w:p w14:paraId="577AF996" w14:textId="467891D0" w:rsidR="008F1925" w:rsidRDefault="00E02274" w:rsidP="008F1925">
      <w:pPr>
        <w:pStyle w:val="NormalWeb"/>
        <w:rPr>
          <w:rFonts w:ascii="Calibri" w:hAnsi="Calibri" w:cs="Calibri"/>
          <w:color w:val="000000"/>
          <w:sz w:val="27"/>
          <w:szCs w:val="27"/>
        </w:rPr>
      </w:pPr>
      <w:r>
        <w:rPr>
          <w:rFonts w:ascii="Calibri" w:hAnsi="Calibri" w:cs="Calibri"/>
          <w:color w:val="000000"/>
          <w:sz w:val="27"/>
          <w:szCs w:val="27"/>
        </w:rPr>
        <w:t>‌</w:t>
      </w:r>
      <w:r w:rsidR="008F1925">
        <w:rPr>
          <w:rFonts w:ascii="Calibri" w:hAnsi="Calibri" w:cs="Calibri"/>
          <w:color w:val="000000"/>
          <w:sz w:val="27"/>
          <w:szCs w:val="27"/>
        </w:rPr>
        <w:t xml:space="preserve">Moore, K., Davis, S., Gola, A., Harrington, J., </w:t>
      </w:r>
      <w:proofErr w:type="spellStart"/>
      <w:r w:rsidR="008F1925">
        <w:rPr>
          <w:rFonts w:ascii="Calibri" w:hAnsi="Calibri" w:cs="Calibri"/>
          <w:color w:val="000000"/>
          <w:sz w:val="27"/>
          <w:szCs w:val="27"/>
        </w:rPr>
        <w:t>Kupeli</w:t>
      </w:r>
      <w:proofErr w:type="spellEnd"/>
      <w:r w:rsidR="008F1925">
        <w:rPr>
          <w:rFonts w:ascii="Calibri" w:hAnsi="Calibri" w:cs="Calibri"/>
          <w:color w:val="000000"/>
          <w:sz w:val="27"/>
          <w:szCs w:val="27"/>
        </w:rPr>
        <w:t xml:space="preserve">, N., </w:t>
      </w:r>
      <w:proofErr w:type="spellStart"/>
      <w:r w:rsidR="008F1925">
        <w:rPr>
          <w:rFonts w:ascii="Calibri" w:hAnsi="Calibri" w:cs="Calibri"/>
          <w:color w:val="000000"/>
          <w:sz w:val="27"/>
          <w:szCs w:val="27"/>
        </w:rPr>
        <w:t>Vickerstaff</w:t>
      </w:r>
      <w:proofErr w:type="spellEnd"/>
      <w:r w:rsidR="008F1925">
        <w:rPr>
          <w:rFonts w:ascii="Calibri" w:hAnsi="Calibri" w:cs="Calibri"/>
          <w:color w:val="000000"/>
          <w:sz w:val="27"/>
          <w:szCs w:val="27"/>
        </w:rPr>
        <w:t>, V., King, M., Leavey, G., Nazareth, I., Jones, L. and Sampson, E. (2017). Experiences of end of life amongst family carers of people with advanced dementia: longitudinal cohort study with mixed methods. </w:t>
      </w:r>
      <w:r w:rsidR="008F1925">
        <w:rPr>
          <w:rFonts w:ascii="Calibri" w:hAnsi="Calibri" w:cs="Calibri"/>
          <w:i/>
          <w:iCs/>
          <w:color w:val="000000"/>
          <w:sz w:val="27"/>
          <w:szCs w:val="27"/>
        </w:rPr>
        <w:t>BMC Geriatrics</w:t>
      </w:r>
      <w:r w:rsidR="008F1925">
        <w:rPr>
          <w:rFonts w:ascii="Calibri" w:hAnsi="Calibri" w:cs="Calibri"/>
          <w:color w:val="000000"/>
          <w:sz w:val="27"/>
          <w:szCs w:val="27"/>
        </w:rPr>
        <w:t>. [online] Available at: https://www.semanticscholar.org/paper/Experiences-of-end-of-life-amongst-family-carers-of-Moore-Davis/1ca0f3f42433c24b73b58a906e867f0b2628f01b [Accessed 5 Jan. 2023].</w:t>
      </w:r>
    </w:p>
    <w:p w14:paraId="00CD7659" w14:textId="77777777" w:rsidR="000A1D7D" w:rsidRDefault="008F1925" w:rsidP="000A1D7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w:t>
      </w:r>
      <w:r w:rsidR="000A1D7D">
        <w:rPr>
          <w:rFonts w:ascii="Calibri" w:hAnsi="Calibri" w:cs="Calibri"/>
          <w:color w:val="000000"/>
          <w:sz w:val="27"/>
          <w:szCs w:val="27"/>
        </w:rPr>
        <w:t>www.scie.org.uk. (n.d.). </w:t>
      </w:r>
      <w:r w:rsidR="000A1D7D">
        <w:rPr>
          <w:rFonts w:ascii="Calibri" w:hAnsi="Calibri" w:cs="Calibri"/>
          <w:i/>
          <w:iCs/>
          <w:color w:val="000000"/>
          <w:sz w:val="27"/>
          <w:szCs w:val="27"/>
        </w:rPr>
        <w:t>Care in the last days of life - Dementia - SCIE</w:t>
      </w:r>
      <w:r w:rsidR="000A1D7D">
        <w:rPr>
          <w:rFonts w:ascii="Calibri" w:hAnsi="Calibri" w:cs="Calibri"/>
          <w:color w:val="000000"/>
          <w:sz w:val="27"/>
          <w:szCs w:val="27"/>
        </w:rPr>
        <w:t>. [online] Available at: https://www.scie.org.uk/dementia/advanced-dementia-and-end-of-life-care/end-of-life-care/carers-needs.asp.</w:t>
      </w:r>
    </w:p>
    <w:p w14:paraId="6541D61F" w14:textId="77777777" w:rsidR="000A1D7D" w:rsidRDefault="000A1D7D" w:rsidP="000A1D7D">
      <w:pPr>
        <w:pStyle w:val="NormalWeb"/>
        <w:rPr>
          <w:rFonts w:ascii="Calibri" w:hAnsi="Calibri" w:cs="Calibri"/>
          <w:color w:val="000000"/>
          <w:sz w:val="27"/>
          <w:szCs w:val="27"/>
        </w:rPr>
      </w:pPr>
      <w:r>
        <w:rPr>
          <w:rFonts w:ascii="Calibri" w:hAnsi="Calibri" w:cs="Calibri"/>
          <w:color w:val="000000"/>
          <w:sz w:val="27"/>
          <w:szCs w:val="27"/>
        </w:rPr>
        <w:t>‌</w:t>
      </w:r>
    </w:p>
    <w:p w14:paraId="4C98430E" w14:textId="4872588F" w:rsidR="0095783E" w:rsidRDefault="00513CCB" w:rsidP="0095783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eLearning</w:t>
      </w:r>
      <w:r w:rsidR="0095783E">
        <w:rPr>
          <w:rFonts w:ascii="Calibri" w:hAnsi="Calibri" w:cs="Calibri"/>
          <w:color w:val="000000"/>
          <w:sz w:val="27"/>
          <w:szCs w:val="27"/>
        </w:rPr>
        <w:t xml:space="preserve"> for healthcare. (n.d.). </w:t>
      </w:r>
      <w:r w:rsidR="0095783E">
        <w:rPr>
          <w:rFonts w:ascii="Calibri" w:hAnsi="Calibri" w:cs="Calibri"/>
          <w:i/>
          <w:iCs/>
          <w:color w:val="000000"/>
          <w:sz w:val="27"/>
          <w:szCs w:val="27"/>
        </w:rPr>
        <w:t>The Lived Experience of Dementia</w:t>
      </w:r>
      <w:r w:rsidR="0095783E">
        <w:rPr>
          <w:rFonts w:ascii="Calibri" w:hAnsi="Calibri" w:cs="Calibri"/>
          <w:color w:val="000000"/>
          <w:sz w:val="27"/>
          <w:szCs w:val="27"/>
        </w:rPr>
        <w:t>. [online] Available at: https://www.e-lfh.org.uk/programmes/the-lived-experience-of-dementia/ [Accessed 5 Jan. 2023].</w:t>
      </w:r>
    </w:p>
    <w:p w14:paraId="65BC52E5" w14:textId="77777777" w:rsidR="00513CCB" w:rsidRDefault="00513CCB" w:rsidP="0095783E">
      <w:pPr>
        <w:pStyle w:val="NormalWeb"/>
        <w:spacing w:before="0" w:beforeAutospacing="0" w:after="0" w:afterAutospacing="0" w:line="360" w:lineRule="atLeast"/>
        <w:rPr>
          <w:rFonts w:ascii="Calibri" w:hAnsi="Calibri" w:cs="Calibri"/>
          <w:color w:val="000000"/>
          <w:sz w:val="27"/>
          <w:szCs w:val="27"/>
        </w:rPr>
      </w:pPr>
    </w:p>
    <w:p w14:paraId="61A0C5E6" w14:textId="77777777" w:rsidR="00B34CD4" w:rsidRDefault="0095783E" w:rsidP="00B34CD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B34CD4">
        <w:rPr>
          <w:rFonts w:ascii="Calibri" w:hAnsi="Calibri" w:cs="Calibri"/>
          <w:color w:val="000000"/>
          <w:sz w:val="27"/>
          <w:szCs w:val="27"/>
        </w:rPr>
        <w:t>NHS Choices (2019). </w:t>
      </w:r>
      <w:r w:rsidR="00B34CD4">
        <w:rPr>
          <w:rFonts w:ascii="Calibri" w:hAnsi="Calibri" w:cs="Calibri"/>
          <w:i/>
          <w:iCs/>
          <w:color w:val="000000"/>
          <w:sz w:val="27"/>
          <w:szCs w:val="27"/>
        </w:rPr>
        <w:t>Help and support for people with dementia - Dementia guide</w:t>
      </w:r>
      <w:r w:rsidR="00B34CD4">
        <w:rPr>
          <w:rFonts w:ascii="Calibri" w:hAnsi="Calibri" w:cs="Calibri"/>
          <w:color w:val="000000"/>
          <w:sz w:val="27"/>
          <w:szCs w:val="27"/>
        </w:rPr>
        <w:t>. [online] NHS. Available at: https://www.nhs.uk/conditions/dementia/help-and-support/.</w:t>
      </w:r>
    </w:p>
    <w:p w14:paraId="3CD52CB3" w14:textId="34F8D0ED" w:rsidR="008037D2" w:rsidRDefault="00B34CD4" w:rsidP="00F75CCB">
      <w:pPr>
        <w:pStyle w:val="NormalWeb"/>
        <w:rPr>
          <w:rFonts w:ascii="Calibri" w:hAnsi="Calibri" w:cs="Calibri"/>
          <w:color w:val="000000"/>
          <w:sz w:val="27"/>
          <w:szCs w:val="27"/>
        </w:rPr>
      </w:pPr>
      <w:r>
        <w:rPr>
          <w:rFonts w:ascii="Calibri" w:hAnsi="Calibri" w:cs="Calibri"/>
          <w:color w:val="000000"/>
          <w:sz w:val="27"/>
          <w:szCs w:val="27"/>
        </w:rPr>
        <w:t>‌</w:t>
      </w:r>
      <w:proofErr w:type="spellStart"/>
      <w:r w:rsidR="008037D2">
        <w:rPr>
          <w:rFonts w:ascii="Calibri" w:hAnsi="Calibri" w:cs="Calibri"/>
          <w:color w:val="000000"/>
          <w:sz w:val="27"/>
          <w:szCs w:val="27"/>
        </w:rPr>
        <w:t>Norouzi</w:t>
      </w:r>
      <w:proofErr w:type="spellEnd"/>
      <w:r w:rsidR="008037D2">
        <w:rPr>
          <w:rFonts w:ascii="Calibri" w:hAnsi="Calibri" w:cs="Calibri"/>
          <w:color w:val="000000"/>
          <w:sz w:val="27"/>
          <w:szCs w:val="27"/>
        </w:rPr>
        <w:t xml:space="preserve">, K., </w:t>
      </w:r>
      <w:proofErr w:type="spellStart"/>
      <w:r w:rsidR="008037D2">
        <w:rPr>
          <w:rFonts w:ascii="Calibri" w:hAnsi="Calibri" w:cs="Calibri"/>
          <w:color w:val="000000"/>
          <w:sz w:val="27"/>
          <w:szCs w:val="27"/>
        </w:rPr>
        <w:t>Aroogh</w:t>
      </w:r>
      <w:proofErr w:type="spellEnd"/>
      <w:r w:rsidR="008037D2">
        <w:rPr>
          <w:rFonts w:ascii="Calibri" w:hAnsi="Calibri" w:cs="Calibri"/>
          <w:color w:val="000000"/>
          <w:sz w:val="27"/>
          <w:szCs w:val="27"/>
        </w:rPr>
        <w:t xml:space="preserve">, M., </w:t>
      </w:r>
      <w:proofErr w:type="spellStart"/>
      <w:r w:rsidR="008037D2">
        <w:rPr>
          <w:rFonts w:ascii="Calibri" w:hAnsi="Calibri" w:cs="Calibri"/>
          <w:color w:val="000000"/>
          <w:sz w:val="27"/>
          <w:szCs w:val="27"/>
        </w:rPr>
        <w:t>Shahboulaghi</w:t>
      </w:r>
      <w:proofErr w:type="spellEnd"/>
      <w:r w:rsidR="008037D2">
        <w:rPr>
          <w:rFonts w:ascii="Calibri" w:hAnsi="Calibri" w:cs="Calibri"/>
          <w:color w:val="000000"/>
          <w:sz w:val="27"/>
          <w:szCs w:val="27"/>
        </w:rPr>
        <w:t xml:space="preserve">, F. and </w:t>
      </w:r>
      <w:proofErr w:type="spellStart"/>
      <w:r w:rsidR="008037D2">
        <w:rPr>
          <w:rFonts w:ascii="Calibri" w:hAnsi="Calibri" w:cs="Calibri"/>
          <w:color w:val="000000"/>
          <w:sz w:val="27"/>
          <w:szCs w:val="27"/>
        </w:rPr>
        <w:t>Negarandeh</w:t>
      </w:r>
      <w:proofErr w:type="spellEnd"/>
      <w:r w:rsidR="008037D2">
        <w:rPr>
          <w:rFonts w:ascii="Calibri" w:hAnsi="Calibri" w:cs="Calibri"/>
          <w:color w:val="000000"/>
          <w:sz w:val="27"/>
          <w:szCs w:val="27"/>
        </w:rPr>
        <w:t>, R. (2020). Families’ experiences of end-of-life care at home for Iranian older adults: A qualitative study. </w:t>
      </w:r>
      <w:r w:rsidR="008037D2">
        <w:rPr>
          <w:rFonts w:ascii="Calibri" w:hAnsi="Calibri" w:cs="Calibri"/>
          <w:i/>
          <w:iCs/>
          <w:color w:val="000000"/>
          <w:sz w:val="27"/>
          <w:szCs w:val="27"/>
        </w:rPr>
        <w:t>Indian Journal of Palliative Care</w:t>
      </w:r>
      <w:r w:rsidR="008037D2">
        <w:rPr>
          <w:rFonts w:ascii="Calibri" w:hAnsi="Calibri" w:cs="Calibri"/>
          <w:color w:val="000000"/>
          <w:sz w:val="27"/>
          <w:szCs w:val="27"/>
        </w:rPr>
        <w:t xml:space="preserve">, 26(4), p.468. </w:t>
      </w:r>
      <w:proofErr w:type="spellStart"/>
      <w:r w:rsidR="00F75CCB">
        <w:rPr>
          <w:rFonts w:ascii="Calibri" w:hAnsi="Calibri" w:cs="Calibri"/>
          <w:color w:val="000000"/>
          <w:sz w:val="27"/>
          <w:szCs w:val="27"/>
        </w:rPr>
        <w:t>doi</w:t>
      </w:r>
      <w:proofErr w:type="spellEnd"/>
      <w:r w:rsidR="00F75CCB">
        <w:rPr>
          <w:rFonts w:ascii="Calibri" w:hAnsi="Calibri" w:cs="Calibri"/>
          <w:color w:val="000000"/>
          <w:sz w:val="27"/>
          <w:szCs w:val="27"/>
        </w:rPr>
        <w:t>: 10.4103/ijpc.ijpc</w:t>
      </w:r>
      <w:r w:rsidR="008037D2">
        <w:rPr>
          <w:rFonts w:ascii="Calibri" w:hAnsi="Calibri" w:cs="Calibri"/>
          <w:color w:val="000000"/>
          <w:sz w:val="27"/>
          <w:szCs w:val="27"/>
        </w:rPr>
        <w:t>_10_20.</w:t>
      </w:r>
    </w:p>
    <w:p w14:paraId="3911950F" w14:textId="77777777" w:rsidR="0051193E" w:rsidRDefault="008037D2" w:rsidP="0051193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roofErr w:type="spellStart"/>
      <w:r w:rsidR="0051193E">
        <w:rPr>
          <w:rFonts w:ascii="Calibri" w:hAnsi="Calibri" w:cs="Calibri"/>
          <w:color w:val="000000"/>
          <w:sz w:val="27"/>
          <w:szCs w:val="27"/>
        </w:rPr>
        <w:t>Barrado</w:t>
      </w:r>
      <w:proofErr w:type="spellEnd"/>
      <w:r w:rsidR="0051193E">
        <w:rPr>
          <w:rFonts w:ascii="Calibri" w:hAnsi="Calibri" w:cs="Calibri"/>
          <w:color w:val="000000"/>
          <w:sz w:val="27"/>
          <w:szCs w:val="27"/>
        </w:rPr>
        <w:t xml:space="preserve">‐Martín, Y., Nair, P., </w:t>
      </w:r>
      <w:proofErr w:type="spellStart"/>
      <w:r w:rsidR="0051193E">
        <w:rPr>
          <w:rFonts w:ascii="Calibri" w:hAnsi="Calibri" w:cs="Calibri"/>
          <w:color w:val="000000"/>
          <w:sz w:val="27"/>
          <w:szCs w:val="27"/>
        </w:rPr>
        <w:t>Anantapong</w:t>
      </w:r>
      <w:proofErr w:type="spellEnd"/>
      <w:r w:rsidR="0051193E">
        <w:rPr>
          <w:rFonts w:ascii="Calibri" w:hAnsi="Calibri" w:cs="Calibri"/>
          <w:color w:val="000000"/>
          <w:sz w:val="27"/>
          <w:szCs w:val="27"/>
        </w:rPr>
        <w:t xml:space="preserve">, K., Aker, N., Moore, K.J., Smith, C.H., </w:t>
      </w:r>
      <w:proofErr w:type="spellStart"/>
      <w:r w:rsidR="0051193E">
        <w:rPr>
          <w:rFonts w:ascii="Calibri" w:hAnsi="Calibri" w:cs="Calibri"/>
          <w:color w:val="000000"/>
          <w:sz w:val="27"/>
          <w:szCs w:val="27"/>
        </w:rPr>
        <w:t>Rait</w:t>
      </w:r>
      <w:proofErr w:type="spellEnd"/>
      <w:r w:rsidR="0051193E">
        <w:rPr>
          <w:rFonts w:ascii="Calibri" w:hAnsi="Calibri" w:cs="Calibri"/>
          <w:color w:val="000000"/>
          <w:sz w:val="27"/>
          <w:szCs w:val="27"/>
        </w:rPr>
        <w:t xml:space="preserve">, G., Sampson, E.L., </w:t>
      </w:r>
      <w:proofErr w:type="spellStart"/>
      <w:r w:rsidR="0051193E">
        <w:rPr>
          <w:rFonts w:ascii="Calibri" w:hAnsi="Calibri" w:cs="Calibri"/>
          <w:color w:val="000000"/>
          <w:sz w:val="27"/>
          <w:szCs w:val="27"/>
        </w:rPr>
        <w:t>Manthorpe</w:t>
      </w:r>
      <w:proofErr w:type="spellEnd"/>
      <w:r w:rsidR="0051193E">
        <w:rPr>
          <w:rFonts w:ascii="Calibri" w:hAnsi="Calibri" w:cs="Calibri"/>
          <w:color w:val="000000"/>
          <w:sz w:val="27"/>
          <w:szCs w:val="27"/>
        </w:rPr>
        <w:t>, J. and Davies, N. (2021). Family caregivers’ and professionals’ experiences of supporting people living with dementia’s nutrition and hydration needs towards the end of life. </w:t>
      </w:r>
      <w:r w:rsidR="0051193E">
        <w:rPr>
          <w:rFonts w:ascii="Calibri" w:hAnsi="Calibri" w:cs="Calibri"/>
          <w:i/>
          <w:iCs/>
          <w:color w:val="000000"/>
          <w:sz w:val="27"/>
          <w:szCs w:val="27"/>
        </w:rPr>
        <w:t>Health &amp; Social Care in the Community</w:t>
      </w:r>
      <w:r w:rsidR="0051193E">
        <w:rPr>
          <w:rFonts w:ascii="Calibri" w:hAnsi="Calibri" w:cs="Calibri"/>
          <w:color w:val="000000"/>
          <w:sz w:val="27"/>
          <w:szCs w:val="27"/>
        </w:rPr>
        <w:t>. doi:10.1111/hsc.13404.</w:t>
      </w:r>
    </w:p>
    <w:p w14:paraId="4A935A19" w14:textId="154ECEBC" w:rsidR="00160CD9" w:rsidRDefault="0051193E" w:rsidP="00160CD9">
      <w:pPr>
        <w:pStyle w:val="NormalWeb"/>
        <w:rPr>
          <w:rFonts w:ascii="Calibri" w:hAnsi="Calibri" w:cs="Calibri"/>
          <w:color w:val="000000"/>
          <w:sz w:val="27"/>
          <w:szCs w:val="27"/>
        </w:rPr>
      </w:pPr>
      <w:r>
        <w:rPr>
          <w:rFonts w:ascii="Calibri" w:hAnsi="Calibri" w:cs="Calibri"/>
          <w:color w:val="000000"/>
          <w:sz w:val="27"/>
          <w:szCs w:val="27"/>
        </w:rPr>
        <w:t>‌</w:t>
      </w:r>
      <w:r w:rsidR="00160CD9">
        <w:rPr>
          <w:rFonts w:ascii="Calibri" w:hAnsi="Calibri" w:cs="Calibri"/>
          <w:color w:val="000000"/>
          <w:sz w:val="27"/>
          <w:szCs w:val="27"/>
        </w:rPr>
        <w:t>Mayo Clinic (2021). </w:t>
      </w:r>
      <w:r w:rsidR="00160CD9">
        <w:rPr>
          <w:rFonts w:ascii="Calibri" w:hAnsi="Calibri" w:cs="Calibri"/>
          <w:i/>
          <w:iCs/>
          <w:color w:val="000000"/>
          <w:sz w:val="27"/>
          <w:szCs w:val="27"/>
        </w:rPr>
        <w:t>Dementia - Symptoms and Causes</w:t>
      </w:r>
      <w:r w:rsidR="00160CD9">
        <w:rPr>
          <w:rFonts w:ascii="Calibri" w:hAnsi="Calibri" w:cs="Calibri"/>
          <w:color w:val="000000"/>
          <w:sz w:val="27"/>
          <w:szCs w:val="27"/>
        </w:rPr>
        <w:t>. [online] Mayo Clinic. Available at: https://www.mayoclinic.org/diseases-conditions/dementia/symptoms-causes/syc-20352013.</w:t>
      </w:r>
    </w:p>
    <w:p w14:paraId="72D390A7" w14:textId="77777777" w:rsidR="00F13F32" w:rsidRDefault="00160CD9" w:rsidP="00F13F3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F13F32">
        <w:rPr>
          <w:rFonts w:ascii="Calibri" w:hAnsi="Calibri" w:cs="Calibri"/>
          <w:color w:val="000000"/>
          <w:sz w:val="27"/>
          <w:szCs w:val="27"/>
        </w:rPr>
        <w:t>Cancer.org. (2016). </w:t>
      </w:r>
      <w:r w:rsidR="00F13F32">
        <w:rPr>
          <w:rFonts w:ascii="Calibri" w:hAnsi="Calibri" w:cs="Calibri"/>
          <w:i/>
          <w:iCs/>
          <w:color w:val="000000"/>
          <w:sz w:val="27"/>
          <w:szCs w:val="27"/>
        </w:rPr>
        <w:t>Emotions and Coping as You Near the End of Life</w:t>
      </w:r>
      <w:r w:rsidR="00F13F32">
        <w:rPr>
          <w:rFonts w:ascii="Calibri" w:hAnsi="Calibri" w:cs="Calibri"/>
          <w:color w:val="000000"/>
          <w:sz w:val="27"/>
          <w:szCs w:val="27"/>
        </w:rPr>
        <w:t>. [online] Available at: https://www.cancer.org/treatment/end-of-life-care/nearing-the-end-of-life/emotions.html.</w:t>
      </w:r>
    </w:p>
    <w:p w14:paraId="39615A3E" w14:textId="77777777" w:rsidR="00F13F32" w:rsidRDefault="00F13F32" w:rsidP="00F13F32">
      <w:pPr>
        <w:pStyle w:val="NormalWeb"/>
        <w:rPr>
          <w:rFonts w:ascii="Calibri" w:hAnsi="Calibri" w:cs="Calibri"/>
          <w:color w:val="000000"/>
          <w:sz w:val="27"/>
          <w:szCs w:val="27"/>
        </w:rPr>
      </w:pPr>
      <w:r>
        <w:rPr>
          <w:rFonts w:ascii="Calibri" w:hAnsi="Calibri" w:cs="Calibri"/>
          <w:color w:val="000000"/>
          <w:sz w:val="27"/>
          <w:szCs w:val="27"/>
        </w:rPr>
        <w:t>‌</w:t>
      </w:r>
    </w:p>
    <w:p w14:paraId="1425F4AC" w14:textId="66CFD4DD" w:rsidR="001D7C03" w:rsidRPr="001D7C03" w:rsidRDefault="001D7C03" w:rsidP="00FF5FB2">
      <w:pPr>
        <w:pStyle w:val="NormalWeb"/>
        <w:rPr>
          <w:rFonts w:ascii="Arial" w:hAnsi="Arial" w:cs="Arial"/>
        </w:rPr>
      </w:pPr>
    </w:p>
    <w:sectPr w:rsidR="001D7C03" w:rsidRPr="001D7C0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6A775" w14:textId="77777777" w:rsidR="00442CCA" w:rsidRDefault="00442CCA" w:rsidP="003E4ECF">
      <w:pPr>
        <w:spacing w:after="0" w:line="240" w:lineRule="auto"/>
      </w:pPr>
      <w:r>
        <w:separator/>
      </w:r>
    </w:p>
  </w:endnote>
  <w:endnote w:type="continuationSeparator" w:id="0">
    <w:p w14:paraId="4C51D7C7" w14:textId="77777777" w:rsidR="00442CCA" w:rsidRDefault="00442CCA"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988516"/>
      <w:docPartObj>
        <w:docPartGallery w:val="Page Numbers (Bottom of Page)"/>
        <w:docPartUnique/>
      </w:docPartObj>
    </w:sdtPr>
    <w:sdtEndPr>
      <w:rPr>
        <w:noProof/>
      </w:rPr>
    </w:sdtEndPr>
    <w:sdtContent>
      <w:p w14:paraId="22F0D82E" w14:textId="45C034A5" w:rsidR="003E4ECF" w:rsidRDefault="003E4E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E0995" w14:textId="77777777" w:rsidR="00442CCA" w:rsidRDefault="00442CCA" w:rsidP="003E4ECF">
      <w:pPr>
        <w:spacing w:after="0" w:line="240" w:lineRule="auto"/>
      </w:pPr>
      <w:r>
        <w:separator/>
      </w:r>
    </w:p>
  </w:footnote>
  <w:footnote w:type="continuationSeparator" w:id="0">
    <w:p w14:paraId="23F542CC" w14:textId="77777777" w:rsidR="00442CCA" w:rsidRDefault="00442CCA"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29DF"/>
    <w:rsid w:val="000545A9"/>
    <w:rsid w:val="00074402"/>
    <w:rsid w:val="000955C2"/>
    <w:rsid w:val="000A1D7D"/>
    <w:rsid w:val="000A467E"/>
    <w:rsid w:val="000E553E"/>
    <w:rsid w:val="000E754C"/>
    <w:rsid w:val="001029FA"/>
    <w:rsid w:val="00113D92"/>
    <w:rsid w:val="00141C61"/>
    <w:rsid w:val="001451D5"/>
    <w:rsid w:val="00160CD9"/>
    <w:rsid w:val="001C5264"/>
    <w:rsid w:val="001D7C03"/>
    <w:rsid w:val="00202B13"/>
    <w:rsid w:val="00216C85"/>
    <w:rsid w:val="0025227E"/>
    <w:rsid w:val="0026393A"/>
    <w:rsid w:val="00273EDD"/>
    <w:rsid w:val="0028279D"/>
    <w:rsid w:val="002A6336"/>
    <w:rsid w:val="002B31C3"/>
    <w:rsid w:val="002B53ED"/>
    <w:rsid w:val="002B76B1"/>
    <w:rsid w:val="002C3306"/>
    <w:rsid w:val="002C3965"/>
    <w:rsid w:val="003165D4"/>
    <w:rsid w:val="00321C4C"/>
    <w:rsid w:val="00324963"/>
    <w:rsid w:val="003429ED"/>
    <w:rsid w:val="00353F24"/>
    <w:rsid w:val="0036073E"/>
    <w:rsid w:val="0038189D"/>
    <w:rsid w:val="00392BBC"/>
    <w:rsid w:val="003B5947"/>
    <w:rsid w:val="003B6456"/>
    <w:rsid w:val="003E4ECF"/>
    <w:rsid w:val="0041149E"/>
    <w:rsid w:val="0041555B"/>
    <w:rsid w:val="00442CCA"/>
    <w:rsid w:val="0045335D"/>
    <w:rsid w:val="004570F2"/>
    <w:rsid w:val="00464D0B"/>
    <w:rsid w:val="00465D47"/>
    <w:rsid w:val="00473A60"/>
    <w:rsid w:val="004A736E"/>
    <w:rsid w:val="004B3EDA"/>
    <w:rsid w:val="004F0B72"/>
    <w:rsid w:val="0051193E"/>
    <w:rsid w:val="00513CCB"/>
    <w:rsid w:val="00543DC1"/>
    <w:rsid w:val="00547914"/>
    <w:rsid w:val="00572B5C"/>
    <w:rsid w:val="005A2C19"/>
    <w:rsid w:val="006617DF"/>
    <w:rsid w:val="00677300"/>
    <w:rsid w:val="006925AA"/>
    <w:rsid w:val="006A704C"/>
    <w:rsid w:val="006C7881"/>
    <w:rsid w:val="006D2748"/>
    <w:rsid w:val="00764751"/>
    <w:rsid w:val="00790280"/>
    <w:rsid w:val="007B4E40"/>
    <w:rsid w:val="007C0205"/>
    <w:rsid w:val="007C3A00"/>
    <w:rsid w:val="008037D2"/>
    <w:rsid w:val="00862432"/>
    <w:rsid w:val="008818E7"/>
    <w:rsid w:val="008A17D4"/>
    <w:rsid w:val="008B2FAC"/>
    <w:rsid w:val="008C5292"/>
    <w:rsid w:val="008D2CB4"/>
    <w:rsid w:val="008D56F2"/>
    <w:rsid w:val="008F1925"/>
    <w:rsid w:val="008F3FB5"/>
    <w:rsid w:val="0090040D"/>
    <w:rsid w:val="0090777C"/>
    <w:rsid w:val="00931EBF"/>
    <w:rsid w:val="00931F9D"/>
    <w:rsid w:val="009528C4"/>
    <w:rsid w:val="0095783E"/>
    <w:rsid w:val="00961E6D"/>
    <w:rsid w:val="00975860"/>
    <w:rsid w:val="009A5102"/>
    <w:rsid w:val="009D052C"/>
    <w:rsid w:val="009D1D1E"/>
    <w:rsid w:val="009F79AE"/>
    <w:rsid w:val="00A035FD"/>
    <w:rsid w:val="00A46E4C"/>
    <w:rsid w:val="00A8098A"/>
    <w:rsid w:val="00AB1463"/>
    <w:rsid w:val="00AD0372"/>
    <w:rsid w:val="00AD28EE"/>
    <w:rsid w:val="00AE6F78"/>
    <w:rsid w:val="00AF6D12"/>
    <w:rsid w:val="00B10820"/>
    <w:rsid w:val="00B34CD4"/>
    <w:rsid w:val="00B560C8"/>
    <w:rsid w:val="00B87E75"/>
    <w:rsid w:val="00BD27F3"/>
    <w:rsid w:val="00BD5B81"/>
    <w:rsid w:val="00BE050A"/>
    <w:rsid w:val="00C26AD8"/>
    <w:rsid w:val="00C32A45"/>
    <w:rsid w:val="00C41B68"/>
    <w:rsid w:val="00C767DD"/>
    <w:rsid w:val="00CA3006"/>
    <w:rsid w:val="00CA345E"/>
    <w:rsid w:val="00CB22B3"/>
    <w:rsid w:val="00CC10DB"/>
    <w:rsid w:val="00CC5E94"/>
    <w:rsid w:val="00CF3531"/>
    <w:rsid w:val="00D73306"/>
    <w:rsid w:val="00D872F1"/>
    <w:rsid w:val="00DC4F30"/>
    <w:rsid w:val="00DE11B2"/>
    <w:rsid w:val="00E02274"/>
    <w:rsid w:val="00E54062"/>
    <w:rsid w:val="00E639A5"/>
    <w:rsid w:val="00F13F32"/>
    <w:rsid w:val="00F24899"/>
    <w:rsid w:val="00F66E1B"/>
    <w:rsid w:val="00F751AC"/>
    <w:rsid w:val="00F75CCB"/>
    <w:rsid w:val="00F94619"/>
    <w:rsid w:val="00FA1C2E"/>
    <w:rsid w:val="00FF5A2C"/>
    <w:rsid w:val="00FF5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D28EE"/>
    <w:pPr>
      <w:keepNext/>
      <w:keepLines/>
      <w:spacing w:before="240" w:after="0" w:line="360" w:lineRule="auto"/>
      <w:outlineLvl w:val="0"/>
    </w:pPr>
    <w:rPr>
      <w:rFonts w:ascii="Arial" w:hAnsi="Arial" w:cs="Arial"/>
      <w:bCs/>
      <w:szCs w:val="24"/>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28EE"/>
    <w:rPr>
      <w:rFonts w:ascii="Arial" w:hAnsi="Arial" w:cs="Arial"/>
      <w:bCs/>
      <w:szCs w:val="24"/>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NormalWeb">
    <w:name w:val="Normal (Web)"/>
    <w:basedOn w:val="Normal"/>
    <w:uiPriority w:val="99"/>
    <w:unhideWhenUsed/>
    <w:rsid w:val="00C26AD8"/>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unhideWhenUsed/>
    <w:rsid w:val="00CA3006"/>
    <w:rPr>
      <w:color w:val="0563C1" w:themeColor="hyperlink"/>
      <w:u w:val="single"/>
    </w:rPr>
  </w:style>
  <w:style w:type="character" w:styleId="UnresolvedMention">
    <w:name w:val="Unresolved Mention"/>
    <w:basedOn w:val="DefaultParagraphFont"/>
    <w:uiPriority w:val="99"/>
    <w:semiHidden/>
    <w:unhideWhenUsed/>
    <w:rsid w:val="00CA30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009229">
      <w:bodyDiv w:val="1"/>
      <w:marLeft w:val="0"/>
      <w:marRight w:val="0"/>
      <w:marTop w:val="0"/>
      <w:marBottom w:val="0"/>
      <w:divBdr>
        <w:top w:val="none" w:sz="0" w:space="0" w:color="auto"/>
        <w:left w:val="none" w:sz="0" w:space="0" w:color="auto"/>
        <w:bottom w:val="none" w:sz="0" w:space="0" w:color="auto"/>
        <w:right w:val="none" w:sz="0" w:space="0" w:color="auto"/>
      </w:divBdr>
    </w:div>
    <w:div w:id="494877343">
      <w:bodyDiv w:val="1"/>
      <w:marLeft w:val="0"/>
      <w:marRight w:val="0"/>
      <w:marTop w:val="0"/>
      <w:marBottom w:val="0"/>
      <w:divBdr>
        <w:top w:val="none" w:sz="0" w:space="0" w:color="auto"/>
        <w:left w:val="none" w:sz="0" w:space="0" w:color="auto"/>
        <w:bottom w:val="none" w:sz="0" w:space="0" w:color="auto"/>
        <w:right w:val="none" w:sz="0" w:space="0" w:color="auto"/>
      </w:divBdr>
    </w:div>
    <w:div w:id="508179744">
      <w:bodyDiv w:val="1"/>
      <w:marLeft w:val="0"/>
      <w:marRight w:val="0"/>
      <w:marTop w:val="0"/>
      <w:marBottom w:val="0"/>
      <w:divBdr>
        <w:top w:val="none" w:sz="0" w:space="0" w:color="auto"/>
        <w:left w:val="none" w:sz="0" w:space="0" w:color="auto"/>
        <w:bottom w:val="none" w:sz="0" w:space="0" w:color="auto"/>
        <w:right w:val="none" w:sz="0" w:space="0" w:color="auto"/>
      </w:divBdr>
    </w:div>
    <w:div w:id="558790441">
      <w:bodyDiv w:val="1"/>
      <w:marLeft w:val="0"/>
      <w:marRight w:val="0"/>
      <w:marTop w:val="0"/>
      <w:marBottom w:val="0"/>
      <w:divBdr>
        <w:top w:val="none" w:sz="0" w:space="0" w:color="auto"/>
        <w:left w:val="none" w:sz="0" w:space="0" w:color="auto"/>
        <w:bottom w:val="none" w:sz="0" w:space="0" w:color="auto"/>
        <w:right w:val="none" w:sz="0" w:space="0" w:color="auto"/>
      </w:divBdr>
    </w:div>
    <w:div w:id="890268735">
      <w:bodyDiv w:val="1"/>
      <w:marLeft w:val="0"/>
      <w:marRight w:val="0"/>
      <w:marTop w:val="0"/>
      <w:marBottom w:val="0"/>
      <w:divBdr>
        <w:top w:val="none" w:sz="0" w:space="0" w:color="auto"/>
        <w:left w:val="none" w:sz="0" w:space="0" w:color="auto"/>
        <w:bottom w:val="none" w:sz="0" w:space="0" w:color="auto"/>
        <w:right w:val="none" w:sz="0" w:space="0" w:color="auto"/>
      </w:divBdr>
    </w:div>
    <w:div w:id="1031225782">
      <w:bodyDiv w:val="1"/>
      <w:marLeft w:val="0"/>
      <w:marRight w:val="0"/>
      <w:marTop w:val="0"/>
      <w:marBottom w:val="0"/>
      <w:divBdr>
        <w:top w:val="none" w:sz="0" w:space="0" w:color="auto"/>
        <w:left w:val="none" w:sz="0" w:space="0" w:color="auto"/>
        <w:bottom w:val="none" w:sz="0" w:space="0" w:color="auto"/>
        <w:right w:val="none" w:sz="0" w:space="0" w:color="auto"/>
      </w:divBdr>
    </w:div>
    <w:div w:id="1033844648">
      <w:bodyDiv w:val="1"/>
      <w:marLeft w:val="0"/>
      <w:marRight w:val="0"/>
      <w:marTop w:val="0"/>
      <w:marBottom w:val="0"/>
      <w:divBdr>
        <w:top w:val="none" w:sz="0" w:space="0" w:color="auto"/>
        <w:left w:val="none" w:sz="0" w:space="0" w:color="auto"/>
        <w:bottom w:val="none" w:sz="0" w:space="0" w:color="auto"/>
        <w:right w:val="none" w:sz="0" w:space="0" w:color="auto"/>
      </w:divBdr>
    </w:div>
    <w:div w:id="1051077988">
      <w:bodyDiv w:val="1"/>
      <w:marLeft w:val="0"/>
      <w:marRight w:val="0"/>
      <w:marTop w:val="0"/>
      <w:marBottom w:val="0"/>
      <w:divBdr>
        <w:top w:val="none" w:sz="0" w:space="0" w:color="auto"/>
        <w:left w:val="none" w:sz="0" w:space="0" w:color="auto"/>
        <w:bottom w:val="none" w:sz="0" w:space="0" w:color="auto"/>
        <w:right w:val="none" w:sz="0" w:space="0" w:color="auto"/>
      </w:divBdr>
    </w:div>
    <w:div w:id="1143545416">
      <w:bodyDiv w:val="1"/>
      <w:marLeft w:val="0"/>
      <w:marRight w:val="0"/>
      <w:marTop w:val="0"/>
      <w:marBottom w:val="0"/>
      <w:divBdr>
        <w:top w:val="none" w:sz="0" w:space="0" w:color="auto"/>
        <w:left w:val="none" w:sz="0" w:space="0" w:color="auto"/>
        <w:bottom w:val="none" w:sz="0" w:space="0" w:color="auto"/>
        <w:right w:val="none" w:sz="0" w:space="0" w:color="auto"/>
      </w:divBdr>
    </w:div>
    <w:div w:id="1164976847">
      <w:bodyDiv w:val="1"/>
      <w:marLeft w:val="0"/>
      <w:marRight w:val="0"/>
      <w:marTop w:val="0"/>
      <w:marBottom w:val="0"/>
      <w:divBdr>
        <w:top w:val="none" w:sz="0" w:space="0" w:color="auto"/>
        <w:left w:val="none" w:sz="0" w:space="0" w:color="auto"/>
        <w:bottom w:val="none" w:sz="0" w:space="0" w:color="auto"/>
        <w:right w:val="none" w:sz="0" w:space="0" w:color="auto"/>
      </w:divBdr>
    </w:div>
    <w:div w:id="1470854563">
      <w:bodyDiv w:val="1"/>
      <w:marLeft w:val="0"/>
      <w:marRight w:val="0"/>
      <w:marTop w:val="0"/>
      <w:marBottom w:val="0"/>
      <w:divBdr>
        <w:top w:val="none" w:sz="0" w:space="0" w:color="auto"/>
        <w:left w:val="none" w:sz="0" w:space="0" w:color="auto"/>
        <w:bottom w:val="none" w:sz="0" w:space="0" w:color="auto"/>
        <w:right w:val="none" w:sz="0" w:space="0" w:color="auto"/>
      </w:divBdr>
    </w:div>
    <w:div w:id="1518422990">
      <w:bodyDiv w:val="1"/>
      <w:marLeft w:val="0"/>
      <w:marRight w:val="0"/>
      <w:marTop w:val="0"/>
      <w:marBottom w:val="0"/>
      <w:divBdr>
        <w:top w:val="none" w:sz="0" w:space="0" w:color="auto"/>
        <w:left w:val="none" w:sz="0" w:space="0" w:color="auto"/>
        <w:bottom w:val="none" w:sz="0" w:space="0" w:color="auto"/>
        <w:right w:val="none" w:sz="0" w:space="0" w:color="auto"/>
      </w:divBdr>
    </w:div>
    <w:div w:id="1720126660">
      <w:bodyDiv w:val="1"/>
      <w:marLeft w:val="0"/>
      <w:marRight w:val="0"/>
      <w:marTop w:val="0"/>
      <w:marBottom w:val="0"/>
      <w:divBdr>
        <w:top w:val="none" w:sz="0" w:space="0" w:color="auto"/>
        <w:left w:val="none" w:sz="0" w:space="0" w:color="auto"/>
        <w:bottom w:val="none" w:sz="0" w:space="0" w:color="auto"/>
        <w:right w:val="none" w:sz="0" w:space="0" w:color="auto"/>
      </w:divBdr>
    </w:div>
    <w:div w:id="1857233084">
      <w:bodyDiv w:val="1"/>
      <w:marLeft w:val="0"/>
      <w:marRight w:val="0"/>
      <w:marTop w:val="0"/>
      <w:marBottom w:val="0"/>
      <w:divBdr>
        <w:top w:val="none" w:sz="0" w:space="0" w:color="auto"/>
        <w:left w:val="none" w:sz="0" w:space="0" w:color="auto"/>
        <w:bottom w:val="none" w:sz="0" w:space="0" w:color="auto"/>
        <w:right w:val="none" w:sz="0" w:space="0" w:color="auto"/>
      </w:divBdr>
    </w:div>
    <w:div w:id="1965386570">
      <w:bodyDiv w:val="1"/>
      <w:marLeft w:val="0"/>
      <w:marRight w:val="0"/>
      <w:marTop w:val="0"/>
      <w:marBottom w:val="0"/>
      <w:divBdr>
        <w:top w:val="none" w:sz="0" w:space="0" w:color="auto"/>
        <w:left w:val="none" w:sz="0" w:space="0" w:color="auto"/>
        <w:bottom w:val="none" w:sz="0" w:space="0" w:color="auto"/>
        <w:right w:val="none" w:sz="0" w:space="0" w:color="auto"/>
      </w:divBdr>
    </w:div>
    <w:div w:id="1965577271">
      <w:bodyDiv w:val="1"/>
      <w:marLeft w:val="0"/>
      <w:marRight w:val="0"/>
      <w:marTop w:val="0"/>
      <w:marBottom w:val="0"/>
      <w:divBdr>
        <w:top w:val="none" w:sz="0" w:space="0" w:color="auto"/>
        <w:left w:val="none" w:sz="0" w:space="0" w:color="auto"/>
        <w:bottom w:val="none" w:sz="0" w:space="0" w:color="auto"/>
        <w:right w:val="none" w:sz="0" w:space="0" w:color="auto"/>
      </w:divBdr>
    </w:div>
    <w:div w:id="1970356915">
      <w:bodyDiv w:val="1"/>
      <w:marLeft w:val="0"/>
      <w:marRight w:val="0"/>
      <w:marTop w:val="0"/>
      <w:marBottom w:val="0"/>
      <w:divBdr>
        <w:top w:val="none" w:sz="0" w:space="0" w:color="auto"/>
        <w:left w:val="none" w:sz="0" w:space="0" w:color="auto"/>
        <w:bottom w:val="none" w:sz="0" w:space="0" w:color="auto"/>
        <w:right w:val="none" w:sz="0" w:space="0" w:color="auto"/>
      </w:divBdr>
    </w:div>
    <w:div w:id="2011634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9" ma:contentTypeDescription="Create a new document." ma:contentTypeScope="" ma:versionID="8e5d543d8eb180997c7292fb5abdd096">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7dd4e367822d6cfcd4dd3d2f3a4c3f85"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c664b51-63af-4b9d-8d70-3880ca420fc4" xsi:nil="true"/>
  </documentManagement>
</p:properties>
</file>

<file path=customXml/itemProps1.xml><?xml version="1.0" encoding="utf-8"?>
<ds:datastoreItem xmlns:ds="http://schemas.openxmlformats.org/officeDocument/2006/customXml" ds:itemID="{DA8CCCBE-FB9C-4C30-B9EE-5E937B4806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448818-FA7F-40DB-B1A8-9FED64CD604B}">
  <ds:schemaRefs>
    <ds:schemaRef ds:uri="http://schemas.microsoft.com/sharepoint/v3/contenttype/forms"/>
  </ds:schemaRefs>
</ds:datastoreItem>
</file>

<file path=customXml/itemProps3.xml><?xml version="1.0" encoding="utf-8"?>
<ds:datastoreItem xmlns:ds="http://schemas.openxmlformats.org/officeDocument/2006/customXml" ds:itemID="{E6E803FD-ED53-4049-A446-FD3A940E2134}">
  <ds:schemaRefs>
    <ds:schemaRef ds:uri="0c664b51-63af-4b9d-8d70-3880ca420fc4"/>
    <ds:schemaRef ds:uri="http://purl.org/dc/terms/"/>
    <ds:schemaRef ds:uri="http://www.w3.org/XML/1998/namespace"/>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d1ca41dc-05f3-4340-86ae-42a3158c68b4"/>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3654</Words>
  <Characters>20832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Ruth Sene</cp:lastModifiedBy>
  <cp:revision>2</cp:revision>
  <dcterms:created xsi:type="dcterms:W3CDTF">2023-01-05T21:55:00Z</dcterms:created>
  <dcterms:modified xsi:type="dcterms:W3CDTF">2023-01-05T21:55:00Z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