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A1CB2" w14:textId="77777777" w:rsidR="00602916" w:rsidRDefault="00442AE9">
      <w:r>
        <w:rPr>
          <w:noProof/>
        </w:rPr>
        <w:drawing>
          <wp:anchor distT="0" distB="0" distL="114300" distR="114300" simplePos="0" relativeHeight="251658240" behindDoc="0" locked="0" layoutInCell="1" allowOverlap="1" wp14:anchorId="1E85DE98" wp14:editId="10B9296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05965" cy="761996"/>
            <wp:effectExtent l="0" t="0" r="0" b="4"/>
            <wp:wrapNone/>
            <wp:docPr id="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7619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D4BB1FA" w14:textId="77777777" w:rsidR="00602916" w:rsidRDefault="00442AE9">
      <w:pPr>
        <w:ind w:left="2124" w:firstLine="708"/>
        <w:jc w:val="right"/>
      </w:pPr>
      <w:r>
        <w:rPr>
          <w:rStyle w:val="Strong"/>
          <w:sz w:val="36"/>
          <w:szCs w:val="36"/>
        </w:rPr>
        <w:t xml:space="preserve">ACCB4002 Data Analysis &amp; Visualisation </w:t>
      </w:r>
    </w:p>
    <w:p w14:paraId="6BF7B170" w14:textId="77777777" w:rsidR="00602916" w:rsidRDefault="00442AE9">
      <w:pPr>
        <w:jc w:val="right"/>
      </w:pPr>
      <w:r>
        <w:rPr>
          <w:rStyle w:val="Strong"/>
          <w:sz w:val="36"/>
          <w:szCs w:val="36"/>
        </w:rPr>
        <w:t xml:space="preserve"> Assessment 1 task 2 - June 2021 Term 1 and Term 2</w:t>
      </w:r>
    </w:p>
    <w:p w14:paraId="185F0BED" w14:textId="77777777" w:rsidR="00602916" w:rsidRDefault="00602916">
      <w:pPr>
        <w:jc w:val="right"/>
      </w:pPr>
    </w:p>
    <w:p w14:paraId="11594EDA" w14:textId="475B23F9" w:rsidR="00602916" w:rsidRDefault="00602916"/>
    <w:p w14:paraId="6B4CA62A" w14:textId="77777777" w:rsidR="00602916" w:rsidRDefault="00602916"/>
    <w:p w14:paraId="38A21B08" w14:textId="1B64866B" w:rsidR="00456095" w:rsidRPr="00456095" w:rsidRDefault="00456095" w:rsidP="00456095">
      <w:pPr>
        <w:spacing w:after="0"/>
        <w:rPr>
          <w:b/>
          <w:bCs/>
        </w:rPr>
      </w:pPr>
      <w:r w:rsidRPr="00456095">
        <w:rPr>
          <w:b/>
          <w:bCs/>
        </w:rPr>
        <w:t>Student: Gabor Gulyas (20299954)</w:t>
      </w:r>
    </w:p>
    <w:p w14:paraId="3DF3DA19" w14:textId="77777777" w:rsidR="00456095" w:rsidRPr="00456095" w:rsidRDefault="00456095" w:rsidP="00456095">
      <w:pPr>
        <w:spacing w:after="0"/>
        <w:rPr>
          <w:b/>
          <w:bCs/>
        </w:rPr>
      </w:pPr>
      <w:r w:rsidRPr="00456095">
        <w:rPr>
          <w:b/>
          <w:bCs/>
        </w:rPr>
        <w:t>Class: Cloud Computing June 2020/2021</w:t>
      </w:r>
    </w:p>
    <w:p w14:paraId="4F02C2E7" w14:textId="77777777" w:rsidR="00456095" w:rsidRPr="00456095" w:rsidRDefault="00456095" w:rsidP="00456095">
      <w:pPr>
        <w:spacing w:after="0"/>
        <w:rPr>
          <w:b/>
          <w:bCs/>
        </w:rPr>
      </w:pPr>
      <w:r w:rsidRPr="00456095">
        <w:rPr>
          <w:b/>
          <w:bCs/>
        </w:rPr>
        <w:t>Lecture: Koushik Modak</w:t>
      </w:r>
    </w:p>
    <w:p w14:paraId="7D5E1CDA" w14:textId="67A8E331" w:rsidR="00602916" w:rsidRPr="00456095" w:rsidRDefault="00456095" w:rsidP="00456095">
      <w:pPr>
        <w:spacing w:after="0"/>
        <w:rPr>
          <w:b/>
          <w:bCs/>
        </w:rPr>
      </w:pPr>
      <w:r w:rsidRPr="00456095">
        <w:rPr>
          <w:b/>
          <w:bCs/>
        </w:rPr>
        <w:t>Date 0</w:t>
      </w:r>
      <w:r>
        <w:rPr>
          <w:b/>
          <w:bCs/>
        </w:rPr>
        <w:t>6</w:t>
      </w:r>
      <w:r w:rsidRPr="00456095">
        <w:rPr>
          <w:b/>
          <w:bCs/>
        </w:rPr>
        <w:t>/08/2021</w:t>
      </w:r>
      <w:r>
        <w:rPr>
          <w:b/>
          <w:bCs/>
          <w:noProof/>
        </w:rPr>
        <w:drawing>
          <wp:anchor distT="0" distB="0" distL="114300" distR="114300" simplePos="0" relativeHeight="251658244" behindDoc="1" locked="0" layoutInCell="1" allowOverlap="1" wp14:anchorId="14A0469A" wp14:editId="5FD47228">
            <wp:simplePos x="0" y="0"/>
            <wp:positionH relativeFrom="margin">
              <wp:posOffset>3552825</wp:posOffset>
            </wp:positionH>
            <wp:positionV relativeFrom="paragraph">
              <wp:posOffset>1017270</wp:posOffset>
            </wp:positionV>
            <wp:extent cx="3086100" cy="2276475"/>
            <wp:effectExtent l="0" t="0" r="0" b="0"/>
            <wp:wrapNone/>
            <wp:docPr id="3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7" behindDoc="1" locked="0" layoutInCell="1" allowOverlap="1" wp14:anchorId="7433456B" wp14:editId="69363677">
            <wp:simplePos x="0" y="0"/>
            <wp:positionH relativeFrom="margin">
              <wp:align>right</wp:align>
            </wp:positionH>
            <wp:positionV relativeFrom="paragraph">
              <wp:posOffset>1017271</wp:posOffset>
            </wp:positionV>
            <wp:extent cx="3162300" cy="2266950"/>
            <wp:effectExtent l="0" t="0" r="0" b="0"/>
            <wp:wrapNone/>
            <wp:docPr id="9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D45">
        <w:rPr>
          <w:b/>
          <w:bCs/>
          <w:noProof/>
        </w:rPr>
        <w:drawing>
          <wp:anchor distT="0" distB="0" distL="114300" distR="114300" simplePos="0" relativeHeight="251658242" behindDoc="1" locked="0" layoutInCell="1" allowOverlap="1" wp14:anchorId="2A758F56" wp14:editId="539028A1">
            <wp:simplePos x="0" y="0"/>
            <wp:positionH relativeFrom="margin">
              <wp:align>left</wp:align>
            </wp:positionH>
            <wp:positionV relativeFrom="paragraph">
              <wp:posOffset>1016635</wp:posOffset>
            </wp:positionV>
            <wp:extent cx="3562350" cy="2276475"/>
            <wp:effectExtent l="0" t="0" r="0" b="9525"/>
            <wp:wrapNone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D45">
        <w:rPr>
          <w:noProof/>
        </w:rPr>
        <w:drawing>
          <wp:anchor distT="0" distB="0" distL="114300" distR="114300" simplePos="0" relativeHeight="251658243" behindDoc="1" locked="0" layoutInCell="1" allowOverlap="1" wp14:anchorId="12ABA2BE" wp14:editId="29F75CEB">
            <wp:simplePos x="0" y="0"/>
            <wp:positionH relativeFrom="margin">
              <wp:align>right</wp:align>
            </wp:positionH>
            <wp:positionV relativeFrom="paragraph">
              <wp:posOffset>3284220</wp:posOffset>
            </wp:positionV>
            <wp:extent cx="4791075" cy="2847975"/>
            <wp:effectExtent l="0" t="0" r="0" b="0"/>
            <wp:wrapNone/>
            <wp:docPr id="6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D45">
        <w:rPr>
          <w:noProof/>
        </w:rPr>
        <w:drawing>
          <wp:anchor distT="0" distB="0" distL="114300" distR="114300" simplePos="0" relativeHeight="251658241" behindDoc="1" locked="0" layoutInCell="1" allowOverlap="1" wp14:anchorId="061442F2" wp14:editId="39D42F8E">
            <wp:simplePos x="0" y="0"/>
            <wp:positionH relativeFrom="margin">
              <wp:align>left</wp:align>
            </wp:positionH>
            <wp:positionV relativeFrom="paragraph">
              <wp:posOffset>6122670</wp:posOffset>
            </wp:positionV>
            <wp:extent cx="4048125" cy="2439035"/>
            <wp:effectExtent l="0" t="0" r="9525" b="18415"/>
            <wp:wrapNone/>
            <wp:docPr id="4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D45">
        <w:rPr>
          <w:noProof/>
        </w:rPr>
        <w:drawing>
          <wp:anchor distT="0" distB="0" distL="114300" distR="114300" simplePos="0" relativeHeight="251658248" behindDoc="1" locked="0" layoutInCell="1" allowOverlap="1" wp14:anchorId="38512517" wp14:editId="0D9119E5">
            <wp:simplePos x="0" y="0"/>
            <wp:positionH relativeFrom="margin">
              <wp:align>left</wp:align>
            </wp:positionH>
            <wp:positionV relativeFrom="paragraph">
              <wp:posOffset>3284220</wp:posOffset>
            </wp:positionV>
            <wp:extent cx="4981575" cy="2837815"/>
            <wp:effectExtent l="0" t="0" r="9525" b="635"/>
            <wp:wrapNone/>
            <wp:docPr id="5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D45">
        <w:rPr>
          <w:noProof/>
        </w:rPr>
        <w:drawing>
          <wp:anchor distT="0" distB="0" distL="114300" distR="114300" simplePos="0" relativeHeight="251658246" behindDoc="1" locked="0" layoutInCell="1" allowOverlap="1" wp14:anchorId="64F3269B" wp14:editId="5AA9C190">
            <wp:simplePos x="0" y="0"/>
            <wp:positionH relativeFrom="margin">
              <wp:align>left</wp:align>
            </wp:positionH>
            <wp:positionV relativeFrom="paragraph">
              <wp:posOffset>8574405</wp:posOffset>
            </wp:positionV>
            <wp:extent cx="4057650" cy="2838450"/>
            <wp:effectExtent l="0" t="0" r="0" b="0"/>
            <wp:wrapNone/>
            <wp:docPr id="8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</wp:anchor>
        </w:drawing>
      </w:r>
      <w:r w:rsidR="006E6D45">
        <w:rPr>
          <w:noProof/>
        </w:rPr>
        <w:drawing>
          <wp:anchor distT="0" distB="0" distL="114300" distR="114300" simplePos="0" relativeHeight="251658245" behindDoc="1" locked="0" layoutInCell="1" allowOverlap="1" wp14:anchorId="51C87BE1" wp14:editId="7844308C">
            <wp:simplePos x="0" y="0"/>
            <wp:positionH relativeFrom="margin">
              <wp:align>right</wp:align>
            </wp:positionH>
            <wp:positionV relativeFrom="paragraph">
              <wp:posOffset>6122035</wp:posOffset>
            </wp:positionV>
            <wp:extent cx="5724525" cy="5306060"/>
            <wp:effectExtent l="0" t="0" r="0" b="8890"/>
            <wp:wrapNone/>
            <wp:docPr id="7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02916" w:rsidRPr="00456095">
      <w:pgSz w:w="16838" w:h="23811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A4DF4" w14:textId="77777777" w:rsidR="00442AE9" w:rsidRDefault="00442AE9">
      <w:pPr>
        <w:spacing w:after="0" w:line="240" w:lineRule="auto"/>
      </w:pPr>
      <w:r>
        <w:separator/>
      </w:r>
    </w:p>
  </w:endnote>
  <w:endnote w:type="continuationSeparator" w:id="0">
    <w:p w14:paraId="7CAC7BC0" w14:textId="77777777" w:rsidR="00442AE9" w:rsidRDefault="0044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778E" w14:textId="77777777" w:rsidR="00442AE9" w:rsidRDefault="00442AE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4CC8F57" w14:textId="77777777" w:rsidR="00442AE9" w:rsidRDefault="00442A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02916"/>
    <w:rsid w:val="00442AE9"/>
    <w:rsid w:val="00456095"/>
    <w:rsid w:val="00602916"/>
    <w:rsid w:val="006E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F2396"/>
  <w15:docId w15:val="{C7D3A9D4-7823-4089-B573-57D0BCB2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hu-H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lang w:val="en-GB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lang w:val="en-GB"/>
    </w:rPr>
  </w:style>
  <w:style w:type="character" w:styleId="Strong">
    <w:name w:val="Strong"/>
    <w:basedOn w:val="DefaultParagraphFont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hart" Target="charts/chart5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footnotes" Target="footnote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NULL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latin typeface="Calibri"/>
              </a:defRPr>
            </a:pPr>
            <a:r>
              <a:rPr lang="hu-HU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  <a:t>Differences 75-79 age male death week 10 and 15</a:t>
            </a:r>
          </a:p>
        </c:rich>
      </c:tx>
      <c:overlay val="0"/>
      <c:spPr>
        <a:noFill/>
        <a:ln>
          <a:noFill/>
        </a:ln>
      </c:spPr>
    </c:title>
    <c:autoTitleDeleted val="0"/>
    <c:view3D>
      <c:rotX val="14"/>
      <c:rotY val="19"/>
      <c:rAngAx val="0"/>
    </c:view3D>
    <c:floor>
      <c:thickness val="0"/>
      <c:spPr>
        <a:noFill/>
        <a:ln>
          <a:noFill/>
        </a:ln>
      </c:spPr>
    </c:floor>
    <c:sideWall>
      <c:thickness val="0"/>
      <c:spPr>
        <a:noFill/>
        <a:ln>
          <a:noFill/>
        </a:ln>
      </c:spPr>
    </c:sideWall>
    <c:backWall>
      <c:thickness val="0"/>
      <c:spPr>
        <a:noFill/>
        <a:ln>
          <a:noFill/>
        </a:ln>
      </c:spPr>
    </c:backWall>
    <c:plotArea>
      <c:layout/>
      <c:line3DChart>
        <c:grouping val="standard"/>
        <c:varyColors val="0"/>
        <c:ser>
          <c:idx val="0"/>
          <c:order val="0"/>
          <c:tx>
            <c:v>2020</c:v>
          </c:tx>
          <c:spPr>
            <a:gradFill>
              <a:gsLst>
                <a:gs pos="0">
                  <a:srgbClr val="F18C55"/>
                </a:gs>
                <a:gs pos="100000">
                  <a:srgbClr val="F67B28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cat>
            <c:strLit>
              <c:ptCount val="6"/>
              <c:pt idx="0">
                <c:v>w10</c:v>
              </c:pt>
              <c:pt idx="1">
                <c:v>w11</c:v>
              </c:pt>
              <c:pt idx="2">
                <c:v>w12</c:v>
              </c:pt>
              <c:pt idx="3">
                <c:v>w13</c:v>
              </c:pt>
              <c:pt idx="4">
                <c:v>w14</c:v>
              </c:pt>
              <c:pt idx="5">
                <c:v>w15</c:v>
              </c:pt>
            </c:strLit>
          </c:cat>
          <c:val>
            <c:numLit>
              <c:formatCode>General</c:formatCode>
              <c:ptCount val="6"/>
              <c:pt idx="0">
                <c:v>725</c:v>
              </c:pt>
              <c:pt idx="1">
                <c:v>748</c:v>
              </c:pt>
              <c:pt idx="2">
                <c:v>763</c:v>
              </c:pt>
              <c:pt idx="3">
                <c:v>788</c:v>
              </c:pt>
              <c:pt idx="4">
                <c:v>1303</c:v>
              </c:pt>
              <c:pt idx="5">
                <c:v>1451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0-037D-42F7-8C5A-AF1E84548250}"/>
            </c:ext>
          </c:extLst>
        </c:ser>
        <c:ser>
          <c:idx val="1"/>
          <c:order val="1"/>
          <c:tx>
            <c:v>2021</c:v>
          </c:tx>
          <c:spPr>
            <a:gradFill>
              <a:gsLst>
                <a:gs pos="0">
                  <a:srgbClr val="FFC746"/>
                </a:gs>
                <a:gs pos="100000">
                  <a:srgbClr val="FFC600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cat>
            <c:strLit>
              <c:ptCount val="6"/>
              <c:pt idx="0">
                <c:v>w10</c:v>
              </c:pt>
              <c:pt idx="1">
                <c:v>w11</c:v>
              </c:pt>
              <c:pt idx="2">
                <c:v>w12</c:v>
              </c:pt>
              <c:pt idx="3">
                <c:v>w13</c:v>
              </c:pt>
              <c:pt idx="4">
                <c:v>w14</c:v>
              </c:pt>
              <c:pt idx="5">
                <c:v>w15</c:v>
              </c:pt>
            </c:strLit>
          </c:cat>
          <c:val>
            <c:numLit>
              <c:formatCode>General</c:formatCode>
              <c:ptCount val="6"/>
              <c:pt idx="0">
                <c:v>803</c:v>
              </c:pt>
              <c:pt idx="1">
                <c:v>683</c:v>
              </c:pt>
              <c:pt idx="2">
                <c:v>705</c:v>
              </c:pt>
              <c:pt idx="3">
                <c:v>567</c:v>
              </c:pt>
              <c:pt idx="4">
                <c:v>650</c:v>
              </c:pt>
              <c:pt idx="5">
                <c:v>749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1-037D-42F7-8C5A-AF1E845482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5870928"/>
        <c:axId val="285869944"/>
        <c:axId val="484394784"/>
      </c:line3DChart>
      <c:valAx>
        <c:axId val="285869944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7F7F7F"/>
              </a:solidFill>
              <a:prstDash val="solid"/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285870928"/>
        <c:crosses val="autoZero"/>
        <c:crossBetween val="between"/>
      </c:valAx>
      <c:catAx>
        <c:axId val="2858709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9528" cap="flat">
            <a:solidFill>
              <a:srgbClr val="7F7F7F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285869944"/>
        <c:crosses val="autoZero"/>
        <c:auto val="1"/>
        <c:lblAlgn val="ctr"/>
        <c:lblOffset val="100"/>
        <c:noMultiLvlLbl val="0"/>
      </c:catAx>
      <c:serAx>
        <c:axId val="4843947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noFill/>
          <a:ln w="9528" cap="flat">
            <a:solidFill>
              <a:srgbClr val="7F7F7F"/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285869944"/>
        <c:crosses val="autoZero"/>
      </c:ser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D9D9D9"/>
              </a:solidFill>
              <a:latin typeface="Calibri"/>
            </a:defRPr>
          </a:pPr>
          <a:endParaRPr lang="hu-HU"/>
        </a:p>
      </c:txPr>
    </c:legend>
    <c:plotVisOnly val="1"/>
    <c:dispBlanksAs val="gap"/>
    <c:showDLblsOverMax val="0"/>
  </c:chart>
  <c:spPr>
    <a:gradFill>
      <a:gsLst>
        <a:gs pos="0">
          <a:srgbClr val="595959"/>
        </a:gs>
        <a:gs pos="100000">
          <a:srgbClr val="262626"/>
        </a:gs>
      </a:gsLst>
      <a:path path="circle">
        <a:fillToRect l="50000" t="50000" r="50000" b="50000"/>
      </a:path>
    </a:gradFill>
    <a:ln>
      <a:noFill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</a:defRPr>
      </a:pPr>
      <a:endParaRPr lang="hu-H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Female age group 85 - 89 deaths on the first 5 weeks of 20/21</a:t>
            </a:r>
          </a:p>
        </c:rich>
      </c:tx>
      <c:layout>
        <c:manualLayout>
          <c:xMode val="edge"/>
          <c:yMode val="edge"/>
          <c:x val="9.997780013181172E-2"/>
          <c:y val="3.35008375209380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title>
    <c:autoTitleDeleted val="0"/>
    <c:view3D>
      <c:rotX val="0"/>
      <c:rotY val="0"/>
      <c:depthPercent val="60"/>
      <c:rAngAx val="0"/>
      <c:perspective val="100"/>
    </c:view3D>
    <c:floor>
      <c:thickness val="0"/>
      <c:spPr>
        <a:solidFill>
          <a:schemeClr val="lt1">
            <a:lumMod val="95000"/>
          </a:schemeClr>
        </a:solidFill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2020</c:v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accent1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1">
                  <a:lumMod val="75000"/>
                </a:schemeClr>
              </a:contourClr>
            </a:sp3d>
          </c:spPr>
          <c:invertIfNegative val="0"/>
          <c:cat>
            <c:strLit>
              <c:ptCount val="5"/>
              <c:pt idx="0">
                <c:v>w1</c:v>
              </c:pt>
              <c:pt idx="1">
                <c:v>w2</c:v>
              </c:pt>
              <c:pt idx="2">
                <c:v>w3</c:v>
              </c:pt>
              <c:pt idx="3">
                <c:v>w4</c:v>
              </c:pt>
              <c:pt idx="4">
                <c:v>w5</c:v>
              </c:pt>
            </c:strLit>
          </c:cat>
          <c:val>
            <c:numLit>
              <c:formatCode>General</c:formatCode>
              <c:ptCount val="5"/>
              <c:pt idx="0">
                <c:v>1359</c:v>
              </c:pt>
              <c:pt idx="1">
                <c:v>1466</c:v>
              </c:pt>
              <c:pt idx="2">
                <c:v>1304</c:v>
              </c:pt>
              <c:pt idx="3">
                <c:v>1174</c:v>
              </c:pt>
              <c:pt idx="4">
                <c:v>1154</c:v>
              </c:pt>
            </c:numLit>
          </c:val>
          <c:extLst>
            <c:ext xmlns:c16="http://schemas.microsoft.com/office/drawing/2014/chart" uri="{C3380CC4-5D6E-409C-BE32-E72D297353CC}">
              <c16:uniqueId val="{00000000-7D31-4E14-8F83-C3AE2952D523}"/>
            </c:ext>
          </c:extLst>
        </c:ser>
        <c:ser>
          <c:idx val="1"/>
          <c:order val="1"/>
          <c:tx>
            <c:v>2021</c:v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accent2">
                  <a:lumMod val="75000"/>
                </a:schemeClr>
              </a:solidFill>
              <a:round/>
            </a:ln>
            <a:effectLst/>
            <a:sp3d contourW="9525">
              <a:contourClr>
                <a:schemeClr val="accent2">
                  <a:lumMod val="75000"/>
                </a:schemeClr>
              </a:contourClr>
            </a:sp3d>
          </c:spPr>
          <c:invertIfNegative val="0"/>
          <c:cat>
            <c:strLit>
              <c:ptCount val="5"/>
              <c:pt idx="0">
                <c:v>w1</c:v>
              </c:pt>
              <c:pt idx="1">
                <c:v>w2</c:v>
              </c:pt>
              <c:pt idx="2">
                <c:v>w3</c:v>
              </c:pt>
              <c:pt idx="3">
                <c:v>w4</c:v>
              </c:pt>
              <c:pt idx="4">
                <c:v>w5</c:v>
              </c:pt>
            </c:strLit>
          </c:cat>
          <c:val>
            <c:numLit>
              <c:formatCode>General</c:formatCode>
              <c:ptCount val="5"/>
              <c:pt idx="0">
                <c:v>1725</c:v>
              </c:pt>
              <c:pt idx="1">
                <c:v>1698</c:v>
              </c:pt>
              <c:pt idx="2">
                <c:v>1862</c:v>
              </c:pt>
              <c:pt idx="3">
                <c:v>1795</c:v>
              </c:pt>
              <c:pt idx="4">
                <c:v>1698</c:v>
              </c:pt>
            </c:numLit>
          </c:val>
          <c:extLst>
            <c:ext xmlns:c16="http://schemas.microsoft.com/office/drawing/2014/chart" uri="{C3380CC4-5D6E-409C-BE32-E72D297353CC}">
              <c16:uniqueId val="{00000001-7D31-4E14-8F83-C3AE2952D5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5"/>
        <c:shape val="box"/>
        <c:axId val="630475776"/>
        <c:axId val="630474792"/>
        <c:axId val="0"/>
      </c:bar3DChart>
      <c:valAx>
        <c:axId val="6304747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630475776"/>
        <c:crosses val="autoZero"/>
        <c:crossBetween val="between"/>
      </c:valAx>
      <c:catAx>
        <c:axId val="6304757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63047479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Total number of death varied same week 1 to 6 2020 and 2021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deaths 2020</c:v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6"/>
              <c:pt idx="0">
                <c:v>week1</c:v>
              </c:pt>
              <c:pt idx="1">
                <c:v>week2</c:v>
              </c:pt>
              <c:pt idx="2">
                <c:v>week3</c:v>
              </c:pt>
              <c:pt idx="3">
                <c:v>week4</c:v>
              </c:pt>
              <c:pt idx="4">
                <c:v>week5</c:v>
              </c:pt>
              <c:pt idx="5">
                <c:v>week6</c:v>
              </c:pt>
            </c:strLit>
          </c:cat>
          <c:val>
            <c:numLit>
              <c:formatCode>General</c:formatCode>
              <c:ptCount val="6"/>
              <c:pt idx="0">
                <c:v>12254</c:v>
              </c:pt>
              <c:pt idx="1">
                <c:v>14058</c:v>
              </c:pt>
              <c:pt idx="2">
                <c:v>12990</c:v>
              </c:pt>
              <c:pt idx="3">
                <c:v>11856</c:v>
              </c:pt>
              <c:pt idx="4">
                <c:v>11612</c:v>
              </c:pt>
              <c:pt idx="5">
                <c:v>10986</c:v>
              </c:pt>
            </c:numLit>
          </c:val>
          <c:extLst>
            <c:ext xmlns:c16="http://schemas.microsoft.com/office/drawing/2014/chart" uri="{C3380CC4-5D6E-409C-BE32-E72D297353CC}">
              <c16:uniqueId val="{00000000-8E86-4570-BEF0-13AB15335075}"/>
            </c:ext>
          </c:extLst>
        </c:ser>
        <c:ser>
          <c:idx val="1"/>
          <c:order val="1"/>
          <c:tx>
            <c:v>deaths 2021</c:v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6"/>
              <c:pt idx="0">
                <c:v>week1</c:v>
              </c:pt>
              <c:pt idx="1">
                <c:v>week2</c:v>
              </c:pt>
              <c:pt idx="2">
                <c:v>week3</c:v>
              </c:pt>
              <c:pt idx="3">
                <c:v>week4</c:v>
              </c:pt>
              <c:pt idx="4">
                <c:v>week5</c:v>
              </c:pt>
              <c:pt idx="5">
                <c:v>week6</c:v>
              </c:pt>
            </c:strLit>
          </c:cat>
          <c:val>
            <c:numLit>
              <c:formatCode>General</c:formatCode>
              <c:ptCount val="6"/>
              <c:pt idx="0">
                <c:v>17751</c:v>
              </c:pt>
              <c:pt idx="1">
                <c:v>18042</c:v>
              </c:pt>
              <c:pt idx="2">
                <c:v>18676</c:v>
              </c:pt>
              <c:pt idx="3">
                <c:v>18448</c:v>
              </c:pt>
              <c:pt idx="4">
                <c:v>17192</c:v>
              </c:pt>
              <c:pt idx="5">
                <c:v>15354</c:v>
              </c:pt>
            </c:numLit>
          </c:val>
          <c:extLst>
            <c:ext xmlns:c16="http://schemas.microsoft.com/office/drawing/2014/chart" uri="{C3380CC4-5D6E-409C-BE32-E72D297353CC}">
              <c16:uniqueId val="{00000001-8E86-4570-BEF0-13AB1533507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85873880"/>
        <c:axId val="285873552"/>
      </c:barChart>
      <c:valAx>
        <c:axId val="28587355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crossAx val="285873880"/>
        <c:crosses val="autoZero"/>
        <c:crossBetween val="between"/>
      </c:valAx>
      <c:catAx>
        <c:axId val="28587388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28587355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latin typeface="Calibri"/>
              </a:defRPr>
            </a:pPr>
            <a:r>
              <a:rPr lang="hu-HU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  <a:t>2020 deaths age of 90+ group between 7 and 12 week</a:t>
            </a:r>
          </a:p>
        </c:rich>
      </c:tx>
      <c:layout>
        <c:manualLayout>
          <c:xMode val="edge"/>
          <c:yMode val="edge"/>
          <c:x val="0.14075655357895078"/>
          <c:y val="6.2545931758530182E-2"/>
        </c:manualLayout>
      </c:layout>
      <c:overlay val="0"/>
      <c:spPr>
        <a:noFill/>
        <a:ln>
          <a:noFill/>
        </a:ln>
      </c:sp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v>2020</c:v>
          </c:tx>
          <c:spPr>
            <a:gradFill>
              <a:gsLst>
                <a:gs pos="0">
                  <a:srgbClr val="F18C55"/>
                </a:gs>
                <a:gs pos="100000">
                  <a:srgbClr val="F67B28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invertIfNegative val="0"/>
          <c:cat>
            <c:strLit>
              <c:ptCount val="6"/>
              <c:pt idx="0">
                <c:v>week 7</c:v>
              </c:pt>
              <c:pt idx="1">
                <c:v>week 8</c:v>
              </c:pt>
              <c:pt idx="2">
                <c:v>week 9</c:v>
              </c:pt>
              <c:pt idx="3">
                <c:v>week10</c:v>
              </c:pt>
              <c:pt idx="4">
                <c:v>week11</c:v>
              </c:pt>
              <c:pt idx="5">
                <c:v>week12</c:v>
              </c:pt>
            </c:strLit>
          </c:cat>
          <c:val>
            <c:numLit>
              <c:formatCode>General</c:formatCode>
              <c:ptCount val="6"/>
              <c:pt idx="0">
                <c:v>2517</c:v>
              </c:pt>
              <c:pt idx="1">
                <c:v>2475</c:v>
              </c:pt>
              <c:pt idx="2">
                <c:v>2398</c:v>
              </c:pt>
              <c:pt idx="3">
                <c:v>2391</c:v>
              </c:pt>
              <c:pt idx="4">
                <c:v>2483</c:v>
              </c:pt>
              <c:pt idx="5">
                <c:v>2302</c:v>
              </c:pt>
            </c:numLit>
          </c:val>
          <c:extLst>
            <c:ext xmlns:c16="http://schemas.microsoft.com/office/drawing/2014/chart" uri="{C3380CC4-5D6E-409C-BE32-E72D297353CC}">
              <c16:uniqueId val="{00000000-68F0-4CE2-9B22-87769A44BC65}"/>
            </c:ext>
          </c:extLst>
        </c:ser>
        <c:ser>
          <c:idx val="1"/>
          <c:order val="1"/>
          <c:tx>
            <c:v>2021</c:v>
          </c:tx>
          <c:spPr>
            <a:gradFill>
              <a:gsLst>
                <a:gs pos="0">
                  <a:srgbClr val="FFC746"/>
                </a:gs>
                <a:gs pos="100000">
                  <a:srgbClr val="FFC600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invertIfNegative val="0"/>
          <c:cat>
            <c:strLit>
              <c:ptCount val="6"/>
              <c:pt idx="0">
                <c:v>week 7</c:v>
              </c:pt>
              <c:pt idx="1">
                <c:v>week 8</c:v>
              </c:pt>
              <c:pt idx="2">
                <c:v>week 9</c:v>
              </c:pt>
              <c:pt idx="3">
                <c:v>week10</c:v>
              </c:pt>
              <c:pt idx="4">
                <c:v>week11</c:v>
              </c:pt>
              <c:pt idx="5">
                <c:v>week12</c:v>
              </c:pt>
            </c:strLit>
          </c:cat>
          <c:val>
            <c:numLit>
              <c:formatCode>General</c:formatCode>
              <c:ptCount val="6"/>
              <c:pt idx="0">
                <c:v>2920</c:v>
              </c:pt>
              <c:pt idx="1">
                <c:v>2642</c:v>
              </c:pt>
              <c:pt idx="2">
                <c:v>2399</c:v>
              </c:pt>
              <c:pt idx="3">
                <c:v>2224</c:v>
              </c:pt>
              <c:pt idx="4">
                <c:v>2066</c:v>
              </c:pt>
              <c:pt idx="5">
                <c:v>2075</c:v>
              </c:pt>
            </c:numLit>
          </c:val>
          <c:extLst>
            <c:ext xmlns:c16="http://schemas.microsoft.com/office/drawing/2014/chart" uri="{C3380CC4-5D6E-409C-BE32-E72D297353CC}">
              <c16:uniqueId val="{00000001-68F0-4CE2-9B22-87769A44BC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476508816"/>
        <c:axId val="476507176"/>
      </c:barChart>
      <c:valAx>
        <c:axId val="476507176"/>
        <c:scaling>
          <c:orientation val="minMax"/>
        </c:scaling>
        <c:delete val="0"/>
        <c:axPos val="b"/>
        <c:majorGridlines>
          <c:spPr>
            <a:ln w="9528" cap="flat">
              <a:solidFill>
                <a:srgbClr val="F2F2F2">
                  <a:alpha val="10000"/>
                </a:srgbClr>
              </a:solidFill>
              <a:prstDash val="solid"/>
              <a:round/>
            </a:ln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476508816"/>
        <c:crosses val="autoZero"/>
        <c:crossBetween val="between"/>
      </c:valAx>
      <c:catAx>
        <c:axId val="47650881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spPr>
          <a:noFill/>
          <a:ln w="12701" cap="flat">
            <a:solidFill>
              <a:srgbClr val="F2F2F2">
                <a:alpha val="54000"/>
              </a:srgbClr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476507176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D9D9D9"/>
              </a:solidFill>
              <a:latin typeface="Calibri"/>
            </a:defRPr>
          </a:pPr>
          <a:endParaRPr lang="hu-HU"/>
        </a:p>
      </c:txPr>
    </c:legend>
    <c:plotVisOnly val="1"/>
    <c:dispBlanksAs val="gap"/>
    <c:showDLblsOverMax val="0"/>
  </c:chart>
  <c:spPr>
    <a:gradFill>
      <a:gsLst>
        <a:gs pos="0">
          <a:srgbClr val="595959"/>
        </a:gs>
        <a:gs pos="100000">
          <a:srgbClr val="262626"/>
        </a:gs>
      </a:gsLst>
      <a:path path="circle">
        <a:fillToRect l="50000" t="50000" r="50000" b="50000"/>
      </a:path>
    </a:gradFill>
    <a:ln>
      <a:noFill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</a:defRPr>
      </a:pPr>
      <a:endParaRPr lang="hu-H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400" b="1" i="0" u="none" strike="noStrike" kern="1200" cap="none" baseline="0">
                <a:solidFill>
                  <a:srgbClr val="D9D9D9"/>
                </a:solidFill>
                <a:latin typeface="Calibri"/>
              </a:defRPr>
            </a:pPr>
            <a:r>
              <a:rPr lang="hu-HU" sz="1400" b="1" i="0" u="none" strike="noStrike" kern="1200" cap="none" spc="0" baseline="0">
                <a:solidFill>
                  <a:srgbClr val="D9D9D9"/>
                </a:solidFill>
                <a:uFillTx/>
                <a:latin typeface="Calibri"/>
              </a:rPr>
              <a:t>Total average recorded death between England and Wales week 15 to 20 in 2020</a:t>
            </a:r>
          </a:p>
        </c:rich>
      </c:tx>
      <c:layout>
        <c:manualLayout>
          <c:xMode val="edge"/>
          <c:yMode val="edge"/>
          <c:x val="0.15379017021788355"/>
          <c:y val="9.0914167643938087E-2"/>
        </c:manualLayout>
      </c:layout>
      <c:overlay val="0"/>
      <c:spPr>
        <a:noFill/>
        <a:ln>
          <a:noFill/>
        </a:ln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  England</c:v>
          </c:tx>
          <c:spPr>
            <a:ln w="22229" cap="rnd">
              <a:solidFill>
                <a:srgbClr val="70AD47"/>
              </a:solidFill>
              <a:prstDash val="solid"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900" b="0" i="0" u="none" strike="noStrike" kern="1200" baseline="0">
                    <a:solidFill>
                      <a:srgbClr val="BFBFBF"/>
                    </a:solidFill>
                    <a:latin typeface="Calibri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Lit>
              <c:ptCount val="6"/>
              <c:pt idx="0">
                <c:v>15/20</c:v>
              </c:pt>
              <c:pt idx="1">
                <c:v>16/20</c:v>
              </c:pt>
              <c:pt idx="2">
                <c:v>17/20</c:v>
              </c:pt>
              <c:pt idx="3">
                <c:v>18/20</c:v>
              </c:pt>
              <c:pt idx="4">
                <c:v>19/20</c:v>
              </c:pt>
              <c:pt idx="5">
                <c:v>20/20</c:v>
              </c:pt>
            </c:strLit>
          </c:cat>
          <c:val>
            <c:numLit>
              <c:formatCode>General</c:formatCode>
              <c:ptCount val="6"/>
              <c:pt idx="0">
                <c:v>9807</c:v>
              </c:pt>
              <c:pt idx="1">
                <c:v>9787</c:v>
              </c:pt>
              <c:pt idx="2">
                <c:v>9768</c:v>
              </c:pt>
              <c:pt idx="3">
                <c:v>9289</c:v>
              </c:pt>
              <c:pt idx="4">
                <c:v>8937</c:v>
              </c:pt>
              <c:pt idx="5">
                <c:v>9526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0-89B9-4404-857D-DEC7D0315C33}"/>
            </c:ext>
          </c:extLst>
        </c:ser>
        <c:ser>
          <c:idx val="1"/>
          <c:order val="1"/>
          <c:tx>
            <c:v>  Wales</c:v>
          </c:tx>
          <c:spPr>
            <a:ln w="22229" cap="rnd">
              <a:solidFill>
                <a:srgbClr val="5B9BD5"/>
              </a:solidFill>
              <a:prstDash val="solid"/>
            </a:ln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lIns="0" tIns="0" rIns="0" bIns="0"/>
              <a:lstStyle/>
              <a:p>
                <a:pPr marL="0" marR="0" indent="0" algn="ctr" defTabSz="914400" fontAlgn="auto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tabLst/>
                  <a:defRPr sz="900" b="0" i="0" u="none" strike="noStrike" kern="1200" baseline="0">
                    <a:solidFill>
                      <a:srgbClr val="BFBFBF"/>
                    </a:solidFill>
                    <a:latin typeface="Calibri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</c:ext>
            </c:extLst>
          </c:dLbls>
          <c:cat>
            <c:strLit>
              <c:ptCount val="6"/>
              <c:pt idx="0">
                <c:v>15/20</c:v>
              </c:pt>
              <c:pt idx="1">
                <c:v>16/20</c:v>
              </c:pt>
              <c:pt idx="2">
                <c:v>17/20</c:v>
              </c:pt>
              <c:pt idx="3">
                <c:v>18/20</c:v>
              </c:pt>
              <c:pt idx="4">
                <c:v>19/20</c:v>
              </c:pt>
              <c:pt idx="5">
                <c:v>20/20</c:v>
              </c:pt>
            </c:strLit>
          </c:cat>
          <c:val>
            <c:numLit>
              <c:formatCode>General</c:formatCode>
              <c:ptCount val="6"/>
              <c:pt idx="0">
                <c:v>671</c:v>
              </c:pt>
              <c:pt idx="1">
                <c:v>661</c:v>
              </c:pt>
              <c:pt idx="2">
                <c:v>662</c:v>
              </c:pt>
              <c:pt idx="3">
                <c:v>624</c:v>
              </c:pt>
              <c:pt idx="4">
                <c:v>612</c:v>
              </c:pt>
              <c:pt idx="5">
                <c:v>635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1-89B9-4404-857D-DEC7D0315C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76508160"/>
        <c:axId val="476506848"/>
      </c:lineChart>
      <c:valAx>
        <c:axId val="476506848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59595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BFBFBF"/>
                </a:solidFill>
                <a:latin typeface="Calibri"/>
              </a:defRPr>
            </a:pPr>
            <a:endParaRPr lang="hu-HU"/>
          </a:p>
        </c:txPr>
        <c:crossAx val="476508160"/>
        <c:crosses val="autoZero"/>
        <c:crossBetween val="between"/>
      </c:valAx>
      <c:catAx>
        <c:axId val="476508160"/>
        <c:scaling>
          <c:orientation val="minMax"/>
        </c:scaling>
        <c:delete val="0"/>
        <c:axPos val="b"/>
        <c:majorGridlines>
          <c:spPr>
            <a:ln w="9528" cap="flat">
              <a:solidFill>
                <a:srgbClr val="59595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BFBFBF"/>
                </a:solidFill>
                <a:latin typeface="Calibri"/>
              </a:defRPr>
            </a:pPr>
            <a:endParaRPr lang="hu-HU"/>
          </a:p>
        </c:txPr>
        <c:crossAx val="476506848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t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BFBFBF"/>
              </a:solidFill>
              <a:latin typeface="Calibri"/>
            </a:defRPr>
          </a:pPr>
          <a:endParaRPr lang="hu-HU"/>
        </a:p>
      </c:txPr>
    </c:legend>
    <c:plotVisOnly val="1"/>
    <c:dispBlanksAs val="gap"/>
    <c:showDLblsOverMax val="0"/>
  </c:chart>
  <c:spPr>
    <a:solidFill>
      <a:srgbClr val="404040"/>
    </a:solidFill>
    <a:ln w="9528" cap="flat">
      <a:solidFill>
        <a:srgbClr val="D9D9D9"/>
      </a:solidFill>
      <a:prstDash val="solid"/>
      <a:round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900" b="0" i="0" u="none" strike="noStrike" kern="1200" baseline="0">
          <a:solidFill>
            <a:srgbClr val="000000"/>
          </a:solidFill>
          <a:latin typeface="Calibri"/>
        </a:defRPr>
      </a:pPr>
      <a:endParaRPr lang="hu-H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Death different between Respiratory disease and  COVID 19 (2020)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v>involving respiratory disease</c:v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7"/>
              <c:pt idx="0">
                <c:v>week11</c:v>
              </c:pt>
              <c:pt idx="1">
                <c:v>week12</c:v>
              </c:pt>
              <c:pt idx="2">
                <c:v>week13</c:v>
              </c:pt>
              <c:pt idx="3">
                <c:v>week14</c:v>
              </c:pt>
              <c:pt idx="4">
                <c:v>week15</c:v>
              </c:pt>
              <c:pt idx="5">
                <c:v>week16</c:v>
              </c:pt>
            </c:strLit>
          </c:cat>
          <c:val>
            <c:numLit>
              <c:formatCode>General</c:formatCode>
              <c:ptCount val="7"/>
              <c:pt idx="0">
                <c:v>3052</c:v>
              </c:pt>
              <c:pt idx="1">
                <c:v>2910</c:v>
              </c:pt>
              <c:pt idx="2">
                <c:v>2265</c:v>
              </c:pt>
              <c:pt idx="3">
                <c:v>2593</c:v>
              </c:pt>
              <c:pt idx="4">
                <c:v>2871</c:v>
              </c:pt>
              <c:pt idx="5">
                <c:v>2665</c:v>
              </c:pt>
              <c:pt idx="6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0-F156-4368-BD03-3817466BCA1D}"/>
            </c:ext>
          </c:extLst>
        </c:ser>
        <c:ser>
          <c:idx val="1"/>
          <c:order val="1"/>
          <c:tx>
            <c:v>due to respiratory disease</c:v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7"/>
              <c:pt idx="0">
                <c:v>week11</c:v>
              </c:pt>
              <c:pt idx="1">
                <c:v>week12</c:v>
              </c:pt>
              <c:pt idx="2">
                <c:v>week13</c:v>
              </c:pt>
              <c:pt idx="3">
                <c:v>week14</c:v>
              </c:pt>
              <c:pt idx="4">
                <c:v>week15</c:v>
              </c:pt>
              <c:pt idx="5">
                <c:v>week16</c:v>
              </c:pt>
            </c:strLit>
          </c:cat>
          <c:val>
            <c:numLit>
              <c:formatCode>General</c:formatCode>
              <c:ptCount val="7"/>
              <c:pt idx="0">
                <c:v>939</c:v>
              </c:pt>
              <c:pt idx="1">
                <c:v>904</c:v>
              </c:pt>
              <c:pt idx="2">
                <c:v>714</c:v>
              </c:pt>
              <c:pt idx="3">
                <c:v>874</c:v>
              </c:pt>
              <c:pt idx="4">
                <c:v>938</c:v>
              </c:pt>
              <c:pt idx="5">
                <c:v>928</c:v>
              </c:pt>
              <c:pt idx="6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1-F156-4368-BD03-3817466BCA1D}"/>
            </c:ext>
          </c:extLst>
        </c:ser>
        <c:ser>
          <c:idx val="2"/>
          <c:order val="2"/>
          <c:tx>
            <c:v> involving COVID-19</c:v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7"/>
              <c:pt idx="0">
                <c:v>week11</c:v>
              </c:pt>
              <c:pt idx="1">
                <c:v>week12</c:v>
              </c:pt>
              <c:pt idx="2">
                <c:v>week13</c:v>
              </c:pt>
              <c:pt idx="3">
                <c:v>week14</c:v>
              </c:pt>
              <c:pt idx="4">
                <c:v>week15</c:v>
              </c:pt>
              <c:pt idx="5">
                <c:v>week16</c:v>
              </c:pt>
            </c:strLit>
          </c:cat>
          <c:val>
            <c:numLit>
              <c:formatCode>General</c:formatCode>
              <c:ptCount val="7"/>
              <c:pt idx="0">
                <c:v>963</c:v>
              </c:pt>
              <c:pt idx="1">
                <c:v>719</c:v>
              </c:pt>
              <c:pt idx="2">
                <c:v>400</c:v>
              </c:pt>
              <c:pt idx="3">
                <c:v>379</c:v>
              </c:pt>
              <c:pt idx="4">
                <c:v>362</c:v>
              </c:pt>
              <c:pt idx="5">
                <c:v>260</c:v>
              </c:pt>
              <c:pt idx="6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2-F156-4368-BD03-3817466BCA1D}"/>
            </c:ext>
          </c:extLst>
        </c:ser>
        <c:ser>
          <c:idx val="3"/>
          <c:order val="3"/>
          <c:tx>
            <c:v> due to COVID-19</c:v>
          </c:tx>
          <c:spPr>
            <a:ln w="317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4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7"/>
              <c:pt idx="0">
                <c:v>week11</c:v>
              </c:pt>
              <c:pt idx="1">
                <c:v>week12</c:v>
              </c:pt>
              <c:pt idx="2">
                <c:v>week13</c:v>
              </c:pt>
              <c:pt idx="3">
                <c:v>week14</c:v>
              </c:pt>
              <c:pt idx="4">
                <c:v>week15</c:v>
              </c:pt>
              <c:pt idx="5">
                <c:v>week16</c:v>
              </c:pt>
            </c:strLit>
          </c:cat>
          <c:val>
            <c:numLit>
              <c:formatCode>General</c:formatCode>
              <c:ptCount val="7"/>
              <c:pt idx="0">
                <c:v>740</c:v>
              </c:pt>
              <c:pt idx="1">
                <c:v>535</c:v>
              </c:pt>
              <c:pt idx="2">
                <c:v>308</c:v>
              </c:pt>
              <c:pt idx="3">
                <c:v>280</c:v>
              </c:pt>
              <c:pt idx="4">
                <c:v>275</c:v>
              </c:pt>
              <c:pt idx="5">
                <c:v>176</c:v>
              </c:pt>
              <c:pt idx="6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3-F156-4368-BD03-3817466BCA1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476512424"/>
        <c:axId val="476512096"/>
      </c:lineChart>
      <c:valAx>
        <c:axId val="476512096"/>
        <c:scaling>
          <c:orientation val="minMax"/>
        </c:scaling>
        <c:delete val="0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476512424"/>
        <c:crosses val="autoZero"/>
        <c:crossBetween val="between"/>
      </c:valAx>
      <c:catAx>
        <c:axId val="4765124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476512096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u-HU"/>
              <a:t>Differences of deaths involving COVID-19 between any mention on the death certificate and underlying cause between week 10 and 15</a:t>
            </a:r>
          </a:p>
        </c:rich>
      </c:tx>
      <c:layout>
        <c:manualLayout>
          <c:xMode val="edge"/>
          <c:yMode val="edge"/>
          <c:x val="0.10863885005028577"/>
          <c:y val="2.3148197079391922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Series1</c:v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6"/>
              <c:pt idx="0">
                <c:v>week10</c:v>
              </c:pt>
              <c:pt idx="1">
                <c:v>week11</c:v>
              </c:pt>
              <c:pt idx="2">
                <c:v>week12</c:v>
              </c:pt>
              <c:pt idx="3">
                <c:v>week13</c:v>
              </c:pt>
              <c:pt idx="4">
                <c:v>week14</c:v>
              </c:pt>
              <c:pt idx="5">
                <c:v>week15</c:v>
              </c:pt>
            </c:strLit>
          </c:cat>
          <c:val>
            <c:numLit>
              <c:formatCode>General</c:formatCode>
              <c:ptCount val="6"/>
              <c:pt idx="0">
                <c:v>1501</c:v>
              </c:pt>
              <c:pt idx="1">
                <c:v>963</c:v>
              </c:pt>
              <c:pt idx="2">
                <c:v>719</c:v>
              </c:pt>
              <c:pt idx="3">
                <c:v>400</c:v>
              </c:pt>
              <c:pt idx="4">
                <c:v>379</c:v>
              </c:pt>
              <c:pt idx="5">
                <c:v>362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0-6393-4595-91C8-5DEAAACE43BE}"/>
            </c:ext>
          </c:extLst>
        </c:ser>
        <c:ser>
          <c:idx val="1"/>
          <c:order val="1"/>
          <c:tx>
            <c:v>Series2</c:v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hu-H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eparator>, </c:separator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Lit>
              <c:ptCount val="6"/>
              <c:pt idx="0">
                <c:v>week10</c:v>
              </c:pt>
              <c:pt idx="1">
                <c:v>week11</c:v>
              </c:pt>
              <c:pt idx="2">
                <c:v>week12</c:v>
              </c:pt>
              <c:pt idx="3">
                <c:v>week13</c:v>
              </c:pt>
              <c:pt idx="4">
                <c:v>week14</c:v>
              </c:pt>
              <c:pt idx="5">
                <c:v>week15</c:v>
              </c:pt>
            </c:strLit>
          </c:cat>
          <c:val>
            <c:numLit>
              <c:formatCode>General</c:formatCode>
              <c:ptCount val="6"/>
              <c:pt idx="0">
                <c:v>1197</c:v>
              </c:pt>
              <c:pt idx="1">
                <c:v>740</c:v>
              </c:pt>
              <c:pt idx="2">
                <c:v>535</c:v>
              </c:pt>
              <c:pt idx="3">
                <c:v>308</c:v>
              </c:pt>
              <c:pt idx="4">
                <c:v>280</c:v>
              </c:pt>
              <c:pt idx="5">
                <c:v>275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1-6393-4595-91C8-5DEAAACE43BE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630473808"/>
        <c:axId val="630473152"/>
      </c:lineChart>
      <c:valAx>
        <c:axId val="63047315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crossAx val="630473808"/>
        <c:crosses val="autoZero"/>
        <c:crossBetween val="between"/>
      </c:valAx>
      <c:catAx>
        <c:axId val="6304738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hu-HU"/>
          </a:p>
        </c:txPr>
        <c:crossAx val="63047315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hu-H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hu-H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c:style val="2"/>
  <c:chart>
    <c:title>
      <c:tx>
        <c:rich>
          <a:bodyPr lIns="0" tIns="0" rIns="0" bIns="0"/>
          <a:lstStyle/>
          <a:p>
            <a:pPr marL="0" marR="0" indent="0" algn="ctr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1600" b="1" i="0" u="none" strike="noStrike" kern="1200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latin typeface="Calibri"/>
              </a:defRPr>
            </a:pPr>
            <a:r>
              <a:rPr lang="hu-HU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  <a:t>Deaths differences by region </a:t>
            </a:r>
            <a:br>
              <a:rPr lang="hu-HU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</a:br>
            <a:r>
              <a:rPr lang="hu-HU" sz="1600" b="1" i="0" u="none" strike="noStrike" kern="1200" cap="none" spc="100" baseline="0">
                <a:solidFill>
                  <a:srgbClr val="F2F2F2"/>
                </a:solidFill>
                <a:effectLst>
                  <a:outerShdw dist="38103" dir="5400000">
                    <a:srgbClr val="000000"/>
                  </a:outerShdw>
                </a:effectLst>
                <a:uFillTx/>
                <a:latin typeface="Calibri"/>
              </a:rPr>
              <a:t>16-20 week</a:t>
            </a:r>
          </a:p>
        </c:rich>
      </c:tx>
      <c:overlay val="0"/>
      <c:spPr>
        <a:noFill/>
        <a:ln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w16</c:v>
          </c:tx>
          <c:spPr>
            <a:gradFill>
              <a:gsLst>
                <a:gs pos="0">
                  <a:srgbClr val="6083CB"/>
                </a:gs>
                <a:gs pos="100000">
                  <a:srgbClr val="3E70CA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invertIfNegative val="0"/>
          <c:cat>
            <c:strLit>
              <c:ptCount val="21"/>
              <c:pt idx="0">
                <c:v>2020 North East</c:v>
              </c:pt>
              <c:pt idx="1">
                <c:v>2020 North West</c:v>
              </c:pt>
              <c:pt idx="2">
                <c:v>2020 Yorkshire and The Humber</c:v>
              </c:pt>
              <c:pt idx="3">
                <c:v>2020 East Midlands</c:v>
              </c:pt>
              <c:pt idx="4">
                <c:v>2020 West Midlands</c:v>
              </c:pt>
              <c:pt idx="5">
                <c:v>2020 East</c:v>
              </c:pt>
              <c:pt idx="6">
                <c:v>2020 London</c:v>
              </c:pt>
              <c:pt idx="7">
                <c:v>2020 South East</c:v>
              </c:pt>
              <c:pt idx="8">
                <c:v>2020 South West</c:v>
              </c:pt>
              <c:pt idx="9">
                <c:v>2020 Wales</c:v>
              </c:pt>
              <c:pt idx="10">
                <c:v>2021 North East</c:v>
              </c:pt>
              <c:pt idx="11">
                <c:v>2021 North West</c:v>
              </c:pt>
              <c:pt idx="12">
                <c:v>2021 Yorkshire and The Humber</c:v>
              </c:pt>
              <c:pt idx="13">
                <c:v>2021 East Midlands</c:v>
              </c:pt>
              <c:pt idx="14">
                <c:v>2021 West Midlands</c:v>
              </c:pt>
              <c:pt idx="15">
                <c:v>2021 East</c:v>
              </c:pt>
              <c:pt idx="16">
                <c:v>2021 London</c:v>
              </c:pt>
              <c:pt idx="17">
                <c:v>2021 South East</c:v>
              </c:pt>
              <c:pt idx="18">
                <c:v>2021 South West</c:v>
              </c:pt>
              <c:pt idx="19">
                <c:v>2021 Wales</c:v>
              </c:pt>
            </c:strLit>
          </c:cat>
          <c:val>
            <c:numLit>
              <c:formatCode>General</c:formatCode>
              <c:ptCount val="21"/>
              <c:pt idx="0">
                <c:v>1155</c:v>
              </c:pt>
              <c:pt idx="1">
                <c:v>3195</c:v>
              </c:pt>
              <c:pt idx="2">
                <c:v>1960</c:v>
              </c:pt>
              <c:pt idx="3">
                <c:v>1632</c:v>
              </c:pt>
              <c:pt idx="4">
                <c:v>2536</c:v>
              </c:pt>
              <c:pt idx="5">
                <c:v>2466</c:v>
              </c:pt>
              <c:pt idx="6">
                <c:v>3275</c:v>
              </c:pt>
              <c:pt idx="7">
                <c:v>3084</c:v>
              </c:pt>
              <c:pt idx="8">
                <c:v>1854</c:v>
              </c:pt>
              <c:pt idx="9">
                <c:v>1169</c:v>
              </c:pt>
              <c:pt idx="10">
                <c:v>509</c:v>
              </c:pt>
              <c:pt idx="11">
                <c:v>1345</c:v>
              </c:pt>
              <c:pt idx="12">
                <c:v>1001</c:v>
              </c:pt>
              <c:pt idx="13">
                <c:v>849</c:v>
              </c:pt>
              <c:pt idx="14">
                <c:v>1057</c:v>
              </c:pt>
              <c:pt idx="15">
                <c:v>1054</c:v>
              </c:pt>
              <c:pt idx="16">
                <c:v>986</c:v>
              </c:pt>
              <c:pt idx="17">
                <c:v>1469</c:v>
              </c:pt>
              <c:pt idx="18">
                <c:v>1042</c:v>
              </c:pt>
              <c:pt idx="19">
                <c:v>616</c:v>
              </c:pt>
              <c:pt idx="20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0-4D1C-4FA4-858A-F1CF4D2FAE6A}"/>
            </c:ext>
          </c:extLst>
        </c:ser>
        <c:ser>
          <c:idx val="1"/>
          <c:order val="1"/>
          <c:tx>
            <c:v>w17</c:v>
          </c:tx>
          <c:spPr>
            <a:gradFill>
              <a:gsLst>
                <a:gs pos="0">
                  <a:srgbClr val="F18C55"/>
                </a:gs>
                <a:gs pos="100000">
                  <a:srgbClr val="F67B28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invertIfNegative val="0"/>
          <c:cat>
            <c:strLit>
              <c:ptCount val="21"/>
              <c:pt idx="0">
                <c:v>2020 North East</c:v>
              </c:pt>
              <c:pt idx="1">
                <c:v>2020 North West</c:v>
              </c:pt>
              <c:pt idx="2">
                <c:v>2020 Yorkshire and The Humber</c:v>
              </c:pt>
              <c:pt idx="3">
                <c:v>2020 East Midlands</c:v>
              </c:pt>
              <c:pt idx="4">
                <c:v>2020 West Midlands</c:v>
              </c:pt>
              <c:pt idx="5">
                <c:v>2020 East</c:v>
              </c:pt>
              <c:pt idx="6">
                <c:v>2020 London</c:v>
              </c:pt>
              <c:pt idx="7">
                <c:v>2020 South East</c:v>
              </c:pt>
              <c:pt idx="8">
                <c:v>2020 South West</c:v>
              </c:pt>
              <c:pt idx="9">
                <c:v>2020 Wales</c:v>
              </c:pt>
              <c:pt idx="10">
                <c:v>2021 North East</c:v>
              </c:pt>
              <c:pt idx="11">
                <c:v>2021 North West</c:v>
              </c:pt>
              <c:pt idx="12">
                <c:v>2021 Yorkshire and The Humber</c:v>
              </c:pt>
              <c:pt idx="13">
                <c:v>2021 East Midlands</c:v>
              </c:pt>
              <c:pt idx="14">
                <c:v>2021 West Midlands</c:v>
              </c:pt>
              <c:pt idx="15">
                <c:v>2021 East</c:v>
              </c:pt>
              <c:pt idx="16">
                <c:v>2021 London</c:v>
              </c:pt>
              <c:pt idx="17">
                <c:v>2021 South East</c:v>
              </c:pt>
              <c:pt idx="18">
                <c:v>2021 South West</c:v>
              </c:pt>
              <c:pt idx="19">
                <c:v>2021 Wales</c:v>
              </c:pt>
            </c:strLit>
          </c:cat>
          <c:val>
            <c:numLit>
              <c:formatCode>General</c:formatCode>
              <c:ptCount val="21"/>
              <c:pt idx="0">
                <c:v>1103</c:v>
              </c:pt>
              <c:pt idx="1">
                <c:v>3109</c:v>
              </c:pt>
              <c:pt idx="2">
                <c:v>2095</c:v>
              </c:pt>
              <c:pt idx="3">
                <c:v>1711</c:v>
              </c:pt>
              <c:pt idx="4">
                <c:v>2481</c:v>
              </c:pt>
              <c:pt idx="5">
                <c:v>2299</c:v>
              </c:pt>
              <c:pt idx="6">
                <c:v>2785</c:v>
              </c:pt>
              <c:pt idx="7">
                <c:v>3334</c:v>
              </c:pt>
              <c:pt idx="8">
                <c:v>1924</c:v>
              </c:pt>
              <c:pt idx="9">
                <c:v>1124</c:v>
              </c:pt>
              <c:pt idx="10">
                <c:v>501</c:v>
              </c:pt>
              <c:pt idx="11">
                <c:v>1281</c:v>
              </c:pt>
              <c:pt idx="12">
                <c:v>943</c:v>
              </c:pt>
              <c:pt idx="13">
                <c:v>814</c:v>
              </c:pt>
              <c:pt idx="14">
                <c:v>982</c:v>
              </c:pt>
              <c:pt idx="15">
                <c:v>1062</c:v>
              </c:pt>
              <c:pt idx="16">
                <c:v>908</c:v>
              </c:pt>
              <c:pt idx="17">
                <c:v>1519</c:v>
              </c:pt>
              <c:pt idx="18">
                <c:v>1084</c:v>
              </c:pt>
              <c:pt idx="19">
                <c:v>582</c:v>
              </c:pt>
              <c:pt idx="20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1-4D1C-4FA4-858A-F1CF4D2FAE6A}"/>
            </c:ext>
          </c:extLst>
        </c:ser>
        <c:ser>
          <c:idx val="2"/>
          <c:order val="2"/>
          <c:tx>
            <c:v>w18</c:v>
          </c:tx>
          <c:spPr>
            <a:gradFill>
              <a:gsLst>
                <a:gs pos="0">
                  <a:srgbClr val="AFAFAF"/>
                </a:gs>
                <a:gs pos="100000">
                  <a:srgbClr val="A5A5A5"/>
                </a:gs>
              </a:gsLst>
              <a:lin ang="5400000"/>
            </a:gradFill>
            <a:ln>
              <a:noFill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invertIfNegative val="0"/>
          <c:cat>
            <c:strLit>
              <c:ptCount val="21"/>
              <c:pt idx="0">
                <c:v>2020 North East</c:v>
              </c:pt>
              <c:pt idx="1">
                <c:v>2020 North West</c:v>
              </c:pt>
              <c:pt idx="2">
                <c:v>2020 Yorkshire and The Humber</c:v>
              </c:pt>
              <c:pt idx="3">
                <c:v>2020 East Midlands</c:v>
              </c:pt>
              <c:pt idx="4">
                <c:v>2020 West Midlands</c:v>
              </c:pt>
              <c:pt idx="5">
                <c:v>2020 East</c:v>
              </c:pt>
              <c:pt idx="6">
                <c:v>2020 London</c:v>
              </c:pt>
              <c:pt idx="7">
                <c:v>2020 South East</c:v>
              </c:pt>
              <c:pt idx="8">
                <c:v>2020 South West</c:v>
              </c:pt>
              <c:pt idx="9">
                <c:v>2020 Wales</c:v>
              </c:pt>
              <c:pt idx="10">
                <c:v>2021 North East</c:v>
              </c:pt>
              <c:pt idx="11">
                <c:v>2021 North West</c:v>
              </c:pt>
              <c:pt idx="12">
                <c:v>2021 Yorkshire and The Humber</c:v>
              </c:pt>
              <c:pt idx="13">
                <c:v>2021 East Midlands</c:v>
              </c:pt>
              <c:pt idx="14">
                <c:v>2021 West Midlands</c:v>
              </c:pt>
              <c:pt idx="15">
                <c:v>2021 East</c:v>
              </c:pt>
              <c:pt idx="16">
                <c:v>2021 London</c:v>
              </c:pt>
              <c:pt idx="17">
                <c:v>2021 South East</c:v>
              </c:pt>
              <c:pt idx="18">
                <c:v>2021 South West</c:v>
              </c:pt>
              <c:pt idx="19">
                <c:v>2021 Wales</c:v>
              </c:pt>
            </c:strLit>
          </c:cat>
          <c:val>
            <c:numLit>
              <c:formatCode>General</c:formatCode>
              <c:ptCount val="21"/>
              <c:pt idx="0">
                <c:v>922</c:v>
              </c:pt>
              <c:pt idx="1">
                <c:v>2503</c:v>
              </c:pt>
              <c:pt idx="2">
                <c:v>1844</c:v>
              </c:pt>
              <c:pt idx="3">
                <c:v>1418</c:v>
              </c:pt>
              <c:pt idx="4">
                <c:v>1975</c:v>
              </c:pt>
              <c:pt idx="5">
                <c:v>1982</c:v>
              </c:pt>
              <c:pt idx="6">
                <c:v>1953</c:v>
              </c:pt>
              <c:pt idx="7">
                <c:v>2853</c:v>
              </c:pt>
              <c:pt idx="8">
                <c:v>1554</c:v>
              </c:pt>
              <c:pt idx="9">
                <c:v>929</c:v>
              </c:pt>
              <c:pt idx="10">
                <c:v>455</c:v>
              </c:pt>
              <c:pt idx="11">
                <c:v>1089</c:v>
              </c:pt>
              <c:pt idx="12">
                <c:v>775</c:v>
              </c:pt>
              <c:pt idx="13">
                <c:v>700</c:v>
              </c:pt>
              <c:pt idx="14">
                <c:v>788</c:v>
              </c:pt>
              <c:pt idx="15">
                <c:v>841</c:v>
              </c:pt>
              <c:pt idx="16">
                <c:v>792</c:v>
              </c:pt>
              <c:pt idx="17">
                <c:v>1168</c:v>
              </c:pt>
              <c:pt idx="18">
                <c:v>804</c:v>
              </c:pt>
              <c:pt idx="19">
                <c:v>560</c:v>
              </c:pt>
              <c:pt idx="20">
                <c:v>0</c:v>
              </c:pt>
            </c:numLit>
          </c:val>
          <c:extLst>
            <c:ext xmlns:c16="http://schemas.microsoft.com/office/drawing/2014/chart" uri="{C3380CC4-5D6E-409C-BE32-E72D297353CC}">
              <c16:uniqueId val="{00000002-4D1C-4FA4-858A-F1CF4D2FAE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5874864"/>
        <c:axId val="476507832"/>
      </c:barChart>
      <c:lineChart>
        <c:grouping val="standard"/>
        <c:varyColors val="0"/>
        <c:ser>
          <c:idx val="3"/>
          <c:order val="3"/>
          <c:tx>
            <c:v>w19</c:v>
          </c:tx>
          <c:spPr>
            <a:ln w="34920" cap="rnd">
              <a:solidFill>
                <a:srgbClr val="FFC000"/>
              </a:solidFill>
              <a:prstDash val="solid"/>
              <a:round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Lit>
              <c:ptCount val="21"/>
              <c:pt idx="0">
                <c:v>2020 North East</c:v>
              </c:pt>
              <c:pt idx="1">
                <c:v>2020 North West</c:v>
              </c:pt>
              <c:pt idx="2">
                <c:v>2020 Yorkshire and The Humber</c:v>
              </c:pt>
              <c:pt idx="3">
                <c:v>2020 East Midlands</c:v>
              </c:pt>
              <c:pt idx="4">
                <c:v>2020 West Midlands</c:v>
              </c:pt>
              <c:pt idx="5">
                <c:v>2020 East</c:v>
              </c:pt>
              <c:pt idx="6">
                <c:v>2020 London</c:v>
              </c:pt>
              <c:pt idx="7">
                <c:v>2020 South East</c:v>
              </c:pt>
              <c:pt idx="8">
                <c:v>2020 South West</c:v>
              </c:pt>
              <c:pt idx="9">
                <c:v>2020 Wales</c:v>
              </c:pt>
              <c:pt idx="10">
                <c:v>2021 North East</c:v>
              </c:pt>
              <c:pt idx="11">
                <c:v>2021 North West</c:v>
              </c:pt>
              <c:pt idx="12">
                <c:v>2021 Yorkshire and The Humber</c:v>
              </c:pt>
              <c:pt idx="13">
                <c:v>2021 East Midlands</c:v>
              </c:pt>
              <c:pt idx="14">
                <c:v>2021 West Midlands</c:v>
              </c:pt>
              <c:pt idx="15">
                <c:v>2021 East</c:v>
              </c:pt>
              <c:pt idx="16">
                <c:v>2021 London</c:v>
              </c:pt>
              <c:pt idx="17">
                <c:v>2021 South East</c:v>
              </c:pt>
              <c:pt idx="18">
                <c:v>2021 South West</c:v>
              </c:pt>
              <c:pt idx="19">
                <c:v>2021 Wales</c:v>
              </c:pt>
            </c:strLit>
          </c:cat>
          <c:val>
            <c:numLit>
              <c:formatCode>General</c:formatCode>
              <c:ptCount val="21"/>
              <c:pt idx="0">
                <c:v>769</c:v>
              </c:pt>
              <c:pt idx="1">
                <c:v>1790</c:v>
              </c:pt>
              <c:pt idx="2">
                <c:v>1328</c:v>
              </c:pt>
              <c:pt idx="3">
                <c:v>1094</c:v>
              </c:pt>
              <c:pt idx="4">
                <c:v>1326</c:v>
              </c:pt>
              <c:pt idx="5">
                <c:v>1321</c:v>
              </c:pt>
              <c:pt idx="6">
                <c:v>1213</c:v>
              </c:pt>
              <c:pt idx="7">
                <c:v>1887</c:v>
              </c:pt>
              <c:pt idx="8">
                <c:v>1218</c:v>
              </c:pt>
              <c:pt idx="9">
                <c:v>692</c:v>
              </c:pt>
              <c:pt idx="10">
                <c:v>548</c:v>
              </c:pt>
              <c:pt idx="11">
                <c:v>1282</c:v>
              </c:pt>
              <c:pt idx="12">
                <c:v>1060</c:v>
              </c:pt>
              <c:pt idx="13">
                <c:v>921</c:v>
              </c:pt>
              <c:pt idx="14">
                <c:v>1112</c:v>
              </c:pt>
              <c:pt idx="15">
                <c:v>1031</c:v>
              </c:pt>
              <c:pt idx="16">
                <c:v>908</c:v>
              </c:pt>
              <c:pt idx="17">
                <c:v>1525</c:v>
              </c:pt>
              <c:pt idx="18">
                <c:v>1125</c:v>
              </c:pt>
              <c:pt idx="19">
                <c:v>640</c:v>
              </c:pt>
              <c:pt idx="20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3-4D1C-4FA4-858A-F1CF4D2FAE6A}"/>
            </c:ext>
          </c:extLst>
        </c:ser>
        <c:ser>
          <c:idx val="4"/>
          <c:order val="4"/>
          <c:tx>
            <c:v>w20</c:v>
          </c:tx>
          <c:spPr>
            <a:ln w="34920" cap="rnd">
              <a:solidFill>
                <a:srgbClr val="5B9BD5"/>
              </a:solidFill>
              <a:prstDash val="solid"/>
              <a:round/>
            </a:ln>
            <a:effectLst>
              <a:outerShdw dist="19046" dir="5400000" algn="tl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strLit>
              <c:ptCount val="21"/>
              <c:pt idx="0">
                <c:v>2020 North East</c:v>
              </c:pt>
              <c:pt idx="1">
                <c:v>2020 North West</c:v>
              </c:pt>
              <c:pt idx="2">
                <c:v>2020 Yorkshire and The Humber</c:v>
              </c:pt>
              <c:pt idx="3">
                <c:v>2020 East Midlands</c:v>
              </c:pt>
              <c:pt idx="4">
                <c:v>2020 West Midlands</c:v>
              </c:pt>
              <c:pt idx="5">
                <c:v>2020 East</c:v>
              </c:pt>
              <c:pt idx="6">
                <c:v>2020 London</c:v>
              </c:pt>
              <c:pt idx="7">
                <c:v>2020 South East</c:v>
              </c:pt>
              <c:pt idx="8">
                <c:v>2020 South West</c:v>
              </c:pt>
              <c:pt idx="9">
                <c:v>2020 Wales</c:v>
              </c:pt>
              <c:pt idx="10">
                <c:v>2021 North East</c:v>
              </c:pt>
              <c:pt idx="11">
                <c:v>2021 North West</c:v>
              </c:pt>
              <c:pt idx="12">
                <c:v>2021 Yorkshire and The Humber</c:v>
              </c:pt>
              <c:pt idx="13">
                <c:v>2021 East Midlands</c:v>
              </c:pt>
              <c:pt idx="14">
                <c:v>2021 West Midlands</c:v>
              </c:pt>
              <c:pt idx="15">
                <c:v>2021 East</c:v>
              </c:pt>
              <c:pt idx="16">
                <c:v>2021 London</c:v>
              </c:pt>
              <c:pt idx="17">
                <c:v>2021 South East</c:v>
              </c:pt>
              <c:pt idx="18">
                <c:v>2021 South West</c:v>
              </c:pt>
              <c:pt idx="19">
                <c:v>2021 Wales</c:v>
              </c:pt>
            </c:strLit>
          </c:cat>
          <c:val>
            <c:numLit>
              <c:formatCode>General</c:formatCode>
              <c:ptCount val="21"/>
              <c:pt idx="0">
                <c:v>845</c:v>
              </c:pt>
              <c:pt idx="1">
                <c:v>1992</c:v>
              </c:pt>
              <c:pt idx="2">
                <c:v>1589</c:v>
              </c:pt>
              <c:pt idx="3">
                <c:v>1283</c:v>
              </c:pt>
              <c:pt idx="4">
                <c:v>1502</c:v>
              </c:pt>
              <c:pt idx="5">
                <c:v>1543</c:v>
              </c:pt>
              <c:pt idx="6">
                <c:v>1329</c:v>
              </c:pt>
              <c:pt idx="7">
                <c:v>2251</c:v>
              </c:pt>
              <c:pt idx="8">
                <c:v>1449</c:v>
              </c:pt>
              <c:pt idx="9">
                <c:v>772</c:v>
              </c:pt>
              <c:pt idx="10">
                <c:v>0</c:v>
              </c:pt>
              <c:pt idx="11">
                <c:v>0</c:v>
              </c:pt>
              <c:pt idx="12">
                <c:v>0</c:v>
              </c:pt>
              <c:pt idx="13">
                <c:v>0</c:v>
              </c:pt>
              <c:pt idx="14">
                <c:v>0</c:v>
              </c:pt>
              <c:pt idx="15">
                <c:v>0</c:v>
              </c:pt>
              <c:pt idx="16">
                <c:v>0</c:v>
              </c:pt>
              <c:pt idx="17">
                <c:v>0</c:v>
              </c:pt>
              <c:pt idx="18">
                <c:v>0</c:v>
              </c:pt>
              <c:pt idx="19">
                <c:v>0</c:v>
              </c:pt>
              <c:pt idx="20">
                <c:v>0</c:v>
              </c:pt>
            </c:numLit>
          </c:val>
          <c:smooth val="0"/>
          <c:extLst>
            <c:ext xmlns:c16="http://schemas.microsoft.com/office/drawing/2014/chart" uri="{C3380CC4-5D6E-409C-BE32-E72D297353CC}">
              <c16:uniqueId val="{00000004-4D1C-4FA4-858A-F1CF4D2FAE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85874864"/>
        <c:axId val="476507832"/>
      </c:lineChart>
      <c:valAx>
        <c:axId val="476507832"/>
        <c:scaling>
          <c:orientation val="minMax"/>
        </c:scaling>
        <c:delete val="0"/>
        <c:axPos val="l"/>
        <c:majorGridlines>
          <c:spPr>
            <a:ln w="9528" cap="flat">
              <a:solidFill>
                <a:srgbClr val="F2F2F2">
                  <a:alpha val="10000"/>
                </a:srgbClr>
              </a:solidFill>
              <a:prstDash val="solid"/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285874864"/>
        <c:crosses val="autoZero"/>
        <c:crossBetween val="between"/>
      </c:valAx>
      <c:catAx>
        <c:axId val="28587486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1" cap="flat">
            <a:solidFill>
              <a:srgbClr val="F2F2F2">
                <a:alpha val="54000"/>
              </a:srgbClr>
            </a:solidFill>
            <a:prstDash val="solid"/>
            <a:round/>
          </a:ln>
        </c:spPr>
        <c:txPr>
          <a:bodyPr lIns="0" tIns="0" rIns="0" bIns="0"/>
          <a:lstStyle/>
          <a:p>
            <a:pPr marL="0" marR="0" indent="0" defTabSz="914400" fontAlgn="auto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tabLst/>
              <a:defRPr sz="900" b="0" i="0" u="none" strike="noStrike" kern="1200" baseline="0">
                <a:solidFill>
                  <a:srgbClr val="D9D9D9"/>
                </a:solidFill>
                <a:latin typeface="Calibri"/>
              </a:defRPr>
            </a:pPr>
            <a:endParaRPr lang="hu-HU"/>
          </a:p>
        </c:txPr>
        <c:crossAx val="476507832"/>
        <c:crosses val="autoZero"/>
        <c:auto val="1"/>
        <c:lblAlgn val="ctr"/>
        <c:lblOffset val="100"/>
        <c:noMultiLvlLbl val="0"/>
      </c:cat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 lIns="0" tIns="0" rIns="0" bIns="0"/>
        <a:lstStyle/>
        <a:p>
          <a:pPr marL="0" marR="0" indent="0" defTabSz="914400" fontAlgn="auto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tabLst/>
            <a:defRPr sz="900" b="0" i="0" u="none" strike="noStrike" kern="1200" baseline="0">
              <a:solidFill>
                <a:srgbClr val="D9D9D9"/>
              </a:solidFill>
              <a:latin typeface="Calibri"/>
            </a:defRPr>
          </a:pPr>
          <a:endParaRPr lang="hu-HU"/>
        </a:p>
      </c:txPr>
    </c:legend>
    <c:plotVisOnly val="1"/>
    <c:dispBlanksAs val="gap"/>
    <c:showDLblsOverMax val="0"/>
  </c:chart>
  <c:spPr>
    <a:gradFill>
      <a:gsLst>
        <a:gs pos="0">
          <a:srgbClr val="595959"/>
        </a:gs>
        <a:gs pos="100000">
          <a:srgbClr val="262626"/>
        </a:gs>
      </a:gsLst>
      <a:path path="circle">
        <a:fillToRect l="50000" t="50000" r="50000" b="50000"/>
      </a:path>
    </a:gradFill>
    <a:ln>
      <a:noFill/>
    </a:ln>
  </c:spPr>
  <c:txPr>
    <a:bodyPr lIns="0" tIns="0" rIns="0" bIns="0"/>
    <a:lstStyle/>
    <a:p>
      <a:pPr marL="0" marR="0" indent="0" defTabSz="914400" fontAlgn="auto" hangingPunct="1">
        <a:lnSpc>
          <a:spcPct val="100000"/>
        </a:lnSpc>
        <a:spcBef>
          <a:spcPts val="0"/>
        </a:spcBef>
        <a:spcAft>
          <a:spcPts val="0"/>
        </a:spcAft>
        <a:tabLst/>
        <a:defRPr lang="en-GB" sz="1000" b="0" i="0" u="none" strike="noStrike" kern="1200" baseline="0">
          <a:solidFill>
            <a:srgbClr val="000000"/>
          </a:solidFill>
          <a:latin typeface="Calibri"/>
        </a:defRPr>
      </a:pPr>
      <a:endParaRPr lang="hu-H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>
  <cs:dataPoint3D>
    <cs:lnRef idx="0">
      <cs:styleClr val="auto"/>
    </cs:lnRef>
    <cs:fillRef idx="0">
      <cs:styleClr val="auto"/>
    </cs:fillRef>
    <cs:effectRef idx="0">
      <cs:styleClr val="auto"/>
    </cs:effectRef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phClr">
            <a:lumMod val="75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sp3d/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/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Gulyas</dc:creator>
  <dc:description/>
  <cp:lastModifiedBy>Gabor Gulyas</cp:lastModifiedBy>
  <cp:revision>2</cp:revision>
  <dcterms:created xsi:type="dcterms:W3CDTF">2021-08-06T17:09:00Z</dcterms:created>
  <dcterms:modified xsi:type="dcterms:W3CDTF">2021-08-06T17:09:00Z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