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66F75" w:rsidRDefault="00066F75" w:rsidP="00066F75">
      <w:pPr>
        <w:jc w:val="center"/>
        <w:rPr>
          <w:i/>
          <w:sz w:val="28"/>
          <w:u w:val="single"/>
        </w:rPr>
      </w:pPr>
    </w:p>
    <w:p w:rsidR="00B77ED4" w:rsidRPr="008247EC" w:rsidRDefault="00066F75" w:rsidP="00066F75">
      <w:pPr>
        <w:jc w:val="center"/>
        <w:rPr>
          <w:i/>
          <w:sz w:val="40"/>
          <w:u w:val="single"/>
        </w:rPr>
      </w:pPr>
      <w:r w:rsidRPr="008247EC">
        <w:rPr>
          <w:i/>
          <w:sz w:val="40"/>
          <w:u w:val="single"/>
        </w:rPr>
        <w:t xml:space="preserve">Death, Dying and the Macabre in the late </w:t>
      </w:r>
      <w:proofErr w:type="gramStart"/>
      <w:r w:rsidRPr="008247EC">
        <w:rPr>
          <w:i/>
          <w:sz w:val="40"/>
          <w:u w:val="single"/>
        </w:rPr>
        <w:t>Middle</w:t>
      </w:r>
      <w:proofErr w:type="gramEnd"/>
      <w:r w:rsidRPr="008247EC">
        <w:rPr>
          <w:i/>
          <w:sz w:val="40"/>
          <w:u w:val="single"/>
        </w:rPr>
        <w:t xml:space="preserve"> Ages</w:t>
      </w:r>
    </w:p>
    <w:p w:rsidR="00066F75" w:rsidRPr="008247EC" w:rsidRDefault="00066F75" w:rsidP="00066F75">
      <w:pPr>
        <w:jc w:val="center"/>
        <w:rPr>
          <w:i/>
          <w:sz w:val="40"/>
          <w:u w:val="single"/>
        </w:rPr>
      </w:pPr>
      <w:r w:rsidRPr="008247EC">
        <w:rPr>
          <w:i/>
          <w:sz w:val="40"/>
          <w:u w:val="single"/>
        </w:rPr>
        <w:t>Portfolio</w:t>
      </w:r>
    </w:p>
    <w:p w:rsidR="00730248" w:rsidRDefault="008247EC" w:rsidP="00066F75">
      <w:pPr>
        <w:jc w:val="center"/>
        <w:rPr>
          <w:i/>
          <w:sz w:val="28"/>
          <w:u w:val="single"/>
        </w:rPr>
      </w:pPr>
      <w:r w:rsidRPr="008247EC">
        <w:rPr>
          <w:i/>
          <w:sz w:val="28"/>
          <w:u w:val="single"/>
        </w:rPr>
        <w:drawing>
          <wp:anchor distT="0" distB="0" distL="114300" distR="114300" simplePos="0" relativeHeight="251661312" behindDoc="1" locked="0" layoutInCell="1" allowOverlap="1">
            <wp:simplePos x="0" y="0"/>
            <wp:positionH relativeFrom="margin">
              <wp:posOffset>803910</wp:posOffset>
            </wp:positionH>
            <wp:positionV relativeFrom="paragraph">
              <wp:posOffset>257175</wp:posOffset>
            </wp:positionV>
            <wp:extent cx="4288155" cy="5635625"/>
            <wp:effectExtent l="0" t="0" r="0" b="3175"/>
            <wp:wrapTight wrapText="bothSides">
              <wp:wrapPolygon edited="0">
                <wp:start x="0" y="0"/>
                <wp:lineTo x="0" y="21539"/>
                <wp:lineTo x="21494" y="21539"/>
                <wp:lineTo x="21494" y="0"/>
                <wp:lineTo x="0" y="0"/>
              </wp:wrapPolygon>
            </wp:wrapTight>
            <wp:docPr id="2" name="Picture 2" descr="https://rilm.files.wordpress.com/2016/10/holbein-totentanz.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rilm.files.wordpress.com/2016/10/holbein-totentanz.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8155" cy="56356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247EC" w:rsidRDefault="008247EC" w:rsidP="00066F75">
      <w:pPr>
        <w:jc w:val="center"/>
        <w:rPr>
          <w:i/>
          <w:sz w:val="40"/>
          <w:u w:val="single"/>
        </w:rPr>
      </w:pPr>
    </w:p>
    <w:p w:rsidR="008247EC" w:rsidRDefault="008247EC" w:rsidP="00066F75">
      <w:pPr>
        <w:jc w:val="center"/>
        <w:rPr>
          <w:i/>
          <w:sz w:val="40"/>
          <w:u w:val="single"/>
        </w:rPr>
      </w:pPr>
    </w:p>
    <w:p w:rsidR="008247EC" w:rsidRDefault="008247EC" w:rsidP="00066F75">
      <w:pPr>
        <w:jc w:val="center"/>
        <w:rPr>
          <w:i/>
          <w:sz w:val="40"/>
          <w:u w:val="single"/>
        </w:rPr>
      </w:pPr>
    </w:p>
    <w:p w:rsidR="008247EC" w:rsidRDefault="008247EC" w:rsidP="00066F75">
      <w:pPr>
        <w:jc w:val="center"/>
        <w:rPr>
          <w:i/>
          <w:sz w:val="40"/>
          <w:u w:val="single"/>
        </w:rPr>
      </w:pPr>
    </w:p>
    <w:p w:rsidR="008247EC" w:rsidRDefault="008247EC" w:rsidP="00066F75">
      <w:pPr>
        <w:jc w:val="center"/>
        <w:rPr>
          <w:i/>
          <w:sz w:val="40"/>
          <w:u w:val="single"/>
        </w:rPr>
      </w:pPr>
    </w:p>
    <w:p w:rsidR="008247EC" w:rsidRDefault="008247EC" w:rsidP="00066F75">
      <w:pPr>
        <w:jc w:val="center"/>
        <w:rPr>
          <w:i/>
          <w:sz w:val="40"/>
          <w:u w:val="single"/>
        </w:rPr>
      </w:pPr>
    </w:p>
    <w:p w:rsidR="008247EC" w:rsidRDefault="008247EC" w:rsidP="00066F75">
      <w:pPr>
        <w:jc w:val="center"/>
        <w:rPr>
          <w:i/>
          <w:sz w:val="40"/>
          <w:u w:val="single"/>
        </w:rPr>
      </w:pPr>
    </w:p>
    <w:p w:rsidR="008247EC" w:rsidRDefault="008247EC" w:rsidP="00066F75">
      <w:pPr>
        <w:jc w:val="center"/>
        <w:rPr>
          <w:i/>
          <w:sz w:val="40"/>
          <w:u w:val="single"/>
        </w:rPr>
      </w:pPr>
    </w:p>
    <w:p w:rsidR="008247EC" w:rsidRDefault="008247EC" w:rsidP="00066F75">
      <w:pPr>
        <w:jc w:val="center"/>
        <w:rPr>
          <w:i/>
          <w:sz w:val="40"/>
          <w:u w:val="single"/>
        </w:rPr>
      </w:pPr>
    </w:p>
    <w:p w:rsidR="008247EC" w:rsidRDefault="008247EC" w:rsidP="00066F75">
      <w:pPr>
        <w:jc w:val="center"/>
        <w:rPr>
          <w:i/>
          <w:sz w:val="40"/>
          <w:u w:val="single"/>
        </w:rPr>
      </w:pPr>
    </w:p>
    <w:p w:rsidR="008247EC" w:rsidRDefault="008247EC" w:rsidP="00066F75">
      <w:pPr>
        <w:jc w:val="center"/>
        <w:rPr>
          <w:i/>
          <w:sz w:val="40"/>
          <w:u w:val="single"/>
        </w:rPr>
      </w:pPr>
    </w:p>
    <w:p w:rsidR="008247EC" w:rsidRDefault="008247EC" w:rsidP="00066F75">
      <w:pPr>
        <w:jc w:val="center"/>
        <w:rPr>
          <w:i/>
          <w:sz w:val="40"/>
          <w:u w:val="single"/>
        </w:rPr>
      </w:pPr>
    </w:p>
    <w:p w:rsidR="008247EC" w:rsidRDefault="008247EC" w:rsidP="00066F75">
      <w:pPr>
        <w:jc w:val="center"/>
        <w:rPr>
          <w:i/>
          <w:sz w:val="40"/>
          <w:u w:val="single"/>
        </w:rPr>
      </w:pPr>
    </w:p>
    <w:p w:rsidR="008247EC" w:rsidRPr="001319AD" w:rsidRDefault="001319AD" w:rsidP="00066F75">
      <w:pPr>
        <w:jc w:val="center"/>
        <w:rPr>
          <w:i/>
          <w:sz w:val="18"/>
        </w:rPr>
      </w:pPr>
      <w:r>
        <w:rPr>
          <w:i/>
          <w:sz w:val="18"/>
        </w:rPr>
        <w:t xml:space="preserve">Hans Holbein – </w:t>
      </w:r>
      <w:proofErr w:type="spellStart"/>
      <w:r>
        <w:rPr>
          <w:i/>
          <w:sz w:val="18"/>
        </w:rPr>
        <w:t>Totentanz</w:t>
      </w:r>
      <w:proofErr w:type="spellEnd"/>
    </w:p>
    <w:p w:rsidR="001319AD" w:rsidRDefault="001319AD" w:rsidP="00066F75">
      <w:pPr>
        <w:jc w:val="center"/>
        <w:rPr>
          <w:i/>
          <w:sz w:val="20"/>
          <w:u w:val="single"/>
        </w:rPr>
      </w:pPr>
    </w:p>
    <w:p w:rsidR="001319AD" w:rsidRPr="001319AD" w:rsidRDefault="001319AD" w:rsidP="00066F75">
      <w:pPr>
        <w:jc w:val="center"/>
        <w:rPr>
          <w:i/>
          <w:sz w:val="20"/>
          <w:u w:val="single"/>
        </w:rPr>
      </w:pPr>
    </w:p>
    <w:p w:rsidR="00730248" w:rsidRPr="008247EC" w:rsidRDefault="008247EC" w:rsidP="00066F75">
      <w:pPr>
        <w:jc w:val="center"/>
        <w:rPr>
          <w:i/>
          <w:sz w:val="40"/>
          <w:u w:val="single"/>
        </w:rPr>
      </w:pPr>
      <w:r w:rsidRPr="008247EC">
        <w:rPr>
          <w:i/>
          <w:sz w:val="40"/>
          <w:u w:val="single"/>
        </w:rPr>
        <w:t>Jordan James</w:t>
      </w:r>
    </w:p>
    <w:p w:rsidR="008247EC" w:rsidRPr="008247EC" w:rsidRDefault="008247EC" w:rsidP="00066F75">
      <w:pPr>
        <w:jc w:val="center"/>
        <w:rPr>
          <w:i/>
          <w:sz w:val="40"/>
          <w:u w:val="single"/>
        </w:rPr>
      </w:pPr>
      <w:r w:rsidRPr="008247EC">
        <w:rPr>
          <w:i/>
          <w:sz w:val="40"/>
          <w:u w:val="single"/>
        </w:rPr>
        <w:t>1601891</w:t>
      </w:r>
    </w:p>
    <w:p w:rsidR="00730248" w:rsidRDefault="00730248" w:rsidP="007E0648">
      <w:pPr>
        <w:rPr>
          <w:i/>
          <w:sz w:val="28"/>
          <w:u w:val="single"/>
        </w:rPr>
      </w:pPr>
    </w:p>
    <w:p w:rsidR="007E0648" w:rsidRDefault="007E0648">
      <w:pPr>
        <w:rPr>
          <w:i/>
          <w:sz w:val="28"/>
          <w:u w:val="single"/>
        </w:rPr>
      </w:pPr>
    </w:p>
    <w:p w:rsidR="007E0648" w:rsidRDefault="007E0648" w:rsidP="007E0648">
      <w:pPr>
        <w:jc w:val="center"/>
        <w:rPr>
          <w:sz w:val="40"/>
        </w:rPr>
      </w:pPr>
    </w:p>
    <w:p w:rsidR="007E0648" w:rsidRPr="00E626F4" w:rsidRDefault="007E0648" w:rsidP="007E0648">
      <w:pPr>
        <w:jc w:val="center"/>
        <w:rPr>
          <w:i/>
          <w:sz w:val="48"/>
          <w:u w:val="single"/>
        </w:rPr>
      </w:pPr>
      <w:r w:rsidRPr="00E626F4">
        <w:rPr>
          <w:i/>
          <w:sz w:val="48"/>
          <w:u w:val="single"/>
        </w:rPr>
        <w:t>Contents</w:t>
      </w:r>
    </w:p>
    <w:p w:rsidR="007E0648" w:rsidRDefault="007E0648" w:rsidP="007E0648">
      <w:pPr>
        <w:jc w:val="center"/>
        <w:rPr>
          <w:sz w:val="40"/>
        </w:rPr>
      </w:pPr>
    </w:p>
    <w:p w:rsidR="007E0648" w:rsidRDefault="007E0648" w:rsidP="007E0648">
      <w:pPr>
        <w:jc w:val="center"/>
        <w:rPr>
          <w:sz w:val="40"/>
        </w:rPr>
      </w:pPr>
    </w:p>
    <w:p w:rsidR="007E0648" w:rsidRPr="00BD14D5" w:rsidRDefault="007E0648" w:rsidP="007E0648">
      <w:pPr>
        <w:rPr>
          <w:sz w:val="36"/>
        </w:rPr>
      </w:pPr>
      <w:r w:rsidRPr="00BD14D5">
        <w:rPr>
          <w:sz w:val="36"/>
        </w:rPr>
        <w:t>Secondary Article Commentary</w:t>
      </w:r>
      <w:r w:rsidR="00DE441C">
        <w:rPr>
          <w:sz w:val="36"/>
        </w:rPr>
        <w:tab/>
      </w:r>
      <w:r w:rsidR="00DE441C">
        <w:rPr>
          <w:sz w:val="36"/>
        </w:rPr>
        <w:tab/>
      </w:r>
      <w:r w:rsidR="00DE441C">
        <w:rPr>
          <w:sz w:val="36"/>
        </w:rPr>
        <w:tab/>
      </w:r>
      <w:r w:rsidR="00DE441C">
        <w:rPr>
          <w:sz w:val="36"/>
        </w:rPr>
        <w:tab/>
      </w:r>
      <w:r w:rsidR="00DE441C">
        <w:rPr>
          <w:sz w:val="36"/>
        </w:rPr>
        <w:tab/>
      </w:r>
      <w:r w:rsidR="00DE441C" w:rsidRPr="00DE441C">
        <w:rPr>
          <w:b/>
          <w:i/>
          <w:sz w:val="36"/>
        </w:rPr>
        <w:t>3</w:t>
      </w:r>
    </w:p>
    <w:p w:rsidR="007E0648" w:rsidRPr="00BD14D5" w:rsidRDefault="007E0648" w:rsidP="007E0648">
      <w:pPr>
        <w:rPr>
          <w:sz w:val="36"/>
        </w:rPr>
      </w:pPr>
    </w:p>
    <w:p w:rsidR="007E0648" w:rsidRPr="0032721A" w:rsidRDefault="007E0648" w:rsidP="007E0648">
      <w:pPr>
        <w:rPr>
          <w:b/>
          <w:i/>
          <w:sz w:val="36"/>
        </w:rPr>
      </w:pPr>
      <w:r w:rsidRPr="00BD14D5">
        <w:rPr>
          <w:sz w:val="36"/>
        </w:rPr>
        <w:t>Key Theme Commentary</w:t>
      </w:r>
      <w:r w:rsidR="0032721A">
        <w:rPr>
          <w:sz w:val="36"/>
        </w:rPr>
        <w:tab/>
      </w:r>
      <w:r w:rsidR="0032721A">
        <w:rPr>
          <w:sz w:val="36"/>
        </w:rPr>
        <w:tab/>
      </w:r>
      <w:r w:rsidR="0032721A">
        <w:rPr>
          <w:sz w:val="36"/>
        </w:rPr>
        <w:tab/>
      </w:r>
      <w:r w:rsidR="0032721A">
        <w:rPr>
          <w:sz w:val="36"/>
        </w:rPr>
        <w:tab/>
      </w:r>
      <w:r w:rsidR="0032721A">
        <w:rPr>
          <w:sz w:val="36"/>
        </w:rPr>
        <w:tab/>
      </w:r>
      <w:r w:rsidR="0032721A">
        <w:rPr>
          <w:sz w:val="36"/>
        </w:rPr>
        <w:tab/>
      </w:r>
      <w:r w:rsidR="0032721A" w:rsidRPr="0032721A">
        <w:rPr>
          <w:b/>
          <w:i/>
          <w:sz w:val="36"/>
        </w:rPr>
        <w:t>7</w:t>
      </w:r>
    </w:p>
    <w:p w:rsidR="007E0648" w:rsidRPr="0032721A" w:rsidRDefault="007E0648" w:rsidP="007E0648">
      <w:pPr>
        <w:rPr>
          <w:b/>
          <w:i/>
          <w:sz w:val="36"/>
        </w:rPr>
      </w:pPr>
    </w:p>
    <w:p w:rsidR="007E0648" w:rsidRPr="0032721A" w:rsidRDefault="007E0648" w:rsidP="007E0648">
      <w:pPr>
        <w:rPr>
          <w:b/>
          <w:i/>
          <w:sz w:val="36"/>
        </w:rPr>
      </w:pPr>
      <w:r w:rsidRPr="00BD14D5">
        <w:rPr>
          <w:sz w:val="36"/>
        </w:rPr>
        <w:t>Image Commentary</w:t>
      </w:r>
      <w:r w:rsidR="0032721A">
        <w:rPr>
          <w:sz w:val="36"/>
        </w:rPr>
        <w:tab/>
      </w:r>
      <w:r w:rsidR="0032721A">
        <w:rPr>
          <w:sz w:val="36"/>
        </w:rPr>
        <w:tab/>
      </w:r>
      <w:r w:rsidR="0032721A">
        <w:rPr>
          <w:sz w:val="36"/>
        </w:rPr>
        <w:tab/>
      </w:r>
      <w:r w:rsidR="0032721A">
        <w:rPr>
          <w:sz w:val="36"/>
        </w:rPr>
        <w:tab/>
      </w:r>
      <w:r w:rsidR="0032721A">
        <w:rPr>
          <w:sz w:val="36"/>
        </w:rPr>
        <w:tab/>
      </w:r>
      <w:r w:rsidR="0032721A">
        <w:rPr>
          <w:sz w:val="36"/>
        </w:rPr>
        <w:tab/>
      </w:r>
      <w:r w:rsidR="0032721A">
        <w:rPr>
          <w:sz w:val="36"/>
        </w:rPr>
        <w:tab/>
      </w:r>
      <w:r w:rsidR="0032721A" w:rsidRPr="0032721A">
        <w:rPr>
          <w:b/>
          <w:i/>
          <w:sz w:val="36"/>
        </w:rPr>
        <w:t>10</w:t>
      </w:r>
    </w:p>
    <w:p w:rsidR="007E0648" w:rsidRPr="00BD14D5" w:rsidRDefault="007E0648" w:rsidP="007E0648">
      <w:pPr>
        <w:rPr>
          <w:sz w:val="36"/>
        </w:rPr>
      </w:pPr>
    </w:p>
    <w:p w:rsidR="007E0648" w:rsidRPr="00BD14D5" w:rsidRDefault="007E0648" w:rsidP="007E0648">
      <w:pPr>
        <w:rPr>
          <w:sz w:val="36"/>
        </w:rPr>
      </w:pPr>
      <w:r w:rsidRPr="00BD14D5">
        <w:rPr>
          <w:sz w:val="36"/>
        </w:rPr>
        <w:t>Primary Source Extract Commentary</w:t>
      </w:r>
      <w:r w:rsidR="0032721A">
        <w:rPr>
          <w:sz w:val="36"/>
        </w:rPr>
        <w:tab/>
      </w:r>
      <w:r w:rsidR="0032721A">
        <w:rPr>
          <w:sz w:val="36"/>
        </w:rPr>
        <w:tab/>
      </w:r>
      <w:r w:rsidR="0032721A">
        <w:rPr>
          <w:sz w:val="36"/>
        </w:rPr>
        <w:tab/>
      </w:r>
      <w:r w:rsidR="0032721A">
        <w:rPr>
          <w:sz w:val="36"/>
        </w:rPr>
        <w:tab/>
      </w:r>
      <w:r w:rsidR="0032721A" w:rsidRPr="0032721A">
        <w:rPr>
          <w:b/>
          <w:i/>
          <w:sz w:val="36"/>
        </w:rPr>
        <w:t>14</w:t>
      </w:r>
    </w:p>
    <w:p w:rsidR="007E0648" w:rsidRPr="00BD14D5" w:rsidRDefault="007E0648" w:rsidP="007E0648">
      <w:pPr>
        <w:rPr>
          <w:sz w:val="36"/>
        </w:rPr>
      </w:pPr>
    </w:p>
    <w:p w:rsidR="007E0648" w:rsidRPr="00BD14D5" w:rsidRDefault="007E0648" w:rsidP="007E0648">
      <w:pPr>
        <w:rPr>
          <w:sz w:val="36"/>
        </w:rPr>
      </w:pPr>
    </w:p>
    <w:p w:rsidR="007E0648" w:rsidRPr="00BD14D5" w:rsidRDefault="007E0648" w:rsidP="007E0648">
      <w:pPr>
        <w:rPr>
          <w:sz w:val="36"/>
        </w:rPr>
      </w:pPr>
    </w:p>
    <w:p w:rsidR="007E0648" w:rsidRDefault="007E0648" w:rsidP="007E0648">
      <w:pPr>
        <w:rPr>
          <w:i/>
          <w:sz w:val="28"/>
          <w:u w:val="single"/>
        </w:rPr>
      </w:pPr>
      <w:r w:rsidRPr="00BD14D5">
        <w:rPr>
          <w:sz w:val="36"/>
        </w:rPr>
        <w:t>Bibliography</w:t>
      </w:r>
      <w:r w:rsidR="0032721A">
        <w:rPr>
          <w:sz w:val="36"/>
        </w:rPr>
        <w:tab/>
      </w:r>
      <w:r w:rsidR="0032721A">
        <w:rPr>
          <w:sz w:val="36"/>
        </w:rPr>
        <w:tab/>
      </w:r>
      <w:r w:rsidR="0032721A">
        <w:rPr>
          <w:sz w:val="36"/>
        </w:rPr>
        <w:tab/>
      </w:r>
      <w:r w:rsidR="0032721A">
        <w:rPr>
          <w:sz w:val="36"/>
        </w:rPr>
        <w:tab/>
      </w:r>
      <w:r w:rsidR="0032721A">
        <w:rPr>
          <w:sz w:val="36"/>
        </w:rPr>
        <w:tab/>
      </w:r>
      <w:r w:rsidR="0032721A">
        <w:rPr>
          <w:sz w:val="36"/>
        </w:rPr>
        <w:tab/>
      </w:r>
      <w:r w:rsidR="0032721A">
        <w:rPr>
          <w:sz w:val="36"/>
        </w:rPr>
        <w:tab/>
      </w:r>
      <w:r w:rsidR="0032721A">
        <w:rPr>
          <w:sz w:val="36"/>
        </w:rPr>
        <w:tab/>
      </w:r>
      <w:r w:rsidR="0032721A">
        <w:rPr>
          <w:sz w:val="36"/>
        </w:rPr>
        <w:tab/>
      </w:r>
      <w:r w:rsidR="0032721A" w:rsidRPr="0032721A">
        <w:rPr>
          <w:b/>
          <w:i/>
          <w:sz w:val="36"/>
        </w:rPr>
        <w:t>19</w:t>
      </w:r>
      <w:r>
        <w:rPr>
          <w:i/>
          <w:sz w:val="28"/>
          <w:u w:val="single"/>
        </w:rPr>
        <w:br w:type="page"/>
      </w:r>
    </w:p>
    <w:p w:rsidR="00563BA3" w:rsidRPr="008247EC" w:rsidRDefault="00563BA3" w:rsidP="008247EC">
      <w:pPr>
        <w:rPr>
          <w:i/>
          <w:sz w:val="28"/>
          <w:u w:val="single"/>
        </w:rPr>
      </w:pPr>
    </w:p>
    <w:p w:rsidR="00730248" w:rsidRPr="00C66329" w:rsidRDefault="00563BA3" w:rsidP="00C66329">
      <w:pPr>
        <w:pStyle w:val="IntenseQuote"/>
        <w:rPr>
          <w:rStyle w:val="IntenseEmphasis"/>
          <w:i/>
          <w:sz w:val="28"/>
          <w:u w:val="single"/>
        </w:rPr>
      </w:pPr>
      <w:r w:rsidRPr="00C66329">
        <w:rPr>
          <w:rStyle w:val="IntenseEmphasis"/>
          <w:i/>
          <w:sz w:val="28"/>
          <w:u w:val="single"/>
        </w:rPr>
        <w:t>Secondary Article Commentary</w:t>
      </w:r>
    </w:p>
    <w:p w:rsidR="00563BA3" w:rsidRDefault="00563BA3" w:rsidP="00066F75">
      <w:pPr>
        <w:jc w:val="center"/>
        <w:rPr>
          <w:i/>
          <w:sz w:val="28"/>
          <w:u w:val="single"/>
        </w:rPr>
      </w:pPr>
    </w:p>
    <w:p w:rsidR="00563BA3" w:rsidRDefault="00563BA3" w:rsidP="00563BA3">
      <w:pPr>
        <w:rPr>
          <w:b/>
          <w:sz w:val="28"/>
        </w:rPr>
      </w:pPr>
      <w:r w:rsidRPr="00563BA3">
        <w:rPr>
          <w:b/>
          <w:sz w:val="28"/>
        </w:rPr>
        <w:t>J. Casey, Afterlives: A Guide to Heaven, Hell and Purgatory (Oxford: Oxford University Press, 2009), Chapter 9 – ‘Rome’s Happiest Inspiration?’</w:t>
      </w:r>
    </w:p>
    <w:p w:rsidR="00A1003F" w:rsidRDefault="00A1003F" w:rsidP="00563BA3">
      <w:pPr>
        <w:rPr>
          <w:sz w:val="24"/>
        </w:rPr>
      </w:pPr>
    </w:p>
    <w:p w:rsidR="00A1003F" w:rsidRDefault="00A1003F" w:rsidP="00563BA3">
      <w:pPr>
        <w:rPr>
          <w:sz w:val="24"/>
        </w:rPr>
      </w:pPr>
    </w:p>
    <w:p w:rsidR="002B3284" w:rsidRDefault="00C11561" w:rsidP="00B10B5A">
      <w:pPr>
        <w:spacing w:line="360" w:lineRule="auto"/>
        <w:rPr>
          <w:sz w:val="24"/>
        </w:rPr>
      </w:pPr>
      <w:r>
        <w:rPr>
          <w:sz w:val="24"/>
        </w:rPr>
        <w:t>The secondary extract that will be discussed throughout this</w:t>
      </w:r>
      <w:r w:rsidR="00A1003F">
        <w:rPr>
          <w:sz w:val="24"/>
        </w:rPr>
        <w:t xml:space="preserve"> first</w:t>
      </w:r>
      <w:r>
        <w:rPr>
          <w:sz w:val="24"/>
        </w:rPr>
        <w:t xml:space="preserve"> section of the portfolio is chapter nine of </w:t>
      </w:r>
      <w:r>
        <w:rPr>
          <w:i/>
          <w:sz w:val="24"/>
        </w:rPr>
        <w:t>Afterlives: A Guide to Heaven, Hell and Purgatory</w:t>
      </w:r>
      <w:r>
        <w:rPr>
          <w:sz w:val="24"/>
        </w:rPr>
        <w:t>, written by John Casey.</w:t>
      </w:r>
      <w:r>
        <w:rPr>
          <w:rStyle w:val="FootnoteReference"/>
          <w:sz w:val="24"/>
        </w:rPr>
        <w:footnoteReference w:id="1"/>
      </w:r>
      <w:r w:rsidR="008068FF">
        <w:rPr>
          <w:sz w:val="24"/>
        </w:rPr>
        <w:t xml:space="preserve"> It should first be highlighted that the author is a renowned writer who also references </w:t>
      </w:r>
      <w:r w:rsidR="005F0636">
        <w:rPr>
          <w:sz w:val="24"/>
        </w:rPr>
        <w:t xml:space="preserve">the </w:t>
      </w:r>
      <w:r w:rsidR="008068FF">
        <w:rPr>
          <w:sz w:val="24"/>
        </w:rPr>
        <w:t>sources</w:t>
      </w:r>
      <w:r w:rsidR="005F0636">
        <w:rPr>
          <w:sz w:val="24"/>
        </w:rPr>
        <w:t xml:space="preserve"> they used</w:t>
      </w:r>
      <w:r w:rsidR="008068FF">
        <w:rPr>
          <w:sz w:val="24"/>
        </w:rPr>
        <w:t>, so could initially be considered a reliable source of information</w:t>
      </w:r>
      <w:r w:rsidR="005F0636">
        <w:rPr>
          <w:sz w:val="24"/>
        </w:rPr>
        <w:t xml:space="preserve"> as it could be concluded there is at least some evidence for </w:t>
      </w:r>
      <w:r w:rsidR="002B3284">
        <w:rPr>
          <w:sz w:val="24"/>
        </w:rPr>
        <w:t>the arguments being put forward</w:t>
      </w:r>
      <w:r w:rsidR="005F0636">
        <w:rPr>
          <w:sz w:val="24"/>
        </w:rPr>
        <w:t xml:space="preserve"> throughout this chapter</w:t>
      </w:r>
      <w:r w:rsidR="008068FF">
        <w:rPr>
          <w:sz w:val="24"/>
        </w:rPr>
        <w:t>.</w:t>
      </w:r>
      <w:r w:rsidR="005F0636">
        <w:rPr>
          <w:sz w:val="24"/>
        </w:rPr>
        <w:t xml:space="preserve"> This article is very vast and covers a wide range of areas, but this commentary will highlight some of the key elements </w:t>
      </w:r>
      <w:r w:rsidR="002B3284">
        <w:rPr>
          <w:sz w:val="24"/>
        </w:rPr>
        <w:t xml:space="preserve">and themes that are brought up throughout the piece. Additional primary and secondary evidence will also be brought in and discussed where appropriate. </w:t>
      </w:r>
    </w:p>
    <w:p w:rsidR="002B3284" w:rsidRDefault="002B3284" w:rsidP="00B10B5A">
      <w:pPr>
        <w:spacing w:line="360" w:lineRule="auto"/>
        <w:rPr>
          <w:sz w:val="24"/>
        </w:rPr>
      </w:pPr>
    </w:p>
    <w:p w:rsidR="002B3284" w:rsidRDefault="002B3284" w:rsidP="00B10B5A">
      <w:pPr>
        <w:spacing w:line="360" w:lineRule="auto"/>
        <w:rPr>
          <w:sz w:val="24"/>
        </w:rPr>
      </w:pPr>
      <w:r>
        <w:rPr>
          <w:sz w:val="24"/>
        </w:rPr>
        <w:t>To briefly summarise the overall argument of the article</w:t>
      </w:r>
      <w:r w:rsidR="00833D74">
        <w:rPr>
          <w:sz w:val="24"/>
        </w:rPr>
        <w:t xml:space="preserve"> for the purposes of better understanding this commentary</w:t>
      </w:r>
      <w:r>
        <w:rPr>
          <w:sz w:val="24"/>
        </w:rPr>
        <w:t xml:space="preserve">, </w:t>
      </w:r>
      <w:r w:rsidR="002337F8">
        <w:rPr>
          <w:sz w:val="24"/>
        </w:rPr>
        <w:t>this article primarily discusses the medieval</w:t>
      </w:r>
      <w:r w:rsidR="00622B68">
        <w:rPr>
          <w:sz w:val="24"/>
        </w:rPr>
        <w:t xml:space="preserve"> concept of purgatory, while also touching on heaven and hell, </w:t>
      </w:r>
      <w:r w:rsidR="00040C6A">
        <w:rPr>
          <w:sz w:val="24"/>
        </w:rPr>
        <w:t xml:space="preserve">while primarily comparing and discussing </w:t>
      </w:r>
      <w:r w:rsidR="003B666B">
        <w:rPr>
          <w:sz w:val="24"/>
        </w:rPr>
        <w:t>the differences between the views of Catholics and Protestants on these matters during the reformation period.</w:t>
      </w:r>
      <w:r w:rsidR="002716A0">
        <w:rPr>
          <w:sz w:val="24"/>
        </w:rPr>
        <w:t xml:space="preserve"> The overall argument the author is trying to put across</w:t>
      </w:r>
      <w:r w:rsidR="00316C73">
        <w:rPr>
          <w:sz w:val="24"/>
        </w:rPr>
        <w:t xml:space="preserve"> in this particular chapter</w:t>
      </w:r>
      <w:r w:rsidR="002716A0">
        <w:rPr>
          <w:sz w:val="24"/>
        </w:rPr>
        <w:t xml:space="preserve"> is that the concept of purgatory </w:t>
      </w:r>
      <w:r w:rsidR="00803BE3">
        <w:rPr>
          <w:sz w:val="24"/>
        </w:rPr>
        <w:t>was one of the greatest influences to come out of Rome and the Catholic church, which is a point often protested by Protestants who often disregarded this while claiming the concept of purgatory had very little scriptural warrant.</w:t>
      </w:r>
      <w:r w:rsidR="00803BE3">
        <w:rPr>
          <w:rStyle w:val="FootnoteReference"/>
          <w:sz w:val="24"/>
        </w:rPr>
        <w:footnoteReference w:id="2"/>
      </w:r>
    </w:p>
    <w:p w:rsidR="00F26257" w:rsidRDefault="00F26257" w:rsidP="00B10B5A">
      <w:pPr>
        <w:spacing w:line="360" w:lineRule="auto"/>
        <w:rPr>
          <w:sz w:val="24"/>
        </w:rPr>
      </w:pPr>
    </w:p>
    <w:p w:rsidR="00F26257" w:rsidRDefault="00F26257" w:rsidP="00B10B5A">
      <w:pPr>
        <w:spacing w:line="360" w:lineRule="auto"/>
        <w:rPr>
          <w:sz w:val="24"/>
        </w:rPr>
      </w:pPr>
      <w:r>
        <w:rPr>
          <w:sz w:val="24"/>
        </w:rPr>
        <w:t xml:space="preserve">At the very beginning of the article, the writer begins by explaining the Catholic idealism behind purgatory and the issues that the Protestants had with some of these ideas. These include the fact that the concept would greatly increase the power of the Catholic </w:t>
      </w:r>
      <w:proofErr w:type="gramStart"/>
      <w:r>
        <w:rPr>
          <w:sz w:val="24"/>
        </w:rPr>
        <w:t>church</w:t>
      </w:r>
      <w:proofErr w:type="gramEnd"/>
      <w:r>
        <w:rPr>
          <w:sz w:val="24"/>
        </w:rPr>
        <w:t xml:space="preserve"> on a spiritual level, as well as </w:t>
      </w:r>
      <w:r w:rsidR="0051594B">
        <w:rPr>
          <w:sz w:val="24"/>
        </w:rPr>
        <w:t>Protestant claims that the Catholics may use this ideology to their own advantage and opened up the potential for an abuse of power. This is a point that can be seen reinforced in some modern scholarship on the topic, with some claiming that pushing this idea of purgatory on the common folk while also stressing that salvation is possible if you act in accordance with the church and with God could have led to a mass panic of people worrying about the afterlives of them and their families feeling the need to make vast donations to the church in an attempt to make peace with God.</w:t>
      </w:r>
      <w:r w:rsidR="00F301B0">
        <w:rPr>
          <w:rStyle w:val="FootnoteReference"/>
          <w:sz w:val="24"/>
        </w:rPr>
        <w:footnoteReference w:id="3"/>
      </w:r>
      <w:r w:rsidR="0051594B">
        <w:rPr>
          <w:sz w:val="24"/>
        </w:rPr>
        <w:t xml:space="preserve"> This does make sense from a modern </w:t>
      </w:r>
      <w:r w:rsidR="00F27D4A">
        <w:rPr>
          <w:sz w:val="24"/>
        </w:rPr>
        <w:t>historian’s</w:t>
      </w:r>
      <w:r w:rsidR="0051594B">
        <w:rPr>
          <w:sz w:val="24"/>
        </w:rPr>
        <w:t xml:space="preserve"> point of view, knowing what we now know about some of the tactics used by the Catholic </w:t>
      </w:r>
      <w:proofErr w:type="gramStart"/>
      <w:r w:rsidR="0051594B">
        <w:rPr>
          <w:sz w:val="24"/>
        </w:rPr>
        <w:t>church</w:t>
      </w:r>
      <w:proofErr w:type="gramEnd"/>
      <w:r w:rsidR="0051594B">
        <w:rPr>
          <w:sz w:val="24"/>
        </w:rPr>
        <w:t xml:space="preserve"> for raising money during the middle ages.</w:t>
      </w:r>
      <w:r w:rsidR="00F301B0">
        <w:rPr>
          <w:sz w:val="24"/>
        </w:rPr>
        <w:t xml:space="preserve"> That being said, it is also worth noting here that the article later highlights that the Council of Trent (1545 – 1563) would acknowledge that “there is a purgatory”, which is certainly interesting based upon the timeline of that statement and the views being put forward by Protestants regarding this.</w:t>
      </w:r>
    </w:p>
    <w:p w:rsidR="002C4E4B" w:rsidRDefault="002C4E4B" w:rsidP="00B10B5A">
      <w:pPr>
        <w:spacing w:line="360" w:lineRule="auto"/>
        <w:rPr>
          <w:sz w:val="24"/>
        </w:rPr>
      </w:pPr>
    </w:p>
    <w:p w:rsidR="002C4E4B" w:rsidRDefault="002C4E4B" w:rsidP="00B10B5A">
      <w:pPr>
        <w:spacing w:line="360" w:lineRule="auto"/>
        <w:rPr>
          <w:sz w:val="24"/>
        </w:rPr>
      </w:pPr>
      <w:r>
        <w:rPr>
          <w:sz w:val="24"/>
        </w:rPr>
        <w:t>In regard to the protestant claims of purgatory not having a basis in scripture, this is indeed true. There is very little surviving evidence of this concept within tradition itself.</w:t>
      </w:r>
      <w:r>
        <w:rPr>
          <w:rStyle w:val="FootnoteReference"/>
          <w:sz w:val="24"/>
        </w:rPr>
        <w:footnoteReference w:id="4"/>
      </w:r>
      <w:r>
        <w:rPr>
          <w:sz w:val="24"/>
        </w:rPr>
        <w:t xml:space="preserve"> However, it has also been noted by scholars that there are hints to a version of purgatory in some form even in the bible, although not directly stated and named as such. The writer also takes issue with some of the texts being brought forward by the </w:t>
      </w:r>
      <w:proofErr w:type="gramStart"/>
      <w:r>
        <w:rPr>
          <w:sz w:val="24"/>
        </w:rPr>
        <w:t>protestants</w:t>
      </w:r>
      <w:proofErr w:type="gramEnd"/>
      <w:r>
        <w:rPr>
          <w:sz w:val="24"/>
        </w:rPr>
        <w:t>, claiming that they are often “hard to interpret”.</w:t>
      </w:r>
      <w:r w:rsidR="00473D5E">
        <w:rPr>
          <w:rStyle w:val="FootnoteReference"/>
          <w:sz w:val="24"/>
        </w:rPr>
        <w:footnoteReference w:id="5"/>
      </w:r>
      <w:r>
        <w:rPr>
          <w:sz w:val="24"/>
        </w:rPr>
        <w:t xml:space="preserve">  This critical engagement being shown is a useful point to consider</w:t>
      </w:r>
    </w:p>
    <w:p w:rsidR="00F27D4A" w:rsidRDefault="00F27D4A" w:rsidP="00B10B5A">
      <w:pPr>
        <w:spacing w:line="360" w:lineRule="auto"/>
        <w:rPr>
          <w:sz w:val="24"/>
        </w:rPr>
      </w:pPr>
    </w:p>
    <w:p w:rsidR="00F27D4A" w:rsidRDefault="00F27D4A" w:rsidP="00B10B5A">
      <w:pPr>
        <w:spacing w:line="360" w:lineRule="auto"/>
        <w:rPr>
          <w:sz w:val="24"/>
        </w:rPr>
      </w:pPr>
      <w:r>
        <w:rPr>
          <w:sz w:val="24"/>
        </w:rPr>
        <w:lastRenderedPageBreak/>
        <w:t>The writer of the article then moves on to discuss some</w:t>
      </w:r>
      <w:r w:rsidR="002C4E4B">
        <w:rPr>
          <w:sz w:val="24"/>
        </w:rPr>
        <w:t xml:space="preserve"> more</w:t>
      </w:r>
      <w:r>
        <w:rPr>
          <w:sz w:val="24"/>
        </w:rPr>
        <w:t xml:space="preserve"> of the </w:t>
      </w:r>
      <w:r w:rsidR="002C4E4B">
        <w:rPr>
          <w:sz w:val="24"/>
        </w:rPr>
        <w:t xml:space="preserve">additional </w:t>
      </w:r>
      <w:r>
        <w:rPr>
          <w:sz w:val="24"/>
        </w:rPr>
        <w:t>issues he has with the Protestant arguments that are being put forward. It is at this stage of the article that it becomes very clear the author is leaning far more towards the pro-Catholic argument, however he is making all ideas sensibly and reinforcing ideas with evidence which makes this a credible secondary source, whether or not one agrees with the argument the writer is making.</w:t>
      </w:r>
      <w:r w:rsidR="00A43E9B">
        <w:rPr>
          <w:sz w:val="24"/>
        </w:rPr>
        <w:t xml:space="preserve"> He then once again brings up the Protestant belief that the concept of purgatory allowed for financial gain for the Catholic </w:t>
      </w:r>
      <w:proofErr w:type="gramStart"/>
      <w:r w:rsidR="00A43E9B">
        <w:rPr>
          <w:sz w:val="24"/>
        </w:rPr>
        <w:t>church</w:t>
      </w:r>
      <w:proofErr w:type="gramEnd"/>
      <w:r w:rsidR="00A43E9B">
        <w:rPr>
          <w:sz w:val="24"/>
        </w:rPr>
        <w:t xml:space="preserve"> and reinforces this with evidence, which demonstrates this is an opinionated but not entirely unfair or biased writer.</w:t>
      </w:r>
    </w:p>
    <w:p w:rsidR="002A27A8" w:rsidRDefault="002A27A8" w:rsidP="00B10B5A">
      <w:pPr>
        <w:spacing w:line="360" w:lineRule="auto"/>
        <w:rPr>
          <w:sz w:val="24"/>
        </w:rPr>
      </w:pPr>
    </w:p>
    <w:p w:rsidR="002A27A8" w:rsidRDefault="002A27A8" w:rsidP="00B10B5A">
      <w:pPr>
        <w:spacing w:line="360" w:lineRule="auto"/>
        <w:rPr>
          <w:sz w:val="24"/>
        </w:rPr>
      </w:pPr>
      <w:r>
        <w:rPr>
          <w:sz w:val="24"/>
        </w:rPr>
        <w:t xml:space="preserve">The article then moves on to accuse the Protestants of directly attacking purgatory, and attacking what was most dear to medieval piety in the process of doing so. This is a bold statement but it would be fair to say is not entirely inaccurate. </w:t>
      </w:r>
      <w:r w:rsidR="00EB6BC9">
        <w:rPr>
          <w:sz w:val="24"/>
        </w:rPr>
        <w:t>By slandering a concept that had gathered so much ground within the Catholic church before so suddenly breaking away from it in the way that the Protestants did</w:t>
      </w:r>
      <w:r w:rsidR="009F5886">
        <w:rPr>
          <w:sz w:val="24"/>
        </w:rPr>
        <w:t>, they were not only insulting a key element of a belief that they, for the most part, share in regards to these concepts but was criticising something that meant something to so many people within medieval society and this could have the potential of pushing people away from their own cause. In this early period of the reformation the country was divided completely by Catholic loyalists and Protestant loyalists, not to mention the feuding Tudor siblings who were trying to seize control of the throne as well as the way the country should be run on a religious basis.</w:t>
      </w:r>
      <w:r w:rsidR="00D35211">
        <w:rPr>
          <w:rStyle w:val="FootnoteReference"/>
          <w:sz w:val="24"/>
        </w:rPr>
        <w:footnoteReference w:id="6"/>
      </w:r>
      <w:r w:rsidR="009F5886">
        <w:rPr>
          <w:sz w:val="24"/>
        </w:rPr>
        <w:t xml:space="preserve"> </w:t>
      </w:r>
      <w:r w:rsidR="00D35211">
        <w:rPr>
          <w:sz w:val="24"/>
        </w:rPr>
        <w:t xml:space="preserve">The English throne would change hands several times during the mid-sixteenth century, and every time the throne changed hands the entire country was thrown in to disrepute as the public was instructed they had to simply leave behind their old religion and way of doing things, only to replace it with a new one and threatened with death if they chose not to do so. </w:t>
      </w:r>
      <w:r w:rsidR="000409DC">
        <w:rPr>
          <w:sz w:val="24"/>
        </w:rPr>
        <w:t xml:space="preserve">These are not simply blind claims, but claims that are reinforced by primary evidence as well as secondary scholarship. </w:t>
      </w:r>
      <w:r w:rsidR="00764CA6">
        <w:rPr>
          <w:sz w:val="24"/>
        </w:rPr>
        <w:t>It is for these reasons that the Protestants were playing a very dangerous game when making attacks such as these as it could have quite easily alienated many of the folk who they may have hoped to convert to Protestantism at a time where it was all still very new and they likely needed all the support they could get.</w:t>
      </w:r>
    </w:p>
    <w:p w:rsidR="00806066" w:rsidRDefault="00806066" w:rsidP="00B10B5A">
      <w:pPr>
        <w:spacing w:line="360" w:lineRule="auto"/>
        <w:rPr>
          <w:sz w:val="24"/>
        </w:rPr>
      </w:pPr>
    </w:p>
    <w:p w:rsidR="00806066" w:rsidRDefault="00806066" w:rsidP="00B10B5A">
      <w:pPr>
        <w:spacing w:line="360" w:lineRule="auto"/>
        <w:rPr>
          <w:sz w:val="24"/>
        </w:rPr>
      </w:pPr>
      <w:r>
        <w:rPr>
          <w:sz w:val="24"/>
        </w:rPr>
        <w:t>It is at this stage that the author begins to bring all these ideas together and link everything back to the original argument that he is trying to put forward; that purgatory is indeed one of the greatest influences from Rome. In concluding, the article once again demonstrates fairness as it makes valid points for the Protestant argument even while concluding its own, in this case highlighting that the concept of purgatory is hardly supported by any form of tradition and was responsible for expansions in clerical power that would not otherwise have happened. These are all correct points that can be reinforced when one looks in to modern scholarship on these arguments, which of course still exist today.</w:t>
      </w:r>
      <w:r>
        <w:rPr>
          <w:rStyle w:val="FootnoteReference"/>
          <w:sz w:val="24"/>
        </w:rPr>
        <w:footnoteReference w:id="7"/>
      </w:r>
      <w:r>
        <w:rPr>
          <w:sz w:val="24"/>
        </w:rPr>
        <w:t xml:space="preserve"> However, after considering all the facts made available to the au</w:t>
      </w:r>
      <w:r w:rsidR="000409DC">
        <w:rPr>
          <w:sz w:val="24"/>
        </w:rPr>
        <w:t xml:space="preserve">thor, they chose to side with the argument claiming that purgatory was indeed one of Rome’s greatest influences. </w:t>
      </w:r>
    </w:p>
    <w:p w:rsidR="000409DC" w:rsidRDefault="000409DC" w:rsidP="00B10B5A">
      <w:pPr>
        <w:spacing w:line="360" w:lineRule="auto"/>
        <w:rPr>
          <w:sz w:val="24"/>
        </w:rPr>
      </w:pPr>
    </w:p>
    <w:p w:rsidR="002B262C" w:rsidRDefault="002B262C" w:rsidP="00B10B5A">
      <w:pPr>
        <w:spacing w:line="360" w:lineRule="auto"/>
        <w:rPr>
          <w:sz w:val="24"/>
        </w:rPr>
      </w:pPr>
    </w:p>
    <w:p w:rsidR="000409DC" w:rsidRDefault="000409DC" w:rsidP="00B10B5A">
      <w:pPr>
        <w:spacing w:line="360" w:lineRule="auto"/>
        <w:rPr>
          <w:sz w:val="24"/>
        </w:rPr>
      </w:pPr>
      <w:r>
        <w:rPr>
          <w:sz w:val="24"/>
        </w:rPr>
        <w:t>To conclude this commentary, the article chosen to discuss in this section of the portfolio was vast and covered a wide range of</w:t>
      </w:r>
      <w:r w:rsidR="00AA1B74">
        <w:rPr>
          <w:sz w:val="24"/>
        </w:rPr>
        <w:t xml:space="preserve"> topics but is an extremely useful resource for gaining an understanding of both sides of this argument and being able to be directed to additional primary source materials from there. This is useful for a historian trying to understand more about medieval views on death and dying as it is a resource that allows a reader to analyse both sides for themselves and then make an informed response.</w:t>
      </w:r>
      <w:r w:rsidR="00316C73">
        <w:rPr>
          <w:sz w:val="24"/>
        </w:rPr>
        <w:t xml:space="preserve"> When one continues to read more of this work, it can also be seen that these arguments are further built upon and referenced in other chapters.</w:t>
      </w:r>
    </w:p>
    <w:p w:rsidR="00F301B0" w:rsidRDefault="00F301B0" w:rsidP="00B10B5A">
      <w:pPr>
        <w:spacing w:line="360" w:lineRule="auto"/>
        <w:rPr>
          <w:sz w:val="24"/>
        </w:rPr>
      </w:pPr>
    </w:p>
    <w:p w:rsidR="00F301B0" w:rsidRDefault="00F301B0" w:rsidP="00B10B5A">
      <w:pPr>
        <w:spacing w:line="360" w:lineRule="auto"/>
        <w:rPr>
          <w:sz w:val="24"/>
        </w:rPr>
      </w:pPr>
    </w:p>
    <w:p w:rsidR="008068FF" w:rsidRDefault="008068FF" w:rsidP="00563BA3">
      <w:pPr>
        <w:rPr>
          <w:sz w:val="24"/>
        </w:rPr>
      </w:pPr>
    </w:p>
    <w:p w:rsidR="008068FF" w:rsidRPr="00C11561" w:rsidRDefault="008068FF" w:rsidP="00563BA3">
      <w:pPr>
        <w:rPr>
          <w:sz w:val="24"/>
        </w:rPr>
      </w:pPr>
    </w:p>
    <w:p w:rsidR="0032721A" w:rsidRDefault="0032721A">
      <w:pPr>
        <w:rPr>
          <w:b/>
          <w:sz w:val="28"/>
        </w:rPr>
      </w:pPr>
    </w:p>
    <w:p w:rsidR="00C66329" w:rsidRDefault="00C66329" w:rsidP="00563BA3">
      <w:pPr>
        <w:rPr>
          <w:b/>
          <w:sz w:val="28"/>
        </w:rPr>
      </w:pPr>
    </w:p>
    <w:p w:rsidR="00C66329" w:rsidRPr="00C66329" w:rsidRDefault="00C66329" w:rsidP="00C66329">
      <w:pPr>
        <w:pStyle w:val="IntenseQuote"/>
        <w:rPr>
          <w:rStyle w:val="IntenseEmphasis"/>
          <w:i/>
          <w:sz w:val="28"/>
          <w:u w:val="single"/>
        </w:rPr>
      </w:pPr>
      <w:r>
        <w:rPr>
          <w:rStyle w:val="IntenseEmphasis"/>
          <w:i/>
          <w:sz w:val="28"/>
          <w:u w:val="single"/>
        </w:rPr>
        <w:t>Key Theme</w:t>
      </w:r>
      <w:r w:rsidRPr="00C66329">
        <w:rPr>
          <w:rStyle w:val="IntenseEmphasis"/>
          <w:i/>
          <w:sz w:val="28"/>
          <w:u w:val="single"/>
        </w:rPr>
        <w:t xml:space="preserve"> Commentary</w:t>
      </w:r>
    </w:p>
    <w:p w:rsidR="00C66329" w:rsidRDefault="00C66329" w:rsidP="00C66329">
      <w:pPr>
        <w:jc w:val="center"/>
        <w:rPr>
          <w:i/>
          <w:sz w:val="28"/>
          <w:u w:val="single"/>
        </w:rPr>
      </w:pPr>
    </w:p>
    <w:p w:rsidR="00C66329" w:rsidRPr="00563BA3" w:rsidRDefault="00C66329" w:rsidP="00C66329">
      <w:pPr>
        <w:rPr>
          <w:b/>
          <w:sz w:val="28"/>
        </w:rPr>
      </w:pPr>
      <w:r>
        <w:rPr>
          <w:b/>
          <w:sz w:val="28"/>
        </w:rPr>
        <w:t xml:space="preserve">Resurrection </w:t>
      </w:r>
    </w:p>
    <w:p w:rsidR="00C66329" w:rsidRDefault="00C66329" w:rsidP="00563BA3">
      <w:pPr>
        <w:rPr>
          <w:b/>
          <w:sz w:val="28"/>
        </w:rPr>
      </w:pPr>
    </w:p>
    <w:p w:rsidR="00A62B98" w:rsidRDefault="00E626F4" w:rsidP="004C4A47">
      <w:pPr>
        <w:spacing w:line="360" w:lineRule="auto"/>
        <w:rPr>
          <w:sz w:val="24"/>
        </w:rPr>
      </w:pPr>
      <w:r>
        <w:rPr>
          <w:sz w:val="24"/>
        </w:rPr>
        <w:t>This section of the portfolio will focus on the key theme of resurrection.</w:t>
      </w:r>
      <w:r w:rsidR="00360D78">
        <w:rPr>
          <w:sz w:val="24"/>
        </w:rPr>
        <w:t xml:space="preserve"> In terms of its medieval context, resurrection relates to </w:t>
      </w:r>
      <w:r w:rsidR="00071F2E">
        <w:rPr>
          <w:sz w:val="24"/>
        </w:rPr>
        <w:t>the resurrection of Jesus as well as the resurrection of the dead, the latter of which will be focused on throughout this commentary.</w:t>
      </w:r>
    </w:p>
    <w:p w:rsidR="00A62B98" w:rsidRDefault="00A62B98" w:rsidP="004C4A47">
      <w:pPr>
        <w:spacing w:line="360" w:lineRule="auto"/>
        <w:rPr>
          <w:sz w:val="24"/>
        </w:rPr>
      </w:pPr>
    </w:p>
    <w:p w:rsidR="00A62B98" w:rsidRDefault="00A62B98" w:rsidP="004C4A47">
      <w:pPr>
        <w:spacing w:line="360" w:lineRule="auto"/>
        <w:rPr>
          <w:sz w:val="24"/>
        </w:rPr>
      </w:pPr>
    </w:p>
    <w:p w:rsidR="00A62B98" w:rsidRDefault="00A62B98" w:rsidP="004C4A47">
      <w:pPr>
        <w:spacing w:line="360" w:lineRule="auto"/>
        <w:rPr>
          <w:sz w:val="24"/>
        </w:rPr>
      </w:pPr>
      <w:r>
        <w:rPr>
          <w:sz w:val="24"/>
        </w:rPr>
        <w:t>Before looking more closely at the resurrection of the dead, it is first important to gain an understanding of the origins of this idea and how it relates to the original story of resurrection in the Christian faith, the resurrection of Jesus.</w:t>
      </w:r>
      <w:r w:rsidR="003306A2">
        <w:rPr>
          <w:sz w:val="24"/>
        </w:rPr>
        <w:t xml:space="preserve"> As many modern day Christians would be aware, Christian belief is that Jesus was crucified and th</w:t>
      </w:r>
      <w:r w:rsidR="00E53ADB">
        <w:rPr>
          <w:sz w:val="24"/>
        </w:rPr>
        <w:t>en rose again three days later. This idea of rising from the dead is something that would become more popular as centuries went on, reaching a height in popularity during the late middle ages where many writers and artists would incorporate these ideas in to their own work based on the popularity.</w:t>
      </w:r>
    </w:p>
    <w:p w:rsidR="00A62B98" w:rsidRDefault="00A62B98" w:rsidP="00360D78">
      <w:pPr>
        <w:spacing w:line="360" w:lineRule="auto"/>
        <w:rPr>
          <w:sz w:val="24"/>
        </w:rPr>
      </w:pPr>
    </w:p>
    <w:p w:rsidR="00A62B98" w:rsidRDefault="00A62B98" w:rsidP="00360D78">
      <w:pPr>
        <w:spacing w:line="360" w:lineRule="auto"/>
        <w:rPr>
          <w:sz w:val="24"/>
        </w:rPr>
      </w:pPr>
      <w:r>
        <w:rPr>
          <w:sz w:val="24"/>
        </w:rPr>
        <w:t>Once an understanding</w:t>
      </w:r>
      <w:r w:rsidR="00576EDE">
        <w:rPr>
          <w:sz w:val="24"/>
        </w:rPr>
        <w:t xml:space="preserve"> of the original resurrection of Jesus has been achieved, one can then move on to look at the resurrection of the dead and the links between the two.</w:t>
      </w:r>
      <w:r w:rsidR="00ED65FC">
        <w:rPr>
          <w:sz w:val="24"/>
        </w:rPr>
        <w:t xml:space="preserve"> The resurrection of the dead involved, much like the resurrection of Jesus, the concept of a seemingly dead body rising once again. The resurrection of the dead, however, applies to all of us; we will all one day resurrect from the dead on the final day of judgement. Many modern writers, such as Patterson, have drawn links between these two stories of resurrection and made claim that the second was a direct result of the first. Aside from the </w:t>
      </w:r>
      <w:r w:rsidR="00ED65FC">
        <w:rPr>
          <w:sz w:val="24"/>
        </w:rPr>
        <w:lastRenderedPageBreak/>
        <w:t>obvious similarity of a dead body coming to life, Patterson also highlights several other shared factors, such as the emphasis on the fact that it is a true, living body rising and not simply a spirit or apparition.</w:t>
      </w:r>
      <w:r w:rsidR="001662D9">
        <w:rPr>
          <w:sz w:val="24"/>
        </w:rPr>
        <w:t xml:space="preserve"> References to this day of judgement and the dead being resurrected can be found in contemporary accounts that date as far back as the Book of Revelation.</w:t>
      </w:r>
      <w:r w:rsidR="00CF3F9C">
        <w:rPr>
          <w:rStyle w:val="FootnoteReference"/>
          <w:sz w:val="24"/>
        </w:rPr>
        <w:footnoteReference w:id="8"/>
      </w:r>
    </w:p>
    <w:p w:rsidR="00853D72" w:rsidRDefault="00853D72" w:rsidP="00360D78">
      <w:pPr>
        <w:spacing w:line="360" w:lineRule="auto"/>
        <w:rPr>
          <w:sz w:val="24"/>
        </w:rPr>
      </w:pPr>
    </w:p>
    <w:p w:rsidR="00853D72" w:rsidRDefault="00853D72" w:rsidP="00360D78">
      <w:pPr>
        <w:spacing w:line="360" w:lineRule="auto"/>
        <w:rPr>
          <w:sz w:val="24"/>
        </w:rPr>
      </w:pPr>
      <w:r>
        <w:rPr>
          <w:sz w:val="24"/>
        </w:rPr>
        <w:t>Many interesting and notable accounts of events relating to resurrection survive, such as the countless stories found all around Europe that featur</w:t>
      </w:r>
      <w:r w:rsidR="000B72E4">
        <w:rPr>
          <w:sz w:val="24"/>
        </w:rPr>
        <w:t xml:space="preserve">e a corpse coming back to life. These come in two main categories; those where a corpse simply resurrects itself, and those where a demon inhabits a vulnerable body to carry out their deeds. One of the most notable things regarding these reanimation stories is that they are found all across Europe and </w:t>
      </w:r>
      <w:r w:rsidR="004C4A47">
        <w:rPr>
          <w:sz w:val="24"/>
        </w:rPr>
        <w:t xml:space="preserve">often </w:t>
      </w:r>
      <w:r w:rsidR="000B72E4">
        <w:rPr>
          <w:sz w:val="24"/>
        </w:rPr>
        <w:t>feature a similar plot</w:t>
      </w:r>
      <w:r w:rsidR="004C4A47">
        <w:rPr>
          <w:sz w:val="24"/>
        </w:rPr>
        <w:t>; many would involve a virgin visiting a church, a corpse being laid out at the church followed by the corpse seemingly coming back to life</w:t>
      </w:r>
      <w:r w:rsidR="000B72E4">
        <w:rPr>
          <w:sz w:val="24"/>
        </w:rPr>
        <w:t xml:space="preserve">. This demonstrates that regardless of whether or not there truly was corpses coming back to life and walking the streets during the </w:t>
      </w:r>
      <w:proofErr w:type="gramStart"/>
      <w:r w:rsidR="000B72E4">
        <w:rPr>
          <w:sz w:val="24"/>
        </w:rPr>
        <w:t>middle ages</w:t>
      </w:r>
      <w:proofErr w:type="gramEnd"/>
      <w:r w:rsidR="000B72E4">
        <w:rPr>
          <w:sz w:val="24"/>
        </w:rPr>
        <w:t>, this belief and fear that it may happen to an individual or their loved ones was certainly present in more than one location geographically.</w:t>
      </w:r>
      <w:r w:rsidR="00655EB6">
        <w:rPr>
          <w:sz w:val="24"/>
        </w:rPr>
        <w:t xml:space="preserve"> These stories do cause a problem when considering the final resurrection however, as these inhabited bodies would need to be returned to their original occupier so that they may participate in judgement day.</w:t>
      </w:r>
    </w:p>
    <w:p w:rsidR="00C66329" w:rsidRDefault="00C66329" w:rsidP="00563BA3">
      <w:pPr>
        <w:rPr>
          <w:sz w:val="24"/>
        </w:rPr>
      </w:pPr>
    </w:p>
    <w:p w:rsidR="00D24E89" w:rsidRDefault="00D24E89" w:rsidP="00D24E89">
      <w:pPr>
        <w:spacing w:line="360" w:lineRule="auto"/>
        <w:rPr>
          <w:sz w:val="24"/>
        </w:rPr>
      </w:pPr>
      <w:r>
        <w:rPr>
          <w:sz w:val="24"/>
        </w:rPr>
        <w:t>There were extremely religious connotations to these beliefs regarding the resurrection of a body after death</w:t>
      </w:r>
      <w:r w:rsidR="004C4A47">
        <w:rPr>
          <w:sz w:val="24"/>
        </w:rPr>
        <w:t xml:space="preserve">. This was not considered simply a random act or a horror story in the medieval mind; these were acts of God. The ability for a body to be possessed was usually reserved for those who had died a bad death, had committed sins or were not at peace with God. Therefore, this was another example of something that medieval society would have been very afraid of happening to them if they did not live a good life. Whether it was a “zombie” or a corpse possessed by a demon, this was an extremely undesirable way for a body to end up as it would often result in an individual tormenting their own friends and </w:t>
      </w:r>
      <w:r w:rsidR="004C4A47">
        <w:rPr>
          <w:sz w:val="24"/>
        </w:rPr>
        <w:lastRenderedPageBreak/>
        <w:t>family for a while, before being destroyed via cremation, decapitation or some other form of mutilation that ensured the body could no longer act with free will.</w:t>
      </w:r>
    </w:p>
    <w:p w:rsidR="00181479" w:rsidRDefault="00181479" w:rsidP="00D24E89">
      <w:pPr>
        <w:spacing w:line="360" w:lineRule="auto"/>
        <w:rPr>
          <w:sz w:val="24"/>
        </w:rPr>
      </w:pPr>
    </w:p>
    <w:p w:rsidR="00181479" w:rsidRDefault="00181479" w:rsidP="00D24E89">
      <w:pPr>
        <w:spacing w:line="360" w:lineRule="auto"/>
        <w:rPr>
          <w:b/>
          <w:sz w:val="28"/>
        </w:rPr>
      </w:pPr>
      <w:r>
        <w:rPr>
          <w:sz w:val="24"/>
        </w:rPr>
        <w:t xml:space="preserve">To conclude this section of the portfolio, </w:t>
      </w:r>
      <w:r w:rsidR="00E637AB">
        <w:rPr>
          <w:sz w:val="24"/>
        </w:rPr>
        <w:t>the prospect of the resurrection was almost as important to the medieval mind as the challenges that would be faced in purgatory and death itself; they knew it was coming. However, unlike the suffering, this was something that would not have been feared as much as it was supposed to happen as is the will of God.</w:t>
      </w: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pPr>
        <w:rPr>
          <w:b/>
          <w:sz w:val="28"/>
        </w:rPr>
      </w:pPr>
      <w:r>
        <w:rPr>
          <w:b/>
          <w:sz w:val="28"/>
        </w:rPr>
        <w:br w:type="page"/>
      </w:r>
    </w:p>
    <w:p w:rsidR="00C66329" w:rsidRDefault="00C66329" w:rsidP="00563BA3">
      <w:pPr>
        <w:rPr>
          <w:b/>
          <w:sz w:val="28"/>
        </w:rPr>
      </w:pPr>
    </w:p>
    <w:p w:rsidR="00C66329" w:rsidRPr="00C66329" w:rsidRDefault="00C66329" w:rsidP="00C66329">
      <w:pPr>
        <w:pStyle w:val="IntenseQuote"/>
        <w:rPr>
          <w:rStyle w:val="IntenseEmphasis"/>
          <w:i/>
          <w:sz w:val="28"/>
          <w:u w:val="single"/>
        </w:rPr>
      </w:pPr>
      <w:r>
        <w:rPr>
          <w:rStyle w:val="IntenseEmphasis"/>
          <w:i/>
          <w:sz w:val="28"/>
          <w:u w:val="single"/>
        </w:rPr>
        <w:t>Image</w:t>
      </w:r>
      <w:r w:rsidRPr="00C66329">
        <w:rPr>
          <w:rStyle w:val="IntenseEmphasis"/>
          <w:i/>
          <w:sz w:val="28"/>
          <w:u w:val="single"/>
        </w:rPr>
        <w:t xml:space="preserve"> Commentary</w:t>
      </w:r>
    </w:p>
    <w:p w:rsidR="00C66329" w:rsidRDefault="00C66329" w:rsidP="00C66329">
      <w:pPr>
        <w:jc w:val="center"/>
        <w:rPr>
          <w:i/>
          <w:sz w:val="28"/>
          <w:u w:val="single"/>
        </w:rPr>
      </w:pPr>
      <w:r>
        <w:rPr>
          <w:b/>
          <w:noProof/>
          <w:sz w:val="28"/>
          <w:lang w:eastAsia="en-GB"/>
        </w:rPr>
        <w:drawing>
          <wp:anchor distT="0" distB="0" distL="114300" distR="114300" simplePos="0" relativeHeight="251658240" behindDoc="1" locked="0" layoutInCell="1" allowOverlap="1">
            <wp:simplePos x="0" y="0"/>
            <wp:positionH relativeFrom="margin">
              <wp:posOffset>456565</wp:posOffset>
            </wp:positionH>
            <wp:positionV relativeFrom="paragraph">
              <wp:posOffset>7620</wp:posOffset>
            </wp:positionV>
            <wp:extent cx="4886325" cy="3291205"/>
            <wp:effectExtent l="0" t="0" r="9525" b="4445"/>
            <wp:wrapTight wrapText="bothSides">
              <wp:wrapPolygon edited="0">
                <wp:start x="0" y="0"/>
                <wp:lineTo x="0" y="21504"/>
                <wp:lineTo x="21558" y="21504"/>
                <wp:lineTo x="2155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6325" cy="3291205"/>
                    </a:xfrm>
                    <a:prstGeom prst="rect">
                      <a:avLst/>
                    </a:prstGeom>
                    <a:noFill/>
                  </pic:spPr>
                </pic:pic>
              </a:graphicData>
            </a:graphic>
            <wp14:sizeRelH relativeFrom="margin">
              <wp14:pctWidth>0</wp14:pctWidth>
            </wp14:sizeRelH>
            <wp14:sizeRelV relativeFrom="margin">
              <wp14:pctHeight>0</wp14:pctHeight>
            </wp14:sizeRelV>
          </wp:anchor>
        </w:drawing>
      </w:r>
    </w:p>
    <w:p w:rsidR="00C66329" w:rsidRDefault="00B216A1" w:rsidP="00563BA3">
      <w:pPr>
        <w:rPr>
          <w:b/>
          <w:sz w:val="28"/>
        </w:rPr>
      </w:pPr>
      <w:r>
        <w:rPr>
          <w:b/>
          <w:sz w:val="28"/>
        </w:rPr>
        <w:t>(</w:t>
      </w:r>
      <w:r w:rsidR="00F30D74">
        <w:rPr>
          <w:b/>
          <w:sz w:val="28"/>
        </w:rPr>
        <w:t>A)</w:t>
      </w: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F30D74" w:rsidRDefault="00F30D74" w:rsidP="00563BA3">
      <w:pPr>
        <w:rPr>
          <w:b/>
          <w:sz w:val="28"/>
        </w:rPr>
      </w:pPr>
    </w:p>
    <w:p w:rsidR="00C66329" w:rsidRDefault="00C66329" w:rsidP="00563BA3">
      <w:pPr>
        <w:rPr>
          <w:b/>
          <w:sz w:val="28"/>
        </w:rPr>
      </w:pPr>
      <w:r w:rsidRPr="00F121B2">
        <w:rPr>
          <w:noProof/>
          <w:lang w:eastAsia="en-GB"/>
        </w:rPr>
        <w:drawing>
          <wp:anchor distT="0" distB="0" distL="114300" distR="114300" simplePos="0" relativeHeight="251660288" behindDoc="1" locked="0" layoutInCell="1" allowOverlap="1" wp14:anchorId="122C50CC" wp14:editId="492469AA">
            <wp:simplePos x="0" y="0"/>
            <wp:positionH relativeFrom="margin">
              <wp:posOffset>466725</wp:posOffset>
            </wp:positionH>
            <wp:positionV relativeFrom="paragraph">
              <wp:posOffset>433705</wp:posOffset>
            </wp:positionV>
            <wp:extent cx="4914900" cy="3474720"/>
            <wp:effectExtent l="0" t="0" r="0" b="0"/>
            <wp:wrapTopAndBottom/>
            <wp:docPr id="3" name="Picture 3" descr="C:\Users\Erica\Downloads\Arunde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Erica\Downloads\Arundel2.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609" t="10714"/>
                    <a:stretch/>
                  </pic:blipFill>
                  <pic:spPr bwMode="auto">
                    <a:xfrm>
                      <a:off x="0" y="0"/>
                      <a:ext cx="4914900" cy="34747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16A1">
        <w:rPr>
          <w:b/>
          <w:sz w:val="28"/>
        </w:rPr>
        <w:t>(</w:t>
      </w:r>
      <w:r w:rsidR="00F30D74">
        <w:rPr>
          <w:b/>
          <w:sz w:val="28"/>
        </w:rPr>
        <w:t>B)</w:t>
      </w:r>
    </w:p>
    <w:p w:rsidR="00C66329" w:rsidRDefault="00C66329" w:rsidP="00563BA3">
      <w:pPr>
        <w:rPr>
          <w:b/>
          <w:sz w:val="28"/>
        </w:rPr>
      </w:pPr>
    </w:p>
    <w:p w:rsidR="00C66329" w:rsidRPr="00A1003F" w:rsidRDefault="00C66329" w:rsidP="00C66329">
      <w:pPr>
        <w:jc w:val="center"/>
        <w:rPr>
          <w:i/>
        </w:rPr>
      </w:pPr>
      <w:r w:rsidRPr="00A1003F">
        <w:rPr>
          <w:i/>
        </w:rPr>
        <w:t xml:space="preserve">Full view and close up of the tomb of John </w:t>
      </w:r>
      <w:proofErr w:type="spellStart"/>
      <w:r w:rsidRPr="00A1003F">
        <w:rPr>
          <w:i/>
        </w:rPr>
        <w:t>FitzAlan</w:t>
      </w:r>
      <w:proofErr w:type="spellEnd"/>
      <w:r w:rsidRPr="00A1003F">
        <w:rPr>
          <w:i/>
        </w:rPr>
        <w:t>, the 14</w:t>
      </w:r>
      <w:r w:rsidRPr="00A1003F">
        <w:rPr>
          <w:i/>
          <w:vertAlign w:val="superscript"/>
        </w:rPr>
        <w:t>th</w:t>
      </w:r>
      <w:r w:rsidRPr="00A1003F">
        <w:rPr>
          <w:i/>
        </w:rPr>
        <w:t xml:space="preserve"> Earl of Arundel (d.1435) in the </w:t>
      </w:r>
      <w:proofErr w:type="spellStart"/>
      <w:r w:rsidRPr="00A1003F">
        <w:rPr>
          <w:i/>
        </w:rPr>
        <w:t>FitzAlan</w:t>
      </w:r>
      <w:proofErr w:type="spellEnd"/>
      <w:r w:rsidRPr="00A1003F">
        <w:rPr>
          <w:i/>
        </w:rPr>
        <w:t xml:space="preserve"> Chapel, West Sussex</w:t>
      </w:r>
    </w:p>
    <w:p w:rsidR="00C66329" w:rsidRDefault="00C66329" w:rsidP="00563BA3">
      <w:pPr>
        <w:rPr>
          <w:sz w:val="24"/>
        </w:rPr>
      </w:pPr>
    </w:p>
    <w:p w:rsidR="00F30D74" w:rsidRDefault="00F30D74" w:rsidP="007B7271">
      <w:pPr>
        <w:spacing w:line="360" w:lineRule="auto"/>
        <w:rPr>
          <w:sz w:val="24"/>
        </w:rPr>
      </w:pPr>
      <w:r>
        <w:rPr>
          <w:sz w:val="24"/>
        </w:rPr>
        <w:t xml:space="preserve">The images that will discussed throughout this section of the portfolio are a set of images of the tomb of John </w:t>
      </w:r>
      <w:proofErr w:type="spellStart"/>
      <w:r>
        <w:rPr>
          <w:sz w:val="24"/>
        </w:rPr>
        <w:t>Fitzalan</w:t>
      </w:r>
      <w:proofErr w:type="spellEnd"/>
      <w:r>
        <w:rPr>
          <w:sz w:val="24"/>
        </w:rPr>
        <w:t>, 14</w:t>
      </w:r>
      <w:r w:rsidRPr="00F30D74">
        <w:rPr>
          <w:sz w:val="24"/>
          <w:vertAlign w:val="superscript"/>
        </w:rPr>
        <w:t>th</w:t>
      </w:r>
      <w:r>
        <w:rPr>
          <w:sz w:val="24"/>
        </w:rPr>
        <w:t xml:space="preserve"> Earl of Arundel, who died in 1435. For the purposes of this commentary, the images have been labelled </w:t>
      </w:r>
      <w:r w:rsidR="00121F36">
        <w:rPr>
          <w:sz w:val="24"/>
        </w:rPr>
        <w:t>(</w:t>
      </w:r>
      <w:r>
        <w:rPr>
          <w:sz w:val="24"/>
        </w:rPr>
        <w:t>A</w:t>
      </w:r>
      <w:r w:rsidR="00121F36">
        <w:rPr>
          <w:sz w:val="24"/>
        </w:rPr>
        <w:t>)</w:t>
      </w:r>
      <w:r>
        <w:rPr>
          <w:sz w:val="24"/>
        </w:rPr>
        <w:t xml:space="preserve"> and </w:t>
      </w:r>
      <w:r w:rsidR="00121F36">
        <w:rPr>
          <w:sz w:val="24"/>
        </w:rPr>
        <w:t>(</w:t>
      </w:r>
      <w:r>
        <w:rPr>
          <w:sz w:val="24"/>
        </w:rPr>
        <w:t>B</w:t>
      </w:r>
      <w:r w:rsidR="00121F36">
        <w:rPr>
          <w:sz w:val="24"/>
        </w:rPr>
        <w:t>)</w:t>
      </w:r>
      <w:r>
        <w:rPr>
          <w:sz w:val="24"/>
        </w:rPr>
        <w:t xml:space="preserve"> in the order they are </w:t>
      </w:r>
      <w:r w:rsidR="00A1003F">
        <w:rPr>
          <w:sz w:val="24"/>
        </w:rPr>
        <w:t>shown, as can be seen</w:t>
      </w:r>
      <w:r>
        <w:rPr>
          <w:sz w:val="24"/>
        </w:rPr>
        <w:t xml:space="preserve"> above.</w:t>
      </w:r>
    </w:p>
    <w:p w:rsidR="00A96DD7" w:rsidRDefault="00A96DD7" w:rsidP="007B7271">
      <w:pPr>
        <w:spacing w:line="360" w:lineRule="auto"/>
        <w:rPr>
          <w:sz w:val="24"/>
        </w:rPr>
      </w:pPr>
    </w:p>
    <w:p w:rsidR="00E130F4" w:rsidRDefault="00E130F4" w:rsidP="00AC0444">
      <w:pPr>
        <w:spacing w:line="360" w:lineRule="auto"/>
        <w:rPr>
          <w:sz w:val="24"/>
        </w:rPr>
      </w:pPr>
    </w:p>
    <w:p w:rsidR="007B7271" w:rsidRDefault="00A96DD7" w:rsidP="00AC0444">
      <w:pPr>
        <w:spacing w:line="360" w:lineRule="auto"/>
        <w:rPr>
          <w:sz w:val="24"/>
        </w:rPr>
      </w:pPr>
      <w:r>
        <w:rPr>
          <w:sz w:val="24"/>
        </w:rPr>
        <w:t xml:space="preserve">John </w:t>
      </w:r>
      <w:proofErr w:type="spellStart"/>
      <w:r>
        <w:rPr>
          <w:sz w:val="24"/>
        </w:rPr>
        <w:t>Fitzalan</w:t>
      </w:r>
      <w:proofErr w:type="spellEnd"/>
      <w:r>
        <w:rPr>
          <w:sz w:val="24"/>
        </w:rPr>
        <w:t xml:space="preserve"> was a p</w:t>
      </w:r>
      <w:r w:rsidR="00703349">
        <w:rPr>
          <w:sz w:val="24"/>
        </w:rPr>
        <w:t xml:space="preserve">owerful man in life, </w:t>
      </w:r>
      <w:r>
        <w:rPr>
          <w:sz w:val="24"/>
        </w:rPr>
        <w:t>becoming a military commander during later parts of the Hundred Year’s War. This importance can be seen reflected at his final resting</w:t>
      </w:r>
      <w:r w:rsidR="00E130F4">
        <w:rPr>
          <w:sz w:val="24"/>
        </w:rPr>
        <w:t xml:space="preserve"> place, a free-standing </w:t>
      </w:r>
      <w:r>
        <w:rPr>
          <w:sz w:val="24"/>
        </w:rPr>
        <w:t xml:space="preserve">tomb located at Arundel Castle. </w:t>
      </w:r>
      <w:r w:rsidR="005D0273">
        <w:rPr>
          <w:sz w:val="24"/>
        </w:rPr>
        <w:t xml:space="preserve">It is also noteworthy that he died as a result of injuries sustained </w:t>
      </w:r>
      <w:r w:rsidR="007B7271">
        <w:rPr>
          <w:sz w:val="24"/>
        </w:rPr>
        <w:t xml:space="preserve">during battle, which was a </w:t>
      </w:r>
      <w:r w:rsidR="005D0273">
        <w:rPr>
          <w:sz w:val="24"/>
        </w:rPr>
        <w:t>noble way for a man of his age to pas</w:t>
      </w:r>
      <w:r w:rsidR="007B7271">
        <w:rPr>
          <w:sz w:val="24"/>
        </w:rPr>
        <w:t>s on during the medieval period. This would have granted him what would have been considered a “good death” and thus granted a grand memorialisation to show off the person he was in life and now in death.</w:t>
      </w:r>
    </w:p>
    <w:p w:rsidR="00E130F4" w:rsidRDefault="00E130F4" w:rsidP="007B7271">
      <w:pPr>
        <w:spacing w:line="360" w:lineRule="auto"/>
        <w:rPr>
          <w:sz w:val="24"/>
        </w:rPr>
      </w:pPr>
    </w:p>
    <w:p w:rsidR="00E130F4" w:rsidRDefault="00E130F4" w:rsidP="007B7271">
      <w:pPr>
        <w:spacing w:line="360" w:lineRule="auto"/>
        <w:rPr>
          <w:sz w:val="24"/>
        </w:rPr>
      </w:pPr>
      <w:r>
        <w:rPr>
          <w:sz w:val="24"/>
        </w:rPr>
        <w:t xml:space="preserve">The style of tomb used for </w:t>
      </w:r>
      <w:proofErr w:type="spellStart"/>
      <w:r>
        <w:rPr>
          <w:sz w:val="24"/>
        </w:rPr>
        <w:t>Fitzalan</w:t>
      </w:r>
      <w:proofErr w:type="spellEnd"/>
      <w:r>
        <w:rPr>
          <w:sz w:val="24"/>
        </w:rPr>
        <w:t xml:space="preserve"> is a cadaver tomb, </w:t>
      </w:r>
      <w:r w:rsidR="00760A8C">
        <w:rPr>
          <w:sz w:val="24"/>
        </w:rPr>
        <w:t>which typically features one effigy with a likeness to the person as they were i</w:t>
      </w:r>
      <w:r w:rsidR="0072781B">
        <w:rPr>
          <w:sz w:val="24"/>
        </w:rPr>
        <w:t xml:space="preserve">n life along with an </w:t>
      </w:r>
      <w:r w:rsidR="00760A8C">
        <w:rPr>
          <w:sz w:val="24"/>
        </w:rPr>
        <w:t>effigy of a decomposing corpse or a skeleton.</w:t>
      </w:r>
      <w:r w:rsidR="009E5584">
        <w:rPr>
          <w:rStyle w:val="FootnoteReference"/>
          <w:sz w:val="24"/>
        </w:rPr>
        <w:footnoteReference w:id="9"/>
      </w:r>
      <w:r w:rsidR="00760A8C">
        <w:rPr>
          <w:sz w:val="24"/>
        </w:rPr>
        <w:t xml:space="preserve"> In this case, as </w:t>
      </w:r>
      <w:r w:rsidR="00121F36">
        <w:rPr>
          <w:sz w:val="24"/>
        </w:rPr>
        <w:t>(</w:t>
      </w:r>
      <w:r w:rsidR="00760A8C">
        <w:rPr>
          <w:sz w:val="24"/>
        </w:rPr>
        <w:t>A</w:t>
      </w:r>
      <w:r w:rsidR="00121F36">
        <w:rPr>
          <w:sz w:val="24"/>
        </w:rPr>
        <w:t>)</w:t>
      </w:r>
      <w:r w:rsidR="00760A8C">
        <w:rPr>
          <w:sz w:val="24"/>
        </w:rPr>
        <w:t xml:space="preserve"> demonstrates, </w:t>
      </w:r>
      <w:proofErr w:type="spellStart"/>
      <w:r w:rsidR="00760A8C">
        <w:rPr>
          <w:sz w:val="24"/>
        </w:rPr>
        <w:t>Fitzalan</w:t>
      </w:r>
      <w:proofErr w:type="spellEnd"/>
      <w:r w:rsidR="00760A8C">
        <w:rPr>
          <w:sz w:val="24"/>
        </w:rPr>
        <w:t xml:space="preserve"> has been represented as a </w:t>
      </w:r>
      <w:r w:rsidR="008A1DA9">
        <w:rPr>
          <w:sz w:val="24"/>
        </w:rPr>
        <w:t xml:space="preserve">heavily decomposed corpse but not yet a skeleton. This is significant </w:t>
      </w:r>
      <w:r w:rsidR="0023571C">
        <w:rPr>
          <w:sz w:val="24"/>
        </w:rPr>
        <w:t xml:space="preserve">because the level of corruption to the corpse can play roles in the resurrection, as well as how holy a soul may be. Keeping this in mind, one could suggest that there is careful reasoning behind </w:t>
      </w:r>
      <w:proofErr w:type="spellStart"/>
      <w:r w:rsidR="0023571C">
        <w:rPr>
          <w:sz w:val="24"/>
        </w:rPr>
        <w:t>Fitzalan</w:t>
      </w:r>
      <w:proofErr w:type="spellEnd"/>
      <w:r w:rsidR="0023571C">
        <w:rPr>
          <w:sz w:val="24"/>
        </w:rPr>
        <w:t xml:space="preserve"> being depicted in this particular state in this instance, rather than an additional incorrupt</w:t>
      </w:r>
      <w:r w:rsidR="008A1DA9">
        <w:rPr>
          <w:sz w:val="24"/>
        </w:rPr>
        <w:t xml:space="preserve"> </w:t>
      </w:r>
      <w:r w:rsidR="0023571C">
        <w:rPr>
          <w:sz w:val="24"/>
        </w:rPr>
        <w:t xml:space="preserve">effigy or a completely bare skeleton. The idea behind memorialisation of this kind is that the dead should be depicted as they themselves would want to be depicted, regardless of what the actual corpse below both figures may look like. It is also worth pointing out here that the effigy of the rotting corpse does not feature some more gruesome characteristics that would become popular among these cadaver tombs, such as worms and other creatures eating away at the flesh. Indeed, it would be fair to say that in comparison to many other </w:t>
      </w:r>
      <w:r w:rsidR="0023571C">
        <w:rPr>
          <w:sz w:val="24"/>
        </w:rPr>
        <w:lastRenderedPageBreak/>
        <w:t>examples</w:t>
      </w:r>
      <w:r w:rsidR="00B216A1">
        <w:rPr>
          <w:sz w:val="24"/>
        </w:rPr>
        <w:t xml:space="preserve"> from the period</w:t>
      </w:r>
      <w:r w:rsidR="0023571C">
        <w:rPr>
          <w:sz w:val="24"/>
        </w:rPr>
        <w:t xml:space="preserve">, (A) shows </w:t>
      </w:r>
      <w:r w:rsidR="00B216A1">
        <w:rPr>
          <w:sz w:val="24"/>
        </w:rPr>
        <w:t>a corpse that is in reasonably neat condition and the corpse figure even has some hair and cartilage remaining around the head.</w:t>
      </w:r>
    </w:p>
    <w:p w:rsidR="00BE544E" w:rsidRDefault="00BE544E" w:rsidP="007B7271">
      <w:pPr>
        <w:spacing w:line="360" w:lineRule="auto"/>
        <w:rPr>
          <w:sz w:val="24"/>
        </w:rPr>
      </w:pPr>
    </w:p>
    <w:p w:rsidR="00BE544E" w:rsidRDefault="00312553" w:rsidP="007B7271">
      <w:pPr>
        <w:spacing w:line="360" w:lineRule="auto"/>
        <w:rPr>
          <w:sz w:val="24"/>
        </w:rPr>
      </w:pPr>
      <w:r>
        <w:rPr>
          <w:sz w:val="24"/>
        </w:rPr>
        <w:t xml:space="preserve">The next aspect that may be observed on the tomb when working upwards are the large windows that shine light on the corpse effigy. With their grand shape and fine attention to detail, it could be argued that this is the most sophisticated element of the entire tomb. From the vantage point of (A), it is almost as if the windows are inviting the viewer in to have a peek at what lies inside. This may have several purposes. For instance, it may be to remind the visitor about the </w:t>
      </w:r>
      <w:r w:rsidR="00127DB5">
        <w:rPr>
          <w:sz w:val="24"/>
        </w:rPr>
        <w:t xml:space="preserve">temptations that they must resist throughout life, as well as to simply remind them </w:t>
      </w:r>
      <w:r w:rsidR="0072781B">
        <w:rPr>
          <w:sz w:val="24"/>
        </w:rPr>
        <w:t>what they will face</w:t>
      </w:r>
      <w:r w:rsidR="00127DB5">
        <w:rPr>
          <w:sz w:val="24"/>
        </w:rPr>
        <w:t xml:space="preserve"> one day.</w:t>
      </w:r>
    </w:p>
    <w:p w:rsidR="008D0D41" w:rsidRDefault="008D0D41" w:rsidP="007B7271">
      <w:pPr>
        <w:spacing w:line="360" w:lineRule="auto"/>
        <w:rPr>
          <w:sz w:val="24"/>
        </w:rPr>
      </w:pPr>
    </w:p>
    <w:p w:rsidR="008D0D41" w:rsidRDefault="008D0D41" w:rsidP="007B7271">
      <w:pPr>
        <w:spacing w:line="360" w:lineRule="auto"/>
        <w:rPr>
          <w:sz w:val="24"/>
        </w:rPr>
      </w:pPr>
      <w:r>
        <w:rPr>
          <w:sz w:val="24"/>
        </w:rPr>
        <w:t xml:space="preserve">Above the large windows is a more lifelike representation of </w:t>
      </w:r>
      <w:proofErr w:type="spellStart"/>
      <w:r>
        <w:rPr>
          <w:sz w:val="24"/>
        </w:rPr>
        <w:t>Fitzalan</w:t>
      </w:r>
      <w:proofErr w:type="spellEnd"/>
      <w:r>
        <w:rPr>
          <w:sz w:val="24"/>
        </w:rPr>
        <w:t xml:space="preserve">, dressed in his military armour. Although what is interesting about this effigy, as can be seen in (B), is that there </w:t>
      </w:r>
      <w:r w:rsidR="00832C9D">
        <w:rPr>
          <w:sz w:val="24"/>
        </w:rPr>
        <w:t>are some differences between this depiction and other lifelike depictions from similar tombs of the period. While some of these</w:t>
      </w:r>
      <w:r w:rsidR="0072781B">
        <w:rPr>
          <w:sz w:val="24"/>
        </w:rPr>
        <w:t xml:space="preserve"> issues may be attributed to damage</w:t>
      </w:r>
      <w:r w:rsidR="00832C9D">
        <w:rPr>
          <w:sz w:val="24"/>
        </w:rPr>
        <w:t xml:space="preserve"> so one should be careful here, these are still worth mentioning. </w:t>
      </w:r>
      <w:r w:rsidR="004D76B4">
        <w:rPr>
          <w:sz w:val="24"/>
        </w:rPr>
        <w:t>To elaborate</w:t>
      </w:r>
      <w:r w:rsidR="00832C9D">
        <w:rPr>
          <w:sz w:val="24"/>
        </w:rPr>
        <w:t xml:space="preserve">, many other cadaver tombs, </w:t>
      </w:r>
      <w:r w:rsidR="004D76B4">
        <w:rPr>
          <w:sz w:val="24"/>
        </w:rPr>
        <w:t xml:space="preserve">such as that of Hugh Ashton, feature a lifelike effigy that is both colourful and detailed. While paint can certainly fade, when looking </w:t>
      </w:r>
      <w:r w:rsidR="00A5677C">
        <w:rPr>
          <w:sz w:val="24"/>
        </w:rPr>
        <w:t>closely at</w:t>
      </w:r>
      <w:r w:rsidR="004D76B4">
        <w:rPr>
          <w:sz w:val="24"/>
        </w:rPr>
        <w:t xml:space="preserve"> (B) it doesn’t seem there was a great amount of detail included here, even in the stone itself without colour. F</w:t>
      </w:r>
      <w:r w:rsidR="00A5677C">
        <w:rPr>
          <w:sz w:val="24"/>
        </w:rPr>
        <w:t xml:space="preserve">or example, the nose and mouth seem distorted and it does not appear the stonecutter has really tried to make sure the opening of his helmet had the straight lines around the opening that a real helmet would feature. Likewise, looking further down his body in (B), one can observe a rather </w:t>
      </w:r>
      <w:r w:rsidR="0072781B">
        <w:rPr>
          <w:sz w:val="24"/>
        </w:rPr>
        <w:t xml:space="preserve">undetailed chest piece and </w:t>
      </w:r>
      <w:r w:rsidR="00A5677C">
        <w:rPr>
          <w:sz w:val="24"/>
        </w:rPr>
        <w:t>strange hands in a prayer stance typical of tombs from this period, almost appearing as though they are webbed or his bones are trying to squeeze out of</w:t>
      </w:r>
      <w:r w:rsidR="0072781B">
        <w:rPr>
          <w:sz w:val="24"/>
        </w:rPr>
        <w:t xml:space="preserve"> the</w:t>
      </w:r>
      <w:r w:rsidR="00A5677C">
        <w:rPr>
          <w:sz w:val="24"/>
        </w:rPr>
        <w:t xml:space="preserve"> </w:t>
      </w:r>
      <w:r w:rsidR="0072781B">
        <w:rPr>
          <w:sz w:val="24"/>
        </w:rPr>
        <w:t xml:space="preserve">arm, with long white </w:t>
      </w:r>
      <w:r w:rsidR="00A5677C">
        <w:rPr>
          <w:sz w:val="24"/>
        </w:rPr>
        <w:t xml:space="preserve">lines where his fingers would ordinarily </w:t>
      </w:r>
      <w:r w:rsidR="00703349">
        <w:rPr>
          <w:sz w:val="24"/>
        </w:rPr>
        <w:t xml:space="preserve">be. </w:t>
      </w:r>
      <w:r w:rsidR="0013398B">
        <w:rPr>
          <w:sz w:val="24"/>
        </w:rPr>
        <w:t xml:space="preserve">It should also be considered that the act of praying, even in death, shows that an individual’s commitment and responsibility to God </w:t>
      </w:r>
      <w:r w:rsidR="0072781B">
        <w:rPr>
          <w:sz w:val="24"/>
        </w:rPr>
        <w:t>did not end with death. Despite its abnormalities</w:t>
      </w:r>
      <w:r w:rsidR="00703349">
        <w:rPr>
          <w:sz w:val="24"/>
        </w:rPr>
        <w:t xml:space="preserve">, one should also think critically about this and consider the possibility of age or cheaper manufacturing costs that may be the reason for one or more of these </w:t>
      </w:r>
      <w:r w:rsidR="0072781B">
        <w:rPr>
          <w:sz w:val="24"/>
        </w:rPr>
        <w:t>characteristics</w:t>
      </w:r>
      <w:r w:rsidR="0013398B">
        <w:rPr>
          <w:sz w:val="24"/>
        </w:rPr>
        <w:t>, but are interesting to note regardless when comparing with similar examples</w:t>
      </w:r>
      <w:r w:rsidR="00703349">
        <w:rPr>
          <w:sz w:val="24"/>
        </w:rPr>
        <w:t>.</w:t>
      </w:r>
    </w:p>
    <w:p w:rsidR="00703349" w:rsidRDefault="00703349" w:rsidP="007B7271">
      <w:pPr>
        <w:spacing w:line="360" w:lineRule="auto"/>
        <w:rPr>
          <w:sz w:val="24"/>
        </w:rPr>
      </w:pPr>
    </w:p>
    <w:p w:rsidR="00703349" w:rsidRDefault="00703349" w:rsidP="007B7271">
      <w:pPr>
        <w:spacing w:line="360" w:lineRule="auto"/>
        <w:rPr>
          <w:sz w:val="24"/>
        </w:rPr>
      </w:pPr>
      <w:r>
        <w:rPr>
          <w:sz w:val="24"/>
        </w:rPr>
        <w:t xml:space="preserve">A final but brief point that is interesting to highlight to conclude this section is that as (A) shows, </w:t>
      </w:r>
      <w:proofErr w:type="spellStart"/>
      <w:r>
        <w:rPr>
          <w:sz w:val="24"/>
        </w:rPr>
        <w:t>Fitzalan</w:t>
      </w:r>
      <w:proofErr w:type="spellEnd"/>
      <w:r>
        <w:rPr>
          <w:sz w:val="24"/>
        </w:rPr>
        <w:t xml:space="preserve"> is shown with two legs. What makes this interesting, however, is that </w:t>
      </w:r>
      <w:proofErr w:type="spellStart"/>
      <w:r>
        <w:rPr>
          <w:sz w:val="24"/>
        </w:rPr>
        <w:t>Fitzalan</w:t>
      </w:r>
      <w:proofErr w:type="spellEnd"/>
      <w:r>
        <w:rPr>
          <w:sz w:val="24"/>
        </w:rPr>
        <w:t xml:space="preserve"> was actually only buried with one leg, a claim reinforced when his tomb was opened in 1857, revealing a one legged skeleton. This once again demonstrates that this form of memorialisation was customisable to the individual and they could be represented how they wished to be remembered.</w:t>
      </w:r>
    </w:p>
    <w:p w:rsidR="00340599" w:rsidRDefault="00340599" w:rsidP="007B7271">
      <w:pPr>
        <w:spacing w:line="360" w:lineRule="auto"/>
        <w:rPr>
          <w:sz w:val="24"/>
        </w:rPr>
      </w:pPr>
    </w:p>
    <w:p w:rsidR="00340599" w:rsidRDefault="00340599" w:rsidP="007B7271">
      <w:pPr>
        <w:spacing w:line="360" w:lineRule="auto"/>
        <w:rPr>
          <w:sz w:val="24"/>
        </w:rPr>
      </w:pPr>
    </w:p>
    <w:p w:rsidR="00340599" w:rsidRDefault="00340599" w:rsidP="007B7271">
      <w:pPr>
        <w:spacing w:line="360" w:lineRule="auto"/>
        <w:rPr>
          <w:sz w:val="24"/>
        </w:rPr>
      </w:pPr>
      <w:r>
        <w:rPr>
          <w:sz w:val="24"/>
        </w:rPr>
        <w:t>To conclude this section of the portfolio, this is just one example of the grand way that cadaver tombs could be used to celebrate a person in a way that they would want to be remembered; memorialised, but bringing people face to face with the reality.</w:t>
      </w:r>
    </w:p>
    <w:p w:rsidR="00A96DD7" w:rsidRDefault="00A96DD7" w:rsidP="00563BA3">
      <w:pPr>
        <w:rPr>
          <w:sz w:val="24"/>
        </w:rPr>
      </w:pPr>
    </w:p>
    <w:p w:rsidR="00A96DD7" w:rsidRPr="00F30D74" w:rsidRDefault="00A96DD7" w:rsidP="00563BA3">
      <w:pPr>
        <w:rPr>
          <w:sz w:val="24"/>
        </w:rPr>
      </w:pPr>
    </w:p>
    <w:p w:rsidR="00F30D74" w:rsidRPr="00F30D74" w:rsidRDefault="00F30D74" w:rsidP="00563BA3">
      <w:pPr>
        <w:rPr>
          <w:sz w:val="24"/>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pPr>
        <w:rPr>
          <w:b/>
          <w:sz w:val="28"/>
        </w:rPr>
      </w:pPr>
      <w:r>
        <w:rPr>
          <w:b/>
          <w:sz w:val="28"/>
        </w:rPr>
        <w:br w:type="page"/>
      </w:r>
    </w:p>
    <w:p w:rsidR="00C66329" w:rsidRDefault="00C66329" w:rsidP="00563BA3">
      <w:pPr>
        <w:rPr>
          <w:b/>
          <w:sz w:val="28"/>
        </w:rPr>
      </w:pPr>
    </w:p>
    <w:p w:rsidR="00C66329" w:rsidRPr="00C66329" w:rsidRDefault="00BB2973" w:rsidP="00C66329">
      <w:pPr>
        <w:pStyle w:val="IntenseQuote"/>
        <w:rPr>
          <w:rStyle w:val="IntenseEmphasis"/>
          <w:i/>
          <w:sz w:val="28"/>
          <w:u w:val="single"/>
        </w:rPr>
      </w:pPr>
      <w:r>
        <w:rPr>
          <w:rStyle w:val="IntenseEmphasis"/>
          <w:i/>
          <w:sz w:val="28"/>
          <w:u w:val="single"/>
        </w:rPr>
        <w:t xml:space="preserve">Primary </w:t>
      </w:r>
      <w:r w:rsidR="00C66329">
        <w:rPr>
          <w:rStyle w:val="IntenseEmphasis"/>
          <w:i/>
          <w:sz w:val="28"/>
          <w:u w:val="single"/>
        </w:rPr>
        <w:t>Source Extract Commentary</w:t>
      </w:r>
    </w:p>
    <w:p w:rsidR="009957A0" w:rsidRDefault="009957A0" w:rsidP="009957A0">
      <w:pPr>
        <w:jc w:val="center"/>
        <w:rPr>
          <w:noProof/>
          <w:sz w:val="28"/>
          <w:u w:val="single"/>
        </w:rPr>
      </w:pPr>
      <w:r w:rsidRPr="009957A0">
        <w:rPr>
          <w:noProof/>
          <w:sz w:val="28"/>
          <w:u w:val="single"/>
        </w:rPr>
        <w:t xml:space="preserve">Chapter V of </w:t>
      </w:r>
      <w:r w:rsidRPr="009957A0">
        <w:rPr>
          <w:i/>
          <w:iCs/>
          <w:noProof/>
          <w:sz w:val="28"/>
          <w:u w:val="single"/>
        </w:rPr>
        <w:t>The Art and Craft to Know Well to Die</w:t>
      </w:r>
      <w:r>
        <w:rPr>
          <w:noProof/>
          <w:sz w:val="28"/>
          <w:u w:val="single"/>
        </w:rPr>
        <w:t xml:space="preserve"> by William </w:t>
      </w:r>
      <w:r w:rsidRPr="009957A0">
        <w:rPr>
          <w:noProof/>
          <w:sz w:val="28"/>
          <w:u w:val="single"/>
        </w:rPr>
        <w:t>Caxton</w:t>
      </w:r>
    </w:p>
    <w:p w:rsidR="009957A0" w:rsidRPr="009957A0" w:rsidRDefault="009957A0" w:rsidP="009957A0">
      <w:pPr>
        <w:jc w:val="center"/>
        <w:rPr>
          <w:noProof/>
          <w:sz w:val="28"/>
          <w:u w:val="single"/>
        </w:rPr>
      </w:pPr>
    </w:p>
    <w:p w:rsidR="009957A0" w:rsidRPr="009957A0" w:rsidRDefault="009957A0" w:rsidP="009957A0">
      <w:pPr>
        <w:jc w:val="both"/>
        <w:rPr>
          <w:noProof/>
          <w:sz w:val="28"/>
        </w:rPr>
      </w:pPr>
      <w:r w:rsidRPr="009957A0">
        <w:rPr>
          <w:noProof/>
          <w:sz w:val="28"/>
        </w:rPr>
        <w:t>Item if the sick man have long space of time, and that he be not oppressed of hasty death, the assistants ought to read before him histories and devout orisons, which before he delighted and took pleasure in; and men ought to remember him of God’s commandments, to the end that he think the more profoundly if he could find anything in himself that he hath against the said commandments commised and trespassed. And if he be so sick that he hath lost the usage of speech, and hath his knowledge whole and entire, he ought to answer to these things by some sign outward, or by whole consenting of heart, for that sufficeth to his salvation.</w:t>
      </w:r>
    </w:p>
    <w:p w:rsidR="009957A0" w:rsidRPr="009957A0" w:rsidRDefault="009957A0" w:rsidP="009957A0">
      <w:pPr>
        <w:jc w:val="both"/>
        <w:rPr>
          <w:noProof/>
          <w:sz w:val="28"/>
        </w:rPr>
      </w:pPr>
    </w:p>
    <w:p w:rsidR="009957A0" w:rsidRPr="00242980" w:rsidRDefault="009957A0" w:rsidP="009957A0">
      <w:pPr>
        <w:jc w:val="both"/>
        <w:rPr>
          <w:noProof/>
          <w:sz w:val="28"/>
        </w:rPr>
      </w:pPr>
      <w:r w:rsidRPr="009957A0">
        <w:rPr>
          <w:noProof/>
          <w:sz w:val="28"/>
        </w:rPr>
        <w:t xml:space="preserve">Always ought [it] to be taken heed that the interrogations be made before or </w:t>
      </w:r>
      <w:r w:rsidRPr="00242980">
        <w:rPr>
          <w:noProof/>
          <w:sz w:val="28"/>
        </w:rPr>
        <w:t>that the sick man lose the usage of speech; and if the answers of the sick person appear not sound nor sufficient to his salvation, let there be put thereto remedy—by necessary information—by the best manner that may be.</w:t>
      </w:r>
    </w:p>
    <w:p w:rsidR="009957A0" w:rsidRPr="00242980" w:rsidRDefault="009957A0" w:rsidP="009957A0">
      <w:pPr>
        <w:jc w:val="both"/>
        <w:rPr>
          <w:noProof/>
          <w:sz w:val="28"/>
        </w:rPr>
      </w:pPr>
    </w:p>
    <w:p w:rsidR="009957A0" w:rsidRPr="009957A0" w:rsidRDefault="009957A0" w:rsidP="009957A0">
      <w:pPr>
        <w:jc w:val="both"/>
        <w:rPr>
          <w:noProof/>
          <w:sz w:val="28"/>
        </w:rPr>
      </w:pPr>
      <w:r w:rsidRPr="00242980">
        <w:rPr>
          <w:noProof/>
          <w:sz w:val="28"/>
        </w:rPr>
        <w:t>And also [it] ought to be showed to the sick person the great peril that might fall and come to him, notwithstanding though he thereby should be afeared. For better it is that by fear and wholesome dread he have compunciton and be saved, than by blandishing dissolution, or by noyous comfort, he be damned. In truth this thing is much strange and over periolous, and contrary to the faith and Christian religion, but it is a thing diabolical, that to a Christian man, being in the article of death, for to hide from him the perol of the death of his soul, and that by human dread men dare not trouble him…</w:t>
      </w:r>
    </w:p>
    <w:p w:rsidR="009957A0" w:rsidRPr="009957A0" w:rsidRDefault="009957A0" w:rsidP="009957A0">
      <w:pPr>
        <w:jc w:val="both"/>
        <w:rPr>
          <w:noProof/>
          <w:sz w:val="28"/>
        </w:rPr>
      </w:pPr>
    </w:p>
    <w:p w:rsidR="009957A0" w:rsidRPr="009957A0" w:rsidRDefault="009957A0" w:rsidP="009957A0">
      <w:pPr>
        <w:jc w:val="both"/>
        <w:rPr>
          <w:noProof/>
          <w:sz w:val="28"/>
        </w:rPr>
      </w:pPr>
      <w:r w:rsidRPr="009957A0">
        <w:rPr>
          <w:noProof/>
          <w:sz w:val="28"/>
        </w:rPr>
        <w:t xml:space="preserve">Item [there] ought to be presented to the sick person the image of the crucifix, which always should be among the sick people, and also the image of our Blessed Lady, and of other saints which the sick man hath most loved and </w:t>
      </w:r>
      <w:r w:rsidRPr="009957A0">
        <w:rPr>
          <w:noProof/>
          <w:sz w:val="28"/>
        </w:rPr>
        <w:lastRenderedPageBreak/>
        <w:t>honoured in his life. Also (there) ought to be about them holy water, and oft cast upon them and about them to the end that the devils be put a-back from them. And if because shortness of time all these things aforsaid may not be done, yet they ought at least to purpose to them the orisons and prayers which [are] addressed unto our Lord Jesu Christ. And there ought never to be brought to their remembrance the carnal friends, nor wife, nor children, nor riches, nor other good tempral, but only as much as the spiritual health of the sick person demanded and requireth.</w:t>
      </w:r>
    </w:p>
    <w:p w:rsidR="009957A0" w:rsidRPr="009957A0" w:rsidRDefault="009957A0" w:rsidP="009957A0">
      <w:pPr>
        <w:jc w:val="both"/>
        <w:rPr>
          <w:noProof/>
          <w:sz w:val="28"/>
        </w:rPr>
      </w:pPr>
    </w:p>
    <w:p w:rsidR="009957A0" w:rsidRPr="009957A0" w:rsidRDefault="009957A0" w:rsidP="009957A0">
      <w:pPr>
        <w:jc w:val="both"/>
        <w:rPr>
          <w:noProof/>
          <w:sz w:val="28"/>
        </w:rPr>
      </w:pPr>
      <w:r w:rsidRPr="009957A0">
        <w:rPr>
          <w:noProof/>
          <w:sz w:val="28"/>
        </w:rPr>
        <w:t>Whomsomever then will learn to die let him come and learn all the things foresaid before, or he have need in the article of necessity. For in truth in grievous infirmity the devotion of the person goeth away and passeth; and as much more as the sickness approacheth or increaseth, so much more the devotion fleeth from him. If thou wilt not then err nor be deceived, and that thou wilt be sure, do instantly all that thou mayst good, whiles that thou art whole and sound, and that thou hast the usage of reason and [art] well disposed, and that thou mayst be lord of all thy feats.</w:t>
      </w: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rsidP="00563BA3">
      <w:pPr>
        <w:rPr>
          <w:b/>
          <w:sz w:val="28"/>
        </w:rPr>
      </w:pPr>
    </w:p>
    <w:p w:rsidR="00C66329" w:rsidRDefault="00C66329">
      <w:pPr>
        <w:rPr>
          <w:b/>
          <w:sz w:val="28"/>
        </w:rPr>
      </w:pPr>
    </w:p>
    <w:p w:rsidR="00C66329" w:rsidRDefault="00C66329">
      <w:pPr>
        <w:rPr>
          <w:b/>
          <w:sz w:val="28"/>
        </w:rPr>
      </w:pPr>
      <w:r>
        <w:rPr>
          <w:b/>
          <w:sz w:val="28"/>
        </w:rPr>
        <w:br w:type="page"/>
      </w:r>
    </w:p>
    <w:p w:rsidR="00C66329" w:rsidRDefault="00C66329" w:rsidP="00563BA3">
      <w:pPr>
        <w:rPr>
          <w:b/>
          <w:sz w:val="28"/>
        </w:rPr>
      </w:pPr>
    </w:p>
    <w:p w:rsidR="00BB2973" w:rsidRDefault="00560D60" w:rsidP="00D669F9">
      <w:pPr>
        <w:spacing w:line="360" w:lineRule="auto"/>
        <w:rPr>
          <w:sz w:val="24"/>
        </w:rPr>
      </w:pPr>
      <w:r>
        <w:rPr>
          <w:sz w:val="24"/>
        </w:rPr>
        <w:t>The primary source</w:t>
      </w:r>
      <w:r w:rsidR="00BB2973">
        <w:rPr>
          <w:sz w:val="24"/>
        </w:rPr>
        <w:t xml:space="preserve"> that will be discussed throughout this final section of the portfolio </w:t>
      </w:r>
      <w:r>
        <w:rPr>
          <w:sz w:val="24"/>
        </w:rPr>
        <w:t xml:space="preserve">is an extract from </w:t>
      </w:r>
      <w:r>
        <w:rPr>
          <w:i/>
          <w:sz w:val="24"/>
        </w:rPr>
        <w:t>The Art and Craft to Know Well to Die</w:t>
      </w:r>
      <w:r>
        <w:rPr>
          <w:sz w:val="24"/>
        </w:rPr>
        <w:t>, written by William Caxton</w:t>
      </w:r>
      <w:r w:rsidR="00D669F9">
        <w:rPr>
          <w:sz w:val="24"/>
        </w:rPr>
        <w:t>. The work is essentially a guide on how to successfully achieve a “good death” and the steps one should take to achieve redemption.</w:t>
      </w:r>
      <w:r w:rsidR="00FF5948">
        <w:rPr>
          <w:rStyle w:val="FootnoteReference"/>
          <w:sz w:val="24"/>
        </w:rPr>
        <w:footnoteReference w:id="10"/>
      </w:r>
      <w:r w:rsidR="00AF22A9">
        <w:rPr>
          <w:sz w:val="24"/>
        </w:rPr>
        <w:t xml:space="preserve"> The extract that will be explored in detail focuses on the appropriate protocol that should be followed when a person is gravely ill, including what caregivers should do to ensure the dying has as peaceful a journey as is possible.</w:t>
      </w:r>
    </w:p>
    <w:p w:rsidR="00753AAE" w:rsidRDefault="00753AAE" w:rsidP="00D669F9">
      <w:pPr>
        <w:spacing w:line="360" w:lineRule="auto"/>
        <w:rPr>
          <w:sz w:val="24"/>
        </w:rPr>
      </w:pPr>
    </w:p>
    <w:p w:rsidR="00753AAE" w:rsidRDefault="00753AAE" w:rsidP="00D669F9">
      <w:pPr>
        <w:spacing w:line="360" w:lineRule="auto"/>
        <w:rPr>
          <w:sz w:val="24"/>
        </w:rPr>
      </w:pPr>
    </w:p>
    <w:p w:rsidR="00753AAE" w:rsidRDefault="00753AAE" w:rsidP="00D669F9">
      <w:pPr>
        <w:spacing w:line="360" w:lineRule="auto"/>
        <w:rPr>
          <w:sz w:val="24"/>
        </w:rPr>
      </w:pPr>
      <w:r>
        <w:rPr>
          <w:sz w:val="24"/>
        </w:rPr>
        <w:t xml:space="preserve">The extract begins by expressing the importance of carrying out the initial stages of the protocol at the earliest possible opportunity, preferably while the dying is still able to communicate with their voice. This is significant because it demonstrates that </w:t>
      </w:r>
      <w:r w:rsidR="00D6414E">
        <w:rPr>
          <w:sz w:val="24"/>
        </w:rPr>
        <w:t>this final opportunity to confess sins and attempt to achieve peace with God was cons</w:t>
      </w:r>
      <w:r w:rsidR="00FF5948">
        <w:rPr>
          <w:sz w:val="24"/>
        </w:rPr>
        <w:t xml:space="preserve">idered very important within medieval society. Aside from what could be done in life to minimise time spent in purgatory, as well as what may be done by others after death, this was another key moment for the soul </w:t>
      </w:r>
      <w:r w:rsidR="009E62C5">
        <w:rPr>
          <w:sz w:val="24"/>
        </w:rPr>
        <w:t>in regard to</w:t>
      </w:r>
      <w:r w:rsidR="00FF5948">
        <w:rPr>
          <w:sz w:val="24"/>
        </w:rPr>
        <w:t xml:space="preserve"> the judgment that would be faced in the afterlife.</w:t>
      </w:r>
      <w:r w:rsidR="009E62C5">
        <w:rPr>
          <w:sz w:val="24"/>
        </w:rPr>
        <w:t xml:space="preserve"> It is for this reason that, as Caxton suggests, this early stage of the dying process should be completed while the sick is still physically and mentally capable of these activities.</w:t>
      </w:r>
    </w:p>
    <w:p w:rsidR="008860B8" w:rsidRDefault="008860B8" w:rsidP="00D669F9">
      <w:pPr>
        <w:spacing w:line="360" w:lineRule="auto"/>
        <w:rPr>
          <w:sz w:val="24"/>
        </w:rPr>
      </w:pPr>
    </w:p>
    <w:p w:rsidR="008860B8" w:rsidRDefault="008860B8" w:rsidP="00D669F9">
      <w:pPr>
        <w:spacing w:line="360" w:lineRule="auto"/>
        <w:rPr>
          <w:sz w:val="24"/>
        </w:rPr>
      </w:pPr>
      <w:r>
        <w:rPr>
          <w:sz w:val="24"/>
        </w:rPr>
        <w:t xml:space="preserve">Following this, Caxton then explains that it is important to be honest with the dying individual and not to give them false hope </w:t>
      </w:r>
      <w:r w:rsidR="001B0E36">
        <w:rPr>
          <w:sz w:val="24"/>
        </w:rPr>
        <w:t xml:space="preserve">about what may soon happen to them. </w:t>
      </w:r>
      <w:r w:rsidR="00D34049">
        <w:rPr>
          <w:sz w:val="24"/>
        </w:rPr>
        <w:t xml:space="preserve">This once again demonstrates the point made in previous sections that death was confronted directly during the middle ages and the realities of purgatory and hell were addressed honestly. Caxton himself then goes on to explain the reason for this; </w:t>
      </w:r>
      <w:r w:rsidR="00D34049" w:rsidRPr="007F4054">
        <w:rPr>
          <w:sz w:val="24"/>
        </w:rPr>
        <w:t xml:space="preserve">“For better it is that by fear and wholesome dread he have </w:t>
      </w:r>
      <w:proofErr w:type="spellStart"/>
      <w:r w:rsidR="00D34049" w:rsidRPr="007F4054">
        <w:rPr>
          <w:sz w:val="24"/>
        </w:rPr>
        <w:t>compunciton</w:t>
      </w:r>
      <w:proofErr w:type="spellEnd"/>
      <w:r w:rsidR="00D34049" w:rsidRPr="007F4054">
        <w:rPr>
          <w:sz w:val="24"/>
        </w:rPr>
        <w:t xml:space="preserve"> and be saved, than by blandishing dissolution, or by </w:t>
      </w:r>
      <w:proofErr w:type="spellStart"/>
      <w:r w:rsidR="00D34049" w:rsidRPr="007F4054">
        <w:rPr>
          <w:sz w:val="24"/>
        </w:rPr>
        <w:t>noyous</w:t>
      </w:r>
      <w:proofErr w:type="spellEnd"/>
      <w:r w:rsidR="00D34049" w:rsidRPr="007F4054">
        <w:rPr>
          <w:sz w:val="24"/>
        </w:rPr>
        <w:t xml:space="preserve"> comfort, he be damned”.</w:t>
      </w:r>
      <w:r w:rsidR="00A5594A">
        <w:rPr>
          <w:sz w:val="24"/>
        </w:rPr>
        <w:t xml:space="preserve"> This suggests an attitude that death should be feared in preparation for the worst case scenario, as no one truly knows what will become of their soul until thei</w:t>
      </w:r>
      <w:r w:rsidR="007F4054">
        <w:rPr>
          <w:sz w:val="24"/>
        </w:rPr>
        <w:t>r own judgement, but that it is not</w:t>
      </w:r>
      <w:r w:rsidR="00A5594A">
        <w:rPr>
          <w:sz w:val="24"/>
        </w:rPr>
        <w:t xml:space="preserve"> death itself that should be feared, rather </w:t>
      </w:r>
      <w:r w:rsidR="00A5594A">
        <w:rPr>
          <w:sz w:val="24"/>
        </w:rPr>
        <w:lastRenderedPageBreak/>
        <w:t>the possibilities of what may happen to them based on how they had led their lives. This was a time for reflection and by dealing with the possibilities in an honest manner, it was preparing the dying for the long journey they had ahead of them so that they are not as surprised when it does happen.</w:t>
      </w:r>
    </w:p>
    <w:p w:rsidR="005D4511" w:rsidRDefault="005D4511" w:rsidP="00D669F9">
      <w:pPr>
        <w:spacing w:line="360" w:lineRule="auto"/>
        <w:rPr>
          <w:sz w:val="24"/>
        </w:rPr>
      </w:pPr>
    </w:p>
    <w:p w:rsidR="004B6F95" w:rsidRDefault="005D4511" w:rsidP="00D669F9">
      <w:pPr>
        <w:spacing w:line="360" w:lineRule="auto"/>
        <w:rPr>
          <w:sz w:val="24"/>
        </w:rPr>
      </w:pPr>
      <w:r>
        <w:rPr>
          <w:sz w:val="24"/>
        </w:rPr>
        <w:t xml:space="preserve">The next section of the extract moves on to list some of the items that should be brought to the bedside of the dying and describes how each should be used. </w:t>
      </w:r>
      <w:r w:rsidR="00242980">
        <w:rPr>
          <w:sz w:val="24"/>
        </w:rPr>
        <w:t xml:space="preserve">This section of the text highlights how important these tangible items, such as the crucifix and holy water, were throughout this process based on the positive effects that they were believed to give during these final moments. </w:t>
      </w:r>
      <w:r w:rsidR="00AF59D9">
        <w:rPr>
          <w:sz w:val="24"/>
        </w:rPr>
        <w:t>The modern scholar Elis argues that this was to give comfort to the dying as well as to prepare them for the inevitable.</w:t>
      </w:r>
      <w:r w:rsidR="00AF59D9">
        <w:rPr>
          <w:rStyle w:val="FootnoteReference"/>
          <w:sz w:val="24"/>
        </w:rPr>
        <w:footnoteReference w:id="11"/>
      </w:r>
    </w:p>
    <w:p w:rsidR="004B6F95" w:rsidRDefault="004B6F95" w:rsidP="00D669F9">
      <w:pPr>
        <w:spacing w:line="360" w:lineRule="auto"/>
        <w:rPr>
          <w:sz w:val="24"/>
        </w:rPr>
      </w:pPr>
    </w:p>
    <w:p w:rsidR="00212CBF" w:rsidRDefault="004B6F95" w:rsidP="00D669F9">
      <w:pPr>
        <w:spacing w:line="360" w:lineRule="auto"/>
        <w:rPr>
          <w:sz w:val="24"/>
        </w:rPr>
      </w:pPr>
      <w:r>
        <w:rPr>
          <w:sz w:val="24"/>
        </w:rPr>
        <w:t xml:space="preserve">Lastly, the final paragraph of the extract </w:t>
      </w:r>
      <w:r w:rsidR="00212CBF">
        <w:rPr>
          <w:sz w:val="24"/>
        </w:rPr>
        <w:t>sums up the importance of carrying out the steps laid out throughout the text. This again demonstrates the point that death was looked at both directly and very seriously during the middle ages and a great amount of emphasis was placed on ensuring it was done correctly.</w:t>
      </w:r>
    </w:p>
    <w:p w:rsidR="00212CBF" w:rsidRDefault="00212CBF" w:rsidP="00D669F9">
      <w:pPr>
        <w:spacing w:line="360" w:lineRule="auto"/>
        <w:rPr>
          <w:sz w:val="24"/>
        </w:rPr>
      </w:pPr>
    </w:p>
    <w:p w:rsidR="004B6F95" w:rsidRDefault="00212CBF" w:rsidP="00D669F9">
      <w:pPr>
        <w:spacing w:line="360" w:lineRule="auto"/>
        <w:rPr>
          <w:sz w:val="24"/>
        </w:rPr>
      </w:pPr>
      <w:r>
        <w:rPr>
          <w:sz w:val="24"/>
        </w:rPr>
        <w:t>In relation to Caxton himself and thinking critically about his reliability here, while much of the subject of this work is not something that can be easily verified, it is worth pointing out that William Caxton was a well renowned and respected writer of his time, also possibly being the first to introduce printing to England.</w:t>
      </w:r>
      <w:r w:rsidR="00F004E4">
        <w:rPr>
          <w:rStyle w:val="FootnoteReference"/>
          <w:sz w:val="24"/>
        </w:rPr>
        <w:footnoteReference w:id="12"/>
      </w:r>
      <w:r>
        <w:rPr>
          <w:sz w:val="24"/>
        </w:rPr>
        <w:t xml:space="preserve"> It is because of this status and notoriety that one could assume that the way Caxton portrays death and attitudes towards this deathbed ritual were a fair representation on the way medieval society more generally viewed these moments.</w:t>
      </w:r>
    </w:p>
    <w:p w:rsidR="00F004E4" w:rsidRDefault="00F004E4" w:rsidP="00D669F9">
      <w:pPr>
        <w:spacing w:line="360" w:lineRule="auto"/>
        <w:rPr>
          <w:sz w:val="24"/>
        </w:rPr>
      </w:pPr>
    </w:p>
    <w:p w:rsidR="00F004E4" w:rsidRDefault="00F004E4" w:rsidP="00D669F9">
      <w:pPr>
        <w:spacing w:line="360" w:lineRule="auto"/>
        <w:rPr>
          <w:sz w:val="24"/>
        </w:rPr>
      </w:pPr>
    </w:p>
    <w:p w:rsidR="00340599" w:rsidRDefault="00340599" w:rsidP="00D669F9">
      <w:pPr>
        <w:spacing w:line="360" w:lineRule="auto"/>
        <w:rPr>
          <w:sz w:val="24"/>
        </w:rPr>
      </w:pPr>
    </w:p>
    <w:p w:rsidR="00F004E4" w:rsidRDefault="00F004E4" w:rsidP="00D669F9">
      <w:pPr>
        <w:spacing w:line="360" w:lineRule="auto"/>
        <w:rPr>
          <w:sz w:val="24"/>
        </w:rPr>
      </w:pPr>
      <w:r>
        <w:rPr>
          <w:sz w:val="24"/>
        </w:rPr>
        <w:t>To conclude</w:t>
      </w:r>
      <w:r w:rsidR="00340599">
        <w:rPr>
          <w:sz w:val="24"/>
        </w:rPr>
        <w:t>, this work by Caxton would have been considered crucial reading when preparing for the last moments of life. By following the step by step instructions, one could ensure that the soul was in the best possible position to be crossing over. When reading this source further, it can be seen that the next chapter would move on to discuss the wording of the prayers that should be said for the dying, again demonstrating the effectiveness of something like this manuscript to medieval society and preparing to meet their judgement in purgatory.</w:t>
      </w:r>
    </w:p>
    <w:p w:rsidR="008860B8" w:rsidRDefault="008860B8" w:rsidP="00D669F9">
      <w:pPr>
        <w:spacing w:line="360" w:lineRule="auto"/>
        <w:rPr>
          <w:sz w:val="24"/>
        </w:rPr>
      </w:pPr>
    </w:p>
    <w:p w:rsidR="00AF22A9" w:rsidRDefault="00AF22A9" w:rsidP="00D669F9">
      <w:pPr>
        <w:spacing w:line="360" w:lineRule="auto"/>
        <w:rPr>
          <w:sz w:val="24"/>
        </w:rPr>
      </w:pPr>
    </w:p>
    <w:p w:rsidR="00AF22A9" w:rsidRDefault="00AF22A9" w:rsidP="00D669F9">
      <w:pPr>
        <w:spacing w:line="360" w:lineRule="auto"/>
        <w:rPr>
          <w:sz w:val="24"/>
        </w:rPr>
      </w:pPr>
    </w:p>
    <w:p w:rsidR="00AF22A9" w:rsidRPr="00560D60" w:rsidRDefault="00AF22A9" w:rsidP="00D669F9">
      <w:pPr>
        <w:spacing w:line="360" w:lineRule="auto"/>
        <w:rPr>
          <w:sz w:val="24"/>
        </w:rPr>
      </w:pPr>
    </w:p>
    <w:p w:rsidR="00C66329" w:rsidRPr="00563BA3" w:rsidRDefault="00C66329" w:rsidP="00563BA3">
      <w:pPr>
        <w:rPr>
          <w:b/>
          <w:sz w:val="28"/>
        </w:rPr>
      </w:pPr>
    </w:p>
    <w:p w:rsidR="00563BA3" w:rsidRDefault="00563BA3" w:rsidP="00563BA3">
      <w:pPr>
        <w:rPr>
          <w:b/>
          <w:sz w:val="24"/>
        </w:rPr>
      </w:pPr>
    </w:p>
    <w:p w:rsidR="003F52B1" w:rsidRDefault="003F52B1" w:rsidP="00563BA3">
      <w:pPr>
        <w:rPr>
          <w:b/>
          <w:sz w:val="24"/>
        </w:rPr>
      </w:pPr>
    </w:p>
    <w:p w:rsidR="003F52B1" w:rsidRDefault="003F52B1" w:rsidP="00563BA3">
      <w:pPr>
        <w:rPr>
          <w:b/>
          <w:sz w:val="24"/>
        </w:rPr>
      </w:pPr>
    </w:p>
    <w:p w:rsidR="003F52B1" w:rsidRDefault="003F52B1" w:rsidP="00563BA3">
      <w:pPr>
        <w:rPr>
          <w:b/>
          <w:sz w:val="24"/>
        </w:rPr>
      </w:pPr>
    </w:p>
    <w:p w:rsidR="003F52B1" w:rsidRDefault="003F52B1" w:rsidP="00563BA3">
      <w:pPr>
        <w:rPr>
          <w:b/>
          <w:sz w:val="24"/>
        </w:rPr>
      </w:pPr>
    </w:p>
    <w:p w:rsidR="003F52B1" w:rsidRDefault="003F52B1" w:rsidP="00563BA3">
      <w:pPr>
        <w:rPr>
          <w:b/>
          <w:sz w:val="24"/>
        </w:rPr>
      </w:pPr>
    </w:p>
    <w:p w:rsidR="003F52B1" w:rsidRDefault="003F52B1" w:rsidP="00563BA3">
      <w:pPr>
        <w:rPr>
          <w:b/>
          <w:sz w:val="24"/>
        </w:rPr>
      </w:pPr>
    </w:p>
    <w:p w:rsidR="003F52B1" w:rsidRDefault="003F52B1" w:rsidP="00563BA3">
      <w:pPr>
        <w:rPr>
          <w:b/>
          <w:sz w:val="24"/>
        </w:rPr>
      </w:pPr>
    </w:p>
    <w:p w:rsidR="003F52B1" w:rsidRDefault="003F52B1" w:rsidP="00563BA3">
      <w:pPr>
        <w:rPr>
          <w:b/>
          <w:sz w:val="24"/>
        </w:rPr>
      </w:pPr>
    </w:p>
    <w:p w:rsidR="003F52B1" w:rsidRDefault="003F52B1" w:rsidP="00563BA3">
      <w:pPr>
        <w:rPr>
          <w:b/>
          <w:sz w:val="24"/>
        </w:rPr>
      </w:pPr>
    </w:p>
    <w:p w:rsidR="003F52B1" w:rsidRDefault="003F52B1" w:rsidP="00563BA3">
      <w:pPr>
        <w:rPr>
          <w:b/>
          <w:sz w:val="24"/>
        </w:rPr>
      </w:pPr>
    </w:p>
    <w:p w:rsidR="003F52B1" w:rsidRDefault="003F52B1">
      <w:pPr>
        <w:rPr>
          <w:b/>
          <w:sz w:val="24"/>
        </w:rPr>
      </w:pPr>
      <w:r>
        <w:rPr>
          <w:b/>
          <w:sz w:val="24"/>
        </w:rPr>
        <w:br w:type="page"/>
      </w:r>
    </w:p>
    <w:p w:rsidR="003F52B1" w:rsidRDefault="003F52B1" w:rsidP="007A5022">
      <w:pPr>
        <w:jc w:val="center"/>
        <w:rPr>
          <w:b/>
          <w:sz w:val="36"/>
        </w:rPr>
      </w:pPr>
      <w:r w:rsidRPr="003F52B1">
        <w:rPr>
          <w:b/>
          <w:sz w:val="36"/>
        </w:rPr>
        <w:lastRenderedPageBreak/>
        <w:t>Bibliography</w:t>
      </w:r>
    </w:p>
    <w:p w:rsidR="003F52B1" w:rsidRDefault="003F52B1" w:rsidP="003F52B1">
      <w:pPr>
        <w:jc w:val="center"/>
        <w:rPr>
          <w:b/>
          <w:sz w:val="36"/>
        </w:rPr>
      </w:pPr>
    </w:p>
    <w:p w:rsidR="003F52B1" w:rsidRDefault="003F52B1" w:rsidP="003F52B1">
      <w:pPr>
        <w:rPr>
          <w:sz w:val="28"/>
          <w:u w:val="single"/>
        </w:rPr>
      </w:pPr>
      <w:r>
        <w:rPr>
          <w:sz w:val="28"/>
          <w:u w:val="single"/>
        </w:rPr>
        <w:t>Primary Sources</w:t>
      </w:r>
    </w:p>
    <w:p w:rsidR="003F52B1" w:rsidRDefault="003F52B1" w:rsidP="003F52B1">
      <w:pPr>
        <w:rPr>
          <w:sz w:val="28"/>
          <w:u w:val="single"/>
        </w:rPr>
      </w:pPr>
    </w:p>
    <w:p w:rsidR="003F52B1" w:rsidRDefault="00AE31D6" w:rsidP="003F52B1">
      <w:pPr>
        <w:rPr>
          <w:sz w:val="24"/>
        </w:rPr>
      </w:pPr>
      <w:r>
        <w:rPr>
          <w:sz w:val="24"/>
        </w:rPr>
        <w:t xml:space="preserve">William Caxton, </w:t>
      </w:r>
      <w:proofErr w:type="gramStart"/>
      <w:r w:rsidRPr="00AE31D6">
        <w:rPr>
          <w:i/>
          <w:sz w:val="24"/>
        </w:rPr>
        <w:t>The</w:t>
      </w:r>
      <w:proofErr w:type="gramEnd"/>
      <w:r w:rsidRPr="00AE31D6">
        <w:rPr>
          <w:i/>
          <w:sz w:val="24"/>
        </w:rPr>
        <w:t xml:space="preserve"> Art and Craft to Know Well to Die</w:t>
      </w:r>
      <w:r>
        <w:rPr>
          <w:i/>
          <w:sz w:val="24"/>
        </w:rPr>
        <w:t xml:space="preserve">. </w:t>
      </w:r>
      <w:r>
        <w:rPr>
          <w:sz w:val="24"/>
        </w:rPr>
        <w:t>(London: Clarendon Press, 1990).</w:t>
      </w:r>
    </w:p>
    <w:p w:rsidR="004001CC" w:rsidRPr="004001CC" w:rsidRDefault="004001CC" w:rsidP="003F52B1">
      <w:pPr>
        <w:rPr>
          <w:i/>
          <w:sz w:val="24"/>
        </w:rPr>
      </w:pPr>
      <w:r>
        <w:rPr>
          <w:sz w:val="24"/>
        </w:rPr>
        <w:t xml:space="preserve">William of Newburgh, </w:t>
      </w:r>
      <w:proofErr w:type="spellStart"/>
      <w:r>
        <w:rPr>
          <w:i/>
          <w:sz w:val="24"/>
        </w:rPr>
        <w:t>Historia</w:t>
      </w:r>
      <w:proofErr w:type="spellEnd"/>
      <w:r>
        <w:rPr>
          <w:i/>
          <w:sz w:val="24"/>
        </w:rPr>
        <w:t xml:space="preserve"> </w:t>
      </w:r>
      <w:proofErr w:type="spellStart"/>
      <w:r>
        <w:rPr>
          <w:i/>
          <w:sz w:val="24"/>
        </w:rPr>
        <w:t>rerum</w:t>
      </w:r>
      <w:proofErr w:type="spellEnd"/>
      <w:r>
        <w:rPr>
          <w:i/>
          <w:sz w:val="24"/>
        </w:rPr>
        <w:t xml:space="preserve"> </w:t>
      </w:r>
      <w:proofErr w:type="spellStart"/>
      <w:r>
        <w:rPr>
          <w:i/>
          <w:sz w:val="24"/>
        </w:rPr>
        <w:t>Anglicarum</w:t>
      </w:r>
      <w:proofErr w:type="spellEnd"/>
    </w:p>
    <w:p w:rsidR="003F52B1" w:rsidRDefault="003F52B1" w:rsidP="003F52B1">
      <w:pPr>
        <w:rPr>
          <w:sz w:val="28"/>
          <w:u w:val="single"/>
        </w:rPr>
      </w:pPr>
    </w:p>
    <w:p w:rsidR="003F52B1" w:rsidRDefault="003F52B1" w:rsidP="003F52B1">
      <w:pPr>
        <w:rPr>
          <w:sz w:val="28"/>
          <w:u w:val="single"/>
        </w:rPr>
      </w:pPr>
    </w:p>
    <w:p w:rsidR="003F52B1" w:rsidRDefault="003F52B1" w:rsidP="003F52B1">
      <w:pPr>
        <w:rPr>
          <w:sz w:val="28"/>
          <w:u w:val="single"/>
        </w:rPr>
      </w:pPr>
      <w:r>
        <w:rPr>
          <w:sz w:val="28"/>
          <w:u w:val="single"/>
        </w:rPr>
        <w:t>Secondary Sources</w:t>
      </w:r>
    </w:p>
    <w:p w:rsidR="00F004E4" w:rsidRDefault="00F004E4" w:rsidP="003F52B1">
      <w:pPr>
        <w:rPr>
          <w:sz w:val="28"/>
          <w:u w:val="single"/>
        </w:rPr>
      </w:pPr>
    </w:p>
    <w:p w:rsidR="00800552" w:rsidRDefault="00800552" w:rsidP="003F52B1">
      <w:pPr>
        <w:rPr>
          <w:sz w:val="24"/>
        </w:rPr>
      </w:pPr>
      <w:r>
        <w:rPr>
          <w:sz w:val="24"/>
        </w:rPr>
        <w:t xml:space="preserve">Bynum. C, </w:t>
      </w:r>
      <w:proofErr w:type="gramStart"/>
      <w:r w:rsidRPr="00800552">
        <w:rPr>
          <w:i/>
          <w:sz w:val="24"/>
        </w:rPr>
        <w:t>The</w:t>
      </w:r>
      <w:proofErr w:type="gramEnd"/>
      <w:r w:rsidRPr="00800552">
        <w:rPr>
          <w:i/>
          <w:sz w:val="24"/>
        </w:rPr>
        <w:t xml:space="preserve"> Resurrection of the Body in Western Christianity, 200-1336</w:t>
      </w:r>
      <w:r>
        <w:rPr>
          <w:i/>
          <w:sz w:val="24"/>
        </w:rPr>
        <w:t xml:space="preserve"> </w:t>
      </w:r>
      <w:r>
        <w:rPr>
          <w:sz w:val="24"/>
        </w:rPr>
        <w:t>(</w:t>
      </w:r>
      <w:r w:rsidR="00822F79">
        <w:rPr>
          <w:sz w:val="24"/>
        </w:rPr>
        <w:t>New York</w:t>
      </w:r>
      <w:r>
        <w:rPr>
          <w:sz w:val="24"/>
        </w:rPr>
        <w:t>: Columbia University Press, 2017).</w:t>
      </w:r>
    </w:p>
    <w:p w:rsidR="00806066" w:rsidRDefault="00806066" w:rsidP="003F52B1">
      <w:pPr>
        <w:rPr>
          <w:sz w:val="24"/>
        </w:rPr>
      </w:pPr>
      <w:r w:rsidRPr="00806066">
        <w:rPr>
          <w:sz w:val="24"/>
        </w:rPr>
        <w:t>Casey</w:t>
      </w:r>
      <w:r>
        <w:rPr>
          <w:sz w:val="24"/>
        </w:rPr>
        <w:t>. J</w:t>
      </w:r>
      <w:r w:rsidRPr="00806066">
        <w:rPr>
          <w:sz w:val="24"/>
        </w:rPr>
        <w:t xml:space="preserve">, </w:t>
      </w:r>
      <w:r w:rsidRPr="00806066">
        <w:rPr>
          <w:i/>
          <w:sz w:val="24"/>
        </w:rPr>
        <w:t xml:space="preserve">Afterlives: A Guide to Heaven, Hell and Purgatory </w:t>
      </w:r>
      <w:r w:rsidRPr="00806066">
        <w:rPr>
          <w:sz w:val="24"/>
        </w:rPr>
        <w:t>(Oxford: Oxford University Press, 2009).</w:t>
      </w:r>
    </w:p>
    <w:p w:rsidR="009E5584" w:rsidRPr="009E5584" w:rsidRDefault="009E5584" w:rsidP="009E5584">
      <w:pPr>
        <w:rPr>
          <w:sz w:val="24"/>
          <w:lang w:val="en-US"/>
        </w:rPr>
      </w:pPr>
      <w:proofErr w:type="spellStart"/>
      <w:r w:rsidRPr="009E5584">
        <w:rPr>
          <w:sz w:val="24"/>
          <w:lang w:val="en-US"/>
        </w:rPr>
        <w:t>Daniell</w:t>
      </w:r>
      <w:proofErr w:type="spellEnd"/>
      <w:r>
        <w:rPr>
          <w:sz w:val="24"/>
          <w:lang w:val="en-US"/>
        </w:rPr>
        <w:t>. C</w:t>
      </w:r>
      <w:r w:rsidRPr="009E5584">
        <w:rPr>
          <w:sz w:val="24"/>
          <w:lang w:val="en-US"/>
        </w:rPr>
        <w:t xml:space="preserve">, </w:t>
      </w:r>
      <w:r w:rsidRPr="009E5584">
        <w:rPr>
          <w:i/>
          <w:sz w:val="24"/>
          <w:lang w:val="en-US"/>
        </w:rPr>
        <w:t>Death and Burial in Medieval England 1066-1550</w:t>
      </w:r>
      <w:r w:rsidRPr="009E5584">
        <w:rPr>
          <w:sz w:val="24"/>
          <w:lang w:val="en-US"/>
        </w:rPr>
        <w:t xml:space="preserve"> (London, 1998).</w:t>
      </w:r>
    </w:p>
    <w:p w:rsidR="00181479" w:rsidRPr="00181479" w:rsidRDefault="00181479" w:rsidP="003F52B1">
      <w:pPr>
        <w:rPr>
          <w:sz w:val="24"/>
          <w:lang w:val="en-US"/>
        </w:rPr>
      </w:pPr>
      <w:r>
        <w:rPr>
          <w:sz w:val="24"/>
          <w:lang w:val="en-US"/>
        </w:rPr>
        <w:t>Duffy. E,</w:t>
      </w:r>
      <w:r w:rsidRPr="00181479">
        <w:rPr>
          <w:sz w:val="24"/>
          <w:lang w:val="en-US"/>
        </w:rPr>
        <w:t xml:space="preserve"> </w:t>
      </w:r>
      <w:proofErr w:type="gramStart"/>
      <w:r w:rsidRPr="00181479">
        <w:rPr>
          <w:i/>
          <w:sz w:val="24"/>
          <w:lang w:val="en-US"/>
        </w:rPr>
        <w:t>The</w:t>
      </w:r>
      <w:proofErr w:type="gramEnd"/>
      <w:r w:rsidRPr="00181479">
        <w:rPr>
          <w:i/>
          <w:sz w:val="24"/>
          <w:lang w:val="en-US"/>
        </w:rPr>
        <w:t xml:space="preserve"> Stripping of the Altars: Traditional Religion in England 1400-1580 </w:t>
      </w:r>
      <w:r w:rsidRPr="00181479">
        <w:rPr>
          <w:sz w:val="24"/>
          <w:lang w:val="en-US"/>
        </w:rPr>
        <w:t>(New Haven and London, 1992).</w:t>
      </w:r>
    </w:p>
    <w:p w:rsidR="00AF59D9" w:rsidRDefault="00AF59D9" w:rsidP="003F52B1">
      <w:pPr>
        <w:rPr>
          <w:sz w:val="24"/>
        </w:rPr>
      </w:pPr>
      <w:r>
        <w:rPr>
          <w:sz w:val="24"/>
        </w:rPr>
        <w:t>Ellis. P,</w:t>
      </w:r>
      <w:r w:rsidRPr="00AF59D9">
        <w:rPr>
          <w:sz w:val="24"/>
        </w:rPr>
        <w:t xml:space="preserve"> </w:t>
      </w:r>
      <w:proofErr w:type="gramStart"/>
      <w:r w:rsidRPr="00AF59D9">
        <w:rPr>
          <w:i/>
          <w:sz w:val="24"/>
        </w:rPr>
        <w:t>The</w:t>
      </w:r>
      <w:proofErr w:type="gramEnd"/>
      <w:r w:rsidRPr="00AF59D9">
        <w:rPr>
          <w:i/>
          <w:sz w:val="24"/>
        </w:rPr>
        <w:t xml:space="preserve"> Perfect Medieval Death </w:t>
      </w:r>
      <w:r w:rsidRPr="00AF59D9">
        <w:rPr>
          <w:sz w:val="24"/>
        </w:rPr>
        <w:t>(Oxford: Oxford University Press, 2002).</w:t>
      </w:r>
    </w:p>
    <w:p w:rsidR="00CF3F9C" w:rsidRDefault="00CF3F9C" w:rsidP="003F52B1">
      <w:pPr>
        <w:rPr>
          <w:sz w:val="24"/>
          <w:lang w:val="en-US"/>
        </w:rPr>
      </w:pPr>
      <w:proofErr w:type="spellStart"/>
      <w:r w:rsidRPr="00CF3F9C">
        <w:rPr>
          <w:sz w:val="24"/>
          <w:lang w:val="en-US"/>
        </w:rPr>
        <w:t>Gittings</w:t>
      </w:r>
      <w:proofErr w:type="spellEnd"/>
      <w:r>
        <w:rPr>
          <w:sz w:val="24"/>
          <w:lang w:val="en-US"/>
        </w:rPr>
        <w:t>. C</w:t>
      </w:r>
      <w:r w:rsidRPr="00CF3F9C">
        <w:rPr>
          <w:sz w:val="24"/>
          <w:lang w:val="en-US"/>
        </w:rPr>
        <w:t xml:space="preserve">, </w:t>
      </w:r>
      <w:r w:rsidRPr="00CF3F9C">
        <w:rPr>
          <w:i/>
          <w:sz w:val="24"/>
          <w:lang w:val="en-US"/>
        </w:rPr>
        <w:t>Death in England: An Illustrated History</w:t>
      </w:r>
      <w:r w:rsidRPr="00CF3F9C">
        <w:rPr>
          <w:sz w:val="24"/>
          <w:lang w:val="en-US"/>
        </w:rPr>
        <w:t xml:space="preserve"> (Manchester, 1999).</w:t>
      </w:r>
    </w:p>
    <w:p w:rsidR="00FC3FF5" w:rsidRPr="00800552" w:rsidRDefault="00FC3FF5" w:rsidP="003F52B1">
      <w:pPr>
        <w:rPr>
          <w:sz w:val="24"/>
        </w:rPr>
      </w:pPr>
      <w:r w:rsidRPr="00FC3FF5">
        <w:rPr>
          <w:sz w:val="24"/>
          <w:lang w:val="en-US"/>
        </w:rPr>
        <w:t>Goff</w:t>
      </w:r>
      <w:r>
        <w:rPr>
          <w:sz w:val="24"/>
          <w:lang w:val="en-US"/>
        </w:rPr>
        <w:t>. J</w:t>
      </w:r>
      <w:r w:rsidRPr="00FC3FF5">
        <w:rPr>
          <w:sz w:val="24"/>
          <w:lang w:val="en-US"/>
        </w:rPr>
        <w:t xml:space="preserve">, </w:t>
      </w:r>
      <w:r w:rsidRPr="00FC3FF5">
        <w:rPr>
          <w:i/>
          <w:sz w:val="24"/>
          <w:lang w:val="en-US"/>
        </w:rPr>
        <w:t>The Birth of Purgatory</w:t>
      </w:r>
      <w:r w:rsidRPr="00FC3FF5">
        <w:rPr>
          <w:sz w:val="24"/>
          <w:lang w:val="en-US"/>
        </w:rPr>
        <w:t xml:space="preserve">, translated by A. </w:t>
      </w:r>
      <w:proofErr w:type="spellStart"/>
      <w:r w:rsidRPr="00FC3FF5">
        <w:rPr>
          <w:sz w:val="24"/>
          <w:lang w:val="en-US"/>
        </w:rPr>
        <w:t>Goldhammer</w:t>
      </w:r>
      <w:proofErr w:type="spellEnd"/>
      <w:r w:rsidRPr="00FC3FF5">
        <w:rPr>
          <w:sz w:val="24"/>
          <w:lang w:val="en-US"/>
        </w:rPr>
        <w:t xml:space="preserve"> (Chicago, 1984).</w:t>
      </w:r>
    </w:p>
    <w:p w:rsidR="00F004E4" w:rsidRDefault="00F004E4" w:rsidP="003F52B1">
      <w:pPr>
        <w:rPr>
          <w:sz w:val="24"/>
        </w:rPr>
      </w:pPr>
      <w:r>
        <w:rPr>
          <w:sz w:val="24"/>
        </w:rPr>
        <w:t xml:space="preserve">Nash. K, ‘Knight’s Biography of William Caxton’, </w:t>
      </w:r>
      <w:r>
        <w:rPr>
          <w:i/>
          <w:sz w:val="24"/>
        </w:rPr>
        <w:t>Monthly Review</w:t>
      </w:r>
      <w:r>
        <w:rPr>
          <w:sz w:val="24"/>
        </w:rPr>
        <w:t>, vol.3</w:t>
      </w:r>
      <w:r w:rsidR="00D554D7">
        <w:rPr>
          <w:sz w:val="24"/>
        </w:rPr>
        <w:t xml:space="preserve"> (1946), p.34.</w:t>
      </w:r>
    </w:p>
    <w:p w:rsidR="00C5609F" w:rsidRDefault="00C5609F" w:rsidP="003F52B1">
      <w:pPr>
        <w:rPr>
          <w:sz w:val="24"/>
        </w:rPr>
      </w:pPr>
      <w:proofErr w:type="spellStart"/>
      <w:r>
        <w:rPr>
          <w:sz w:val="24"/>
        </w:rPr>
        <w:t>T</w:t>
      </w:r>
      <w:r w:rsidRPr="00C5609F">
        <w:rPr>
          <w:sz w:val="24"/>
        </w:rPr>
        <w:t>assone</w:t>
      </w:r>
      <w:proofErr w:type="spellEnd"/>
      <w:r>
        <w:rPr>
          <w:sz w:val="24"/>
        </w:rPr>
        <w:t>. S</w:t>
      </w:r>
      <w:r w:rsidRPr="00C5609F">
        <w:rPr>
          <w:sz w:val="24"/>
        </w:rPr>
        <w:t>, Day by Day for the Holy Souls in Purgatory (London: Cambridge University Press, 2014).</w:t>
      </w:r>
    </w:p>
    <w:p w:rsidR="00FB2A23" w:rsidRDefault="00FB2A23" w:rsidP="003F52B1">
      <w:pPr>
        <w:rPr>
          <w:sz w:val="24"/>
        </w:rPr>
      </w:pPr>
      <w:r w:rsidRPr="00FB2A23">
        <w:rPr>
          <w:sz w:val="24"/>
        </w:rPr>
        <w:t>Weir</w:t>
      </w:r>
      <w:r>
        <w:rPr>
          <w:sz w:val="24"/>
        </w:rPr>
        <w:t>. A</w:t>
      </w:r>
      <w:r w:rsidRPr="00FB2A23">
        <w:rPr>
          <w:sz w:val="24"/>
        </w:rPr>
        <w:t xml:space="preserve">, </w:t>
      </w:r>
      <w:proofErr w:type="gramStart"/>
      <w:r w:rsidRPr="00FB2A23">
        <w:rPr>
          <w:i/>
          <w:sz w:val="24"/>
        </w:rPr>
        <w:t>The</w:t>
      </w:r>
      <w:proofErr w:type="gramEnd"/>
      <w:r w:rsidRPr="00FB2A23">
        <w:rPr>
          <w:i/>
          <w:sz w:val="24"/>
        </w:rPr>
        <w:t xml:space="preserve"> Wars of the Roses </w:t>
      </w:r>
      <w:r w:rsidRPr="00FB2A23">
        <w:rPr>
          <w:sz w:val="24"/>
        </w:rPr>
        <w:t>(London: Jonathan Cape, 1995).</w:t>
      </w:r>
    </w:p>
    <w:p w:rsidR="00864DEA" w:rsidRDefault="00864DEA" w:rsidP="003F52B1">
      <w:pPr>
        <w:rPr>
          <w:sz w:val="24"/>
        </w:rPr>
      </w:pPr>
      <w:r w:rsidRPr="00864DEA">
        <w:rPr>
          <w:sz w:val="24"/>
        </w:rPr>
        <w:t>Wilson</w:t>
      </w:r>
      <w:r>
        <w:rPr>
          <w:sz w:val="24"/>
        </w:rPr>
        <w:t>. D</w:t>
      </w:r>
      <w:r w:rsidRPr="00864DEA">
        <w:rPr>
          <w:sz w:val="24"/>
        </w:rPr>
        <w:t xml:space="preserve">, </w:t>
      </w:r>
      <w:proofErr w:type="gramStart"/>
      <w:r w:rsidRPr="00864DEA">
        <w:rPr>
          <w:i/>
          <w:sz w:val="24"/>
        </w:rPr>
        <w:t>The</w:t>
      </w:r>
      <w:proofErr w:type="gramEnd"/>
      <w:r w:rsidRPr="00864DEA">
        <w:rPr>
          <w:i/>
          <w:sz w:val="24"/>
        </w:rPr>
        <w:t xml:space="preserve"> English Reformation </w:t>
      </w:r>
      <w:r w:rsidRPr="00864DEA">
        <w:rPr>
          <w:sz w:val="24"/>
        </w:rPr>
        <w:t>(London: Constable &amp; Robinson Ltd, 2012).</w:t>
      </w:r>
    </w:p>
    <w:p w:rsidR="00864DEA" w:rsidRDefault="00864DEA" w:rsidP="003F52B1">
      <w:pPr>
        <w:rPr>
          <w:sz w:val="24"/>
        </w:rPr>
      </w:pPr>
    </w:p>
    <w:p w:rsidR="00864DEA" w:rsidRDefault="00864DEA" w:rsidP="003F52B1">
      <w:pPr>
        <w:rPr>
          <w:sz w:val="24"/>
        </w:rPr>
      </w:pPr>
    </w:p>
    <w:p w:rsidR="00864DEA" w:rsidRDefault="00864DEA" w:rsidP="003F52B1">
      <w:pPr>
        <w:rPr>
          <w:sz w:val="24"/>
        </w:rPr>
      </w:pPr>
      <w:proofErr w:type="spellStart"/>
      <w:r w:rsidRPr="00864DEA">
        <w:rPr>
          <w:sz w:val="24"/>
        </w:rPr>
        <w:t>Danièle</w:t>
      </w:r>
      <w:proofErr w:type="spellEnd"/>
      <w:r w:rsidRPr="00864DEA">
        <w:rPr>
          <w:sz w:val="24"/>
        </w:rPr>
        <w:t xml:space="preserve"> </w:t>
      </w:r>
      <w:proofErr w:type="spellStart"/>
      <w:r w:rsidRPr="00864DEA">
        <w:rPr>
          <w:sz w:val="24"/>
        </w:rPr>
        <w:t>Cybulskie</w:t>
      </w:r>
      <w:proofErr w:type="spellEnd"/>
      <w:r>
        <w:rPr>
          <w:sz w:val="24"/>
        </w:rPr>
        <w:t>, ‘</w:t>
      </w:r>
      <w:r w:rsidRPr="00864DEA">
        <w:rPr>
          <w:sz w:val="24"/>
        </w:rPr>
        <w:t>Memento Mori: Medieval Images of Death</w:t>
      </w:r>
      <w:r>
        <w:rPr>
          <w:sz w:val="24"/>
        </w:rPr>
        <w:t xml:space="preserve">’ [online] available: </w:t>
      </w:r>
      <w:hyperlink r:id="rId10" w:history="1">
        <w:r w:rsidRPr="005F511A">
          <w:rPr>
            <w:rStyle w:val="Hyperlink"/>
            <w:sz w:val="24"/>
          </w:rPr>
          <w:t>http://www.medievalists.net/2014/10/memento-mori-medieval-images-death/</w:t>
        </w:r>
      </w:hyperlink>
    </w:p>
    <w:p w:rsidR="00864DEA" w:rsidRPr="00F004E4" w:rsidRDefault="00864DEA" w:rsidP="003F52B1">
      <w:pPr>
        <w:rPr>
          <w:sz w:val="24"/>
        </w:rPr>
      </w:pPr>
      <w:r>
        <w:rPr>
          <w:sz w:val="24"/>
        </w:rPr>
        <w:t>(</w:t>
      </w:r>
      <w:proofErr w:type="gramStart"/>
      <w:r>
        <w:rPr>
          <w:sz w:val="24"/>
        </w:rPr>
        <w:t>accessed</w:t>
      </w:r>
      <w:proofErr w:type="gramEnd"/>
      <w:r>
        <w:rPr>
          <w:sz w:val="24"/>
        </w:rPr>
        <w:t xml:space="preserve"> 23/01/2019)</w:t>
      </w:r>
      <w:bookmarkStart w:id="0" w:name="_GoBack"/>
      <w:bookmarkEnd w:id="0"/>
    </w:p>
    <w:sectPr w:rsidR="00864DEA" w:rsidRPr="00F004E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64A3D" w:rsidRDefault="00164A3D" w:rsidP="00066F75">
      <w:pPr>
        <w:spacing w:after="0" w:line="240" w:lineRule="auto"/>
      </w:pPr>
      <w:r>
        <w:separator/>
      </w:r>
    </w:p>
  </w:endnote>
  <w:endnote w:type="continuationSeparator" w:id="0">
    <w:p w:rsidR="00164A3D" w:rsidRDefault="00164A3D" w:rsidP="00066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22384956"/>
      <w:docPartObj>
        <w:docPartGallery w:val="Page Numbers (Bottom of Page)"/>
        <w:docPartUnique/>
      </w:docPartObj>
    </w:sdtPr>
    <w:sdtEndPr>
      <w:rPr>
        <w:noProof/>
      </w:rPr>
    </w:sdtEndPr>
    <w:sdtContent>
      <w:p w:rsidR="00DE441C" w:rsidRDefault="00DE441C">
        <w:pPr>
          <w:pStyle w:val="Footer"/>
          <w:jc w:val="center"/>
        </w:pPr>
        <w:r>
          <w:fldChar w:fldCharType="begin"/>
        </w:r>
        <w:r>
          <w:instrText xml:space="preserve"> PAGE   \* MERGEFORMAT </w:instrText>
        </w:r>
        <w:r>
          <w:fldChar w:fldCharType="separate"/>
        </w:r>
        <w:r w:rsidR="007A5022">
          <w:rPr>
            <w:noProof/>
          </w:rPr>
          <w:t>18</w:t>
        </w:r>
        <w:r>
          <w:rPr>
            <w:noProof/>
          </w:rPr>
          <w:fldChar w:fldCharType="end"/>
        </w:r>
      </w:p>
    </w:sdtContent>
  </w:sdt>
  <w:p w:rsidR="002337F8" w:rsidRDefault="002337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64A3D" w:rsidRDefault="00164A3D" w:rsidP="00066F75">
      <w:pPr>
        <w:spacing w:after="0" w:line="240" w:lineRule="auto"/>
      </w:pPr>
      <w:r>
        <w:separator/>
      </w:r>
    </w:p>
  </w:footnote>
  <w:footnote w:type="continuationSeparator" w:id="0">
    <w:p w:rsidR="00164A3D" w:rsidRDefault="00164A3D" w:rsidP="00066F75">
      <w:pPr>
        <w:spacing w:after="0" w:line="240" w:lineRule="auto"/>
      </w:pPr>
      <w:r>
        <w:continuationSeparator/>
      </w:r>
    </w:p>
  </w:footnote>
  <w:footnote w:id="1">
    <w:p w:rsidR="00C11561" w:rsidRPr="00C11561" w:rsidRDefault="00C11561">
      <w:pPr>
        <w:pStyle w:val="FootnoteText"/>
      </w:pPr>
      <w:r>
        <w:rPr>
          <w:rStyle w:val="FootnoteReference"/>
        </w:rPr>
        <w:footnoteRef/>
      </w:r>
      <w:r>
        <w:t xml:space="preserve"> J. Casey, </w:t>
      </w:r>
      <w:r>
        <w:rPr>
          <w:i/>
        </w:rPr>
        <w:t xml:space="preserve">Afterlives: A Guide to Heaven, Hell and Purgatory </w:t>
      </w:r>
      <w:r>
        <w:t xml:space="preserve">(Oxford: Oxford University Press, 2009). </w:t>
      </w:r>
    </w:p>
  </w:footnote>
  <w:footnote w:id="2">
    <w:p w:rsidR="00803BE3" w:rsidRDefault="00803BE3">
      <w:pPr>
        <w:pStyle w:val="FootnoteText"/>
      </w:pPr>
      <w:r>
        <w:rPr>
          <w:rStyle w:val="FootnoteReference"/>
        </w:rPr>
        <w:footnoteRef/>
      </w:r>
      <w:r>
        <w:t xml:space="preserve"> </w:t>
      </w:r>
      <w:r w:rsidR="006B2B97">
        <w:t xml:space="preserve">S. </w:t>
      </w:r>
      <w:proofErr w:type="spellStart"/>
      <w:r w:rsidR="006B2B97">
        <w:t>Tassone</w:t>
      </w:r>
      <w:proofErr w:type="spellEnd"/>
      <w:r w:rsidR="006B2B97">
        <w:t xml:space="preserve">, </w:t>
      </w:r>
      <w:r w:rsidR="006B2B97" w:rsidRPr="006B2B97">
        <w:t>Day by Day for the Holy Souls in Purgatory</w:t>
      </w:r>
      <w:r w:rsidR="006B2B97">
        <w:t xml:space="preserve"> (London: Cambridge University Press, 2014). pp.47-48</w:t>
      </w:r>
    </w:p>
  </w:footnote>
  <w:footnote w:id="3">
    <w:p w:rsidR="00F301B0" w:rsidRPr="00FC3FF5" w:rsidRDefault="00F301B0">
      <w:pPr>
        <w:pStyle w:val="FootnoteText"/>
        <w:rPr>
          <w:lang w:val="en-US"/>
        </w:rPr>
      </w:pPr>
      <w:r>
        <w:rPr>
          <w:rStyle w:val="FootnoteReference"/>
        </w:rPr>
        <w:footnoteRef/>
      </w:r>
      <w:r>
        <w:t xml:space="preserve"> </w:t>
      </w:r>
      <w:r w:rsidR="00FC3FF5">
        <w:rPr>
          <w:lang w:val="en-US"/>
        </w:rPr>
        <w:t>J.</w:t>
      </w:r>
      <w:r w:rsidR="00FC3FF5" w:rsidRPr="00FC3FF5">
        <w:rPr>
          <w:lang w:val="en-US"/>
        </w:rPr>
        <w:t xml:space="preserve"> Goff, </w:t>
      </w:r>
      <w:r w:rsidR="00FC3FF5" w:rsidRPr="00FC3FF5">
        <w:rPr>
          <w:i/>
          <w:lang w:val="en-US"/>
        </w:rPr>
        <w:t>The Birth of Purgatory</w:t>
      </w:r>
      <w:r w:rsidR="00FC3FF5" w:rsidRPr="00FC3FF5">
        <w:rPr>
          <w:lang w:val="en-US"/>
        </w:rPr>
        <w:t xml:space="preserve">, translated by A. </w:t>
      </w:r>
      <w:proofErr w:type="spellStart"/>
      <w:r w:rsidR="00FC3FF5" w:rsidRPr="00FC3FF5">
        <w:rPr>
          <w:lang w:val="en-US"/>
        </w:rPr>
        <w:t>Goldhammer</w:t>
      </w:r>
      <w:proofErr w:type="spellEnd"/>
      <w:r w:rsidR="00FC3FF5" w:rsidRPr="00FC3FF5">
        <w:rPr>
          <w:lang w:val="en-US"/>
        </w:rPr>
        <w:t xml:space="preserve"> (Chicago, 1984).</w:t>
      </w:r>
      <w:r w:rsidR="00FC3FF5">
        <w:rPr>
          <w:lang w:val="en-US"/>
        </w:rPr>
        <w:t xml:space="preserve"> p.26</w:t>
      </w:r>
    </w:p>
  </w:footnote>
  <w:footnote w:id="4">
    <w:p w:rsidR="002C4E4B" w:rsidRDefault="002C4E4B">
      <w:pPr>
        <w:pStyle w:val="FootnoteText"/>
      </w:pPr>
      <w:r>
        <w:rPr>
          <w:rStyle w:val="FootnoteReference"/>
        </w:rPr>
        <w:footnoteRef/>
      </w:r>
      <w:r>
        <w:t xml:space="preserve"> </w:t>
      </w:r>
      <w:r w:rsidR="0032721A" w:rsidRPr="0032721A">
        <w:t xml:space="preserve">A. Weir, </w:t>
      </w:r>
      <w:proofErr w:type="gramStart"/>
      <w:r w:rsidR="0032721A" w:rsidRPr="0032721A">
        <w:rPr>
          <w:i/>
        </w:rPr>
        <w:t>The</w:t>
      </w:r>
      <w:proofErr w:type="gramEnd"/>
      <w:r w:rsidR="0032721A" w:rsidRPr="0032721A">
        <w:rPr>
          <w:i/>
        </w:rPr>
        <w:t xml:space="preserve"> Wars of the Roses </w:t>
      </w:r>
      <w:r w:rsidR="0032721A" w:rsidRPr="0032721A">
        <w:t xml:space="preserve">(London: Jonathan Cape, 1995). </w:t>
      </w:r>
      <w:proofErr w:type="gramStart"/>
      <w:r w:rsidR="0032721A" w:rsidRPr="0032721A">
        <w:t>pp.412-413</w:t>
      </w:r>
      <w:proofErr w:type="gramEnd"/>
      <w:r w:rsidR="00FB2A23">
        <w:t>.</w:t>
      </w:r>
    </w:p>
  </w:footnote>
  <w:footnote w:id="5">
    <w:p w:rsidR="00473D5E" w:rsidRDefault="00473D5E">
      <w:pPr>
        <w:pStyle w:val="FootnoteText"/>
      </w:pPr>
      <w:r>
        <w:rPr>
          <w:rStyle w:val="FootnoteReference"/>
        </w:rPr>
        <w:footnoteRef/>
      </w:r>
      <w:r>
        <w:t xml:space="preserve"> </w:t>
      </w:r>
      <w:r w:rsidRPr="00473D5E">
        <w:t xml:space="preserve">J. Casey, </w:t>
      </w:r>
      <w:r w:rsidRPr="00473D5E">
        <w:rPr>
          <w:i/>
        </w:rPr>
        <w:t xml:space="preserve">Afterlives: A Guide to Heaven, Hell and Purgatory </w:t>
      </w:r>
      <w:r w:rsidRPr="00473D5E">
        <w:t>(Oxford: Oxford University Press, 2009).</w:t>
      </w:r>
    </w:p>
  </w:footnote>
  <w:footnote w:id="6">
    <w:p w:rsidR="00D35211" w:rsidRPr="0032721A" w:rsidRDefault="00D35211">
      <w:pPr>
        <w:pStyle w:val="FootnoteText"/>
      </w:pPr>
      <w:r>
        <w:rPr>
          <w:rStyle w:val="FootnoteReference"/>
        </w:rPr>
        <w:footnoteRef/>
      </w:r>
      <w:r>
        <w:t xml:space="preserve"> </w:t>
      </w:r>
      <w:r w:rsidR="0032721A">
        <w:t xml:space="preserve">D. Wilson, </w:t>
      </w:r>
      <w:proofErr w:type="gramStart"/>
      <w:r w:rsidR="0032721A">
        <w:rPr>
          <w:i/>
        </w:rPr>
        <w:t>The</w:t>
      </w:r>
      <w:proofErr w:type="gramEnd"/>
      <w:r w:rsidR="0032721A">
        <w:rPr>
          <w:i/>
        </w:rPr>
        <w:t xml:space="preserve"> English Reformation </w:t>
      </w:r>
      <w:r w:rsidR="0032721A">
        <w:t xml:space="preserve">(London: Constable &amp; Robinson Ltd, 2012). </w:t>
      </w:r>
      <w:proofErr w:type="gramStart"/>
      <w:r w:rsidR="0032721A">
        <w:t>pp.302-305</w:t>
      </w:r>
      <w:proofErr w:type="gramEnd"/>
      <w:r w:rsidR="0032721A">
        <w:t>.</w:t>
      </w:r>
    </w:p>
  </w:footnote>
  <w:footnote w:id="7">
    <w:p w:rsidR="00181479" w:rsidRPr="00181479" w:rsidRDefault="00806066" w:rsidP="00181479">
      <w:pPr>
        <w:pStyle w:val="FootnoteText"/>
        <w:rPr>
          <w:lang w:val="en-US"/>
        </w:rPr>
      </w:pPr>
      <w:r>
        <w:rPr>
          <w:rStyle w:val="FootnoteReference"/>
        </w:rPr>
        <w:footnoteRef/>
      </w:r>
      <w:r>
        <w:t xml:space="preserve"> </w:t>
      </w:r>
      <w:r w:rsidR="009E5584">
        <w:rPr>
          <w:lang w:val="en-US"/>
        </w:rPr>
        <w:t>E. Duffy,</w:t>
      </w:r>
      <w:r w:rsidR="00181479" w:rsidRPr="00181479">
        <w:rPr>
          <w:lang w:val="en-US"/>
        </w:rPr>
        <w:t xml:space="preserve"> </w:t>
      </w:r>
      <w:proofErr w:type="gramStart"/>
      <w:r w:rsidR="00181479" w:rsidRPr="00181479">
        <w:rPr>
          <w:i/>
          <w:lang w:val="en-US"/>
        </w:rPr>
        <w:t>The</w:t>
      </w:r>
      <w:proofErr w:type="gramEnd"/>
      <w:r w:rsidR="00181479" w:rsidRPr="00181479">
        <w:rPr>
          <w:i/>
          <w:lang w:val="en-US"/>
        </w:rPr>
        <w:t xml:space="preserve"> Stripping of the Altars: Traditional Religion in England 1400-1580 </w:t>
      </w:r>
      <w:r w:rsidR="00181479" w:rsidRPr="00181479">
        <w:rPr>
          <w:lang w:val="en-US"/>
        </w:rPr>
        <w:t>(New Haven and London, 1992).</w:t>
      </w:r>
    </w:p>
    <w:p w:rsidR="00806066" w:rsidRDefault="00806066">
      <w:pPr>
        <w:pStyle w:val="FootnoteText"/>
      </w:pPr>
    </w:p>
  </w:footnote>
  <w:footnote w:id="8">
    <w:p w:rsidR="00CF3F9C" w:rsidRDefault="00CF3F9C">
      <w:pPr>
        <w:pStyle w:val="FootnoteText"/>
      </w:pPr>
      <w:r>
        <w:rPr>
          <w:rStyle w:val="FootnoteReference"/>
        </w:rPr>
        <w:footnoteRef/>
      </w:r>
      <w:r>
        <w:t xml:space="preserve"> </w:t>
      </w:r>
      <w:r w:rsidRPr="00CF3F9C">
        <w:rPr>
          <w:lang w:val="en-US"/>
        </w:rPr>
        <w:t xml:space="preserve">C. </w:t>
      </w:r>
      <w:proofErr w:type="spellStart"/>
      <w:r w:rsidRPr="00CF3F9C">
        <w:rPr>
          <w:lang w:val="en-US"/>
        </w:rPr>
        <w:t>Gittings</w:t>
      </w:r>
      <w:proofErr w:type="spellEnd"/>
      <w:r w:rsidRPr="00CF3F9C">
        <w:rPr>
          <w:lang w:val="en-US"/>
        </w:rPr>
        <w:t xml:space="preserve">, </w:t>
      </w:r>
      <w:r w:rsidRPr="00CF3F9C">
        <w:rPr>
          <w:i/>
          <w:lang w:val="en-US"/>
        </w:rPr>
        <w:t>Death in England: An Illustrated History</w:t>
      </w:r>
      <w:r w:rsidRPr="00CF3F9C">
        <w:rPr>
          <w:lang w:val="en-US"/>
        </w:rPr>
        <w:t xml:space="preserve"> (Manchester, 1999).</w:t>
      </w:r>
      <w:r>
        <w:rPr>
          <w:lang w:val="en-US"/>
        </w:rPr>
        <w:t xml:space="preserve"> p.60</w:t>
      </w:r>
    </w:p>
  </w:footnote>
  <w:footnote w:id="9">
    <w:p w:rsidR="009E5584" w:rsidRPr="009E5584" w:rsidRDefault="009E5584" w:rsidP="009E5584">
      <w:pPr>
        <w:pStyle w:val="FootnoteText"/>
        <w:rPr>
          <w:lang w:val="en-US"/>
        </w:rPr>
      </w:pPr>
      <w:r>
        <w:rPr>
          <w:rStyle w:val="FootnoteReference"/>
        </w:rPr>
        <w:footnoteRef/>
      </w:r>
      <w:r>
        <w:t xml:space="preserve"> </w:t>
      </w:r>
      <w:r>
        <w:rPr>
          <w:lang w:val="en-US"/>
        </w:rPr>
        <w:t xml:space="preserve">C. </w:t>
      </w:r>
      <w:proofErr w:type="spellStart"/>
      <w:r>
        <w:rPr>
          <w:lang w:val="en-US"/>
        </w:rPr>
        <w:t>Daniell</w:t>
      </w:r>
      <w:proofErr w:type="spellEnd"/>
      <w:r>
        <w:rPr>
          <w:lang w:val="en-US"/>
        </w:rPr>
        <w:t>,</w:t>
      </w:r>
      <w:r w:rsidRPr="009E5584">
        <w:rPr>
          <w:lang w:val="en-US"/>
        </w:rPr>
        <w:t xml:space="preserve"> </w:t>
      </w:r>
      <w:r w:rsidRPr="009E5584">
        <w:rPr>
          <w:i/>
          <w:lang w:val="en-US"/>
        </w:rPr>
        <w:t>Death and Burial in Medieval England 1066-1550</w:t>
      </w:r>
      <w:r w:rsidRPr="009E5584">
        <w:rPr>
          <w:lang w:val="en-US"/>
        </w:rPr>
        <w:t xml:space="preserve"> (London, 1998).</w:t>
      </w:r>
      <w:r>
        <w:rPr>
          <w:lang w:val="en-US"/>
        </w:rPr>
        <w:t xml:space="preserve"> </w:t>
      </w:r>
      <w:proofErr w:type="gramStart"/>
      <w:r>
        <w:rPr>
          <w:lang w:val="en-US"/>
        </w:rPr>
        <w:t>pp.53-60</w:t>
      </w:r>
      <w:proofErr w:type="gramEnd"/>
      <w:r>
        <w:rPr>
          <w:lang w:val="en-US"/>
        </w:rPr>
        <w:t>.</w:t>
      </w:r>
    </w:p>
    <w:p w:rsidR="009E5584" w:rsidRDefault="009E5584">
      <w:pPr>
        <w:pStyle w:val="FootnoteText"/>
      </w:pPr>
    </w:p>
  </w:footnote>
  <w:footnote w:id="10">
    <w:p w:rsidR="008247EC" w:rsidRPr="008247EC" w:rsidRDefault="00FF5948" w:rsidP="008247EC">
      <w:pPr>
        <w:pStyle w:val="FootnoteText"/>
      </w:pPr>
      <w:r>
        <w:rPr>
          <w:rStyle w:val="FootnoteReference"/>
        </w:rPr>
        <w:footnoteRef/>
      </w:r>
      <w:r>
        <w:t xml:space="preserve"> </w:t>
      </w:r>
      <w:r w:rsidR="008247EC" w:rsidRPr="008247EC">
        <w:t xml:space="preserve">William Caxton, </w:t>
      </w:r>
      <w:proofErr w:type="gramStart"/>
      <w:r w:rsidR="008247EC" w:rsidRPr="008247EC">
        <w:rPr>
          <w:i/>
        </w:rPr>
        <w:t>The</w:t>
      </w:r>
      <w:proofErr w:type="gramEnd"/>
      <w:r w:rsidR="008247EC" w:rsidRPr="008247EC">
        <w:rPr>
          <w:i/>
        </w:rPr>
        <w:t xml:space="preserve"> Art and Craft to Know Well to Die. </w:t>
      </w:r>
      <w:r w:rsidR="008247EC" w:rsidRPr="008247EC">
        <w:t>(London: Clarendon Press, 1990).</w:t>
      </w:r>
    </w:p>
    <w:p w:rsidR="00FF5948" w:rsidRDefault="00FF5948">
      <w:pPr>
        <w:pStyle w:val="FootnoteText"/>
      </w:pPr>
    </w:p>
  </w:footnote>
  <w:footnote w:id="11">
    <w:p w:rsidR="00AF59D9" w:rsidRPr="00AF59D9" w:rsidRDefault="00AF59D9">
      <w:pPr>
        <w:pStyle w:val="FootnoteText"/>
      </w:pPr>
      <w:r>
        <w:rPr>
          <w:rStyle w:val="FootnoteReference"/>
        </w:rPr>
        <w:footnoteRef/>
      </w:r>
      <w:r>
        <w:t xml:space="preserve"> P. Ellis, </w:t>
      </w:r>
      <w:proofErr w:type="gramStart"/>
      <w:r>
        <w:rPr>
          <w:i/>
        </w:rPr>
        <w:t>The</w:t>
      </w:r>
      <w:proofErr w:type="gramEnd"/>
      <w:r>
        <w:rPr>
          <w:i/>
        </w:rPr>
        <w:t xml:space="preserve"> Perfect Medieval Death </w:t>
      </w:r>
      <w:r>
        <w:t>(Oxford: Oxford University Press, 2002). p.114.</w:t>
      </w:r>
    </w:p>
  </w:footnote>
  <w:footnote w:id="12">
    <w:p w:rsidR="00F004E4" w:rsidRDefault="00F004E4">
      <w:pPr>
        <w:pStyle w:val="FootnoteText"/>
      </w:pPr>
      <w:r>
        <w:rPr>
          <w:rStyle w:val="FootnoteReference"/>
        </w:rPr>
        <w:footnoteRef/>
      </w:r>
      <w:r>
        <w:t xml:space="preserve"> </w:t>
      </w:r>
      <w:r w:rsidR="00D554D7">
        <w:t>K. Nash</w:t>
      </w:r>
      <w:r w:rsidR="00D554D7" w:rsidRPr="00D554D7">
        <w:t>, ‘Knight’s Biography of William Caxton’, Monthly Review, vol.3 (1946), p.34.</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66F75" w:rsidRDefault="00066F75">
    <w:pPr>
      <w:pStyle w:val="Header"/>
    </w:pPr>
    <w:r>
      <w:t>HPHI6013</w:t>
    </w:r>
    <w:r>
      <w:tab/>
    </w:r>
    <w:r>
      <w:tab/>
      <w:t>Jordan James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6F75"/>
    <w:rsid w:val="000409DC"/>
    <w:rsid w:val="00040C6A"/>
    <w:rsid w:val="00066F75"/>
    <w:rsid w:val="00071F2E"/>
    <w:rsid w:val="000A458F"/>
    <w:rsid w:val="000B72E4"/>
    <w:rsid w:val="00121F36"/>
    <w:rsid w:val="00127DB5"/>
    <w:rsid w:val="001319AD"/>
    <w:rsid w:val="0013398B"/>
    <w:rsid w:val="00164A3D"/>
    <w:rsid w:val="001662D9"/>
    <w:rsid w:val="00181479"/>
    <w:rsid w:val="00183887"/>
    <w:rsid w:val="00194F13"/>
    <w:rsid w:val="00195CB7"/>
    <w:rsid w:val="001B0E36"/>
    <w:rsid w:val="001D3AF2"/>
    <w:rsid w:val="001E68C1"/>
    <w:rsid w:val="00212AB9"/>
    <w:rsid w:val="00212CBF"/>
    <w:rsid w:val="002337F8"/>
    <w:rsid w:val="0023571C"/>
    <w:rsid w:val="0024182C"/>
    <w:rsid w:val="00242980"/>
    <w:rsid w:val="002716A0"/>
    <w:rsid w:val="002A27A8"/>
    <w:rsid w:val="002B262C"/>
    <w:rsid w:val="002B3284"/>
    <w:rsid w:val="002C4E4B"/>
    <w:rsid w:val="00312553"/>
    <w:rsid w:val="00316C73"/>
    <w:rsid w:val="0032721A"/>
    <w:rsid w:val="003306A2"/>
    <w:rsid w:val="00340599"/>
    <w:rsid w:val="00343B2B"/>
    <w:rsid w:val="00360D78"/>
    <w:rsid w:val="003B666B"/>
    <w:rsid w:val="003F52B1"/>
    <w:rsid w:val="004001CC"/>
    <w:rsid w:val="00426CFE"/>
    <w:rsid w:val="00437629"/>
    <w:rsid w:val="00473D5E"/>
    <w:rsid w:val="004B6F95"/>
    <w:rsid w:val="004C4A47"/>
    <w:rsid w:val="004D76B4"/>
    <w:rsid w:val="004E3231"/>
    <w:rsid w:val="0051594B"/>
    <w:rsid w:val="00560D60"/>
    <w:rsid w:val="00563BA3"/>
    <w:rsid w:val="00576EDE"/>
    <w:rsid w:val="005C7A01"/>
    <w:rsid w:val="005D0273"/>
    <w:rsid w:val="005D4511"/>
    <w:rsid w:val="005F0636"/>
    <w:rsid w:val="00622B68"/>
    <w:rsid w:val="00655EB6"/>
    <w:rsid w:val="006967AF"/>
    <w:rsid w:val="006B2B97"/>
    <w:rsid w:val="006C2A3B"/>
    <w:rsid w:val="00703349"/>
    <w:rsid w:val="0071333F"/>
    <w:rsid w:val="0072781B"/>
    <w:rsid w:val="00730248"/>
    <w:rsid w:val="00753AAE"/>
    <w:rsid w:val="00760A8C"/>
    <w:rsid w:val="00764CA6"/>
    <w:rsid w:val="007A5022"/>
    <w:rsid w:val="007B7271"/>
    <w:rsid w:val="007D04FB"/>
    <w:rsid w:val="007D3A0F"/>
    <w:rsid w:val="007E0648"/>
    <w:rsid w:val="007F4054"/>
    <w:rsid w:val="00800552"/>
    <w:rsid w:val="00803BE3"/>
    <w:rsid w:val="00806066"/>
    <w:rsid w:val="008068FF"/>
    <w:rsid w:val="00822F79"/>
    <w:rsid w:val="008247EC"/>
    <w:rsid w:val="00832C9D"/>
    <w:rsid w:val="00833D74"/>
    <w:rsid w:val="00853D72"/>
    <w:rsid w:val="008569D7"/>
    <w:rsid w:val="00864DEA"/>
    <w:rsid w:val="008831C5"/>
    <w:rsid w:val="008860B8"/>
    <w:rsid w:val="00886C4F"/>
    <w:rsid w:val="008A1DA9"/>
    <w:rsid w:val="008A1FA1"/>
    <w:rsid w:val="008D0D41"/>
    <w:rsid w:val="009957A0"/>
    <w:rsid w:val="00995AD8"/>
    <w:rsid w:val="009E5584"/>
    <w:rsid w:val="009E62C5"/>
    <w:rsid w:val="009F5886"/>
    <w:rsid w:val="009F58EB"/>
    <w:rsid w:val="00A1003F"/>
    <w:rsid w:val="00A23958"/>
    <w:rsid w:val="00A26FE7"/>
    <w:rsid w:val="00A43E9B"/>
    <w:rsid w:val="00A5399D"/>
    <w:rsid w:val="00A5594A"/>
    <w:rsid w:val="00A5677C"/>
    <w:rsid w:val="00A62B98"/>
    <w:rsid w:val="00A96DD7"/>
    <w:rsid w:val="00AA1B74"/>
    <w:rsid w:val="00AC0444"/>
    <w:rsid w:val="00AE31D6"/>
    <w:rsid w:val="00AF22A9"/>
    <w:rsid w:val="00AF59D9"/>
    <w:rsid w:val="00B10B5A"/>
    <w:rsid w:val="00B216A1"/>
    <w:rsid w:val="00B77ED4"/>
    <w:rsid w:val="00BB2973"/>
    <w:rsid w:val="00BB6FAD"/>
    <w:rsid w:val="00BD00BD"/>
    <w:rsid w:val="00BD14D5"/>
    <w:rsid w:val="00BE544E"/>
    <w:rsid w:val="00C11561"/>
    <w:rsid w:val="00C5609F"/>
    <w:rsid w:val="00C66329"/>
    <w:rsid w:val="00CC18C6"/>
    <w:rsid w:val="00CF3F9C"/>
    <w:rsid w:val="00D24E89"/>
    <w:rsid w:val="00D34049"/>
    <w:rsid w:val="00D35211"/>
    <w:rsid w:val="00D554D7"/>
    <w:rsid w:val="00D6414E"/>
    <w:rsid w:val="00D669F9"/>
    <w:rsid w:val="00D72152"/>
    <w:rsid w:val="00DE441C"/>
    <w:rsid w:val="00E130F4"/>
    <w:rsid w:val="00E53ADB"/>
    <w:rsid w:val="00E626F4"/>
    <w:rsid w:val="00E637AB"/>
    <w:rsid w:val="00EB6BC9"/>
    <w:rsid w:val="00ED65FC"/>
    <w:rsid w:val="00EE7956"/>
    <w:rsid w:val="00F004E4"/>
    <w:rsid w:val="00F26257"/>
    <w:rsid w:val="00F27D4A"/>
    <w:rsid w:val="00F301B0"/>
    <w:rsid w:val="00F30D74"/>
    <w:rsid w:val="00F332CC"/>
    <w:rsid w:val="00FB2A23"/>
    <w:rsid w:val="00FC3FF5"/>
    <w:rsid w:val="00FD64D1"/>
    <w:rsid w:val="00FF5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873F5F1-CF06-4935-89A4-FE3827C68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6329"/>
    <w:pPr>
      <w:keepNext/>
      <w:keepLines/>
      <w:spacing w:before="240" w:after="0"/>
      <w:outlineLvl w:val="0"/>
    </w:pPr>
    <w:rPr>
      <w:rFonts w:asciiTheme="majorHAnsi" w:eastAsiaTheme="majorEastAsia" w:hAnsiTheme="majorHAnsi" w:cstheme="majorBidi"/>
      <w:color w:val="0B5294"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6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F75"/>
  </w:style>
  <w:style w:type="paragraph" w:styleId="Footer">
    <w:name w:val="footer"/>
    <w:basedOn w:val="Normal"/>
    <w:link w:val="FooterChar"/>
    <w:uiPriority w:val="99"/>
    <w:unhideWhenUsed/>
    <w:rsid w:val="00066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F75"/>
  </w:style>
  <w:style w:type="character" w:customStyle="1" w:styleId="Heading1Char">
    <w:name w:val="Heading 1 Char"/>
    <w:basedOn w:val="DefaultParagraphFont"/>
    <w:link w:val="Heading1"/>
    <w:uiPriority w:val="9"/>
    <w:rsid w:val="00C66329"/>
    <w:rPr>
      <w:rFonts w:asciiTheme="majorHAnsi" w:eastAsiaTheme="majorEastAsia" w:hAnsiTheme="majorHAnsi" w:cstheme="majorBidi"/>
      <w:color w:val="0B5294" w:themeColor="accent1" w:themeShade="BF"/>
      <w:sz w:val="32"/>
      <w:szCs w:val="32"/>
    </w:rPr>
  </w:style>
  <w:style w:type="character" w:styleId="IntenseEmphasis">
    <w:name w:val="Intense Emphasis"/>
    <w:basedOn w:val="DefaultParagraphFont"/>
    <w:uiPriority w:val="21"/>
    <w:qFormat/>
    <w:rsid w:val="00C66329"/>
    <w:rPr>
      <w:i/>
      <w:iCs/>
      <w:color w:val="0F6FC6" w:themeColor="accent1"/>
    </w:rPr>
  </w:style>
  <w:style w:type="paragraph" w:styleId="IntenseQuote">
    <w:name w:val="Intense Quote"/>
    <w:basedOn w:val="Normal"/>
    <w:next w:val="Normal"/>
    <w:link w:val="IntenseQuoteChar"/>
    <w:uiPriority w:val="30"/>
    <w:qFormat/>
    <w:rsid w:val="00C66329"/>
    <w:pPr>
      <w:pBdr>
        <w:top w:val="single" w:sz="4" w:space="10" w:color="0F6FC6" w:themeColor="accent1"/>
        <w:bottom w:val="single" w:sz="4" w:space="10" w:color="0F6FC6" w:themeColor="accent1"/>
      </w:pBdr>
      <w:spacing w:before="360" w:after="360"/>
      <w:ind w:left="864" w:right="864"/>
      <w:jc w:val="center"/>
    </w:pPr>
    <w:rPr>
      <w:i/>
      <w:iCs/>
      <w:color w:val="0F6FC6" w:themeColor="accent1"/>
    </w:rPr>
  </w:style>
  <w:style w:type="character" w:customStyle="1" w:styleId="IntenseQuoteChar">
    <w:name w:val="Intense Quote Char"/>
    <w:basedOn w:val="DefaultParagraphFont"/>
    <w:link w:val="IntenseQuote"/>
    <w:uiPriority w:val="30"/>
    <w:rsid w:val="00C66329"/>
    <w:rPr>
      <w:i/>
      <w:iCs/>
      <w:color w:val="0F6FC6" w:themeColor="accent1"/>
    </w:rPr>
  </w:style>
  <w:style w:type="paragraph" w:styleId="FootnoteText">
    <w:name w:val="footnote text"/>
    <w:basedOn w:val="Normal"/>
    <w:link w:val="FootnoteTextChar"/>
    <w:uiPriority w:val="99"/>
    <w:semiHidden/>
    <w:unhideWhenUsed/>
    <w:rsid w:val="00C115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1561"/>
    <w:rPr>
      <w:sz w:val="20"/>
      <w:szCs w:val="20"/>
    </w:rPr>
  </w:style>
  <w:style w:type="character" w:styleId="FootnoteReference">
    <w:name w:val="footnote reference"/>
    <w:basedOn w:val="DefaultParagraphFont"/>
    <w:uiPriority w:val="99"/>
    <w:semiHidden/>
    <w:unhideWhenUsed/>
    <w:rsid w:val="00C11561"/>
    <w:rPr>
      <w:vertAlign w:val="superscript"/>
    </w:rPr>
  </w:style>
  <w:style w:type="character" w:styleId="Hyperlink">
    <w:name w:val="Hyperlink"/>
    <w:basedOn w:val="DefaultParagraphFont"/>
    <w:uiPriority w:val="99"/>
    <w:unhideWhenUsed/>
    <w:rsid w:val="00864DEA"/>
    <w:rPr>
      <w:color w:val="F49100"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medievalists.net/2014/10/memento-mori-medieval-images-death/"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122B4-A30C-4EDB-A349-D0ABCD24D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830</TotalTime>
  <Pages>19</Pages>
  <Words>3962</Words>
  <Characters>22589</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James</dc:creator>
  <cp:keywords/>
  <dc:description/>
  <cp:lastModifiedBy>Jordan James</cp:lastModifiedBy>
  <cp:revision>415</cp:revision>
  <dcterms:created xsi:type="dcterms:W3CDTF">2019-01-31T13:42:00Z</dcterms:created>
  <dcterms:modified xsi:type="dcterms:W3CDTF">2019-02-01T23:29:00Z</dcterms:modified>
</cp:coreProperties>
</file>