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3B0A910" w14:textId="77777777" w:rsidR="001325C4" w:rsidRDefault="007449CA">
      <w:pPr>
        <w:spacing w:after="200" w:line="360" w:lineRule="auto"/>
        <w:jc w:val="both"/>
      </w:pPr>
      <w:r>
        <w:rPr>
          <w:noProof/>
        </w:rPr>
        <w:drawing>
          <wp:inline distT="114300" distB="114300" distL="114300" distR="114300" wp14:anchorId="71EBD526" wp14:editId="7F5CF5EE">
            <wp:extent cx="2089547" cy="928688"/>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7"/>
                    <a:srcRect/>
                    <a:stretch>
                      <a:fillRect/>
                    </a:stretch>
                  </pic:blipFill>
                  <pic:spPr>
                    <a:xfrm>
                      <a:off x="0" y="0"/>
                      <a:ext cx="2089547" cy="928688"/>
                    </a:xfrm>
                    <a:prstGeom prst="rect">
                      <a:avLst/>
                    </a:prstGeom>
                    <a:ln/>
                  </pic:spPr>
                </pic:pic>
              </a:graphicData>
            </a:graphic>
          </wp:inline>
        </w:drawing>
      </w:r>
    </w:p>
    <w:p w14:paraId="7B52784A" w14:textId="77777777" w:rsidR="001325C4" w:rsidRDefault="007449CA">
      <w:pPr>
        <w:widowControl w:val="0"/>
        <w:spacing w:after="200" w:line="360" w:lineRule="auto"/>
        <w:jc w:val="center"/>
      </w:pPr>
      <w:r>
        <w:rPr>
          <w:b/>
          <w:bCs/>
        </w:rPr>
        <w:t>NAME: STEPHEN ADEKUNLE ADENEKAN ADUNNI</w:t>
      </w:r>
    </w:p>
    <w:p w14:paraId="25DDB8E7" w14:textId="77777777" w:rsidR="001325C4" w:rsidRDefault="001325C4">
      <w:pPr>
        <w:widowControl w:val="0"/>
        <w:spacing w:after="200" w:line="360" w:lineRule="auto"/>
        <w:jc w:val="center"/>
      </w:pPr>
    </w:p>
    <w:p w14:paraId="460B3FB9" w14:textId="77777777" w:rsidR="001325C4" w:rsidRDefault="007449CA">
      <w:pPr>
        <w:widowControl w:val="0"/>
        <w:spacing w:after="200" w:line="360" w:lineRule="auto"/>
        <w:jc w:val="center"/>
      </w:pPr>
      <w:r>
        <w:rPr>
          <w:b/>
          <w:bCs/>
        </w:rPr>
        <w:t>STUDENT NUMBER:  2325452</w:t>
      </w:r>
    </w:p>
    <w:p w14:paraId="389872D3" w14:textId="77777777" w:rsidR="001325C4" w:rsidRDefault="001325C4">
      <w:pPr>
        <w:widowControl w:val="0"/>
        <w:spacing w:after="200" w:line="360" w:lineRule="auto"/>
        <w:ind w:right="1004"/>
        <w:jc w:val="center"/>
        <w:rPr>
          <w:b/>
          <w:bCs/>
        </w:rPr>
      </w:pPr>
    </w:p>
    <w:p w14:paraId="4B79E198" w14:textId="77777777" w:rsidR="001325C4" w:rsidRDefault="007449CA">
      <w:pPr>
        <w:widowControl w:val="0"/>
        <w:spacing w:after="200" w:line="360" w:lineRule="auto"/>
        <w:ind w:right="1004"/>
        <w:jc w:val="center"/>
        <w:rPr>
          <w:b/>
          <w:bCs/>
        </w:rPr>
      </w:pPr>
      <w:r>
        <w:rPr>
          <w:b/>
          <w:bCs/>
        </w:rPr>
        <w:t>LEVEL 6 ASSESSMENT</w:t>
      </w:r>
    </w:p>
    <w:p w14:paraId="1DD04F00" w14:textId="77777777" w:rsidR="001325C4" w:rsidRDefault="001325C4">
      <w:pPr>
        <w:widowControl w:val="0"/>
        <w:spacing w:after="200" w:line="360" w:lineRule="auto"/>
        <w:jc w:val="center"/>
      </w:pPr>
    </w:p>
    <w:p w14:paraId="5B73711D" w14:textId="77777777" w:rsidR="001325C4" w:rsidRDefault="007449CA">
      <w:pPr>
        <w:widowControl w:val="0"/>
        <w:spacing w:after="200" w:line="360" w:lineRule="auto"/>
        <w:ind w:left="129"/>
        <w:jc w:val="center"/>
        <w:rPr>
          <w:b/>
          <w:bCs/>
        </w:rPr>
      </w:pPr>
      <w:proofErr w:type="spellStart"/>
      <w:r>
        <w:rPr>
          <w:b/>
          <w:bCs/>
        </w:rPr>
        <w:t>Programme</w:t>
      </w:r>
      <w:proofErr w:type="spellEnd"/>
      <w:r>
        <w:rPr>
          <w:b/>
          <w:bCs/>
        </w:rPr>
        <w:t>: BA (Hons) Leadership and Management Skills for the Workplace</w:t>
      </w:r>
    </w:p>
    <w:p w14:paraId="76C755A0" w14:textId="77777777" w:rsidR="001325C4" w:rsidRDefault="001325C4">
      <w:pPr>
        <w:widowControl w:val="0"/>
        <w:spacing w:after="200" w:line="360" w:lineRule="auto"/>
        <w:ind w:left="129"/>
        <w:jc w:val="center"/>
        <w:rPr>
          <w:b/>
          <w:bCs/>
        </w:rPr>
      </w:pPr>
    </w:p>
    <w:p w14:paraId="582CD123" w14:textId="77777777" w:rsidR="001325C4" w:rsidRDefault="007449CA">
      <w:pPr>
        <w:widowControl w:val="0"/>
        <w:spacing w:after="200" w:line="360" w:lineRule="auto"/>
        <w:ind w:left="128"/>
        <w:jc w:val="center"/>
        <w:rPr>
          <w:b/>
          <w:bCs/>
        </w:rPr>
      </w:pPr>
      <w:r>
        <w:rPr>
          <w:b/>
          <w:bCs/>
        </w:rPr>
        <w:t>Module Title: Leading and Implementing Change (LIC)</w:t>
      </w:r>
    </w:p>
    <w:p w14:paraId="4A6008DA" w14:textId="77777777" w:rsidR="001325C4" w:rsidRDefault="001325C4">
      <w:pPr>
        <w:widowControl w:val="0"/>
        <w:spacing w:after="200" w:line="360" w:lineRule="auto"/>
        <w:ind w:left="128"/>
        <w:jc w:val="center"/>
        <w:rPr>
          <w:b/>
          <w:bCs/>
        </w:rPr>
      </w:pPr>
    </w:p>
    <w:p w14:paraId="61406491" w14:textId="77777777" w:rsidR="001325C4" w:rsidRDefault="007449CA">
      <w:pPr>
        <w:widowControl w:val="0"/>
        <w:spacing w:after="200" w:line="360" w:lineRule="auto"/>
        <w:ind w:left="128"/>
        <w:jc w:val="center"/>
        <w:rPr>
          <w:b/>
          <w:bCs/>
        </w:rPr>
      </w:pPr>
      <w:r>
        <w:rPr>
          <w:b/>
          <w:bCs/>
        </w:rPr>
        <w:t>Module Code: LCLM 6003 </w:t>
      </w:r>
    </w:p>
    <w:p w14:paraId="7E5EF28D" w14:textId="77777777" w:rsidR="001325C4" w:rsidRDefault="001325C4">
      <w:pPr>
        <w:widowControl w:val="0"/>
        <w:spacing w:after="200" w:line="360" w:lineRule="auto"/>
        <w:ind w:left="128"/>
        <w:jc w:val="center"/>
        <w:rPr>
          <w:b/>
          <w:bCs/>
        </w:rPr>
      </w:pPr>
    </w:p>
    <w:p w14:paraId="1B8C104C" w14:textId="77777777" w:rsidR="001325C4" w:rsidRDefault="007449CA">
      <w:pPr>
        <w:widowControl w:val="0"/>
        <w:spacing w:after="200" w:line="360" w:lineRule="auto"/>
        <w:ind w:left="128"/>
        <w:jc w:val="center"/>
        <w:rPr>
          <w:b/>
          <w:bCs/>
        </w:rPr>
      </w:pPr>
      <w:r>
        <w:rPr>
          <w:b/>
          <w:bCs/>
        </w:rPr>
        <w:t>Lecturer’s Name: Dr Nadeem Mirza</w:t>
      </w:r>
    </w:p>
    <w:p w14:paraId="6759FDDC" w14:textId="77777777" w:rsidR="001325C4" w:rsidRDefault="001325C4">
      <w:pPr>
        <w:widowControl w:val="0"/>
        <w:spacing w:after="200" w:line="360" w:lineRule="auto"/>
        <w:ind w:left="128"/>
        <w:jc w:val="center"/>
        <w:rPr>
          <w:b/>
          <w:bCs/>
        </w:rPr>
      </w:pPr>
    </w:p>
    <w:p w14:paraId="026CE15A" w14:textId="77777777" w:rsidR="001325C4" w:rsidRDefault="007449CA">
      <w:pPr>
        <w:spacing w:after="200" w:line="360" w:lineRule="auto"/>
        <w:ind w:left="720" w:firstLine="720"/>
        <w:jc w:val="center"/>
        <w:rPr>
          <w:b/>
          <w:bCs/>
        </w:rPr>
      </w:pPr>
      <w:r>
        <w:rPr>
          <w:b/>
          <w:bCs/>
        </w:rPr>
        <w:t>Assignment Title: A Strategic Change Plan: TOYOTA as a case study</w:t>
      </w:r>
    </w:p>
    <w:p w14:paraId="260DF9E9" w14:textId="77777777" w:rsidR="001325C4" w:rsidRDefault="001325C4">
      <w:pPr>
        <w:spacing w:after="200" w:line="360" w:lineRule="auto"/>
        <w:ind w:left="720"/>
        <w:jc w:val="center"/>
        <w:rPr>
          <w:b/>
          <w:bCs/>
        </w:rPr>
      </w:pPr>
    </w:p>
    <w:p w14:paraId="01392CAD" w14:textId="77777777" w:rsidR="001325C4" w:rsidRDefault="001325C4">
      <w:pPr>
        <w:spacing w:after="200" w:line="360" w:lineRule="auto"/>
        <w:jc w:val="both"/>
        <w:rPr>
          <w:b/>
          <w:bCs/>
        </w:rPr>
      </w:pPr>
    </w:p>
    <w:p w14:paraId="0973A8D7" w14:textId="77777777" w:rsidR="001325C4" w:rsidRDefault="001325C4">
      <w:pPr>
        <w:spacing w:after="200" w:line="360" w:lineRule="auto"/>
        <w:jc w:val="both"/>
        <w:rPr>
          <w:b/>
          <w:bCs/>
        </w:rPr>
      </w:pPr>
    </w:p>
    <w:p w14:paraId="3520F83B" w14:textId="77777777" w:rsidR="001325C4" w:rsidRDefault="001325C4">
      <w:pPr>
        <w:spacing w:after="200" w:line="360" w:lineRule="auto"/>
        <w:jc w:val="both"/>
        <w:rPr>
          <w:b/>
          <w:bCs/>
        </w:rPr>
      </w:pPr>
    </w:p>
    <w:p w14:paraId="4CDFB049" w14:textId="77777777" w:rsidR="001325C4" w:rsidRDefault="001325C4">
      <w:pPr>
        <w:spacing w:after="200" w:line="360" w:lineRule="auto"/>
        <w:jc w:val="both"/>
        <w:rPr>
          <w:b/>
          <w:bCs/>
          <w:u w:val="single"/>
        </w:rPr>
      </w:pPr>
    </w:p>
    <w:p w14:paraId="3C7AAF3B" w14:textId="77777777" w:rsidR="001325C4" w:rsidRDefault="007449CA">
      <w:pPr>
        <w:spacing w:after="200"/>
        <w:jc w:val="both"/>
        <w:rPr>
          <w:b/>
          <w:bCs/>
          <w:u w:val="single"/>
        </w:rPr>
      </w:pPr>
      <w:r>
        <w:rPr>
          <w:b/>
          <w:bCs/>
          <w:u w:val="single"/>
        </w:rPr>
        <w:t>Table of Contents</w:t>
      </w:r>
    </w:p>
    <w:p w14:paraId="49A15056" w14:textId="77777777" w:rsidR="001325C4" w:rsidRDefault="007449CA">
      <w:pPr>
        <w:spacing w:before="240" w:after="200"/>
        <w:jc w:val="both"/>
        <w:rPr>
          <w:b/>
          <w:bCs/>
        </w:rPr>
      </w:pPr>
      <w:r>
        <w:rPr>
          <w:b/>
          <w:bCs/>
        </w:rPr>
        <w:lastRenderedPageBreak/>
        <w:t>1.0.  Introduction to Toyota …………………………………………</w:t>
      </w:r>
      <w:proofErr w:type="gramStart"/>
      <w:r>
        <w:rPr>
          <w:b/>
          <w:bCs/>
        </w:rPr>
        <w:t>…..</w:t>
      </w:r>
      <w:proofErr w:type="gramEnd"/>
      <w:r>
        <w:rPr>
          <w:b/>
          <w:bCs/>
        </w:rPr>
        <w:t>….…………….…………  3</w:t>
      </w:r>
    </w:p>
    <w:p w14:paraId="4C93CE48" w14:textId="77777777" w:rsidR="001325C4" w:rsidRDefault="007449CA">
      <w:pPr>
        <w:spacing w:before="240" w:after="200"/>
        <w:jc w:val="both"/>
        <w:rPr>
          <w:b/>
          <w:bCs/>
        </w:rPr>
      </w:pPr>
      <w:r>
        <w:rPr>
          <w:b/>
          <w:bCs/>
        </w:rPr>
        <w:t>2.0. Recent History and Analysis of Toyota's Internal and External Environment ……</w:t>
      </w:r>
      <w:proofErr w:type="gramStart"/>
      <w:r>
        <w:rPr>
          <w:b/>
          <w:bCs/>
        </w:rPr>
        <w:t>…..</w:t>
      </w:r>
      <w:proofErr w:type="gramEnd"/>
      <w:r>
        <w:rPr>
          <w:b/>
          <w:bCs/>
        </w:rPr>
        <w:t xml:space="preserve">  4</w:t>
      </w:r>
    </w:p>
    <w:p w14:paraId="5D5D6E3B" w14:textId="77777777" w:rsidR="001325C4" w:rsidRDefault="007449CA">
      <w:pPr>
        <w:spacing w:before="240" w:after="200"/>
        <w:jc w:val="both"/>
        <w:rPr>
          <w:b/>
          <w:bCs/>
        </w:rPr>
      </w:pPr>
      <w:r>
        <w:rPr>
          <w:b/>
          <w:bCs/>
        </w:rPr>
        <w:t>3.0. Evaluation of Change Management Models and Their Application to Toyota</w:t>
      </w:r>
      <w:proofErr w:type="gramStart"/>
      <w:r>
        <w:rPr>
          <w:b/>
          <w:bCs/>
        </w:rPr>
        <w:t xml:space="preserve"> ..</w:t>
      </w:r>
      <w:proofErr w:type="gramEnd"/>
      <w:r>
        <w:rPr>
          <w:b/>
          <w:bCs/>
        </w:rPr>
        <w:t>……….  6</w:t>
      </w:r>
    </w:p>
    <w:p w14:paraId="645AB19C" w14:textId="77777777" w:rsidR="001325C4" w:rsidRDefault="007449CA">
      <w:pPr>
        <w:pStyle w:val="Heading2"/>
        <w:keepNext w:val="0"/>
        <w:keepLines w:val="0"/>
        <w:spacing w:after="80"/>
        <w:jc w:val="both"/>
        <w:rPr>
          <w:b/>
          <w:bCs/>
          <w:sz w:val="22"/>
          <w:szCs w:val="22"/>
        </w:rPr>
      </w:pPr>
      <w:bookmarkStart w:id="0" w:name="_2wtx8rfq1xt2" w:colFirst="0" w:colLast="0"/>
      <w:bookmarkEnd w:id="0"/>
      <w:r>
        <w:rPr>
          <w:b/>
          <w:bCs/>
          <w:sz w:val="22"/>
          <w:szCs w:val="22"/>
        </w:rPr>
        <w:t>3.1. Lewin's Three-Step Change Model …………………………………………………………</w:t>
      </w:r>
      <w:proofErr w:type="gramStart"/>
      <w:r>
        <w:rPr>
          <w:b/>
          <w:bCs/>
          <w:sz w:val="22"/>
          <w:szCs w:val="22"/>
        </w:rPr>
        <w:t>…..</w:t>
      </w:r>
      <w:proofErr w:type="gramEnd"/>
      <w:r>
        <w:rPr>
          <w:b/>
          <w:bCs/>
          <w:sz w:val="22"/>
          <w:szCs w:val="22"/>
        </w:rPr>
        <w:t>6</w:t>
      </w:r>
    </w:p>
    <w:p w14:paraId="065CA842" w14:textId="77777777" w:rsidR="001325C4" w:rsidRDefault="007449CA">
      <w:pPr>
        <w:pStyle w:val="Heading2"/>
        <w:keepNext w:val="0"/>
        <w:keepLines w:val="0"/>
        <w:spacing w:after="80"/>
        <w:jc w:val="both"/>
        <w:rPr>
          <w:b/>
          <w:bCs/>
          <w:sz w:val="22"/>
          <w:szCs w:val="22"/>
        </w:rPr>
      </w:pPr>
      <w:bookmarkStart w:id="1" w:name="_rpzejl44swhb" w:colFirst="0" w:colLast="0"/>
      <w:bookmarkEnd w:id="1"/>
      <w:r>
        <w:rPr>
          <w:b/>
          <w:bCs/>
          <w:sz w:val="22"/>
          <w:szCs w:val="22"/>
        </w:rPr>
        <w:t>3.2. Kotter's Eight-Step Change Model ……………………………………………………………….6</w:t>
      </w:r>
    </w:p>
    <w:p w14:paraId="2BAFA5BF" w14:textId="77777777" w:rsidR="001325C4" w:rsidRDefault="007449CA">
      <w:pPr>
        <w:pStyle w:val="Heading2"/>
        <w:keepNext w:val="0"/>
        <w:keepLines w:val="0"/>
        <w:spacing w:after="80"/>
        <w:jc w:val="both"/>
        <w:rPr>
          <w:b/>
          <w:bCs/>
          <w:sz w:val="22"/>
          <w:szCs w:val="22"/>
        </w:rPr>
      </w:pPr>
      <w:bookmarkStart w:id="2" w:name="_v2esxk7q947g" w:colFirst="0" w:colLast="0"/>
      <w:bookmarkEnd w:id="2"/>
      <w:r>
        <w:rPr>
          <w:b/>
          <w:bCs/>
          <w:sz w:val="22"/>
          <w:szCs w:val="22"/>
        </w:rPr>
        <w:t>3.3. ADKAR Model ……………………………………………………………………………………….7</w:t>
      </w:r>
    </w:p>
    <w:p w14:paraId="0C766BF4" w14:textId="77777777" w:rsidR="001325C4" w:rsidRDefault="007449CA">
      <w:pPr>
        <w:pStyle w:val="Heading2"/>
        <w:keepNext w:val="0"/>
        <w:keepLines w:val="0"/>
        <w:spacing w:after="80"/>
        <w:jc w:val="both"/>
        <w:rPr>
          <w:b/>
          <w:bCs/>
          <w:sz w:val="22"/>
          <w:szCs w:val="22"/>
        </w:rPr>
      </w:pPr>
      <w:bookmarkStart w:id="3" w:name="_780z736d11i" w:colFirst="0" w:colLast="0"/>
      <w:bookmarkEnd w:id="3"/>
      <w:r>
        <w:rPr>
          <w:b/>
          <w:bCs/>
          <w:sz w:val="22"/>
          <w:szCs w:val="22"/>
        </w:rPr>
        <w:t>3.4. Adaptive and Continuous Change ………………………………………………………………7</w:t>
      </w:r>
    </w:p>
    <w:p w14:paraId="361821C5" w14:textId="77777777" w:rsidR="001325C4" w:rsidRDefault="007449CA">
      <w:pPr>
        <w:pStyle w:val="Heading2"/>
        <w:keepNext w:val="0"/>
        <w:keepLines w:val="0"/>
        <w:spacing w:after="80"/>
        <w:jc w:val="both"/>
        <w:rPr>
          <w:b/>
          <w:bCs/>
          <w:sz w:val="22"/>
          <w:szCs w:val="22"/>
        </w:rPr>
      </w:pPr>
      <w:bookmarkStart w:id="4" w:name="_pjzpv6dghqff" w:colFirst="0" w:colLast="0"/>
      <w:bookmarkEnd w:id="4"/>
      <w:r>
        <w:rPr>
          <w:b/>
          <w:bCs/>
          <w:sz w:val="22"/>
          <w:szCs w:val="22"/>
        </w:rPr>
        <w:t>3.5. Evaluation and Recommended Approach ……………………………………………………. 8</w:t>
      </w:r>
    </w:p>
    <w:p w14:paraId="56D449E6" w14:textId="77777777" w:rsidR="001325C4" w:rsidRDefault="007449CA">
      <w:pPr>
        <w:spacing w:before="240" w:after="200"/>
        <w:jc w:val="both"/>
        <w:rPr>
          <w:b/>
          <w:bCs/>
        </w:rPr>
      </w:pPr>
      <w:r>
        <w:rPr>
          <w:b/>
          <w:bCs/>
        </w:rPr>
        <w:t xml:space="preserve">4.0. Leadership, </w:t>
      </w:r>
      <w:proofErr w:type="spellStart"/>
      <w:r>
        <w:rPr>
          <w:b/>
          <w:bCs/>
        </w:rPr>
        <w:t>Organisational</w:t>
      </w:r>
      <w:proofErr w:type="spellEnd"/>
      <w:r>
        <w:rPr>
          <w:b/>
          <w:bCs/>
        </w:rPr>
        <w:t xml:space="preserve"> Culture and the Management of Change at Toyota ……... 9</w:t>
      </w:r>
    </w:p>
    <w:p w14:paraId="2923D366" w14:textId="77777777" w:rsidR="001325C4" w:rsidRDefault="007449CA">
      <w:pPr>
        <w:pStyle w:val="Heading2"/>
        <w:keepNext w:val="0"/>
        <w:keepLines w:val="0"/>
        <w:spacing w:after="80"/>
        <w:jc w:val="both"/>
        <w:rPr>
          <w:b/>
          <w:bCs/>
          <w:sz w:val="22"/>
          <w:szCs w:val="22"/>
        </w:rPr>
      </w:pPr>
      <w:bookmarkStart w:id="5" w:name="_go2h0bpgqqpu" w:colFirst="0" w:colLast="0"/>
      <w:bookmarkEnd w:id="5"/>
      <w:r>
        <w:rPr>
          <w:b/>
          <w:bCs/>
          <w:sz w:val="22"/>
          <w:szCs w:val="22"/>
        </w:rPr>
        <w:t>4.1. Leadership and the Management of Change……………………………………</w:t>
      </w:r>
      <w:proofErr w:type="gramStart"/>
      <w:r>
        <w:rPr>
          <w:b/>
          <w:bCs/>
          <w:sz w:val="22"/>
          <w:szCs w:val="22"/>
        </w:rPr>
        <w:t>…..</w:t>
      </w:r>
      <w:proofErr w:type="gramEnd"/>
      <w:r>
        <w:rPr>
          <w:b/>
          <w:bCs/>
          <w:sz w:val="22"/>
          <w:szCs w:val="22"/>
        </w:rPr>
        <w:t>……</w:t>
      </w:r>
      <w:proofErr w:type="gramStart"/>
      <w:r>
        <w:rPr>
          <w:b/>
          <w:bCs/>
          <w:sz w:val="22"/>
          <w:szCs w:val="22"/>
        </w:rPr>
        <w:t>…..</w:t>
      </w:r>
      <w:proofErr w:type="gramEnd"/>
      <w:r>
        <w:rPr>
          <w:b/>
          <w:bCs/>
          <w:sz w:val="22"/>
          <w:szCs w:val="22"/>
        </w:rPr>
        <w:t>9</w:t>
      </w:r>
    </w:p>
    <w:p w14:paraId="5E71B789" w14:textId="77777777" w:rsidR="001325C4" w:rsidRDefault="007449CA">
      <w:pPr>
        <w:spacing w:after="160"/>
        <w:jc w:val="both"/>
        <w:rPr>
          <w:b/>
          <w:bCs/>
        </w:rPr>
      </w:pPr>
      <w:r>
        <w:rPr>
          <w:b/>
          <w:bCs/>
        </w:rPr>
        <w:t xml:space="preserve">4.2. Impact of </w:t>
      </w:r>
      <w:proofErr w:type="spellStart"/>
      <w:r>
        <w:rPr>
          <w:b/>
          <w:bCs/>
        </w:rPr>
        <w:t>Organisational</w:t>
      </w:r>
      <w:proofErr w:type="spellEnd"/>
      <w:r>
        <w:rPr>
          <w:b/>
          <w:bCs/>
        </w:rPr>
        <w:t xml:space="preserve"> Culture ………</w:t>
      </w:r>
      <w:proofErr w:type="gramStart"/>
      <w:r>
        <w:rPr>
          <w:b/>
          <w:bCs/>
        </w:rPr>
        <w:t>…..</w:t>
      </w:r>
      <w:proofErr w:type="gramEnd"/>
      <w:r>
        <w:rPr>
          <w:b/>
          <w:bCs/>
        </w:rPr>
        <w:t>…………………………………………</w:t>
      </w:r>
      <w:proofErr w:type="gramStart"/>
      <w:r>
        <w:rPr>
          <w:b/>
          <w:bCs/>
        </w:rPr>
        <w:t>…..</w:t>
      </w:r>
      <w:proofErr w:type="gramEnd"/>
      <w:r>
        <w:rPr>
          <w:b/>
          <w:bCs/>
        </w:rPr>
        <w:t>…….10</w:t>
      </w:r>
    </w:p>
    <w:p w14:paraId="4B9AE78C" w14:textId="77777777" w:rsidR="001325C4" w:rsidRDefault="007449CA">
      <w:pPr>
        <w:spacing w:after="160"/>
        <w:jc w:val="both"/>
        <w:rPr>
          <w:b/>
          <w:bCs/>
        </w:rPr>
      </w:pPr>
      <w:r>
        <w:rPr>
          <w:b/>
          <w:bCs/>
        </w:rPr>
        <w:t>4.3. Overall Evaluation ……………………………………………………………………………………11</w:t>
      </w:r>
    </w:p>
    <w:p w14:paraId="10B1CB77" w14:textId="77777777" w:rsidR="001325C4" w:rsidRDefault="007449CA">
      <w:pPr>
        <w:spacing w:after="160"/>
        <w:jc w:val="both"/>
        <w:rPr>
          <w:b/>
          <w:bCs/>
        </w:rPr>
      </w:pPr>
      <w:r>
        <w:rPr>
          <w:b/>
          <w:bCs/>
        </w:rPr>
        <w:t>5.0. Proposed Strategic Change Management Plan for Toyota………………………………….…12</w:t>
      </w:r>
    </w:p>
    <w:p w14:paraId="0FD75366" w14:textId="77777777" w:rsidR="001325C4" w:rsidRDefault="007449CA">
      <w:pPr>
        <w:spacing w:after="160"/>
        <w:jc w:val="both"/>
        <w:rPr>
          <w:b/>
          <w:bCs/>
        </w:rPr>
      </w:pPr>
      <w:r>
        <w:rPr>
          <w:b/>
          <w:bCs/>
        </w:rPr>
        <w:t>5.1. Proposed Change and Objectives …………………………………</w:t>
      </w:r>
      <w:proofErr w:type="gramStart"/>
      <w:r>
        <w:rPr>
          <w:b/>
          <w:bCs/>
        </w:rPr>
        <w:t>…..</w:t>
      </w:r>
      <w:proofErr w:type="gramEnd"/>
      <w:r>
        <w:rPr>
          <w:b/>
          <w:bCs/>
        </w:rPr>
        <w:t>…………………………. 12</w:t>
      </w:r>
    </w:p>
    <w:p w14:paraId="52A72840" w14:textId="77777777" w:rsidR="001325C4" w:rsidRDefault="007449CA">
      <w:pPr>
        <w:spacing w:after="160"/>
        <w:jc w:val="both"/>
        <w:rPr>
          <w:b/>
          <w:bCs/>
        </w:rPr>
      </w:pPr>
      <w:r>
        <w:rPr>
          <w:b/>
          <w:bCs/>
        </w:rPr>
        <w:t>5.2. Implementation Plan ………………………………………………………….……………………….12</w:t>
      </w:r>
    </w:p>
    <w:p w14:paraId="71C001EE" w14:textId="77777777" w:rsidR="001325C4" w:rsidRDefault="007449CA">
      <w:pPr>
        <w:spacing w:after="160"/>
        <w:jc w:val="both"/>
        <w:rPr>
          <w:b/>
          <w:bCs/>
        </w:rPr>
      </w:pPr>
      <w:r>
        <w:rPr>
          <w:b/>
          <w:bCs/>
        </w:rPr>
        <w:t>5.3. Financial Plan……………………………………………………………………………………………13</w:t>
      </w:r>
    </w:p>
    <w:p w14:paraId="6E16E9C4" w14:textId="77777777" w:rsidR="001325C4" w:rsidRDefault="007449CA">
      <w:pPr>
        <w:spacing w:after="160"/>
        <w:jc w:val="both"/>
        <w:rPr>
          <w:b/>
          <w:bCs/>
        </w:rPr>
      </w:pPr>
      <w:r>
        <w:rPr>
          <w:b/>
          <w:bCs/>
        </w:rPr>
        <w:t>5.4. Communication and Employee Engagement Plan ………………………………………………14</w:t>
      </w:r>
    </w:p>
    <w:p w14:paraId="0012EA09" w14:textId="77777777" w:rsidR="001325C4" w:rsidRDefault="007449CA">
      <w:pPr>
        <w:spacing w:after="160"/>
        <w:jc w:val="both"/>
        <w:rPr>
          <w:b/>
          <w:bCs/>
        </w:rPr>
      </w:pPr>
      <w:r>
        <w:rPr>
          <w:b/>
          <w:bCs/>
        </w:rPr>
        <w:t>5.5. Evaluation and Control Plan ………………………………………………………………………</w:t>
      </w:r>
      <w:proofErr w:type="gramStart"/>
      <w:r>
        <w:rPr>
          <w:b/>
          <w:bCs/>
        </w:rPr>
        <w:t>…..</w:t>
      </w:r>
      <w:proofErr w:type="gramEnd"/>
      <w:r>
        <w:rPr>
          <w:b/>
          <w:bCs/>
        </w:rPr>
        <w:t xml:space="preserve"> 15</w:t>
      </w:r>
    </w:p>
    <w:p w14:paraId="70A9090C" w14:textId="77777777" w:rsidR="001325C4" w:rsidRDefault="007449CA">
      <w:pPr>
        <w:spacing w:after="160"/>
        <w:jc w:val="both"/>
        <w:rPr>
          <w:b/>
          <w:bCs/>
        </w:rPr>
      </w:pPr>
      <w:r>
        <w:rPr>
          <w:b/>
          <w:bCs/>
        </w:rPr>
        <w:t>5.6. Risk Management and Overall Plan ……………….……………………………………….………… 15</w:t>
      </w:r>
    </w:p>
    <w:p w14:paraId="1FCD10E4" w14:textId="77777777" w:rsidR="001325C4" w:rsidRDefault="001325C4">
      <w:pPr>
        <w:spacing w:before="240" w:after="200" w:line="360" w:lineRule="auto"/>
        <w:jc w:val="both"/>
        <w:rPr>
          <w:b/>
          <w:bCs/>
        </w:rPr>
      </w:pPr>
    </w:p>
    <w:p w14:paraId="190DC1CA" w14:textId="77777777" w:rsidR="001325C4" w:rsidRDefault="001325C4">
      <w:pPr>
        <w:spacing w:before="240" w:after="200" w:line="360" w:lineRule="auto"/>
        <w:jc w:val="both"/>
        <w:rPr>
          <w:b/>
          <w:bCs/>
        </w:rPr>
      </w:pPr>
    </w:p>
    <w:p w14:paraId="3FD01662" w14:textId="77777777" w:rsidR="001325C4" w:rsidRDefault="001325C4">
      <w:pPr>
        <w:spacing w:before="240" w:after="200" w:line="360" w:lineRule="auto"/>
        <w:jc w:val="both"/>
        <w:rPr>
          <w:b/>
          <w:bCs/>
        </w:rPr>
      </w:pPr>
    </w:p>
    <w:p w14:paraId="2CF789B1" w14:textId="77777777" w:rsidR="001325C4" w:rsidRDefault="001325C4">
      <w:pPr>
        <w:pStyle w:val="Heading2"/>
        <w:keepNext w:val="0"/>
        <w:keepLines w:val="0"/>
        <w:spacing w:after="80" w:line="360" w:lineRule="auto"/>
        <w:jc w:val="both"/>
        <w:rPr>
          <w:b/>
          <w:bCs/>
          <w:sz w:val="22"/>
          <w:szCs w:val="22"/>
        </w:rPr>
      </w:pPr>
      <w:bookmarkStart w:id="6" w:name="_hzzybk4m88s0" w:colFirst="0" w:colLast="0"/>
      <w:bookmarkEnd w:id="6"/>
    </w:p>
    <w:p w14:paraId="2F6A07D8" w14:textId="77777777" w:rsidR="001325C4" w:rsidRDefault="001325C4">
      <w:pPr>
        <w:pStyle w:val="Heading2"/>
        <w:keepNext w:val="0"/>
        <w:keepLines w:val="0"/>
        <w:spacing w:after="80" w:line="360" w:lineRule="auto"/>
        <w:jc w:val="both"/>
        <w:rPr>
          <w:b/>
          <w:bCs/>
          <w:sz w:val="22"/>
          <w:szCs w:val="22"/>
        </w:rPr>
      </w:pPr>
      <w:bookmarkStart w:id="7" w:name="_ux6wckergrka" w:colFirst="0" w:colLast="0"/>
      <w:bookmarkEnd w:id="7"/>
    </w:p>
    <w:p w14:paraId="11BBBA52" w14:textId="77777777" w:rsidR="001325C4" w:rsidRDefault="007449CA">
      <w:pPr>
        <w:pStyle w:val="Heading2"/>
        <w:keepNext w:val="0"/>
        <w:keepLines w:val="0"/>
        <w:spacing w:after="80" w:line="360" w:lineRule="auto"/>
        <w:jc w:val="both"/>
        <w:rPr>
          <w:b/>
          <w:bCs/>
          <w:sz w:val="22"/>
          <w:szCs w:val="22"/>
        </w:rPr>
      </w:pPr>
      <w:bookmarkStart w:id="8" w:name="_czwzulfba1sm" w:colFirst="0" w:colLast="0"/>
      <w:bookmarkEnd w:id="8"/>
      <w:r>
        <w:rPr>
          <w:b/>
          <w:bCs/>
          <w:sz w:val="22"/>
          <w:szCs w:val="22"/>
        </w:rPr>
        <w:t>1.0 Introduction to Toyota</w:t>
      </w:r>
    </w:p>
    <w:p w14:paraId="69E78EE3" w14:textId="77777777" w:rsidR="001325C4" w:rsidRDefault="007449CA">
      <w:pPr>
        <w:spacing w:before="240" w:after="240" w:line="360" w:lineRule="auto"/>
        <w:jc w:val="both"/>
      </w:pPr>
      <w:r>
        <w:lastRenderedPageBreak/>
        <w:t xml:space="preserve">Toyota Motor Corporation is a Japanese multinational automobile manufacturer headquartered in Toyota City, Aichi Prefecture, Japan. The company was established on 28 August 1937 by Kiichiro Toyoda following the development of the automobile business of Toyoda Automatic Loom Works (Toyota Motor Corporation, 2026a). Since its establishment, Toyota has developed from a Japanese automobile manufacturer into a global </w:t>
      </w:r>
      <w:proofErr w:type="spellStart"/>
      <w:r>
        <w:t>organisation</w:t>
      </w:r>
      <w:proofErr w:type="spellEnd"/>
      <w:r>
        <w:t xml:space="preserve"> with manufacturing plants, research and development </w:t>
      </w:r>
      <w:proofErr w:type="spellStart"/>
      <w:r>
        <w:t>centres</w:t>
      </w:r>
      <w:proofErr w:type="spellEnd"/>
      <w:r>
        <w:t>, sales operations and suppliers across different markets. Its activities also include financial services and other mobility-related businesses.</w:t>
      </w:r>
    </w:p>
    <w:p w14:paraId="73619605" w14:textId="77777777" w:rsidR="001325C4" w:rsidRDefault="007449CA">
      <w:pPr>
        <w:spacing w:before="240" w:after="240" w:line="360" w:lineRule="auto"/>
        <w:jc w:val="both"/>
      </w:pPr>
      <w:r>
        <w:t xml:space="preserve">Toyota is one of the world's largest vehicle manufacturers. In the financial year ended 31 March 2025, the company reported revenue of approximately ¥48,036.7 billion and operating income of approximately ¥4,795.5 billion. During the same financial year, Toyota and its subsidiaries sold approximately 9.36 million vehicles worldwide (Toyota Motor Corporation, 2025a; Toyota Motor Corporation, 2025b). The size of the </w:t>
      </w:r>
      <w:proofErr w:type="spellStart"/>
      <w:r>
        <w:t>organisation</w:t>
      </w:r>
      <w:proofErr w:type="spellEnd"/>
      <w:r>
        <w:t xml:space="preserve"> is important when considering change management because changes in technology, products, processes and employee capabilities must be implemented across a complex global business.</w:t>
      </w:r>
    </w:p>
    <w:p w14:paraId="01C52BD1" w14:textId="77777777" w:rsidR="001325C4" w:rsidRDefault="007449CA">
      <w:pPr>
        <w:spacing w:before="240" w:after="240" w:line="360" w:lineRule="auto"/>
        <w:jc w:val="both"/>
      </w:pPr>
      <w:r>
        <w:t xml:space="preserve">Toyota's historical success is strongly associated with the Toyota Production System (TPS) and the Toyota Way. These approaches </w:t>
      </w:r>
      <w:proofErr w:type="spellStart"/>
      <w:r>
        <w:t>emphasise</w:t>
      </w:r>
      <w:proofErr w:type="spellEnd"/>
      <w:r>
        <w:t xml:space="preserve"> continuous improvement, problem solving, efficiency and respect for people. Liker (2004) argues that the Toyota Way combines long-term thinking with continuous improvement and respect for people, helping Toyota develop an </w:t>
      </w:r>
      <w:proofErr w:type="spellStart"/>
      <w:r>
        <w:t>organisational</w:t>
      </w:r>
      <w:proofErr w:type="spellEnd"/>
      <w:r>
        <w:t xml:space="preserve"> system that supports quality and operational efficiency. Research also suggests that Toyota Way principles can contribute to </w:t>
      </w:r>
      <w:proofErr w:type="spellStart"/>
      <w:r>
        <w:t>organisational</w:t>
      </w:r>
      <w:proofErr w:type="spellEnd"/>
      <w:r>
        <w:t xml:space="preserve"> responsiveness and flexibility within the automotive industry (</w:t>
      </w:r>
      <w:proofErr w:type="spellStart"/>
      <w:r>
        <w:t>Vanichchinchai</w:t>
      </w:r>
      <w:proofErr w:type="spellEnd"/>
      <w:r>
        <w:t>, 2022).</w:t>
      </w:r>
    </w:p>
    <w:p w14:paraId="042E96EB" w14:textId="77777777" w:rsidR="001325C4" w:rsidRDefault="007449CA">
      <w:pPr>
        <w:spacing w:before="240" w:after="240" w:line="360" w:lineRule="auto"/>
        <w:jc w:val="both"/>
      </w:pPr>
      <w:r>
        <w:t xml:space="preserve">However, the automotive industry is undergoing significant transformation. Digital technologies are changing business models, </w:t>
      </w:r>
      <w:proofErr w:type="spellStart"/>
      <w:r>
        <w:t>organisational</w:t>
      </w:r>
      <w:proofErr w:type="spellEnd"/>
      <w:r>
        <w:t xml:space="preserve"> processes and the way </w:t>
      </w:r>
      <w:proofErr w:type="spellStart"/>
      <w:r>
        <w:t>organisations</w:t>
      </w:r>
      <w:proofErr w:type="spellEnd"/>
      <w:r>
        <w:t xml:space="preserve"> create value (Vial, 2019). Toyota is therefore seeking to move beyond its traditional identity as an automobile manufacturer towards becoming a mobility company. Its strategy includes electrified and connected vehicles, artificial intelligence, automated driving, software and other digital technologies (Toyota Motor Corporation, 2024). These developments create new opportunities for Toyota but also require changes in its </w:t>
      </w:r>
      <w:proofErr w:type="spellStart"/>
      <w:r>
        <w:t>organisational</w:t>
      </w:r>
      <w:proofErr w:type="spellEnd"/>
      <w:r>
        <w:t xml:space="preserve"> capabilities, employe</w:t>
      </w:r>
      <w:r>
        <w:t>e skills and business processes.</w:t>
      </w:r>
    </w:p>
    <w:p w14:paraId="0A606C60" w14:textId="77777777" w:rsidR="001325C4" w:rsidRDefault="007449CA">
      <w:pPr>
        <w:spacing w:before="240" w:after="240" w:line="360" w:lineRule="auto"/>
        <w:jc w:val="both"/>
      </w:pPr>
      <w:r>
        <w:t xml:space="preserve">This report therefore examines the strategic changes facing Toyota and evaluates how the </w:t>
      </w:r>
      <w:proofErr w:type="spellStart"/>
      <w:r>
        <w:t>organisation</w:t>
      </w:r>
      <w:proofErr w:type="spellEnd"/>
      <w:r>
        <w:t xml:space="preserve"> can manage these changes effectively. It will </w:t>
      </w:r>
      <w:proofErr w:type="spellStart"/>
      <w:r>
        <w:t>analyse</w:t>
      </w:r>
      <w:proofErr w:type="spellEnd"/>
      <w:r>
        <w:t xml:space="preserve"> the internal and external drivers of change, evaluate relevant change-management models, and examine the roles of leadership and </w:t>
      </w:r>
      <w:proofErr w:type="spellStart"/>
      <w:r>
        <w:t>organisational</w:t>
      </w:r>
      <w:proofErr w:type="spellEnd"/>
      <w:r>
        <w:t xml:space="preserve"> culture. Finally, the report will propose a strategic change management plan designed to strengthen Toyota's digital and mobility capabilities while maintaining the </w:t>
      </w:r>
      <w:proofErr w:type="spellStart"/>
      <w:r>
        <w:t>organisational</w:t>
      </w:r>
      <w:proofErr w:type="spellEnd"/>
      <w:r>
        <w:t xml:space="preserve"> strengths that have contributed to its long-term success.</w:t>
      </w:r>
    </w:p>
    <w:p w14:paraId="302A4F6D" w14:textId="77777777" w:rsidR="001325C4" w:rsidRDefault="001325C4">
      <w:pPr>
        <w:pStyle w:val="Heading2"/>
        <w:keepNext w:val="0"/>
        <w:keepLines w:val="0"/>
        <w:spacing w:after="80" w:line="360" w:lineRule="auto"/>
        <w:jc w:val="both"/>
        <w:rPr>
          <w:b/>
          <w:bCs/>
          <w:sz w:val="22"/>
          <w:szCs w:val="22"/>
        </w:rPr>
      </w:pPr>
      <w:bookmarkStart w:id="9" w:name="_r8264i1ij189" w:colFirst="0" w:colLast="0"/>
      <w:bookmarkEnd w:id="9"/>
    </w:p>
    <w:p w14:paraId="6235CF6C" w14:textId="77777777" w:rsidR="001325C4" w:rsidRDefault="007449CA">
      <w:pPr>
        <w:pStyle w:val="Heading2"/>
        <w:keepNext w:val="0"/>
        <w:keepLines w:val="0"/>
        <w:spacing w:after="80" w:line="360" w:lineRule="auto"/>
        <w:jc w:val="both"/>
        <w:rPr>
          <w:b/>
          <w:bCs/>
          <w:sz w:val="22"/>
          <w:szCs w:val="22"/>
        </w:rPr>
      </w:pPr>
      <w:bookmarkStart w:id="10" w:name="_b23gawjosczj" w:colFirst="0" w:colLast="0"/>
      <w:bookmarkEnd w:id="10"/>
      <w:r>
        <w:rPr>
          <w:b/>
          <w:bCs/>
          <w:sz w:val="22"/>
          <w:szCs w:val="22"/>
        </w:rPr>
        <w:t>2.0 Recent History and Analysis of Toyota's Internal and External Environment</w:t>
      </w:r>
    </w:p>
    <w:p w14:paraId="45634D32" w14:textId="77777777" w:rsidR="001325C4" w:rsidRDefault="007449CA">
      <w:pPr>
        <w:spacing w:before="240" w:after="240" w:line="360" w:lineRule="auto"/>
        <w:jc w:val="both"/>
      </w:pPr>
      <w:r>
        <w:lastRenderedPageBreak/>
        <w:t xml:space="preserve">Toyota has developed from a traditional automobile manufacturer into a global mobility </w:t>
      </w:r>
      <w:proofErr w:type="spellStart"/>
      <w:r>
        <w:t>organisation</w:t>
      </w:r>
      <w:proofErr w:type="spellEnd"/>
      <w:r>
        <w:t>. Its historical success has been strongly associated with the Toyota Production System (TPS), lean manufacturing, continuous improvement and respect for people. These capabilities have supported efficiency, quality and large-scale production. However, the automotive industry is experiencing rapid technological, environmental and customer changes. Toyota therefore needs to develop new capabilities while maintaining the strengths that have supported its success.</w:t>
      </w:r>
    </w:p>
    <w:p w14:paraId="0D954910" w14:textId="77777777" w:rsidR="001325C4" w:rsidRDefault="007449CA">
      <w:pPr>
        <w:pStyle w:val="Heading3"/>
        <w:keepNext w:val="0"/>
        <w:keepLines w:val="0"/>
        <w:spacing w:before="280" w:line="360" w:lineRule="auto"/>
        <w:jc w:val="both"/>
        <w:rPr>
          <w:b/>
          <w:bCs/>
          <w:color w:val="000000"/>
          <w:sz w:val="22"/>
          <w:szCs w:val="22"/>
        </w:rPr>
      </w:pPr>
      <w:bookmarkStart w:id="11" w:name="_116n9hjktosx" w:colFirst="0" w:colLast="0"/>
      <w:bookmarkEnd w:id="11"/>
      <w:r>
        <w:rPr>
          <w:b/>
          <w:bCs/>
          <w:color w:val="000000"/>
          <w:sz w:val="22"/>
          <w:szCs w:val="22"/>
        </w:rPr>
        <w:t>Recent History and Strategic Direction</w:t>
      </w:r>
    </w:p>
    <w:p w14:paraId="3320B2BF" w14:textId="77777777" w:rsidR="001325C4" w:rsidRDefault="007449CA">
      <w:pPr>
        <w:spacing w:before="240" w:after="240" w:line="360" w:lineRule="auto"/>
        <w:jc w:val="both"/>
      </w:pPr>
      <w:r>
        <w:t>In recent years, Toyota has faced increasing pressure to transform its traditional automotive business. The company has stated its ambition to move beyond vehicle manufacturing towards becoming a mobility company, with its strategy focusing on electrification, intelligence and diversification (Toyota Motor Corporation, 2023a). This includes hybrid vehicles, battery electric vehicles (BEVs), hydrogen technologies, connected vehicles, artificial intelligence (AI), automated driving and mobility services.</w:t>
      </w:r>
    </w:p>
    <w:p w14:paraId="08760B41" w14:textId="77777777" w:rsidR="001325C4" w:rsidRDefault="007449CA">
      <w:pPr>
        <w:spacing w:before="240" w:after="240" w:line="360" w:lineRule="auto"/>
        <w:jc w:val="both"/>
      </w:pPr>
      <w:r>
        <w:t xml:space="preserve">Toyota has adopted a multi-pathway approach to electrification rather than depending on one technology. This provides flexibility because customer demand, infrastructure and government policies differ across markets. However, it also increases </w:t>
      </w:r>
      <w:proofErr w:type="spellStart"/>
      <w:r>
        <w:t>organisational</w:t>
      </w:r>
      <w:proofErr w:type="spellEnd"/>
      <w:r>
        <w:t xml:space="preserve"> complexity because Toyota must develop and manage several technologies simultaneously. This requires significant investment in research, development and employee capabilities.</w:t>
      </w:r>
    </w:p>
    <w:p w14:paraId="339A6321" w14:textId="77777777" w:rsidR="001325C4" w:rsidRDefault="007449CA">
      <w:pPr>
        <w:pStyle w:val="Heading3"/>
        <w:keepNext w:val="0"/>
        <w:keepLines w:val="0"/>
        <w:spacing w:before="280" w:line="360" w:lineRule="auto"/>
        <w:jc w:val="both"/>
        <w:rPr>
          <w:b/>
          <w:bCs/>
          <w:color w:val="000000"/>
          <w:sz w:val="22"/>
          <w:szCs w:val="22"/>
        </w:rPr>
      </w:pPr>
      <w:bookmarkStart w:id="12" w:name="_ulyq4a97v0ub" w:colFirst="0" w:colLast="0"/>
      <w:bookmarkEnd w:id="12"/>
      <w:r>
        <w:rPr>
          <w:b/>
          <w:bCs/>
          <w:color w:val="000000"/>
          <w:sz w:val="22"/>
          <w:szCs w:val="22"/>
        </w:rPr>
        <w:t>External Environmental Pressures</w:t>
      </w:r>
    </w:p>
    <w:p w14:paraId="44D9AA67" w14:textId="77777777" w:rsidR="001325C4" w:rsidRDefault="007449CA">
      <w:pPr>
        <w:spacing w:before="240" w:after="240" w:line="360" w:lineRule="auto"/>
        <w:jc w:val="both"/>
      </w:pPr>
      <w:r>
        <w:t>A major external pressure is the global movement towards lower-carbon transportation. Governments, consumers and other stakeholders are placing greater emphasis on reducing greenhouse-gas emissions. Toyota has responded by targeting carbon neutrality across the lifecycle of its vehicles by 2050 and developing different electrification technologies (Toyota Motor Corporation, 2023b). However, the growth of BEVs requires continued investment in batteries, electric powertrains and related manufacturing capabili</w:t>
      </w:r>
      <w:r>
        <w:t>ties.</w:t>
      </w:r>
    </w:p>
    <w:p w14:paraId="6D6AFAD8" w14:textId="77777777" w:rsidR="001325C4" w:rsidRDefault="007449CA">
      <w:pPr>
        <w:spacing w:before="240" w:after="240" w:line="360" w:lineRule="auto"/>
        <w:jc w:val="both"/>
      </w:pPr>
      <w:r>
        <w:t xml:space="preserve">Supply-chain uncertainty is another important pressure. The COVID-19 pandemic, semiconductor shortages and geopolitical disruption exposed vulnerabilities in global manufacturing networks. Research suggests that turbulent conditions require </w:t>
      </w:r>
      <w:proofErr w:type="spellStart"/>
      <w:r>
        <w:t>organisations</w:t>
      </w:r>
      <w:proofErr w:type="spellEnd"/>
      <w:r>
        <w:t xml:space="preserve"> to balance the efficiency of just-in-time systems with greater supply-chain responsiveness and resilience (Choi et al., 2023). Toyota therefore needs to strengthen supply-chain visibility, supplier relationships and production flexibility.</w:t>
      </w:r>
    </w:p>
    <w:p w14:paraId="3C2630F9" w14:textId="77777777" w:rsidR="001325C4" w:rsidRDefault="007449CA">
      <w:pPr>
        <w:spacing w:before="240" w:after="240" w:line="360" w:lineRule="auto"/>
        <w:jc w:val="both"/>
      </w:pPr>
      <w:r>
        <w:t xml:space="preserve">Competition has also intensified as Toyota faces companies with strong capabilities in electric vehicles, software, data and digital customer engagement. Teece, Pisano and </w:t>
      </w:r>
      <w:proofErr w:type="spellStart"/>
      <w:r>
        <w:t>Shuen</w:t>
      </w:r>
      <w:proofErr w:type="spellEnd"/>
      <w:r>
        <w:t xml:space="preserve"> (1997) argue that </w:t>
      </w:r>
      <w:proofErr w:type="spellStart"/>
      <w:r>
        <w:t>organisations</w:t>
      </w:r>
      <w:proofErr w:type="spellEnd"/>
      <w:r>
        <w:t xml:space="preserve"> operating in changing environments require dynamic capabilities to adapt and reconfigure resources. Toyota consequently needs to combine its established manufacturing capabilities with new digital and technological skills.</w:t>
      </w:r>
    </w:p>
    <w:p w14:paraId="203187B7" w14:textId="77777777" w:rsidR="001325C4" w:rsidRDefault="007449CA">
      <w:pPr>
        <w:pStyle w:val="Heading3"/>
        <w:keepNext w:val="0"/>
        <w:keepLines w:val="0"/>
        <w:spacing w:before="280" w:line="360" w:lineRule="auto"/>
        <w:jc w:val="both"/>
        <w:rPr>
          <w:b/>
          <w:bCs/>
          <w:color w:val="000000"/>
          <w:sz w:val="22"/>
          <w:szCs w:val="22"/>
        </w:rPr>
      </w:pPr>
      <w:bookmarkStart w:id="13" w:name="_ua84pairp663" w:colFirst="0" w:colLast="0"/>
      <w:bookmarkEnd w:id="13"/>
      <w:r>
        <w:rPr>
          <w:b/>
          <w:bCs/>
          <w:color w:val="000000"/>
          <w:sz w:val="22"/>
          <w:szCs w:val="22"/>
        </w:rPr>
        <w:lastRenderedPageBreak/>
        <w:t>Digital Disruption and Online Shopping</w:t>
      </w:r>
    </w:p>
    <w:p w14:paraId="2730475B" w14:textId="77777777" w:rsidR="001325C4" w:rsidRDefault="007449CA">
      <w:pPr>
        <w:spacing w:before="240" w:after="240" w:line="360" w:lineRule="auto"/>
        <w:jc w:val="both"/>
      </w:pPr>
      <w:r>
        <w:t xml:space="preserve">Digital transformation is changing how vehicles are designed, produced, marketed and sold. Digital technologies are creating new business models and changing how </w:t>
      </w:r>
      <w:proofErr w:type="spellStart"/>
      <w:r>
        <w:t>organisations</w:t>
      </w:r>
      <w:proofErr w:type="spellEnd"/>
      <w:r>
        <w:t xml:space="preserve"> create and deliver value (Vial, 2019). In the automotive sector, this includes connected vehicles, autonomous driving, data-based services and digital customer experiences.</w:t>
      </w:r>
    </w:p>
    <w:p w14:paraId="022E39AA" w14:textId="77777777" w:rsidR="001325C4" w:rsidRDefault="007449CA">
      <w:pPr>
        <w:spacing w:before="240" w:after="240" w:line="360" w:lineRule="auto"/>
        <w:jc w:val="both"/>
      </w:pPr>
      <w:r>
        <w:t>Online shopping is also changing automotive retail. Customers can research vehicle specifications, compare prices, read reviews and explore finance options online before visiting a showroom. Research indicates increasing consumer interest in omnichannel automotive purchasing, which combines online and physical channels (Kim, Connerton and Park, 2022). Toyota therefore needs to integrate its digital platforms with its dealer network rather than treating online retail as a complete replacement for physical de</w:t>
      </w:r>
      <w:r>
        <w:t>alerships.</w:t>
      </w:r>
    </w:p>
    <w:p w14:paraId="4266ECCC" w14:textId="77777777" w:rsidR="001325C4" w:rsidRDefault="007449CA">
      <w:pPr>
        <w:pStyle w:val="Heading3"/>
        <w:keepNext w:val="0"/>
        <w:keepLines w:val="0"/>
        <w:spacing w:before="280" w:line="360" w:lineRule="auto"/>
        <w:jc w:val="both"/>
        <w:rPr>
          <w:b/>
          <w:bCs/>
          <w:color w:val="000000"/>
          <w:sz w:val="22"/>
          <w:szCs w:val="22"/>
        </w:rPr>
      </w:pPr>
      <w:bookmarkStart w:id="14" w:name="_f1xxxds2fvag" w:colFirst="0" w:colLast="0"/>
      <w:bookmarkEnd w:id="14"/>
      <w:r>
        <w:rPr>
          <w:b/>
          <w:bCs/>
          <w:color w:val="000000"/>
          <w:sz w:val="22"/>
          <w:szCs w:val="22"/>
        </w:rPr>
        <w:t>Artificial Intelligence and Software</w:t>
      </w:r>
    </w:p>
    <w:p w14:paraId="0197373E" w14:textId="77777777" w:rsidR="001325C4" w:rsidRDefault="007449CA">
      <w:pPr>
        <w:spacing w:before="240" w:after="240" w:line="360" w:lineRule="auto"/>
        <w:jc w:val="both"/>
      </w:pPr>
      <w:r>
        <w:t>AI and software are creating further changes in the automotive industry. Toyota has invested in Woven by Toyota and its Arene software platform, which supports the development, testing and deployment of vehicle software. In 2025, Arene was deployed in the latest-generation RAV4, supporting functions including the multimedia system and Toyota Safety Sense technologies (Woven by Toyota, 2025). This demonstrates Toyota's movement towards software-defined vehicles.</w:t>
      </w:r>
    </w:p>
    <w:p w14:paraId="212EE392" w14:textId="77777777" w:rsidR="001325C4" w:rsidRDefault="007449CA">
      <w:pPr>
        <w:spacing w:before="240" w:after="240" w:line="360" w:lineRule="auto"/>
        <w:jc w:val="both"/>
      </w:pPr>
      <w:r>
        <w:t xml:space="preserve">AI can also support demand forecasting, quality inspection, predictive maintenance, product development and customer services. However, successful digital transformation requires more than technological investment. It also requires employee skills, data management, cybersecurity and changes to </w:t>
      </w:r>
      <w:proofErr w:type="spellStart"/>
      <w:r>
        <w:t>organisational</w:t>
      </w:r>
      <w:proofErr w:type="spellEnd"/>
      <w:r>
        <w:t xml:space="preserve"> processes (Vial, 2019).</w:t>
      </w:r>
    </w:p>
    <w:p w14:paraId="1EDD2BAA" w14:textId="77777777" w:rsidR="001325C4" w:rsidRDefault="007449CA">
      <w:pPr>
        <w:pStyle w:val="Heading3"/>
        <w:keepNext w:val="0"/>
        <w:keepLines w:val="0"/>
        <w:spacing w:before="280" w:line="360" w:lineRule="auto"/>
        <w:jc w:val="both"/>
        <w:rPr>
          <w:b/>
          <w:bCs/>
          <w:color w:val="000000"/>
          <w:sz w:val="22"/>
          <w:szCs w:val="22"/>
        </w:rPr>
      </w:pPr>
      <w:bookmarkStart w:id="15" w:name="_gid81pqbjgmc" w:colFirst="0" w:colLast="0"/>
      <w:bookmarkEnd w:id="15"/>
      <w:r>
        <w:rPr>
          <w:b/>
          <w:bCs/>
          <w:color w:val="000000"/>
          <w:sz w:val="22"/>
          <w:szCs w:val="22"/>
        </w:rPr>
        <w:t xml:space="preserve">Internal Governance and </w:t>
      </w:r>
      <w:proofErr w:type="spellStart"/>
      <w:r>
        <w:rPr>
          <w:b/>
          <w:bCs/>
          <w:color w:val="000000"/>
          <w:sz w:val="22"/>
          <w:szCs w:val="22"/>
        </w:rPr>
        <w:t>Organisational</w:t>
      </w:r>
      <w:proofErr w:type="spellEnd"/>
      <w:r>
        <w:rPr>
          <w:b/>
          <w:bCs/>
          <w:color w:val="000000"/>
          <w:sz w:val="22"/>
          <w:szCs w:val="22"/>
        </w:rPr>
        <w:t xml:space="preserve"> Pressures</w:t>
      </w:r>
    </w:p>
    <w:p w14:paraId="25E0CCA6" w14:textId="77777777" w:rsidR="001325C4" w:rsidRDefault="007449CA">
      <w:pPr>
        <w:spacing w:before="240" w:after="240" w:line="360" w:lineRule="auto"/>
        <w:jc w:val="both"/>
      </w:pPr>
      <w:r>
        <w:t>Toyota has also experienced internal governance challenges. In 2024, an investigation identified irregularities in certification applications involving seven models. Toyota subsequently received a correction order and identified weaknesses including unclear procedures, inadequate resource management and insufficient management involvement (Toyota Motor Corporation, 2024a; 2024b).</w:t>
      </w:r>
    </w:p>
    <w:p w14:paraId="3C17BAC2" w14:textId="77777777" w:rsidR="001325C4" w:rsidRDefault="007449CA">
      <w:pPr>
        <w:spacing w:before="240" w:after="240" w:line="360" w:lineRule="auto"/>
        <w:jc w:val="both"/>
      </w:pPr>
      <w:r>
        <w:t xml:space="preserve">Toyota responded by strengthening management involvement at the </w:t>
      </w:r>
      <w:proofErr w:type="spellStart"/>
      <w:r>
        <w:rPr>
          <w:i/>
          <w:iCs/>
        </w:rPr>
        <w:t>genba</w:t>
      </w:r>
      <w:proofErr w:type="spellEnd"/>
      <w:r>
        <w:t xml:space="preserve"> (workplace), improving procedures, developing employees and strengthening data management (Toyota Motor Corporation, 2024c). This demonstrates that Toyota's need for change is not only technological but also involves governance, leadership, accountability and </w:t>
      </w:r>
      <w:proofErr w:type="spellStart"/>
      <w:r>
        <w:t>organisational</w:t>
      </w:r>
      <w:proofErr w:type="spellEnd"/>
      <w:r>
        <w:t xml:space="preserve"> </w:t>
      </w:r>
      <w:proofErr w:type="spellStart"/>
      <w:r>
        <w:t>behaviour</w:t>
      </w:r>
      <w:proofErr w:type="spellEnd"/>
      <w:r>
        <w:t>.</w:t>
      </w:r>
    </w:p>
    <w:p w14:paraId="75647A61" w14:textId="77777777" w:rsidR="001325C4" w:rsidRDefault="007449CA">
      <w:pPr>
        <w:spacing w:before="240" w:after="240" w:line="360" w:lineRule="auto"/>
        <w:jc w:val="both"/>
      </w:pPr>
      <w:r>
        <w:t xml:space="preserve">Overall, Toyota faces technological, environmental, customer, competitive, supply-chain and </w:t>
      </w:r>
      <w:proofErr w:type="spellStart"/>
      <w:r>
        <w:t>organisational</w:t>
      </w:r>
      <w:proofErr w:type="spellEnd"/>
      <w:r>
        <w:t xml:space="preserve"> pressures. Its TPS and Toyota Way provide important foundations for change, but these strengths must be </w:t>
      </w:r>
      <w:r>
        <w:lastRenderedPageBreak/>
        <w:t>adapted to an environment increasingly influenced by AI, software, electrification and digital customer experiences. The central challenge is to achieve greater speed and flexibility without losing the quality, continuous improvement and respect for people that have contributed to Toyota's long-term success.</w:t>
      </w:r>
    </w:p>
    <w:p w14:paraId="2AB7D1ED" w14:textId="77777777" w:rsidR="001325C4" w:rsidRDefault="007449CA">
      <w:pPr>
        <w:pStyle w:val="Heading1"/>
        <w:keepNext w:val="0"/>
        <w:keepLines w:val="0"/>
        <w:spacing w:before="480" w:line="360" w:lineRule="auto"/>
        <w:jc w:val="both"/>
        <w:rPr>
          <w:b/>
          <w:bCs/>
          <w:sz w:val="22"/>
          <w:szCs w:val="22"/>
        </w:rPr>
      </w:pPr>
      <w:bookmarkStart w:id="16" w:name="_gig7j4rsunu4" w:colFirst="0" w:colLast="0"/>
      <w:bookmarkEnd w:id="16"/>
      <w:r>
        <w:rPr>
          <w:b/>
          <w:bCs/>
          <w:sz w:val="22"/>
          <w:szCs w:val="22"/>
        </w:rPr>
        <w:t>3.0. Evaluation of Change Management Models and Their Application to Toyota</w:t>
      </w:r>
    </w:p>
    <w:p w14:paraId="68FD4025" w14:textId="77777777" w:rsidR="001325C4" w:rsidRDefault="007449CA">
      <w:pPr>
        <w:spacing w:before="240" w:after="240" w:line="360" w:lineRule="auto"/>
        <w:jc w:val="both"/>
      </w:pPr>
      <w:r>
        <w:t xml:space="preserve">Toyota is undergoing strategic change driven by electrification, artificial intelligence (AI), connected vehicles, online customer services and software-defined vehicles. These changes affect its products, employees, suppliers, dealers and customers. Toyota therefore requires a change-management approach that provides strategic direction while allowing flexibility and employee involvement. This section evaluates </w:t>
      </w:r>
      <w:r>
        <w:rPr>
          <w:b/>
          <w:bCs/>
        </w:rPr>
        <w:t>Lewin’s Three-Step Model, Kotter’s Eight-Step Model, ADKAR and an adaptive approach</w:t>
      </w:r>
      <w:r>
        <w:t>, and considers their relevance to Toyota.</w:t>
      </w:r>
    </w:p>
    <w:p w14:paraId="5692BD7B" w14:textId="77777777" w:rsidR="001325C4" w:rsidRDefault="007449CA">
      <w:pPr>
        <w:pStyle w:val="Heading2"/>
        <w:keepNext w:val="0"/>
        <w:keepLines w:val="0"/>
        <w:spacing w:after="80" w:line="360" w:lineRule="auto"/>
        <w:jc w:val="both"/>
        <w:rPr>
          <w:b/>
          <w:bCs/>
          <w:sz w:val="22"/>
          <w:szCs w:val="22"/>
        </w:rPr>
      </w:pPr>
      <w:bookmarkStart w:id="17" w:name="_xchpovnb0kqc" w:colFirst="0" w:colLast="0"/>
      <w:bookmarkEnd w:id="17"/>
      <w:r>
        <w:rPr>
          <w:b/>
          <w:bCs/>
          <w:sz w:val="22"/>
          <w:szCs w:val="22"/>
        </w:rPr>
        <w:t>3.1 Lewin’s Three-Step Change Model</w:t>
      </w:r>
    </w:p>
    <w:p w14:paraId="567C030E" w14:textId="77777777" w:rsidR="001325C4" w:rsidRDefault="007449CA">
      <w:pPr>
        <w:spacing w:before="240" w:after="240" w:line="360" w:lineRule="auto"/>
        <w:jc w:val="both"/>
      </w:pPr>
      <w:r>
        <w:t xml:space="preserve">Lewin’s model presents change through </w:t>
      </w:r>
      <w:r>
        <w:rPr>
          <w:b/>
          <w:bCs/>
        </w:rPr>
        <w:t>unfreezing, changing and refreezing</w:t>
      </w:r>
      <w:r>
        <w:t xml:space="preserve">. Unfreezing prepares employees to move away from established </w:t>
      </w:r>
      <w:proofErr w:type="spellStart"/>
      <w:r>
        <w:t>behaviours</w:t>
      </w:r>
      <w:proofErr w:type="spellEnd"/>
      <w:r>
        <w:t>, changing introduces new systems or practices, and refreezing embeds the new approach into normal operations (Lewin, 1947).</w:t>
      </w:r>
    </w:p>
    <w:p w14:paraId="6E8E1516" w14:textId="77777777" w:rsidR="001325C4" w:rsidRDefault="007449CA">
      <w:pPr>
        <w:spacing w:before="240" w:after="240" w:line="360" w:lineRule="auto"/>
        <w:jc w:val="both"/>
      </w:pPr>
      <w:r>
        <w:t>The model is relevant to Toyota because its historical success in manufacturing and hybrid vehicles may create assumptions about existing capabilities. Unfreezing could therefore involve explaining why Toyota needs stronger capabilities in software, AI and battery-electric vehicles. The change stage could include developing digital systems, recruiting software specialists and retraining employees. Toyota’s Arene platform illustrates this transition because it supports the development, testing, deployment an</w:t>
      </w:r>
      <w:r>
        <w:t>d improvement of vehicle software and was deployed in the latest-generation RAV4 in 2025 (Woven by Toyota, 2025).</w:t>
      </w:r>
    </w:p>
    <w:p w14:paraId="5BCBE780" w14:textId="77777777" w:rsidR="001325C4" w:rsidRDefault="007449CA">
      <w:pPr>
        <w:spacing w:before="240" w:after="240" w:line="360" w:lineRule="auto"/>
        <w:jc w:val="both"/>
      </w:pPr>
      <w:r>
        <w:t xml:space="preserve">However, refreezing is less suitable for Toyota’s digital environment because software and customer expectations continue to change. Burnes (2004) argues that Lewin’s model has been </w:t>
      </w:r>
      <w:proofErr w:type="spellStart"/>
      <w:r>
        <w:t>criticised</w:t>
      </w:r>
      <w:proofErr w:type="spellEnd"/>
      <w:r>
        <w:t xml:space="preserve"> for appearing too linear and for being associated with stable conditions. Therefore, Lewin is useful for understanding employee readiness and </w:t>
      </w:r>
      <w:proofErr w:type="spellStart"/>
      <w:r>
        <w:t>behavioural</w:t>
      </w:r>
      <w:proofErr w:type="spellEnd"/>
      <w:r>
        <w:t xml:space="preserve"> transition but should not be Toyota’s main framework for continuous technological change.</w:t>
      </w:r>
    </w:p>
    <w:p w14:paraId="387CF2BE" w14:textId="77777777" w:rsidR="001325C4" w:rsidRDefault="007449CA">
      <w:pPr>
        <w:pStyle w:val="Heading2"/>
        <w:keepNext w:val="0"/>
        <w:keepLines w:val="0"/>
        <w:spacing w:after="80" w:line="360" w:lineRule="auto"/>
        <w:jc w:val="both"/>
        <w:rPr>
          <w:b/>
          <w:bCs/>
          <w:sz w:val="22"/>
          <w:szCs w:val="22"/>
        </w:rPr>
      </w:pPr>
      <w:bookmarkStart w:id="18" w:name="_xwncpze78l2l" w:colFirst="0" w:colLast="0"/>
      <w:bookmarkEnd w:id="18"/>
      <w:r>
        <w:rPr>
          <w:b/>
          <w:bCs/>
          <w:sz w:val="22"/>
          <w:szCs w:val="22"/>
        </w:rPr>
        <w:t>3.2 Kotter’s Eight-Step Change Model</w:t>
      </w:r>
    </w:p>
    <w:p w14:paraId="2C792350" w14:textId="77777777" w:rsidR="001325C4" w:rsidRDefault="007449CA">
      <w:pPr>
        <w:spacing w:before="240" w:after="240" w:line="360" w:lineRule="auto"/>
        <w:jc w:val="both"/>
      </w:pPr>
      <w:r>
        <w:t xml:space="preserve">Kotter’s model provides a structured approach involving creating urgency, building a guiding coalition, developing and communicating a vision, empowering employees, generating short-term wins, consolidating improvements and embedding change in the </w:t>
      </w:r>
      <w:proofErr w:type="spellStart"/>
      <w:r>
        <w:t>organisation</w:t>
      </w:r>
      <w:proofErr w:type="spellEnd"/>
      <w:r>
        <w:t xml:space="preserve"> (Kotter, 1996).</w:t>
      </w:r>
    </w:p>
    <w:p w14:paraId="3E4C880F" w14:textId="77777777" w:rsidR="001325C4" w:rsidRDefault="007449CA">
      <w:pPr>
        <w:spacing w:before="240" w:after="240" w:line="360" w:lineRule="auto"/>
        <w:jc w:val="both"/>
      </w:pPr>
      <w:r>
        <w:t xml:space="preserve">This model is relevant to Toyota because transformation requires coordination between senior management, manufacturing, software development, research and development, regional operations, dealers and suppliers. Toyota’s creation of Toyota Connected demonstrates elements of this approach. Toyota Connected operated </w:t>
      </w:r>
      <w:r>
        <w:lastRenderedPageBreak/>
        <w:t xml:space="preserve">with decision-making authority to develop digital offerings, while Connected Technologies at Toyota Motor North America supported their wider diffusion and </w:t>
      </w:r>
      <w:proofErr w:type="spellStart"/>
      <w:r>
        <w:t>commercialisation</w:t>
      </w:r>
      <w:proofErr w:type="spellEnd"/>
      <w:r>
        <w:t xml:space="preserve"> (van der Meulen, Mooney and Beath, 2022).</w:t>
      </w:r>
    </w:p>
    <w:p w14:paraId="190C72AE" w14:textId="77777777" w:rsidR="001325C4" w:rsidRDefault="007449CA">
      <w:pPr>
        <w:spacing w:before="240" w:after="240" w:line="360" w:lineRule="auto"/>
        <w:jc w:val="both"/>
      </w:pPr>
      <w:r>
        <w:t xml:space="preserve">Kotter also </w:t>
      </w:r>
      <w:proofErr w:type="spellStart"/>
      <w:r>
        <w:t>emphasises</w:t>
      </w:r>
      <w:proofErr w:type="spellEnd"/>
      <w:r>
        <w:t xml:space="preserve"> communication and employee involvement. Toyota needs to explain that digital transformation is not a rejection of its existing capabilities but an extension of continuous improvement and respect for people.</w:t>
      </w:r>
    </w:p>
    <w:p w14:paraId="0D983EC7" w14:textId="77777777" w:rsidR="001325C4" w:rsidRDefault="007449CA">
      <w:pPr>
        <w:spacing w:before="240" w:after="240" w:line="360" w:lineRule="auto"/>
        <w:jc w:val="both"/>
      </w:pPr>
      <w:r>
        <w:t>However, Kotter should not be applied rigidly. Appelbaum et al. (2012) found support for individual elements of the model but limited evidence supporting the complete eight-step sequence. McLaren, van der Hoorn and Fein (2023) also suggest that excessive emphasis on urgency can increase employee anxiety and resistance. Toyota should therefore create urgency without suggesting that its established Toyota Way or Toyota Production System are obsolete.</w:t>
      </w:r>
    </w:p>
    <w:p w14:paraId="24AD094C" w14:textId="77777777" w:rsidR="001325C4" w:rsidRDefault="007449CA">
      <w:pPr>
        <w:pStyle w:val="Heading2"/>
        <w:keepNext w:val="0"/>
        <w:keepLines w:val="0"/>
        <w:spacing w:after="80" w:line="360" w:lineRule="auto"/>
        <w:jc w:val="both"/>
        <w:rPr>
          <w:b/>
          <w:bCs/>
          <w:sz w:val="22"/>
          <w:szCs w:val="22"/>
        </w:rPr>
      </w:pPr>
      <w:bookmarkStart w:id="19" w:name="_kf7v7t9svkmy" w:colFirst="0" w:colLast="0"/>
      <w:bookmarkEnd w:id="19"/>
      <w:r>
        <w:rPr>
          <w:b/>
          <w:bCs/>
          <w:sz w:val="22"/>
          <w:szCs w:val="22"/>
        </w:rPr>
        <w:t>3.3 ADKAR Model</w:t>
      </w:r>
    </w:p>
    <w:p w14:paraId="1D4A7A82" w14:textId="77777777" w:rsidR="001325C4" w:rsidRDefault="007449CA">
      <w:pPr>
        <w:spacing w:before="240" w:after="240" w:line="360" w:lineRule="auto"/>
        <w:jc w:val="both"/>
      </w:pPr>
      <w:r>
        <w:t xml:space="preserve">The </w:t>
      </w:r>
      <w:r>
        <w:rPr>
          <w:b/>
          <w:bCs/>
        </w:rPr>
        <w:t>ADKAR model</w:t>
      </w:r>
      <w:r>
        <w:t xml:space="preserve"> focuses on individual adoption through </w:t>
      </w:r>
      <w:r>
        <w:rPr>
          <w:b/>
          <w:bCs/>
        </w:rPr>
        <w:t>Awareness, Desire, Knowledge, Ability and Reinforcement</w:t>
      </w:r>
      <w:r>
        <w:t xml:space="preserve"> (Hiatt, 2006).</w:t>
      </w:r>
    </w:p>
    <w:p w14:paraId="4D4A9528" w14:textId="77777777" w:rsidR="001325C4" w:rsidRDefault="007449CA">
      <w:pPr>
        <w:spacing w:before="240" w:after="240" w:line="360" w:lineRule="auto"/>
        <w:jc w:val="both"/>
      </w:pPr>
      <w:r>
        <w:t xml:space="preserve">This approach is useful because Toyota’s transformation depends on employees developing new skills and </w:t>
      </w:r>
      <w:proofErr w:type="spellStart"/>
      <w:r>
        <w:t>behaviours</w:t>
      </w:r>
      <w:proofErr w:type="spellEnd"/>
      <w:r>
        <w:t xml:space="preserve">. Awareness requires employees to understand the need for change, while Desire encourages commitment. Knowledge involves training in areas such as AI, data analysis and cybersecurity. Ability requires employees to </w:t>
      </w:r>
      <w:proofErr w:type="spellStart"/>
      <w:r>
        <w:t>practise</w:t>
      </w:r>
      <w:proofErr w:type="spellEnd"/>
      <w:r>
        <w:t xml:space="preserve"> these skills, while Reinforcement uses feedback, coaching and performance measures to sustain adoption.</w:t>
      </w:r>
    </w:p>
    <w:p w14:paraId="414907C2" w14:textId="77777777" w:rsidR="001325C4" w:rsidRDefault="007449CA">
      <w:pPr>
        <w:spacing w:before="240" w:after="240" w:line="360" w:lineRule="auto"/>
        <w:jc w:val="both"/>
      </w:pPr>
      <w:r>
        <w:t>For example, an employee may understand the purpose of an AI-based production system but lack the ability to use it effectively. ADKAR would therefore encourage Toyota to provide practical training and workplace support.</w:t>
      </w:r>
    </w:p>
    <w:p w14:paraId="29BB6A5B" w14:textId="77777777" w:rsidR="001325C4" w:rsidRDefault="007449CA">
      <w:pPr>
        <w:spacing w:before="240" w:after="240" w:line="360" w:lineRule="auto"/>
        <w:jc w:val="both"/>
      </w:pPr>
      <w:r>
        <w:t xml:space="preserve">Its main limitation is its individual focus. It does not adequately address wider strategic issues such as investment, </w:t>
      </w:r>
      <w:proofErr w:type="spellStart"/>
      <w:r>
        <w:t>organisational</w:t>
      </w:r>
      <w:proofErr w:type="spellEnd"/>
      <w:r>
        <w:t xml:space="preserve"> structure, suppliers or competition. ADKAR should therefore complement, rather than replace, a broader strategic model.</w:t>
      </w:r>
    </w:p>
    <w:p w14:paraId="15EBE679" w14:textId="77777777" w:rsidR="001325C4" w:rsidRDefault="007449CA">
      <w:pPr>
        <w:pStyle w:val="Heading2"/>
        <w:keepNext w:val="0"/>
        <w:keepLines w:val="0"/>
        <w:spacing w:after="80" w:line="360" w:lineRule="auto"/>
        <w:jc w:val="both"/>
        <w:rPr>
          <w:b/>
          <w:bCs/>
          <w:sz w:val="22"/>
          <w:szCs w:val="22"/>
        </w:rPr>
      </w:pPr>
      <w:bookmarkStart w:id="20" w:name="_3iowc8z7lqu7" w:colFirst="0" w:colLast="0"/>
      <w:bookmarkEnd w:id="20"/>
      <w:r>
        <w:rPr>
          <w:b/>
          <w:bCs/>
          <w:sz w:val="22"/>
          <w:szCs w:val="22"/>
        </w:rPr>
        <w:t>3.4 Adaptive and Continuous Change</w:t>
      </w:r>
    </w:p>
    <w:p w14:paraId="15F57964" w14:textId="77777777" w:rsidR="001325C4" w:rsidRDefault="007449CA">
      <w:pPr>
        <w:spacing w:before="240" w:after="240" w:line="360" w:lineRule="auto"/>
        <w:jc w:val="both"/>
      </w:pPr>
      <w:r>
        <w:t>An adaptive approach views change as an ongoing process of experimentation, feedback, learning and adjustment. This is particularly appropriate for AI, software and connected vehicles, where technologies develop rapidly.</w:t>
      </w:r>
    </w:p>
    <w:p w14:paraId="053EA51C" w14:textId="77777777" w:rsidR="001325C4" w:rsidRDefault="007449CA">
      <w:pPr>
        <w:spacing w:before="240" w:after="240" w:line="360" w:lineRule="auto"/>
        <w:jc w:val="both"/>
      </w:pPr>
      <w:r>
        <w:t xml:space="preserve">The approach fits Toyota’s principle of </w:t>
      </w:r>
      <w:r>
        <w:rPr>
          <w:i/>
          <w:iCs/>
        </w:rPr>
        <w:t>kaizen</w:t>
      </w:r>
      <w:r>
        <w:t xml:space="preserve">. Research across Toyota facilities in 27 countries found that challenge, kaizen and </w:t>
      </w:r>
      <w:proofErr w:type="spellStart"/>
      <w:r>
        <w:rPr>
          <w:i/>
          <w:iCs/>
        </w:rPr>
        <w:t>genchi</w:t>
      </w:r>
      <w:proofErr w:type="spellEnd"/>
      <w:r>
        <w:rPr>
          <w:i/>
          <w:iCs/>
        </w:rPr>
        <w:t xml:space="preserve"> </w:t>
      </w:r>
      <w:proofErr w:type="spellStart"/>
      <w:r>
        <w:rPr>
          <w:i/>
          <w:iCs/>
        </w:rPr>
        <w:t>genbutsu</w:t>
      </w:r>
      <w:proofErr w:type="spellEnd"/>
      <w:r>
        <w:t xml:space="preserve"> support process improvement, while respect and teamwork support </w:t>
      </w:r>
      <w:r>
        <w:lastRenderedPageBreak/>
        <w:t>people development (</w:t>
      </w:r>
      <w:proofErr w:type="spellStart"/>
      <w:r>
        <w:t>Jayamaha</w:t>
      </w:r>
      <w:proofErr w:type="spellEnd"/>
      <w:r>
        <w:t xml:space="preserve"> et al., 2014). Toyota can extend these principles into digital activities through what could be described as digital kaizen.</w:t>
      </w:r>
    </w:p>
    <w:p w14:paraId="4F50C3FD" w14:textId="77777777" w:rsidR="001325C4" w:rsidRDefault="007449CA">
      <w:pPr>
        <w:spacing w:before="240" w:after="240" w:line="360" w:lineRule="auto"/>
        <w:jc w:val="both"/>
      </w:pPr>
      <w:r>
        <w:t>For example, AI systems could initially be tested in selected factories before wider implementation. Digital customer services could also be piloted in selected markets and improved using customer feedback. However, excessive experimentation may create fragmented systems. Toyota therefore still needs clear governance, investment controls and safety standards.</w:t>
      </w:r>
    </w:p>
    <w:p w14:paraId="687BB02D" w14:textId="77777777" w:rsidR="001325C4" w:rsidRDefault="007449CA">
      <w:pPr>
        <w:pStyle w:val="Heading2"/>
        <w:keepNext w:val="0"/>
        <w:keepLines w:val="0"/>
        <w:spacing w:after="80" w:line="360" w:lineRule="auto"/>
        <w:jc w:val="both"/>
        <w:rPr>
          <w:b/>
          <w:bCs/>
          <w:sz w:val="22"/>
          <w:szCs w:val="22"/>
        </w:rPr>
      </w:pPr>
      <w:bookmarkStart w:id="21" w:name="_eijbohw4fnp6" w:colFirst="0" w:colLast="0"/>
      <w:bookmarkEnd w:id="21"/>
      <w:r>
        <w:rPr>
          <w:b/>
          <w:bCs/>
          <w:sz w:val="22"/>
          <w:szCs w:val="22"/>
        </w:rPr>
        <w:t>3.5 Evaluation and Recommended Approach</w:t>
      </w:r>
    </w:p>
    <w:p w14:paraId="6C22A46F" w14:textId="77777777" w:rsidR="001325C4" w:rsidRDefault="007449CA">
      <w:pPr>
        <w:spacing w:before="240" w:after="240" w:line="360" w:lineRule="auto"/>
        <w:jc w:val="both"/>
      </w:pPr>
      <w:r>
        <w:t xml:space="preserve">Toyota’s actions suggest that it has already combined elements of planned and adaptive change rather than following one formal model. Toyota Connected demonstrates the use of specialist and relatively agile structures for digital innovation, followed by wider integration (van der Meulen, Mooney and Beath, 2022). Its response to the 2024 certification problems also involved </w:t>
      </w:r>
      <w:proofErr w:type="spellStart"/>
      <w:r>
        <w:t>organisational</w:t>
      </w:r>
      <w:proofErr w:type="spellEnd"/>
      <w:r>
        <w:t xml:space="preserve"> change, including greater management involvement at the </w:t>
      </w:r>
      <w:proofErr w:type="spellStart"/>
      <w:r>
        <w:rPr>
          <w:i/>
          <w:iCs/>
        </w:rPr>
        <w:t>genba</w:t>
      </w:r>
      <w:proofErr w:type="spellEnd"/>
      <w:r>
        <w:t>, improved procedures and employee development.</w:t>
      </w:r>
    </w:p>
    <w:p w14:paraId="080B1A5B" w14:textId="77777777" w:rsidR="001325C4" w:rsidRDefault="007449CA">
      <w:pPr>
        <w:spacing w:before="240" w:after="240" w:line="360" w:lineRule="auto"/>
        <w:jc w:val="both"/>
      </w:pPr>
      <w:r>
        <w:t>The models can be compared as follows:</w:t>
      </w:r>
    </w:p>
    <w:tbl>
      <w:tblPr>
        <w:tblStyle w:val="a"/>
        <w:tblW w:w="10890"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722"/>
        <w:gridCol w:w="2722"/>
        <w:gridCol w:w="2723"/>
        <w:gridCol w:w="2723"/>
      </w:tblGrid>
      <w:tr w:rsidR="001325C4" w14:paraId="12F92689" w14:textId="77777777">
        <w:tc>
          <w:tcPr>
            <w:tcW w:w="2722" w:type="dxa"/>
            <w:tcMar>
              <w:top w:w="100" w:type="dxa"/>
              <w:left w:w="100" w:type="dxa"/>
              <w:bottom w:w="100" w:type="dxa"/>
              <w:right w:w="100" w:type="dxa"/>
            </w:tcMar>
          </w:tcPr>
          <w:p w14:paraId="2CFEDB6B" w14:textId="77777777" w:rsidR="001325C4" w:rsidRDefault="007449CA">
            <w:pPr>
              <w:widowControl w:val="0"/>
              <w:pBdr>
                <w:top w:val="nil"/>
                <w:left w:val="nil"/>
                <w:bottom w:val="nil"/>
                <w:right w:val="nil"/>
                <w:between w:val="nil"/>
              </w:pBdr>
              <w:spacing w:line="360" w:lineRule="auto"/>
            </w:pPr>
            <w:r>
              <w:t xml:space="preserve">Change model </w:t>
            </w:r>
          </w:p>
        </w:tc>
        <w:tc>
          <w:tcPr>
            <w:tcW w:w="2722" w:type="dxa"/>
            <w:tcMar>
              <w:top w:w="100" w:type="dxa"/>
              <w:left w:w="100" w:type="dxa"/>
              <w:bottom w:w="100" w:type="dxa"/>
              <w:right w:w="100" w:type="dxa"/>
            </w:tcMar>
          </w:tcPr>
          <w:p w14:paraId="483460DA" w14:textId="77777777" w:rsidR="001325C4" w:rsidRDefault="007449CA">
            <w:pPr>
              <w:widowControl w:val="0"/>
              <w:pBdr>
                <w:top w:val="nil"/>
                <w:left w:val="nil"/>
                <w:bottom w:val="nil"/>
                <w:right w:val="nil"/>
                <w:between w:val="nil"/>
              </w:pBdr>
              <w:spacing w:line="360" w:lineRule="auto"/>
            </w:pPr>
            <w:r>
              <w:t xml:space="preserve">Strength for Toyota </w:t>
            </w:r>
          </w:p>
        </w:tc>
        <w:tc>
          <w:tcPr>
            <w:tcW w:w="2722" w:type="dxa"/>
            <w:tcMar>
              <w:top w:w="100" w:type="dxa"/>
              <w:left w:w="100" w:type="dxa"/>
              <w:bottom w:w="100" w:type="dxa"/>
              <w:right w:w="100" w:type="dxa"/>
            </w:tcMar>
          </w:tcPr>
          <w:p w14:paraId="1C7461E4" w14:textId="77777777" w:rsidR="001325C4" w:rsidRDefault="007449CA">
            <w:pPr>
              <w:widowControl w:val="0"/>
              <w:pBdr>
                <w:top w:val="nil"/>
                <w:left w:val="nil"/>
                <w:bottom w:val="nil"/>
                <w:right w:val="nil"/>
                <w:between w:val="nil"/>
              </w:pBdr>
              <w:spacing w:line="360" w:lineRule="auto"/>
            </w:pPr>
            <w:r>
              <w:t xml:space="preserve">Main limitation </w:t>
            </w:r>
          </w:p>
        </w:tc>
        <w:tc>
          <w:tcPr>
            <w:tcW w:w="2722" w:type="dxa"/>
            <w:tcMar>
              <w:top w:w="100" w:type="dxa"/>
              <w:left w:w="100" w:type="dxa"/>
              <w:bottom w:w="100" w:type="dxa"/>
              <w:right w:w="100" w:type="dxa"/>
            </w:tcMar>
          </w:tcPr>
          <w:p w14:paraId="37DC2160" w14:textId="77777777" w:rsidR="001325C4" w:rsidRDefault="007449CA">
            <w:pPr>
              <w:widowControl w:val="0"/>
              <w:pBdr>
                <w:top w:val="nil"/>
                <w:left w:val="nil"/>
                <w:bottom w:val="nil"/>
                <w:right w:val="nil"/>
                <w:between w:val="nil"/>
              </w:pBdr>
              <w:spacing w:line="360" w:lineRule="auto"/>
            </w:pPr>
            <w:r>
              <w:t xml:space="preserve">Recommended application </w:t>
            </w:r>
          </w:p>
        </w:tc>
      </w:tr>
      <w:tr w:rsidR="001325C4" w14:paraId="2DDE4944" w14:textId="77777777">
        <w:tc>
          <w:tcPr>
            <w:tcW w:w="2722" w:type="dxa"/>
            <w:tcMar>
              <w:top w:w="100" w:type="dxa"/>
              <w:left w:w="100" w:type="dxa"/>
              <w:bottom w:w="100" w:type="dxa"/>
              <w:right w:w="100" w:type="dxa"/>
            </w:tcMar>
          </w:tcPr>
          <w:p w14:paraId="7B481442" w14:textId="77777777" w:rsidR="001325C4" w:rsidRDefault="007449CA">
            <w:pPr>
              <w:widowControl w:val="0"/>
              <w:pBdr>
                <w:top w:val="nil"/>
                <w:left w:val="nil"/>
                <w:bottom w:val="nil"/>
                <w:right w:val="nil"/>
                <w:between w:val="nil"/>
              </w:pBdr>
              <w:spacing w:line="360" w:lineRule="auto"/>
            </w:pPr>
            <w:r>
              <w:t xml:space="preserve">Lewin </w:t>
            </w:r>
          </w:p>
        </w:tc>
        <w:tc>
          <w:tcPr>
            <w:tcW w:w="2722" w:type="dxa"/>
            <w:tcMar>
              <w:top w:w="100" w:type="dxa"/>
              <w:left w:w="100" w:type="dxa"/>
              <w:bottom w:w="100" w:type="dxa"/>
              <w:right w:w="100" w:type="dxa"/>
            </w:tcMar>
          </w:tcPr>
          <w:p w14:paraId="173E148D" w14:textId="77777777" w:rsidR="001325C4" w:rsidRDefault="007449CA">
            <w:pPr>
              <w:widowControl w:val="0"/>
              <w:pBdr>
                <w:top w:val="nil"/>
                <w:left w:val="nil"/>
                <w:bottom w:val="nil"/>
                <w:right w:val="nil"/>
                <w:between w:val="nil"/>
              </w:pBdr>
              <w:spacing w:line="360" w:lineRule="auto"/>
            </w:pPr>
            <w:r>
              <w:t xml:space="preserve">Simple framework for employee readiness and </w:t>
            </w:r>
            <w:proofErr w:type="spellStart"/>
            <w:r>
              <w:t>behavioural</w:t>
            </w:r>
            <w:proofErr w:type="spellEnd"/>
            <w:r>
              <w:t xml:space="preserve"> transition </w:t>
            </w:r>
          </w:p>
        </w:tc>
        <w:tc>
          <w:tcPr>
            <w:tcW w:w="2722" w:type="dxa"/>
            <w:tcMar>
              <w:top w:w="100" w:type="dxa"/>
              <w:left w:w="100" w:type="dxa"/>
              <w:bottom w:w="100" w:type="dxa"/>
              <w:right w:w="100" w:type="dxa"/>
            </w:tcMar>
          </w:tcPr>
          <w:p w14:paraId="43A72057" w14:textId="77777777" w:rsidR="001325C4" w:rsidRDefault="007449CA">
            <w:pPr>
              <w:widowControl w:val="0"/>
              <w:pBdr>
                <w:top w:val="nil"/>
                <w:left w:val="nil"/>
                <w:bottom w:val="nil"/>
                <w:right w:val="nil"/>
                <w:between w:val="nil"/>
              </w:pBdr>
              <w:spacing w:line="360" w:lineRule="auto"/>
            </w:pPr>
            <w:r>
              <w:t xml:space="preserve">Can appear too linear for continuous technological change </w:t>
            </w:r>
          </w:p>
        </w:tc>
        <w:tc>
          <w:tcPr>
            <w:tcW w:w="2722" w:type="dxa"/>
            <w:tcMar>
              <w:top w:w="100" w:type="dxa"/>
              <w:left w:w="100" w:type="dxa"/>
              <w:bottom w:w="100" w:type="dxa"/>
              <w:right w:w="100" w:type="dxa"/>
            </w:tcMar>
          </w:tcPr>
          <w:p w14:paraId="7D908F81" w14:textId="77777777" w:rsidR="001325C4" w:rsidRDefault="007449CA">
            <w:pPr>
              <w:widowControl w:val="0"/>
              <w:pBdr>
                <w:top w:val="nil"/>
                <w:left w:val="nil"/>
                <w:bottom w:val="nil"/>
                <w:right w:val="nil"/>
                <w:between w:val="nil"/>
              </w:pBdr>
              <w:spacing w:line="360" w:lineRule="auto"/>
            </w:pPr>
            <w:r>
              <w:t xml:space="preserve">Preparing employees and embedding new </w:t>
            </w:r>
            <w:proofErr w:type="spellStart"/>
            <w:r>
              <w:t>behaviours</w:t>
            </w:r>
            <w:proofErr w:type="spellEnd"/>
            <w:r>
              <w:t xml:space="preserve"> </w:t>
            </w:r>
          </w:p>
        </w:tc>
      </w:tr>
      <w:tr w:rsidR="001325C4" w14:paraId="6AA70E7C" w14:textId="77777777">
        <w:tc>
          <w:tcPr>
            <w:tcW w:w="2722" w:type="dxa"/>
            <w:tcMar>
              <w:top w:w="100" w:type="dxa"/>
              <w:left w:w="100" w:type="dxa"/>
              <w:bottom w:w="100" w:type="dxa"/>
              <w:right w:w="100" w:type="dxa"/>
            </w:tcMar>
          </w:tcPr>
          <w:p w14:paraId="43AD83DA" w14:textId="77777777" w:rsidR="001325C4" w:rsidRDefault="007449CA">
            <w:pPr>
              <w:widowControl w:val="0"/>
              <w:pBdr>
                <w:top w:val="nil"/>
                <w:left w:val="nil"/>
                <w:bottom w:val="nil"/>
                <w:right w:val="nil"/>
                <w:between w:val="nil"/>
              </w:pBdr>
              <w:spacing w:line="360" w:lineRule="auto"/>
            </w:pPr>
            <w:r>
              <w:t xml:space="preserve">Kotter </w:t>
            </w:r>
          </w:p>
        </w:tc>
        <w:tc>
          <w:tcPr>
            <w:tcW w:w="2722" w:type="dxa"/>
            <w:tcMar>
              <w:top w:w="100" w:type="dxa"/>
              <w:left w:w="100" w:type="dxa"/>
              <w:bottom w:w="100" w:type="dxa"/>
              <w:right w:w="100" w:type="dxa"/>
            </w:tcMar>
          </w:tcPr>
          <w:p w14:paraId="72A82D57" w14:textId="77777777" w:rsidR="001325C4" w:rsidRDefault="007449CA">
            <w:pPr>
              <w:widowControl w:val="0"/>
              <w:pBdr>
                <w:top w:val="nil"/>
                <w:left w:val="nil"/>
                <w:bottom w:val="nil"/>
                <w:right w:val="nil"/>
                <w:between w:val="nil"/>
              </w:pBdr>
              <w:spacing w:line="360" w:lineRule="auto"/>
            </w:pPr>
            <w:r>
              <w:t xml:space="preserve">Strong focus on leadership, vision, communication and </w:t>
            </w:r>
            <w:proofErr w:type="spellStart"/>
            <w:r>
              <w:t>organisational</w:t>
            </w:r>
            <w:proofErr w:type="spellEnd"/>
            <w:r>
              <w:t xml:space="preserve"> </w:t>
            </w:r>
            <w:proofErr w:type="spellStart"/>
            <w:r>
              <w:t>mobilisation</w:t>
            </w:r>
            <w:proofErr w:type="spellEnd"/>
            <w:r>
              <w:t xml:space="preserve"> </w:t>
            </w:r>
          </w:p>
        </w:tc>
        <w:tc>
          <w:tcPr>
            <w:tcW w:w="2722" w:type="dxa"/>
            <w:tcMar>
              <w:top w:w="100" w:type="dxa"/>
              <w:left w:w="100" w:type="dxa"/>
              <w:bottom w:w="100" w:type="dxa"/>
              <w:right w:w="100" w:type="dxa"/>
            </w:tcMar>
          </w:tcPr>
          <w:p w14:paraId="38E05911" w14:textId="77777777" w:rsidR="001325C4" w:rsidRDefault="007449CA">
            <w:pPr>
              <w:widowControl w:val="0"/>
              <w:pBdr>
                <w:top w:val="nil"/>
                <w:left w:val="nil"/>
                <w:bottom w:val="nil"/>
                <w:right w:val="nil"/>
                <w:between w:val="nil"/>
              </w:pBdr>
              <w:spacing w:line="360" w:lineRule="auto"/>
            </w:pPr>
            <w:r>
              <w:t xml:space="preserve">Eight stages can become too sequential or rigid </w:t>
            </w:r>
          </w:p>
        </w:tc>
        <w:tc>
          <w:tcPr>
            <w:tcW w:w="2722" w:type="dxa"/>
            <w:tcMar>
              <w:top w:w="100" w:type="dxa"/>
              <w:left w:w="100" w:type="dxa"/>
              <w:bottom w:w="100" w:type="dxa"/>
              <w:right w:w="100" w:type="dxa"/>
            </w:tcMar>
          </w:tcPr>
          <w:p w14:paraId="11C5C1C3" w14:textId="77777777" w:rsidR="001325C4" w:rsidRDefault="007449CA">
            <w:pPr>
              <w:widowControl w:val="0"/>
              <w:pBdr>
                <w:top w:val="nil"/>
                <w:left w:val="nil"/>
                <w:bottom w:val="nil"/>
                <w:right w:val="nil"/>
                <w:between w:val="nil"/>
              </w:pBdr>
              <w:spacing w:line="360" w:lineRule="auto"/>
            </w:pPr>
            <w:r>
              <w:t xml:space="preserve">Overall strategic transformation </w:t>
            </w:r>
          </w:p>
        </w:tc>
      </w:tr>
      <w:tr w:rsidR="001325C4" w14:paraId="2E75198A" w14:textId="77777777">
        <w:tc>
          <w:tcPr>
            <w:tcW w:w="2722" w:type="dxa"/>
            <w:tcMar>
              <w:top w:w="100" w:type="dxa"/>
              <w:left w:w="100" w:type="dxa"/>
              <w:bottom w:w="100" w:type="dxa"/>
              <w:right w:w="100" w:type="dxa"/>
            </w:tcMar>
          </w:tcPr>
          <w:p w14:paraId="25E3912D" w14:textId="77777777" w:rsidR="001325C4" w:rsidRDefault="007449CA">
            <w:pPr>
              <w:widowControl w:val="0"/>
              <w:pBdr>
                <w:top w:val="nil"/>
                <w:left w:val="nil"/>
                <w:bottom w:val="nil"/>
                <w:right w:val="nil"/>
                <w:between w:val="nil"/>
              </w:pBdr>
              <w:spacing w:line="360" w:lineRule="auto"/>
            </w:pPr>
            <w:r>
              <w:t xml:space="preserve">ADKAR </w:t>
            </w:r>
          </w:p>
        </w:tc>
        <w:tc>
          <w:tcPr>
            <w:tcW w:w="2722" w:type="dxa"/>
            <w:tcMar>
              <w:top w:w="100" w:type="dxa"/>
              <w:left w:w="100" w:type="dxa"/>
              <w:bottom w:w="100" w:type="dxa"/>
              <w:right w:w="100" w:type="dxa"/>
            </w:tcMar>
          </w:tcPr>
          <w:p w14:paraId="264534EE" w14:textId="77777777" w:rsidR="001325C4" w:rsidRDefault="007449CA">
            <w:pPr>
              <w:widowControl w:val="0"/>
              <w:pBdr>
                <w:top w:val="nil"/>
                <w:left w:val="nil"/>
                <w:bottom w:val="nil"/>
                <w:right w:val="nil"/>
                <w:between w:val="nil"/>
              </w:pBdr>
              <w:spacing w:line="360" w:lineRule="auto"/>
            </w:pPr>
            <w:r>
              <w:t xml:space="preserve">Strong focus on individual adoption, skills and reinforcement </w:t>
            </w:r>
          </w:p>
        </w:tc>
        <w:tc>
          <w:tcPr>
            <w:tcW w:w="2722" w:type="dxa"/>
            <w:tcMar>
              <w:top w:w="100" w:type="dxa"/>
              <w:left w:w="100" w:type="dxa"/>
              <w:bottom w:w="100" w:type="dxa"/>
              <w:right w:w="100" w:type="dxa"/>
            </w:tcMar>
          </w:tcPr>
          <w:p w14:paraId="480C502C" w14:textId="77777777" w:rsidR="001325C4" w:rsidRDefault="007449CA">
            <w:pPr>
              <w:widowControl w:val="0"/>
              <w:pBdr>
                <w:top w:val="nil"/>
                <w:left w:val="nil"/>
                <w:bottom w:val="nil"/>
                <w:right w:val="nil"/>
                <w:between w:val="nil"/>
              </w:pBdr>
              <w:spacing w:line="360" w:lineRule="auto"/>
            </w:pPr>
            <w:r>
              <w:t xml:space="preserve">Does not address wider strategic and structural issues sufficiently </w:t>
            </w:r>
          </w:p>
        </w:tc>
        <w:tc>
          <w:tcPr>
            <w:tcW w:w="2722" w:type="dxa"/>
            <w:tcMar>
              <w:top w:w="100" w:type="dxa"/>
              <w:left w:w="100" w:type="dxa"/>
              <w:bottom w:w="100" w:type="dxa"/>
              <w:right w:w="100" w:type="dxa"/>
            </w:tcMar>
          </w:tcPr>
          <w:p w14:paraId="1B6C8D4A" w14:textId="77777777" w:rsidR="001325C4" w:rsidRDefault="007449CA">
            <w:pPr>
              <w:widowControl w:val="0"/>
              <w:pBdr>
                <w:top w:val="nil"/>
                <w:left w:val="nil"/>
                <w:bottom w:val="nil"/>
                <w:right w:val="nil"/>
                <w:between w:val="nil"/>
              </w:pBdr>
              <w:spacing w:line="360" w:lineRule="auto"/>
            </w:pPr>
            <w:r>
              <w:t xml:space="preserve">Employee training and adoption </w:t>
            </w:r>
          </w:p>
        </w:tc>
      </w:tr>
      <w:tr w:rsidR="001325C4" w14:paraId="28ED147D" w14:textId="77777777">
        <w:tc>
          <w:tcPr>
            <w:tcW w:w="2722" w:type="dxa"/>
            <w:tcMar>
              <w:top w:w="100" w:type="dxa"/>
              <w:left w:w="100" w:type="dxa"/>
              <w:bottom w:w="100" w:type="dxa"/>
              <w:right w:w="100" w:type="dxa"/>
            </w:tcMar>
          </w:tcPr>
          <w:p w14:paraId="5D618BD0" w14:textId="77777777" w:rsidR="001325C4" w:rsidRDefault="007449CA">
            <w:pPr>
              <w:widowControl w:val="0"/>
              <w:pBdr>
                <w:top w:val="nil"/>
                <w:left w:val="nil"/>
                <w:bottom w:val="nil"/>
                <w:right w:val="nil"/>
                <w:between w:val="nil"/>
              </w:pBdr>
              <w:spacing w:line="360" w:lineRule="auto"/>
            </w:pPr>
            <w:r>
              <w:t xml:space="preserve">Adaptive/Agile </w:t>
            </w:r>
          </w:p>
        </w:tc>
        <w:tc>
          <w:tcPr>
            <w:tcW w:w="2722" w:type="dxa"/>
            <w:tcMar>
              <w:top w:w="100" w:type="dxa"/>
              <w:left w:w="100" w:type="dxa"/>
              <w:bottom w:w="100" w:type="dxa"/>
              <w:right w:w="100" w:type="dxa"/>
            </w:tcMar>
          </w:tcPr>
          <w:p w14:paraId="023D8BC0" w14:textId="77777777" w:rsidR="001325C4" w:rsidRDefault="007449CA">
            <w:pPr>
              <w:widowControl w:val="0"/>
              <w:pBdr>
                <w:top w:val="nil"/>
                <w:left w:val="nil"/>
                <w:bottom w:val="nil"/>
                <w:right w:val="nil"/>
                <w:between w:val="nil"/>
              </w:pBdr>
              <w:spacing w:line="360" w:lineRule="auto"/>
            </w:pPr>
            <w:r>
              <w:t xml:space="preserve">Supports experimentation, learning and rapid technological adjustment </w:t>
            </w:r>
          </w:p>
        </w:tc>
        <w:tc>
          <w:tcPr>
            <w:tcW w:w="2722" w:type="dxa"/>
            <w:tcMar>
              <w:top w:w="100" w:type="dxa"/>
              <w:left w:w="100" w:type="dxa"/>
              <w:bottom w:w="100" w:type="dxa"/>
              <w:right w:w="100" w:type="dxa"/>
            </w:tcMar>
          </w:tcPr>
          <w:p w14:paraId="0E26E86B" w14:textId="77777777" w:rsidR="001325C4" w:rsidRDefault="007449CA">
            <w:pPr>
              <w:widowControl w:val="0"/>
              <w:pBdr>
                <w:top w:val="nil"/>
                <w:left w:val="nil"/>
                <w:bottom w:val="nil"/>
                <w:right w:val="nil"/>
                <w:between w:val="nil"/>
              </w:pBdr>
              <w:spacing w:line="360" w:lineRule="auto"/>
            </w:pPr>
            <w:r>
              <w:t xml:space="preserve">Can create fragmentation without strategic controls </w:t>
            </w:r>
          </w:p>
        </w:tc>
        <w:tc>
          <w:tcPr>
            <w:tcW w:w="2722" w:type="dxa"/>
            <w:tcMar>
              <w:top w:w="100" w:type="dxa"/>
              <w:left w:w="100" w:type="dxa"/>
              <w:bottom w:w="100" w:type="dxa"/>
              <w:right w:w="100" w:type="dxa"/>
            </w:tcMar>
          </w:tcPr>
          <w:p w14:paraId="05AF1609" w14:textId="77777777" w:rsidR="001325C4" w:rsidRDefault="007449CA">
            <w:pPr>
              <w:widowControl w:val="0"/>
              <w:pBdr>
                <w:top w:val="nil"/>
                <w:left w:val="nil"/>
                <w:bottom w:val="nil"/>
                <w:right w:val="nil"/>
                <w:between w:val="nil"/>
              </w:pBdr>
              <w:spacing w:line="360" w:lineRule="auto"/>
            </w:pPr>
            <w:r>
              <w:t xml:space="preserve">AI, software and digital innovation </w:t>
            </w:r>
          </w:p>
        </w:tc>
      </w:tr>
    </w:tbl>
    <w:p w14:paraId="2A37C23F" w14:textId="77777777" w:rsidR="001325C4" w:rsidRDefault="007449CA">
      <w:pPr>
        <w:spacing w:before="240" w:after="240" w:line="360" w:lineRule="auto"/>
        <w:jc w:val="both"/>
      </w:pPr>
      <w:r>
        <w:lastRenderedPageBreak/>
        <w:t xml:space="preserve">A hybrid approach is therefore most appropriate. Kotter should provide the strategic structure, including vision, leadership and communication. ADKAR should support employee training and adoption. Lewin can help assess readiness and embed </w:t>
      </w:r>
      <w:proofErr w:type="spellStart"/>
      <w:r>
        <w:t>behavioural</w:t>
      </w:r>
      <w:proofErr w:type="spellEnd"/>
      <w:r>
        <w:t xml:space="preserve"> changes, while adaptive principles can guide AI, software and other rapidly changing technologies.</w:t>
      </w:r>
    </w:p>
    <w:p w14:paraId="3823C5A0" w14:textId="77777777" w:rsidR="001325C4" w:rsidRDefault="007449CA">
      <w:pPr>
        <w:spacing w:before="240" w:after="240" w:line="360" w:lineRule="auto"/>
        <w:jc w:val="both"/>
      </w:pPr>
      <w:r>
        <w:t xml:space="preserve">This approach should build on Toyota’s existing culture rather than replace it. </w:t>
      </w:r>
      <w:r>
        <w:rPr>
          <w:i/>
          <w:iCs/>
        </w:rPr>
        <w:t>Kaizen</w:t>
      </w:r>
      <w:r>
        <w:t xml:space="preserve">, </w:t>
      </w:r>
      <w:proofErr w:type="spellStart"/>
      <w:r>
        <w:rPr>
          <w:i/>
          <w:iCs/>
        </w:rPr>
        <w:t>genchi</w:t>
      </w:r>
      <w:proofErr w:type="spellEnd"/>
      <w:r>
        <w:rPr>
          <w:i/>
          <w:iCs/>
        </w:rPr>
        <w:t xml:space="preserve"> </w:t>
      </w:r>
      <w:proofErr w:type="spellStart"/>
      <w:r>
        <w:rPr>
          <w:i/>
          <w:iCs/>
        </w:rPr>
        <w:t>genbutsu</w:t>
      </w:r>
      <w:proofErr w:type="spellEnd"/>
      <w:r>
        <w:t>, respect and teamwork can support digital transformation when applied beyond traditional manufacturing.</w:t>
      </w:r>
    </w:p>
    <w:p w14:paraId="4F6163B1" w14:textId="77777777" w:rsidR="001325C4" w:rsidRDefault="007449CA">
      <w:pPr>
        <w:spacing w:before="240" w:after="240" w:line="360" w:lineRule="auto"/>
        <w:jc w:val="both"/>
      </w:pPr>
      <w:r>
        <w:t>Overall, Toyota’s transformation is strategic and continuous rather than a one-off change project. The recommended hybrid approach provides a balance between strategic control, employee involvement and technological flexibility, enabling Toyota to develop its digital and mobility capabilities while protecting its established strengths in quality and continuous improvement.</w:t>
      </w:r>
    </w:p>
    <w:p w14:paraId="663A4B99" w14:textId="77777777" w:rsidR="001325C4" w:rsidRDefault="007449CA">
      <w:pPr>
        <w:pStyle w:val="Heading2"/>
        <w:keepNext w:val="0"/>
        <w:keepLines w:val="0"/>
        <w:spacing w:after="80" w:line="360" w:lineRule="auto"/>
        <w:jc w:val="both"/>
        <w:rPr>
          <w:b/>
          <w:bCs/>
          <w:sz w:val="22"/>
          <w:szCs w:val="22"/>
        </w:rPr>
      </w:pPr>
      <w:bookmarkStart w:id="22" w:name="_pnbqs3dfoqm0" w:colFirst="0" w:colLast="0"/>
      <w:bookmarkEnd w:id="22"/>
      <w:r>
        <w:rPr>
          <w:b/>
          <w:bCs/>
          <w:sz w:val="22"/>
          <w:szCs w:val="22"/>
        </w:rPr>
        <w:t xml:space="preserve">4.0 Leadership, </w:t>
      </w:r>
      <w:proofErr w:type="spellStart"/>
      <w:r>
        <w:rPr>
          <w:b/>
          <w:bCs/>
          <w:sz w:val="22"/>
          <w:szCs w:val="22"/>
        </w:rPr>
        <w:t>Organisational</w:t>
      </w:r>
      <w:proofErr w:type="spellEnd"/>
      <w:r>
        <w:rPr>
          <w:b/>
          <w:bCs/>
          <w:sz w:val="22"/>
          <w:szCs w:val="22"/>
        </w:rPr>
        <w:t xml:space="preserve"> Culture and the Management of Change at Toyota</w:t>
      </w:r>
    </w:p>
    <w:p w14:paraId="657325AA" w14:textId="77777777" w:rsidR="001325C4" w:rsidRDefault="007449CA">
      <w:pPr>
        <w:spacing w:before="240" w:after="240" w:line="360" w:lineRule="auto"/>
        <w:jc w:val="both"/>
      </w:pPr>
      <w:r>
        <w:t xml:space="preserve">Toyota's strategic transformation requires leadership that can balance its traditional strengths with the need for new capabilities. The company is responding to electrification, artificial intelligence (AI), software-defined vehicles and digital customer services, while also addressing governance and compliance challenges. Leadership is therefore important for setting direction, communicating the need for change and gaining employee support. At the same time, Toyota's </w:t>
      </w:r>
      <w:proofErr w:type="spellStart"/>
      <w:r>
        <w:t>organisational</w:t>
      </w:r>
      <w:proofErr w:type="spellEnd"/>
      <w:r>
        <w:t xml:space="preserve"> culture can support change through continuous improvement and teamwork, but it may also encourage attachment to established practices.</w:t>
      </w:r>
    </w:p>
    <w:p w14:paraId="0D78D8FB" w14:textId="77777777" w:rsidR="001325C4" w:rsidRDefault="007449CA">
      <w:pPr>
        <w:pStyle w:val="Heading3"/>
        <w:keepNext w:val="0"/>
        <w:keepLines w:val="0"/>
        <w:spacing w:before="280" w:line="360" w:lineRule="auto"/>
        <w:jc w:val="both"/>
        <w:rPr>
          <w:b/>
          <w:bCs/>
          <w:color w:val="000000"/>
          <w:sz w:val="22"/>
          <w:szCs w:val="22"/>
        </w:rPr>
      </w:pPr>
      <w:bookmarkStart w:id="23" w:name="_eo9lu25uhexl" w:colFirst="0" w:colLast="0"/>
      <w:bookmarkEnd w:id="23"/>
      <w:r>
        <w:rPr>
          <w:b/>
          <w:bCs/>
          <w:color w:val="000000"/>
          <w:sz w:val="22"/>
          <w:szCs w:val="22"/>
        </w:rPr>
        <w:t>4.1 Leadership and the Management of Change</w:t>
      </w:r>
    </w:p>
    <w:p w14:paraId="7028D013" w14:textId="77777777" w:rsidR="001325C4" w:rsidRDefault="007449CA">
      <w:pPr>
        <w:spacing w:before="240" w:after="240" w:line="360" w:lineRule="auto"/>
        <w:jc w:val="both"/>
      </w:pPr>
      <w:r>
        <w:t xml:space="preserve">Toyota has managed change through long-term planning, gradual implementation, specialist digital </w:t>
      </w:r>
      <w:proofErr w:type="spellStart"/>
      <w:r>
        <w:t>organisations</w:t>
      </w:r>
      <w:proofErr w:type="spellEnd"/>
      <w:r>
        <w:t xml:space="preserve"> and operational control. </w:t>
      </w:r>
      <w:proofErr w:type="spellStart"/>
      <w:r>
        <w:t>Organisations</w:t>
      </w:r>
      <w:proofErr w:type="spellEnd"/>
      <w:r>
        <w:t xml:space="preserve"> such as Toyota Connected and Woven by Toyota have helped the company develop capabilities in connected services, software and mobility technologies (</w:t>
      </w:r>
      <w:proofErr w:type="spellStart"/>
      <w:r>
        <w:t>VanderMeulen</w:t>
      </w:r>
      <w:proofErr w:type="spellEnd"/>
      <w:r>
        <w:t>, Mooney and Beath, 2022). The Arene platform is another example, supporting the development and updating of vehicle software (Woven by Toyota, 2025). This gradual approach reduces operational risks, particularly because software and AI technologies must meet strict safety and quality requirements</w:t>
      </w:r>
      <w:r>
        <w:t>.</w:t>
      </w:r>
    </w:p>
    <w:p w14:paraId="68C36043" w14:textId="77777777" w:rsidR="001325C4" w:rsidRDefault="007449CA">
      <w:pPr>
        <w:spacing w:before="240" w:after="240" w:line="360" w:lineRule="auto"/>
        <w:jc w:val="both"/>
      </w:pPr>
      <w:r>
        <w:t xml:space="preserve">However, gradual change can also reduce the speed of strategic response. Toyota's previous emphasis on hybrid technology and its slower development of battery-electric vehicles has been </w:t>
      </w:r>
      <w:proofErr w:type="spellStart"/>
      <w:r>
        <w:t>criticised</w:t>
      </w:r>
      <w:proofErr w:type="spellEnd"/>
      <w:r>
        <w:t xml:space="preserve"> as allowing competitors such as Tesla to gain an advantage (Sakakibara, 2022). Toyota therefore needs to maintain its quality discipline while making strategic decisions more quickly.</w:t>
      </w:r>
    </w:p>
    <w:p w14:paraId="2A50D1D1" w14:textId="77777777" w:rsidR="001325C4" w:rsidRDefault="007449CA">
      <w:pPr>
        <w:spacing w:before="240" w:after="240" w:line="360" w:lineRule="auto"/>
        <w:jc w:val="both"/>
      </w:pPr>
      <w:r>
        <w:t xml:space="preserve">Leadership is particularly important in this context. In 2023, Koji Sato became President and CEO, replacing Akio Toyoda. Toyota described the leadership transition through the concept of “inheritance and evolution”, which involved preserving Toyota's founding philosophy while developing the </w:t>
      </w:r>
      <w:proofErr w:type="spellStart"/>
      <w:r>
        <w:t>organisation</w:t>
      </w:r>
      <w:proofErr w:type="spellEnd"/>
      <w:r>
        <w:t xml:space="preserve"> into a mobility company </w:t>
      </w:r>
      <w:r>
        <w:lastRenderedPageBreak/>
        <w:t>(Toyota Motor Corporation, 2023). This approach reflects elements of transformational leadership, which involves creating a clear vision, motivating employees and encouraging new ways of thinking (Bass, 1985).</w:t>
      </w:r>
    </w:p>
    <w:p w14:paraId="798E12D8" w14:textId="77777777" w:rsidR="001325C4" w:rsidRDefault="007449CA">
      <w:pPr>
        <w:spacing w:before="240" w:after="240" w:line="360" w:lineRule="auto"/>
        <w:jc w:val="both"/>
      </w:pPr>
      <w:r>
        <w:t xml:space="preserve">Transformational leadership is suitable for Toyota because employees need to understand why the </w:t>
      </w:r>
      <w:proofErr w:type="spellStart"/>
      <w:r>
        <w:t>organisation</w:t>
      </w:r>
      <w:proofErr w:type="spellEnd"/>
      <w:r>
        <w:t xml:space="preserve"> must develop beyond traditional vehicle manufacturing. Digital transformation affects engineering, manufacturing, customer relationships, dealer operations and employee skills. Leaders therefore need to communicate a clear vision that connects digital transformation with Toyota's existing priorities of safety, quality, sustainability and customer value.</w:t>
      </w:r>
    </w:p>
    <w:p w14:paraId="5A75D317" w14:textId="77777777" w:rsidR="001325C4" w:rsidRDefault="007449CA">
      <w:pPr>
        <w:spacing w:before="240" w:after="240" w:line="360" w:lineRule="auto"/>
        <w:jc w:val="both"/>
      </w:pPr>
      <w:r>
        <w:t>However, transformational leadership should be supported by participative and situational leadership. Senior leaders can establish the strategic direction, but engineers, factory employees, software specialists, dealers and suppliers are needed to implement the change effectively. Employee participation can help identify operational problems and reduce resistance. Situational leadership is also relevant because different projects require different approaches. For example, AI experimentation may require flex</w:t>
      </w:r>
      <w:r>
        <w:t>ibility, whereas vehicle safety and regulatory compliance require stronger control.</w:t>
      </w:r>
    </w:p>
    <w:p w14:paraId="75300579" w14:textId="77777777" w:rsidR="001325C4" w:rsidRDefault="007449CA">
      <w:pPr>
        <w:spacing w:before="240" w:after="240" w:line="360" w:lineRule="auto"/>
        <w:jc w:val="both"/>
      </w:pPr>
      <w:r>
        <w:t xml:space="preserve">Toyota's response to the 2024 certification problems provides evidence of the importance of leadership. Investigations identified weaknesses in certification processes, including insufficient management involvement. Toyota responded by increasing management involvement at the </w:t>
      </w:r>
      <w:proofErr w:type="spellStart"/>
      <w:r>
        <w:rPr>
          <w:i/>
          <w:iCs/>
        </w:rPr>
        <w:t>genba</w:t>
      </w:r>
      <w:proofErr w:type="spellEnd"/>
      <w:r>
        <w:t xml:space="preserve"> (workplace), clarifying responsibilities, strengthening training and improving internal processes (Toyota Motor Corporation, 2024a; 2024b). This reflects the Toyota principle of </w:t>
      </w:r>
      <w:proofErr w:type="spellStart"/>
      <w:r>
        <w:rPr>
          <w:i/>
          <w:iCs/>
        </w:rPr>
        <w:t>genchi</w:t>
      </w:r>
      <w:proofErr w:type="spellEnd"/>
      <w:r>
        <w:rPr>
          <w:i/>
          <w:iCs/>
        </w:rPr>
        <w:t xml:space="preserve"> </w:t>
      </w:r>
      <w:proofErr w:type="spellStart"/>
      <w:r>
        <w:rPr>
          <w:i/>
          <w:iCs/>
        </w:rPr>
        <w:t>genbutsu</w:t>
      </w:r>
      <w:proofErr w:type="spellEnd"/>
      <w:r>
        <w:t>, which encourages managers to understand problems by observing the actual workplace. It demonstrates that effective leadership at Toyota requires both strategic direction and direct engagement with operational realities.</w:t>
      </w:r>
    </w:p>
    <w:p w14:paraId="4E4EF748" w14:textId="77777777" w:rsidR="001325C4" w:rsidRDefault="007449CA">
      <w:pPr>
        <w:pStyle w:val="Heading3"/>
        <w:keepNext w:val="0"/>
        <w:keepLines w:val="0"/>
        <w:spacing w:before="280" w:line="360" w:lineRule="auto"/>
        <w:jc w:val="both"/>
        <w:rPr>
          <w:b/>
          <w:bCs/>
          <w:color w:val="000000"/>
          <w:sz w:val="22"/>
          <w:szCs w:val="22"/>
        </w:rPr>
      </w:pPr>
      <w:bookmarkStart w:id="24" w:name="_w8m0webdrk4v" w:colFirst="0" w:colLast="0"/>
      <w:bookmarkEnd w:id="24"/>
      <w:r>
        <w:rPr>
          <w:b/>
          <w:bCs/>
          <w:color w:val="000000"/>
          <w:sz w:val="22"/>
          <w:szCs w:val="22"/>
        </w:rPr>
        <w:t xml:space="preserve">4.2 Impact of </w:t>
      </w:r>
      <w:proofErr w:type="spellStart"/>
      <w:r>
        <w:rPr>
          <w:b/>
          <w:bCs/>
          <w:color w:val="000000"/>
          <w:sz w:val="22"/>
          <w:szCs w:val="22"/>
        </w:rPr>
        <w:t>Organisational</w:t>
      </w:r>
      <w:proofErr w:type="spellEnd"/>
      <w:r>
        <w:rPr>
          <w:b/>
          <w:bCs/>
          <w:color w:val="000000"/>
          <w:sz w:val="22"/>
          <w:szCs w:val="22"/>
        </w:rPr>
        <w:t xml:space="preserve"> Culture</w:t>
      </w:r>
    </w:p>
    <w:p w14:paraId="46715674" w14:textId="77777777" w:rsidR="001325C4" w:rsidRDefault="007449CA">
      <w:pPr>
        <w:spacing w:before="240" w:after="240" w:line="360" w:lineRule="auto"/>
        <w:jc w:val="both"/>
      </w:pPr>
      <w:r>
        <w:t xml:space="preserve">Toyota's </w:t>
      </w:r>
      <w:proofErr w:type="spellStart"/>
      <w:r>
        <w:t>organisational</w:t>
      </w:r>
      <w:proofErr w:type="spellEnd"/>
      <w:r>
        <w:t xml:space="preserve"> culture is strongly associated with the Toyota Way, particularly </w:t>
      </w:r>
      <w:r>
        <w:rPr>
          <w:i/>
          <w:iCs/>
        </w:rPr>
        <w:t>kaizen</w:t>
      </w:r>
      <w:r>
        <w:t xml:space="preserve"> (continuous improvement) and respect for people (Liker, 2004). These values can provide a strong foundation for managing strategic change. </w:t>
      </w:r>
      <w:r>
        <w:rPr>
          <w:i/>
          <w:iCs/>
        </w:rPr>
        <w:t>Kaizen</w:t>
      </w:r>
      <w:r>
        <w:t xml:space="preserve"> encourages employees to identify problems, test improvements and learn from results. Research by </w:t>
      </w:r>
      <w:proofErr w:type="spellStart"/>
      <w:r>
        <w:t>Jayamaha</w:t>
      </w:r>
      <w:proofErr w:type="spellEnd"/>
      <w:r>
        <w:t xml:space="preserve"> et al. (2014) found relationships between Toyota Way principles and process improvement and people development across Toyota facilities internationally.</w:t>
      </w:r>
    </w:p>
    <w:p w14:paraId="050E7D0E" w14:textId="77777777" w:rsidR="001325C4" w:rsidRDefault="007449CA">
      <w:pPr>
        <w:spacing w:before="240" w:after="240" w:line="360" w:lineRule="auto"/>
        <w:jc w:val="both"/>
      </w:pPr>
      <w:r>
        <w:t xml:space="preserve">This culture can support digital transformation in several ways. Employees can apply continuous improvement to AI systems, digital processes and software development. </w:t>
      </w:r>
      <w:r>
        <w:rPr>
          <w:i/>
          <w:iCs/>
        </w:rPr>
        <w:t xml:space="preserve">Genchi </w:t>
      </w:r>
      <w:proofErr w:type="spellStart"/>
      <w:r>
        <w:rPr>
          <w:i/>
          <w:iCs/>
        </w:rPr>
        <w:t>genbutsu</w:t>
      </w:r>
      <w:proofErr w:type="spellEnd"/>
      <w:r>
        <w:t xml:space="preserve"> can encourage managers to examine how new technologies </w:t>
      </w:r>
      <w:proofErr w:type="gramStart"/>
      <w:r>
        <w:t>actually affect</w:t>
      </w:r>
      <w:proofErr w:type="gramEnd"/>
      <w:r>
        <w:t xml:space="preserve"> employees and customers rather than relying only on reports. Respect for people can also support employee training and reskilling as traditional manufacturing roles increasingly require digital knowledge.</w:t>
      </w:r>
    </w:p>
    <w:p w14:paraId="17E03E8E" w14:textId="77777777" w:rsidR="001325C4" w:rsidRDefault="007449CA">
      <w:pPr>
        <w:spacing w:before="240" w:after="240" w:line="360" w:lineRule="auto"/>
        <w:jc w:val="both"/>
      </w:pPr>
      <w:r>
        <w:t xml:space="preserve">However, Toyota's culture can also create barriers to strategic change. Its long history of success may encourage managers and employees to rely heavily on established methods. A strong preference for proven processes may </w:t>
      </w:r>
      <w:r>
        <w:lastRenderedPageBreak/>
        <w:t>make employees cautious about technologies that involve uncertainty or require new skills. Similarly, consensus-based decision-making can improve decision quality but may slow responses when markets and technologies are changing rapidly.</w:t>
      </w:r>
    </w:p>
    <w:p w14:paraId="10CC9778" w14:textId="77777777" w:rsidR="001325C4" w:rsidRDefault="007449CA">
      <w:pPr>
        <w:spacing w:before="240" w:after="240" w:line="360" w:lineRule="auto"/>
        <w:jc w:val="both"/>
      </w:pPr>
      <w:r>
        <w:t xml:space="preserve">This creates a key challenge for Toyota: the same culture that supports continuous improvement can make radical change more difficult if continuous improvement is limited to existing processes. Toyota therefore needs to extend </w:t>
      </w:r>
      <w:r>
        <w:rPr>
          <w:i/>
          <w:iCs/>
        </w:rPr>
        <w:t>kaizen</w:t>
      </w:r>
      <w:r>
        <w:t xml:space="preserve"> beyond manufacturing and apply it to software, AI, data management and digital customer services. This can be described as “digital kaizen”, where employees continuously test, evaluate and improve digital solutions.</w:t>
      </w:r>
    </w:p>
    <w:p w14:paraId="13DB8DD2" w14:textId="77777777" w:rsidR="001325C4" w:rsidRDefault="007449CA">
      <w:pPr>
        <w:spacing w:before="240" w:after="240" w:line="360" w:lineRule="auto"/>
        <w:jc w:val="both"/>
      </w:pPr>
      <w:r>
        <w:t xml:space="preserve">The certification problems also demonstrate the importance of culture. Toyota identified weaknesses involving management involvement, procedures and awareness of certification responsibilities. Its response included greater workplace engagement, employee development and stronger processes (Toyota Motor Corporation, 2024b). This suggests that Toyota can use its existing culture to correct </w:t>
      </w:r>
      <w:proofErr w:type="spellStart"/>
      <w:r>
        <w:t>organisational</w:t>
      </w:r>
      <w:proofErr w:type="spellEnd"/>
      <w:r>
        <w:t xml:space="preserve"> weaknesses rather than replacing it.</w:t>
      </w:r>
    </w:p>
    <w:p w14:paraId="68DC5FBE" w14:textId="77777777" w:rsidR="001325C4" w:rsidRDefault="007449CA">
      <w:pPr>
        <w:pStyle w:val="Heading3"/>
        <w:keepNext w:val="0"/>
        <w:keepLines w:val="0"/>
        <w:spacing w:before="280" w:line="360" w:lineRule="auto"/>
        <w:jc w:val="both"/>
        <w:rPr>
          <w:b/>
          <w:bCs/>
          <w:color w:val="000000"/>
          <w:sz w:val="22"/>
          <w:szCs w:val="22"/>
        </w:rPr>
      </w:pPr>
      <w:bookmarkStart w:id="25" w:name="_o105zlfkzbsd" w:colFirst="0" w:colLast="0"/>
      <w:bookmarkEnd w:id="25"/>
      <w:r>
        <w:rPr>
          <w:b/>
          <w:bCs/>
          <w:color w:val="000000"/>
          <w:sz w:val="22"/>
          <w:szCs w:val="22"/>
        </w:rPr>
        <w:t>4.3 Overall Evaluation</w:t>
      </w:r>
    </w:p>
    <w:p w14:paraId="6951ED8A" w14:textId="77777777" w:rsidR="001325C4" w:rsidRDefault="007449CA">
      <w:pPr>
        <w:spacing w:before="240" w:after="240" w:line="360" w:lineRule="auto"/>
        <w:jc w:val="both"/>
      </w:pPr>
      <w:r>
        <w:t>Toyota's experience shows that leadership and culture are closely connected to successful change. Transformational leadership can provide the vision needed for electrification and digital transformation, while participative leadership can encourage employee involvement and support the principle of respect for people. Situational leadership can help managers balance flexibility with the strict safety and compliance requirements of the automotive industry.</w:t>
      </w:r>
    </w:p>
    <w:p w14:paraId="0712A818" w14:textId="77777777" w:rsidR="001325C4" w:rsidRDefault="007449CA">
      <w:pPr>
        <w:spacing w:before="240" w:after="240" w:line="360" w:lineRule="auto"/>
        <w:jc w:val="both"/>
      </w:pPr>
      <w:r>
        <w:t xml:space="preserve">Toyota's culture is another major strength, but it must evolve with the business environment. </w:t>
      </w:r>
      <w:r>
        <w:rPr>
          <w:i/>
          <w:iCs/>
        </w:rPr>
        <w:t>Kaizen</w:t>
      </w:r>
      <w:r>
        <w:t xml:space="preserve">, teamwork, </w:t>
      </w:r>
      <w:proofErr w:type="spellStart"/>
      <w:r>
        <w:rPr>
          <w:i/>
          <w:iCs/>
        </w:rPr>
        <w:t>genchi</w:t>
      </w:r>
      <w:proofErr w:type="spellEnd"/>
      <w:r>
        <w:rPr>
          <w:i/>
          <w:iCs/>
        </w:rPr>
        <w:t xml:space="preserve"> </w:t>
      </w:r>
      <w:proofErr w:type="spellStart"/>
      <w:r>
        <w:rPr>
          <w:i/>
          <w:iCs/>
        </w:rPr>
        <w:t>genbutsu</w:t>
      </w:r>
      <w:proofErr w:type="spellEnd"/>
      <w:r>
        <w:t xml:space="preserve"> and respect for people should be applied to new digital capabilities rather than being restricted to traditional manufacturing.</w:t>
      </w:r>
    </w:p>
    <w:p w14:paraId="71C755D7" w14:textId="77777777" w:rsidR="001325C4" w:rsidRDefault="007449CA">
      <w:pPr>
        <w:spacing w:before="240" w:after="240" w:line="360" w:lineRule="auto"/>
        <w:jc w:val="both"/>
      </w:pPr>
      <w:r>
        <w:t>Overall, Toyota should adopt a blended leadership approach that combines transformational vision, employee participation and situational flexibility. This would support the hybrid change-management approach discussed earlier, while allowing Toyota to preserve its core values and respond more effectively to technological and market disruption. The key challenge is to achieve greater speed without sacrificing the quality, safety and continuous improvement that have supported Toyota's long-term success.</w:t>
      </w:r>
    </w:p>
    <w:p w14:paraId="073510FF" w14:textId="77777777" w:rsidR="001325C4" w:rsidRDefault="001325C4">
      <w:pPr>
        <w:spacing w:before="240" w:after="240" w:line="360" w:lineRule="auto"/>
        <w:jc w:val="both"/>
      </w:pPr>
    </w:p>
    <w:p w14:paraId="19D9ABBB" w14:textId="77777777" w:rsidR="001325C4" w:rsidRDefault="007449CA">
      <w:pPr>
        <w:pStyle w:val="Heading1"/>
        <w:keepNext w:val="0"/>
        <w:keepLines w:val="0"/>
        <w:spacing w:before="480" w:line="360" w:lineRule="auto"/>
        <w:jc w:val="both"/>
        <w:rPr>
          <w:b/>
          <w:bCs/>
          <w:sz w:val="22"/>
          <w:szCs w:val="22"/>
        </w:rPr>
      </w:pPr>
      <w:bookmarkStart w:id="26" w:name="_mkl8ace8bot2" w:colFirst="0" w:colLast="0"/>
      <w:bookmarkEnd w:id="26"/>
      <w:r>
        <w:rPr>
          <w:b/>
          <w:bCs/>
          <w:sz w:val="22"/>
          <w:szCs w:val="22"/>
        </w:rPr>
        <w:t>5.0 Proposed Strategic Change Management Plan for Toyota</w:t>
      </w:r>
    </w:p>
    <w:p w14:paraId="4E9DD509" w14:textId="77777777" w:rsidR="001325C4" w:rsidRDefault="007449CA">
      <w:pPr>
        <w:spacing w:before="240" w:after="240" w:line="360" w:lineRule="auto"/>
        <w:jc w:val="both"/>
      </w:pPr>
      <w:r>
        <w:t xml:space="preserve">Based on the analysis of Toyota's internal and external environment, the company needs to strengthen its digital and mobility capabilities while protecting its strengths in quality, safety, </w:t>
      </w:r>
      <w:r>
        <w:rPr>
          <w:i/>
          <w:iCs/>
        </w:rPr>
        <w:t>kaizen</w:t>
      </w:r>
      <w:r>
        <w:t xml:space="preserve"> and respect for people. Toyota has already developed digital capabilities through Woven by Toyota and the Arene software platform. The new-</w:t>
      </w:r>
      <w:r>
        <w:lastRenderedPageBreak/>
        <w:t>generation RAV4 became the first Toyota vehicle to use Arene, demonstrating the growing importance of software-defined vehicles (Toyota Motor Corporation, 2025a).</w:t>
      </w:r>
    </w:p>
    <w:p w14:paraId="1802ABA4" w14:textId="77777777" w:rsidR="001325C4" w:rsidRDefault="007449CA">
      <w:pPr>
        <w:spacing w:before="240" w:after="240" w:line="360" w:lineRule="auto"/>
        <w:jc w:val="both"/>
      </w:pPr>
      <w:r>
        <w:t xml:space="preserve">The proposed change is therefore a three-year </w:t>
      </w:r>
      <w:r>
        <w:rPr>
          <w:b/>
          <w:bCs/>
        </w:rPr>
        <w:t xml:space="preserve">Intelligent Mobility Transformation </w:t>
      </w:r>
      <w:proofErr w:type="spellStart"/>
      <w:r>
        <w:rPr>
          <w:b/>
          <w:bCs/>
        </w:rPr>
        <w:t>Programme</w:t>
      </w:r>
      <w:proofErr w:type="spellEnd"/>
      <w:r>
        <w:t>. It will integrate AI, software-defined vehicles, digital customer services and employee development into Toyota's existing operations.</w:t>
      </w:r>
    </w:p>
    <w:p w14:paraId="397F5F3C" w14:textId="77777777" w:rsidR="001325C4" w:rsidRDefault="007449CA">
      <w:pPr>
        <w:pStyle w:val="Heading2"/>
        <w:keepNext w:val="0"/>
        <w:keepLines w:val="0"/>
        <w:spacing w:after="80" w:line="360" w:lineRule="auto"/>
        <w:jc w:val="both"/>
        <w:rPr>
          <w:b/>
          <w:bCs/>
          <w:sz w:val="22"/>
          <w:szCs w:val="22"/>
        </w:rPr>
      </w:pPr>
      <w:bookmarkStart w:id="27" w:name="_lhv0af269e3" w:colFirst="0" w:colLast="0"/>
      <w:bookmarkEnd w:id="27"/>
      <w:r>
        <w:rPr>
          <w:b/>
          <w:bCs/>
          <w:sz w:val="22"/>
          <w:szCs w:val="22"/>
        </w:rPr>
        <w:t>5.1 Proposed Change and Objectives</w:t>
      </w:r>
    </w:p>
    <w:p w14:paraId="66756486" w14:textId="77777777" w:rsidR="001325C4" w:rsidRDefault="007449CA">
      <w:pPr>
        <w:spacing w:before="240" w:after="240" w:line="360" w:lineRule="auto"/>
        <w:jc w:val="both"/>
      </w:pPr>
      <w:r>
        <w:t>The main objective is to make Toyota more digitally capable, customer-focused and responsive while maintaining its safety and quality standards.</w:t>
      </w:r>
    </w:p>
    <w:p w14:paraId="409E5FD1" w14:textId="77777777" w:rsidR="001325C4" w:rsidRDefault="007449CA">
      <w:pPr>
        <w:spacing w:before="240" w:after="240" w:line="360" w:lineRule="auto"/>
        <w:jc w:val="both"/>
      </w:pPr>
      <w:r>
        <w:t xml:space="preserve">The </w:t>
      </w:r>
      <w:proofErr w:type="spellStart"/>
      <w:r>
        <w:t>programme</w:t>
      </w:r>
      <w:proofErr w:type="spellEnd"/>
      <w:r>
        <w:t xml:space="preserve"> will have five objectives:</w:t>
      </w:r>
    </w:p>
    <w:p w14:paraId="16CEA76D" w14:textId="77777777" w:rsidR="001325C4" w:rsidRDefault="007449CA">
      <w:pPr>
        <w:numPr>
          <w:ilvl w:val="0"/>
          <w:numId w:val="1"/>
        </w:numPr>
        <w:spacing w:before="240" w:line="360" w:lineRule="auto"/>
      </w:pPr>
      <w:r>
        <w:rPr>
          <w:b/>
          <w:bCs/>
        </w:rPr>
        <w:t>Develop digital capability</w:t>
      </w:r>
      <w:r>
        <w:t xml:space="preserve"> through AI, data analytics and software development across manufacturing, vehicle development and customer services.</w:t>
      </w:r>
    </w:p>
    <w:p w14:paraId="10F9B38D" w14:textId="77777777" w:rsidR="001325C4" w:rsidRDefault="007449CA">
      <w:pPr>
        <w:numPr>
          <w:ilvl w:val="0"/>
          <w:numId w:val="1"/>
        </w:numPr>
        <w:spacing w:line="360" w:lineRule="auto"/>
      </w:pPr>
      <w:r>
        <w:rPr>
          <w:b/>
          <w:bCs/>
        </w:rPr>
        <w:t>Improve the digital customer journey</w:t>
      </w:r>
      <w:r>
        <w:t xml:space="preserve"> by connecting online research, vehicle configuration, ordering and after-sales services with Toyota's dealer network.</w:t>
      </w:r>
    </w:p>
    <w:p w14:paraId="5669EF7A" w14:textId="77777777" w:rsidR="001325C4" w:rsidRDefault="007449CA">
      <w:pPr>
        <w:numPr>
          <w:ilvl w:val="0"/>
          <w:numId w:val="1"/>
        </w:numPr>
        <w:spacing w:line="360" w:lineRule="auto"/>
      </w:pPr>
      <w:r>
        <w:rPr>
          <w:b/>
          <w:bCs/>
        </w:rPr>
        <w:t>Develop employee capabilities</w:t>
      </w:r>
      <w:r>
        <w:t xml:space="preserve"> through training in software, data analysis, AI, cybersecurity and digital operations.</w:t>
      </w:r>
    </w:p>
    <w:p w14:paraId="3915118F" w14:textId="77777777" w:rsidR="001325C4" w:rsidRDefault="007449CA">
      <w:pPr>
        <w:numPr>
          <w:ilvl w:val="0"/>
          <w:numId w:val="1"/>
        </w:numPr>
        <w:spacing w:line="360" w:lineRule="auto"/>
      </w:pPr>
      <w:r>
        <w:rPr>
          <w:b/>
          <w:bCs/>
        </w:rPr>
        <w:t>Strengthen governance and compliance</w:t>
      </w:r>
      <w:r>
        <w:t xml:space="preserve"> through improved data management, accountability and digital controls.</w:t>
      </w:r>
    </w:p>
    <w:p w14:paraId="784F668C" w14:textId="77777777" w:rsidR="001325C4" w:rsidRDefault="007449CA">
      <w:pPr>
        <w:numPr>
          <w:ilvl w:val="0"/>
          <w:numId w:val="1"/>
        </w:numPr>
        <w:spacing w:after="240" w:line="360" w:lineRule="auto"/>
      </w:pPr>
      <w:r>
        <w:rPr>
          <w:b/>
          <w:bCs/>
        </w:rPr>
        <w:t>Accelerate innovation</w:t>
      </w:r>
      <w:r>
        <w:t xml:space="preserve"> through controlled pilots, customer feedback and continuous improvement.</w:t>
      </w:r>
    </w:p>
    <w:p w14:paraId="191E13A1" w14:textId="77777777" w:rsidR="001325C4" w:rsidRDefault="007449CA">
      <w:pPr>
        <w:spacing w:before="240" w:after="240" w:line="360" w:lineRule="auto"/>
        <w:jc w:val="both"/>
      </w:pPr>
      <w:r>
        <w:t>These objectives should be translated into measurable targets, such as achieving at least 80% completion of relevant digital-skills training among targeted employees by the end of Year 2 and successfully scaling selected AI and software pilots. These are proposed targets rather than existing Toyota commitments.</w:t>
      </w:r>
    </w:p>
    <w:p w14:paraId="31E3CA40" w14:textId="77777777" w:rsidR="001325C4" w:rsidRDefault="007449CA">
      <w:pPr>
        <w:pStyle w:val="Heading2"/>
        <w:keepNext w:val="0"/>
        <w:keepLines w:val="0"/>
        <w:spacing w:after="80" w:line="360" w:lineRule="auto"/>
        <w:jc w:val="both"/>
        <w:rPr>
          <w:b/>
          <w:bCs/>
          <w:sz w:val="22"/>
          <w:szCs w:val="22"/>
        </w:rPr>
      </w:pPr>
      <w:bookmarkStart w:id="28" w:name="_26jolmd26nek" w:colFirst="0" w:colLast="0"/>
      <w:bookmarkEnd w:id="28"/>
      <w:r>
        <w:rPr>
          <w:b/>
          <w:bCs/>
          <w:sz w:val="22"/>
          <w:szCs w:val="22"/>
        </w:rPr>
        <w:t>5.2 Implementation Plan</w:t>
      </w:r>
    </w:p>
    <w:p w14:paraId="0AD2CD06" w14:textId="77777777" w:rsidR="001325C4" w:rsidRDefault="007449CA">
      <w:pPr>
        <w:spacing w:before="240" w:after="240" w:line="360" w:lineRule="auto"/>
        <w:jc w:val="both"/>
      </w:pPr>
      <w:r>
        <w:t xml:space="preserve">The </w:t>
      </w:r>
      <w:proofErr w:type="spellStart"/>
      <w:r>
        <w:t>programme</w:t>
      </w:r>
      <w:proofErr w:type="spellEnd"/>
      <w:r>
        <w:t xml:space="preserve"> should combine </w:t>
      </w:r>
      <w:r>
        <w:rPr>
          <w:b/>
          <w:bCs/>
        </w:rPr>
        <w:t>Kotter's change framework, ADKAR and Agile methods</w:t>
      </w:r>
      <w:r>
        <w:t>. Kotter can provide strategic direction, ADKAR can support employee adoption, while Agile methods can support software and AI development.</w:t>
      </w:r>
    </w:p>
    <w:p w14:paraId="54101580" w14:textId="77777777" w:rsidR="001325C4" w:rsidRDefault="007449CA">
      <w:pPr>
        <w:pStyle w:val="Heading3"/>
        <w:keepNext w:val="0"/>
        <w:keepLines w:val="0"/>
        <w:spacing w:before="280" w:line="360" w:lineRule="auto"/>
        <w:jc w:val="both"/>
        <w:rPr>
          <w:b/>
          <w:bCs/>
          <w:color w:val="000000"/>
          <w:sz w:val="22"/>
          <w:szCs w:val="22"/>
        </w:rPr>
      </w:pPr>
      <w:bookmarkStart w:id="29" w:name="_43pr0f3vp1nw" w:colFirst="0" w:colLast="0"/>
      <w:bookmarkEnd w:id="29"/>
      <w:r>
        <w:rPr>
          <w:b/>
          <w:bCs/>
          <w:color w:val="000000"/>
          <w:sz w:val="22"/>
          <w:szCs w:val="22"/>
        </w:rPr>
        <w:t>Phase 1: Preparation and Pilot – Months 1–9</w:t>
      </w:r>
    </w:p>
    <w:p w14:paraId="0815C3CB" w14:textId="77777777" w:rsidR="001325C4" w:rsidRDefault="007449CA">
      <w:pPr>
        <w:spacing w:before="240" w:after="240" w:line="360" w:lineRule="auto"/>
        <w:jc w:val="both"/>
      </w:pPr>
      <w:r>
        <w:t>Toyota should establish a Digital Mobility Transformation Steering Committee involving senior management, technology specialists, manufacturing, HR, compliance, regional representatives, dealers, suppliers and employee representatives.</w:t>
      </w:r>
    </w:p>
    <w:p w14:paraId="4604F2A0" w14:textId="77777777" w:rsidR="001325C4" w:rsidRDefault="007449CA">
      <w:pPr>
        <w:spacing w:before="240" w:after="240" w:line="360" w:lineRule="auto"/>
        <w:jc w:val="both"/>
      </w:pPr>
      <w:r>
        <w:lastRenderedPageBreak/>
        <w:t>A digital-readiness assessment should identify gaps in employee skills, technology, data systems, cybersecurity, customer services and governance. Toyota should then launch selected pilots, such as AI-supported production forecasting, predictive maintenance, digital vehicle configuration and online customer support.</w:t>
      </w:r>
    </w:p>
    <w:p w14:paraId="46DCC096" w14:textId="77777777" w:rsidR="001325C4" w:rsidRDefault="007449CA">
      <w:pPr>
        <w:pStyle w:val="Heading3"/>
        <w:keepNext w:val="0"/>
        <w:keepLines w:val="0"/>
        <w:spacing w:before="280" w:line="360" w:lineRule="auto"/>
        <w:jc w:val="both"/>
        <w:rPr>
          <w:b/>
          <w:bCs/>
          <w:color w:val="000000"/>
          <w:sz w:val="22"/>
          <w:szCs w:val="22"/>
        </w:rPr>
      </w:pPr>
      <w:bookmarkStart w:id="30" w:name="_1sgik26wuepb" w:colFirst="0" w:colLast="0"/>
      <w:bookmarkEnd w:id="30"/>
      <w:r>
        <w:rPr>
          <w:b/>
          <w:bCs/>
          <w:color w:val="000000"/>
          <w:sz w:val="22"/>
          <w:szCs w:val="22"/>
        </w:rPr>
        <w:t>Phase 2: Implementation and Scaling – Months 10–24</w:t>
      </w:r>
    </w:p>
    <w:p w14:paraId="1DD519E1" w14:textId="77777777" w:rsidR="001325C4" w:rsidRDefault="007449CA">
      <w:pPr>
        <w:spacing w:before="240" w:after="240" w:line="360" w:lineRule="auto"/>
        <w:jc w:val="both"/>
      </w:pPr>
      <w:r>
        <w:t>Successful pilots should be expanded to additional factories, vehicle models and markets. Projects should only be scaled when they demonstrate measurable benefits in areas such as cost, quality, customer experience, safety or productivity.</w:t>
      </w:r>
    </w:p>
    <w:p w14:paraId="134E88FC" w14:textId="77777777" w:rsidR="001325C4" w:rsidRDefault="007449CA">
      <w:pPr>
        <w:spacing w:before="240" w:after="240" w:line="360" w:lineRule="auto"/>
        <w:jc w:val="both"/>
      </w:pPr>
      <w:r>
        <w:t>Role-specific training and digital change champions should support employees during implementation. This approach is consistent with Toyota's previous experience of developing specialist digital capabilities before integrating them more widely (</w:t>
      </w:r>
      <w:proofErr w:type="spellStart"/>
      <w:r>
        <w:t>VanderMeulen</w:t>
      </w:r>
      <w:proofErr w:type="spellEnd"/>
      <w:r>
        <w:t>, Mooney and Beath, 2022).</w:t>
      </w:r>
    </w:p>
    <w:p w14:paraId="46E9E085" w14:textId="77777777" w:rsidR="001325C4" w:rsidRDefault="007449CA">
      <w:pPr>
        <w:pStyle w:val="Heading3"/>
        <w:keepNext w:val="0"/>
        <w:keepLines w:val="0"/>
        <w:spacing w:before="280" w:line="360" w:lineRule="auto"/>
        <w:jc w:val="both"/>
        <w:rPr>
          <w:b/>
          <w:bCs/>
          <w:color w:val="000000"/>
          <w:sz w:val="22"/>
          <w:szCs w:val="22"/>
        </w:rPr>
      </w:pPr>
      <w:bookmarkStart w:id="31" w:name="_18shy69ddfbf" w:colFirst="0" w:colLast="0"/>
      <w:bookmarkEnd w:id="31"/>
      <w:r>
        <w:rPr>
          <w:b/>
          <w:bCs/>
          <w:color w:val="000000"/>
          <w:sz w:val="22"/>
          <w:szCs w:val="22"/>
        </w:rPr>
        <w:t>Phase 3: Embedding – Months 25–36</w:t>
      </w:r>
    </w:p>
    <w:p w14:paraId="15573845" w14:textId="77777777" w:rsidR="001325C4" w:rsidRDefault="007449CA">
      <w:pPr>
        <w:spacing w:before="240" w:after="240" w:line="360" w:lineRule="auto"/>
        <w:jc w:val="both"/>
      </w:pPr>
      <w:r>
        <w:t xml:space="preserve">Successful digital systems should become part of normal operations. Digital competencies should be incorporated into recruitment, training and performance management. Toyota should continue applying </w:t>
      </w:r>
      <w:r>
        <w:rPr>
          <w:i/>
          <w:iCs/>
        </w:rPr>
        <w:t>kaizen</w:t>
      </w:r>
      <w:r>
        <w:t xml:space="preserve"> to improve these systems because AI and software require ongoing development rather than one-time implementation.</w:t>
      </w:r>
    </w:p>
    <w:p w14:paraId="4E165C66" w14:textId="77777777" w:rsidR="001325C4" w:rsidRDefault="007449CA">
      <w:pPr>
        <w:pStyle w:val="Heading2"/>
        <w:keepNext w:val="0"/>
        <w:keepLines w:val="0"/>
        <w:spacing w:after="80" w:line="360" w:lineRule="auto"/>
        <w:jc w:val="both"/>
        <w:rPr>
          <w:b/>
          <w:bCs/>
          <w:sz w:val="22"/>
          <w:szCs w:val="22"/>
        </w:rPr>
      </w:pPr>
      <w:bookmarkStart w:id="32" w:name="_sjv0pa4g1zk8" w:colFirst="0" w:colLast="0"/>
      <w:bookmarkEnd w:id="32"/>
      <w:r>
        <w:rPr>
          <w:b/>
          <w:bCs/>
          <w:sz w:val="22"/>
          <w:szCs w:val="22"/>
        </w:rPr>
        <w:t>5.3 Financial Plan</w:t>
      </w:r>
    </w:p>
    <w:p w14:paraId="4AE38AC6" w14:textId="77777777" w:rsidR="001325C4" w:rsidRDefault="007449CA">
      <w:pPr>
        <w:spacing w:before="240" w:after="240" w:line="360" w:lineRule="auto"/>
        <w:jc w:val="both"/>
      </w:pPr>
      <w:r>
        <w:t xml:space="preserve">Investment should be phased so that Toyota does not commit the entire </w:t>
      </w:r>
      <w:proofErr w:type="spellStart"/>
      <w:r>
        <w:t>programme</w:t>
      </w:r>
      <w:proofErr w:type="spellEnd"/>
      <w:r>
        <w:t xml:space="preserve"> budget before the benefits of pilot projects are demonstrated.</w:t>
      </w:r>
    </w:p>
    <w:p w14:paraId="164F9FFB" w14:textId="77777777" w:rsidR="001325C4" w:rsidRDefault="007449CA">
      <w:pPr>
        <w:spacing w:before="240" w:after="240" w:line="360" w:lineRule="auto"/>
        <w:jc w:val="both"/>
      </w:pPr>
      <w:r>
        <w:t xml:space="preserve">An illustrative allocation of the </w:t>
      </w:r>
      <w:proofErr w:type="spellStart"/>
      <w:r>
        <w:t>programme</w:t>
      </w:r>
      <w:proofErr w:type="spellEnd"/>
      <w:r>
        <w:t xml:space="preserve"> budget is shown below:</w:t>
      </w:r>
    </w:p>
    <w:tbl>
      <w:tblPr>
        <w:tblStyle w:val="a0"/>
        <w:tblW w:w="8790" w:type="dxa"/>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600" w:firstRow="0" w:lastRow="0" w:firstColumn="0" w:lastColumn="0" w:noHBand="1" w:noVBand="1"/>
      </w:tblPr>
      <w:tblGrid>
        <w:gridCol w:w="5460"/>
        <w:gridCol w:w="3330"/>
      </w:tblGrid>
      <w:tr w:rsidR="001325C4" w14:paraId="2D2BD55D" w14:textId="77777777">
        <w:trPr>
          <w:trHeight w:val="765"/>
        </w:trPr>
        <w:tc>
          <w:tcPr>
            <w:tcW w:w="5460" w:type="dxa"/>
            <w:tcBorders>
              <w:top w:val="single" w:sz="6" w:space="0" w:color="000000"/>
              <w:left w:val="single" w:sz="6" w:space="0" w:color="000000"/>
              <w:bottom w:val="single" w:sz="6" w:space="0" w:color="000000"/>
              <w:right w:val="single" w:sz="6" w:space="0" w:color="000000"/>
            </w:tcBorders>
            <w:tcMar>
              <w:top w:w="20" w:type="dxa"/>
              <w:left w:w="20" w:type="dxa"/>
              <w:bottom w:w="20" w:type="dxa"/>
              <w:right w:w="20" w:type="dxa"/>
            </w:tcMar>
          </w:tcPr>
          <w:p w14:paraId="07B90FB1" w14:textId="77777777" w:rsidR="001325C4" w:rsidRDefault="007449CA">
            <w:pPr>
              <w:spacing w:after="160" w:line="360" w:lineRule="auto"/>
              <w:jc w:val="center"/>
              <w:rPr>
                <w:b/>
                <w:bCs/>
              </w:rPr>
            </w:pPr>
            <w:r>
              <w:rPr>
                <w:b/>
                <w:bCs/>
              </w:rPr>
              <w:t>Investment area</w:t>
            </w:r>
          </w:p>
        </w:tc>
        <w:tc>
          <w:tcPr>
            <w:tcW w:w="3330" w:type="dxa"/>
            <w:tcBorders>
              <w:top w:val="single" w:sz="6" w:space="0" w:color="000000"/>
              <w:left w:val="single" w:sz="6" w:space="0" w:color="000000"/>
              <w:bottom w:val="single" w:sz="6" w:space="0" w:color="000000"/>
              <w:right w:val="single" w:sz="6" w:space="0" w:color="000000"/>
            </w:tcBorders>
            <w:tcMar>
              <w:top w:w="20" w:type="dxa"/>
              <w:left w:w="20" w:type="dxa"/>
              <w:bottom w:w="20" w:type="dxa"/>
              <w:right w:w="20" w:type="dxa"/>
            </w:tcMar>
          </w:tcPr>
          <w:p w14:paraId="619BB2EB" w14:textId="77777777" w:rsidR="001325C4" w:rsidRDefault="007449CA">
            <w:pPr>
              <w:spacing w:after="160" w:line="360" w:lineRule="auto"/>
              <w:jc w:val="center"/>
              <w:rPr>
                <w:b/>
                <w:bCs/>
              </w:rPr>
            </w:pPr>
            <w:r>
              <w:rPr>
                <w:b/>
                <w:bCs/>
              </w:rPr>
              <w:t>Percentage of change budget</w:t>
            </w:r>
          </w:p>
        </w:tc>
      </w:tr>
      <w:tr w:rsidR="001325C4" w14:paraId="36D56A6C" w14:textId="77777777">
        <w:trPr>
          <w:trHeight w:val="765"/>
        </w:trPr>
        <w:tc>
          <w:tcPr>
            <w:tcW w:w="5460" w:type="dxa"/>
            <w:tcBorders>
              <w:top w:val="single" w:sz="6" w:space="0" w:color="000000"/>
              <w:left w:val="single" w:sz="6" w:space="0" w:color="000000"/>
              <w:bottom w:val="single" w:sz="6" w:space="0" w:color="000000"/>
              <w:right w:val="single" w:sz="6" w:space="0" w:color="000000"/>
            </w:tcBorders>
            <w:tcMar>
              <w:top w:w="20" w:type="dxa"/>
              <w:left w:w="20" w:type="dxa"/>
              <w:bottom w:w="20" w:type="dxa"/>
              <w:right w:w="20" w:type="dxa"/>
            </w:tcMar>
          </w:tcPr>
          <w:p w14:paraId="05A50B28" w14:textId="77777777" w:rsidR="001325C4" w:rsidRDefault="007449CA">
            <w:pPr>
              <w:spacing w:after="160" w:line="360" w:lineRule="auto"/>
              <w:jc w:val="center"/>
            </w:pPr>
            <w:r>
              <w:t>Digital platforms, cloud systems and data integration</w:t>
            </w:r>
          </w:p>
        </w:tc>
        <w:tc>
          <w:tcPr>
            <w:tcW w:w="3330" w:type="dxa"/>
            <w:tcBorders>
              <w:top w:val="single" w:sz="6" w:space="0" w:color="000000"/>
              <w:left w:val="single" w:sz="6" w:space="0" w:color="000000"/>
              <w:bottom w:val="single" w:sz="6" w:space="0" w:color="000000"/>
              <w:right w:val="single" w:sz="6" w:space="0" w:color="000000"/>
            </w:tcBorders>
            <w:tcMar>
              <w:top w:w="20" w:type="dxa"/>
              <w:left w:w="20" w:type="dxa"/>
              <w:bottom w:w="20" w:type="dxa"/>
              <w:right w:w="20" w:type="dxa"/>
            </w:tcMar>
          </w:tcPr>
          <w:p w14:paraId="27A9C41E" w14:textId="77777777" w:rsidR="001325C4" w:rsidRDefault="007449CA">
            <w:pPr>
              <w:spacing w:after="160" w:line="360" w:lineRule="auto"/>
              <w:jc w:val="center"/>
            </w:pPr>
            <w:r>
              <w:t>25%</w:t>
            </w:r>
          </w:p>
        </w:tc>
      </w:tr>
      <w:tr w:rsidR="001325C4" w14:paraId="338C266D" w14:textId="77777777">
        <w:trPr>
          <w:trHeight w:val="495"/>
        </w:trPr>
        <w:tc>
          <w:tcPr>
            <w:tcW w:w="5460" w:type="dxa"/>
            <w:tcBorders>
              <w:top w:val="single" w:sz="6" w:space="0" w:color="000000"/>
              <w:left w:val="single" w:sz="6" w:space="0" w:color="000000"/>
              <w:bottom w:val="single" w:sz="6" w:space="0" w:color="000000"/>
              <w:right w:val="single" w:sz="6" w:space="0" w:color="000000"/>
            </w:tcBorders>
            <w:tcMar>
              <w:top w:w="20" w:type="dxa"/>
              <w:left w:w="20" w:type="dxa"/>
              <w:bottom w:w="20" w:type="dxa"/>
              <w:right w:w="20" w:type="dxa"/>
            </w:tcMar>
          </w:tcPr>
          <w:p w14:paraId="34607B90" w14:textId="77777777" w:rsidR="001325C4" w:rsidRDefault="007449CA">
            <w:pPr>
              <w:spacing w:after="160" w:line="360" w:lineRule="auto"/>
              <w:jc w:val="center"/>
            </w:pPr>
            <w:r>
              <w:t>AI, software and cybersecurity</w:t>
            </w:r>
          </w:p>
        </w:tc>
        <w:tc>
          <w:tcPr>
            <w:tcW w:w="3330" w:type="dxa"/>
            <w:tcBorders>
              <w:top w:val="single" w:sz="6" w:space="0" w:color="000000"/>
              <w:left w:val="single" w:sz="6" w:space="0" w:color="000000"/>
              <w:bottom w:val="single" w:sz="6" w:space="0" w:color="000000"/>
              <w:right w:val="single" w:sz="6" w:space="0" w:color="000000"/>
            </w:tcBorders>
            <w:tcMar>
              <w:top w:w="20" w:type="dxa"/>
              <w:left w:w="20" w:type="dxa"/>
              <w:bottom w:w="20" w:type="dxa"/>
              <w:right w:w="20" w:type="dxa"/>
            </w:tcMar>
          </w:tcPr>
          <w:p w14:paraId="74712457" w14:textId="77777777" w:rsidR="001325C4" w:rsidRDefault="007449CA">
            <w:pPr>
              <w:spacing w:after="160" w:line="360" w:lineRule="auto"/>
              <w:jc w:val="center"/>
            </w:pPr>
            <w:r>
              <w:t>20%</w:t>
            </w:r>
          </w:p>
        </w:tc>
      </w:tr>
      <w:tr w:rsidR="001325C4" w14:paraId="10188FF7" w14:textId="77777777">
        <w:trPr>
          <w:trHeight w:val="495"/>
        </w:trPr>
        <w:tc>
          <w:tcPr>
            <w:tcW w:w="5460" w:type="dxa"/>
            <w:tcBorders>
              <w:top w:val="single" w:sz="6" w:space="0" w:color="000000"/>
              <w:left w:val="single" w:sz="6" w:space="0" w:color="000000"/>
              <w:bottom w:val="single" w:sz="6" w:space="0" w:color="000000"/>
              <w:right w:val="single" w:sz="6" w:space="0" w:color="000000"/>
            </w:tcBorders>
            <w:tcMar>
              <w:top w:w="20" w:type="dxa"/>
              <w:left w:w="20" w:type="dxa"/>
              <w:bottom w:w="20" w:type="dxa"/>
              <w:right w:w="20" w:type="dxa"/>
            </w:tcMar>
          </w:tcPr>
          <w:p w14:paraId="22AAF100" w14:textId="77777777" w:rsidR="001325C4" w:rsidRDefault="007449CA">
            <w:pPr>
              <w:spacing w:after="160" w:line="360" w:lineRule="auto"/>
              <w:jc w:val="center"/>
            </w:pPr>
            <w:r>
              <w:t>Software-defined vehicle development</w:t>
            </w:r>
          </w:p>
        </w:tc>
        <w:tc>
          <w:tcPr>
            <w:tcW w:w="3330" w:type="dxa"/>
            <w:tcBorders>
              <w:top w:val="single" w:sz="6" w:space="0" w:color="000000"/>
              <w:left w:val="single" w:sz="6" w:space="0" w:color="000000"/>
              <w:bottom w:val="single" w:sz="6" w:space="0" w:color="000000"/>
              <w:right w:val="single" w:sz="6" w:space="0" w:color="000000"/>
            </w:tcBorders>
            <w:tcMar>
              <w:top w:w="20" w:type="dxa"/>
              <w:left w:w="20" w:type="dxa"/>
              <w:bottom w:w="20" w:type="dxa"/>
              <w:right w:w="20" w:type="dxa"/>
            </w:tcMar>
          </w:tcPr>
          <w:p w14:paraId="12EC58D5" w14:textId="77777777" w:rsidR="001325C4" w:rsidRDefault="007449CA">
            <w:pPr>
              <w:spacing w:after="160" w:line="360" w:lineRule="auto"/>
              <w:jc w:val="center"/>
            </w:pPr>
            <w:r>
              <w:t>20%</w:t>
            </w:r>
          </w:p>
        </w:tc>
      </w:tr>
      <w:tr w:rsidR="001325C4" w14:paraId="47977339" w14:textId="77777777">
        <w:trPr>
          <w:trHeight w:val="495"/>
        </w:trPr>
        <w:tc>
          <w:tcPr>
            <w:tcW w:w="5460" w:type="dxa"/>
            <w:tcBorders>
              <w:top w:val="single" w:sz="6" w:space="0" w:color="000000"/>
              <w:left w:val="single" w:sz="6" w:space="0" w:color="000000"/>
              <w:bottom w:val="single" w:sz="6" w:space="0" w:color="000000"/>
              <w:right w:val="single" w:sz="6" w:space="0" w:color="000000"/>
            </w:tcBorders>
            <w:tcMar>
              <w:top w:w="20" w:type="dxa"/>
              <w:left w:w="20" w:type="dxa"/>
              <w:bottom w:w="20" w:type="dxa"/>
              <w:right w:w="20" w:type="dxa"/>
            </w:tcMar>
          </w:tcPr>
          <w:p w14:paraId="1957AD22" w14:textId="77777777" w:rsidR="001325C4" w:rsidRDefault="007449CA">
            <w:pPr>
              <w:spacing w:after="160" w:line="360" w:lineRule="auto"/>
              <w:jc w:val="center"/>
            </w:pPr>
            <w:r>
              <w:t>Employee training and reskilling</w:t>
            </w:r>
          </w:p>
        </w:tc>
        <w:tc>
          <w:tcPr>
            <w:tcW w:w="3330" w:type="dxa"/>
            <w:tcBorders>
              <w:top w:val="single" w:sz="6" w:space="0" w:color="000000"/>
              <w:left w:val="single" w:sz="6" w:space="0" w:color="000000"/>
              <w:bottom w:val="single" w:sz="6" w:space="0" w:color="000000"/>
              <w:right w:val="single" w:sz="6" w:space="0" w:color="000000"/>
            </w:tcBorders>
            <w:tcMar>
              <w:top w:w="20" w:type="dxa"/>
              <w:left w:w="20" w:type="dxa"/>
              <w:bottom w:w="20" w:type="dxa"/>
              <w:right w:w="20" w:type="dxa"/>
            </w:tcMar>
          </w:tcPr>
          <w:p w14:paraId="53999FE2" w14:textId="77777777" w:rsidR="001325C4" w:rsidRDefault="007449CA">
            <w:pPr>
              <w:spacing w:after="160" w:line="360" w:lineRule="auto"/>
              <w:jc w:val="center"/>
            </w:pPr>
            <w:r>
              <w:t>15%</w:t>
            </w:r>
          </w:p>
        </w:tc>
      </w:tr>
      <w:tr w:rsidR="001325C4" w14:paraId="611DA56C" w14:textId="77777777">
        <w:trPr>
          <w:trHeight w:val="495"/>
        </w:trPr>
        <w:tc>
          <w:tcPr>
            <w:tcW w:w="5460" w:type="dxa"/>
            <w:tcBorders>
              <w:top w:val="single" w:sz="6" w:space="0" w:color="000000"/>
              <w:left w:val="single" w:sz="6" w:space="0" w:color="000000"/>
              <w:bottom w:val="single" w:sz="6" w:space="0" w:color="000000"/>
              <w:right w:val="single" w:sz="6" w:space="0" w:color="000000"/>
            </w:tcBorders>
            <w:tcMar>
              <w:top w:w="20" w:type="dxa"/>
              <w:left w:w="20" w:type="dxa"/>
              <w:bottom w:w="20" w:type="dxa"/>
              <w:right w:w="20" w:type="dxa"/>
            </w:tcMar>
          </w:tcPr>
          <w:p w14:paraId="182C2E8C" w14:textId="77777777" w:rsidR="001325C4" w:rsidRDefault="007449CA">
            <w:pPr>
              <w:spacing w:after="160" w:line="360" w:lineRule="auto"/>
              <w:jc w:val="center"/>
            </w:pPr>
            <w:r>
              <w:t>Online customer and dealer integration</w:t>
            </w:r>
          </w:p>
        </w:tc>
        <w:tc>
          <w:tcPr>
            <w:tcW w:w="3330" w:type="dxa"/>
            <w:tcBorders>
              <w:top w:val="single" w:sz="6" w:space="0" w:color="000000"/>
              <w:left w:val="single" w:sz="6" w:space="0" w:color="000000"/>
              <w:bottom w:val="single" w:sz="6" w:space="0" w:color="000000"/>
              <w:right w:val="single" w:sz="6" w:space="0" w:color="000000"/>
            </w:tcBorders>
            <w:tcMar>
              <w:top w:w="20" w:type="dxa"/>
              <w:left w:w="20" w:type="dxa"/>
              <w:bottom w:w="20" w:type="dxa"/>
              <w:right w:w="20" w:type="dxa"/>
            </w:tcMar>
          </w:tcPr>
          <w:p w14:paraId="7202665B" w14:textId="77777777" w:rsidR="001325C4" w:rsidRDefault="007449CA">
            <w:pPr>
              <w:spacing w:after="160" w:line="360" w:lineRule="auto"/>
              <w:jc w:val="center"/>
            </w:pPr>
            <w:r>
              <w:t>10%</w:t>
            </w:r>
          </w:p>
        </w:tc>
      </w:tr>
      <w:tr w:rsidR="001325C4" w14:paraId="11A3F3C4" w14:textId="77777777">
        <w:trPr>
          <w:trHeight w:val="495"/>
        </w:trPr>
        <w:tc>
          <w:tcPr>
            <w:tcW w:w="5460" w:type="dxa"/>
            <w:tcBorders>
              <w:top w:val="single" w:sz="6" w:space="0" w:color="000000"/>
              <w:left w:val="single" w:sz="6" w:space="0" w:color="000000"/>
              <w:bottom w:val="single" w:sz="6" w:space="0" w:color="000000"/>
              <w:right w:val="single" w:sz="6" w:space="0" w:color="000000"/>
            </w:tcBorders>
            <w:tcMar>
              <w:top w:w="20" w:type="dxa"/>
              <w:left w:w="20" w:type="dxa"/>
              <w:bottom w:w="20" w:type="dxa"/>
              <w:right w:w="20" w:type="dxa"/>
            </w:tcMar>
          </w:tcPr>
          <w:p w14:paraId="495FFD85" w14:textId="77777777" w:rsidR="001325C4" w:rsidRDefault="007449CA">
            <w:pPr>
              <w:spacing w:after="160" w:line="360" w:lineRule="auto"/>
              <w:jc w:val="center"/>
            </w:pPr>
            <w:r>
              <w:t>Pilot projects and innovation</w:t>
            </w:r>
          </w:p>
        </w:tc>
        <w:tc>
          <w:tcPr>
            <w:tcW w:w="3330" w:type="dxa"/>
            <w:tcBorders>
              <w:top w:val="single" w:sz="6" w:space="0" w:color="000000"/>
              <w:left w:val="single" w:sz="6" w:space="0" w:color="000000"/>
              <w:bottom w:val="single" w:sz="6" w:space="0" w:color="000000"/>
              <w:right w:val="single" w:sz="6" w:space="0" w:color="000000"/>
            </w:tcBorders>
            <w:tcMar>
              <w:top w:w="20" w:type="dxa"/>
              <w:left w:w="20" w:type="dxa"/>
              <w:bottom w:w="20" w:type="dxa"/>
              <w:right w:w="20" w:type="dxa"/>
            </w:tcMar>
          </w:tcPr>
          <w:p w14:paraId="028DB6A1" w14:textId="77777777" w:rsidR="001325C4" w:rsidRDefault="007449CA">
            <w:pPr>
              <w:spacing w:after="160" w:line="360" w:lineRule="auto"/>
              <w:jc w:val="center"/>
            </w:pPr>
            <w:r>
              <w:t>5%</w:t>
            </w:r>
          </w:p>
        </w:tc>
      </w:tr>
      <w:tr w:rsidR="001325C4" w14:paraId="1898EA97" w14:textId="77777777">
        <w:trPr>
          <w:trHeight w:val="495"/>
        </w:trPr>
        <w:tc>
          <w:tcPr>
            <w:tcW w:w="5460" w:type="dxa"/>
            <w:tcBorders>
              <w:top w:val="single" w:sz="6" w:space="0" w:color="000000"/>
              <w:left w:val="single" w:sz="6" w:space="0" w:color="000000"/>
              <w:bottom w:val="single" w:sz="6" w:space="0" w:color="000000"/>
              <w:right w:val="single" w:sz="6" w:space="0" w:color="000000"/>
            </w:tcBorders>
            <w:tcMar>
              <w:top w:w="20" w:type="dxa"/>
              <w:left w:w="20" w:type="dxa"/>
              <w:bottom w:w="20" w:type="dxa"/>
              <w:right w:w="20" w:type="dxa"/>
            </w:tcMar>
          </w:tcPr>
          <w:p w14:paraId="59CB5F4D" w14:textId="77777777" w:rsidR="001325C4" w:rsidRDefault="007449CA">
            <w:pPr>
              <w:spacing w:after="160" w:line="360" w:lineRule="auto"/>
              <w:jc w:val="center"/>
            </w:pPr>
            <w:r>
              <w:lastRenderedPageBreak/>
              <w:t>Independent evaluation and contingency</w:t>
            </w:r>
          </w:p>
        </w:tc>
        <w:tc>
          <w:tcPr>
            <w:tcW w:w="3330" w:type="dxa"/>
            <w:tcBorders>
              <w:top w:val="single" w:sz="6" w:space="0" w:color="000000"/>
              <w:left w:val="single" w:sz="6" w:space="0" w:color="000000"/>
              <w:bottom w:val="single" w:sz="6" w:space="0" w:color="000000"/>
              <w:right w:val="single" w:sz="6" w:space="0" w:color="000000"/>
            </w:tcBorders>
            <w:tcMar>
              <w:top w:w="20" w:type="dxa"/>
              <w:left w:w="20" w:type="dxa"/>
              <w:bottom w:w="20" w:type="dxa"/>
              <w:right w:w="20" w:type="dxa"/>
            </w:tcMar>
          </w:tcPr>
          <w:p w14:paraId="6A13E72F" w14:textId="77777777" w:rsidR="001325C4" w:rsidRDefault="007449CA">
            <w:pPr>
              <w:spacing w:after="160" w:line="360" w:lineRule="auto"/>
              <w:jc w:val="center"/>
            </w:pPr>
            <w:r>
              <w:t>5%</w:t>
            </w:r>
          </w:p>
        </w:tc>
      </w:tr>
      <w:tr w:rsidR="001325C4" w14:paraId="1F95A35C" w14:textId="77777777">
        <w:trPr>
          <w:trHeight w:val="495"/>
        </w:trPr>
        <w:tc>
          <w:tcPr>
            <w:tcW w:w="5460" w:type="dxa"/>
            <w:tcBorders>
              <w:top w:val="single" w:sz="6" w:space="0" w:color="000000"/>
              <w:left w:val="single" w:sz="6" w:space="0" w:color="000000"/>
              <w:bottom w:val="single" w:sz="6" w:space="0" w:color="000000"/>
              <w:right w:val="single" w:sz="6" w:space="0" w:color="000000"/>
            </w:tcBorders>
            <w:tcMar>
              <w:top w:w="20" w:type="dxa"/>
              <w:left w:w="20" w:type="dxa"/>
              <w:bottom w:w="20" w:type="dxa"/>
              <w:right w:w="20" w:type="dxa"/>
            </w:tcMar>
          </w:tcPr>
          <w:p w14:paraId="3D6C67A4" w14:textId="77777777" w:rsidR="001325C4" w:rsidRDefault="007449CA">
            <w:pPr>
              <w:spacing w:after="160" w:line="360" w:lineRule="auto"/>
              <w:jc w:val="center"/>
              <w:rPr>
                <w:b/>
                <w:bCs/>
              </w:rPr>
            </w:pPr>
            <w:r>
              <w:rPr>
                <w:b/>
                <w:bCs/>
              </w:rPr>
              <w:t>Total</w:t>
            </w:r>
          </w:p>
        </w:tc>
        <w:tc>
          <w:tcPr>
            <w:tcW w:w="3330" w:type="dxa"/>
            <w:tcBorders>
              <w:top w:val="single" w:sz="6" w:space="0" w:color="000000"/>
              <w:left w:val="single" w:sz="6" w:space="0" w:color="000000"/>
              <w:bottom w:val="single" w:sz="6" w:space="0" w:color="000000"/>
              <w:right w:val="single" w:sz="6" w:space="0" w:color="000000"/>
            </w:tcBorders>
            <w:tcMar>
              <w:top w:w="20" w:type="dxa"/>
              <w:left w:w="20" w:type="dxa"/>
              <w:bottom w:w="20" w:type="dxa"/>
              <w:right w:w="20" w:type="dxa"/>
            </w:tcMar>
          </w:tcPr>
          <w:p w14:paraId="02D0CEAE" w14:textId="77777777" w:rsidR="001325C4" w:rsidRDefault="007449CA">
            <w:pPr>
              <w:spacing w:after="160" w:line="360" w:lineRule="auto"/>
              <w:jc w:val="center"/>
              <w:rPr>
                <w:b/>
                <w:bCs/>
              </w:rPr>
            </w:pPr>
            <w:r>
              <w:rPr>
                <w:b/>
                <w:bCs/>
              </w:rPr>
              <w:t>100%</w:t>
            </w:r>
          </w:p>
        </w:tc>
      </w:tr>
    </w:tbl>
    <w:p w14:paraId="4AA8B21A" w14:textId="77777777" w:rsidR="001325C4" w:rsidRDefault="007449CA">
      <w:pPr>
        <w:spacing w:before="240" w:after="240" w:line="360" w:lineRule="auto"/>
        <w:jc w:val="both"/>
      </w:pPr>
      <w:r>
        <w:t xml:space="preserve">These are proposed allocations rather than Toyota's existing budget commitments. Funding should operate through a </w:t>
      </w:r>
      <w:r>
        <w:rPr>
          <w:b/>
          <w:bCs/>
        </w:rPr>
        <w:t>stage-gate system</w:t>
      </w:r>
      <w:r>
        <w:t>, with further investment released when projects meet agreed performance criteria.</w:t>
      </w:r>
    </w:p>
    <w:p w14:paraId="44C56A55" w14:textId="77777777" w:rsidR="001325C4" w:rsidRDefault="007449CA">
      <w:pPr>
        <w:spacing w:before="240" w:after="240" w:line="360" w:lineRule="auto"/>
        <w:jc w:val="both"/>
      </w:pPr>
      <w:r>
        <w:t>Financial evaluation should include return on investment, payback period, production downtime, defects, digital-service revenue and employee productivity. Non-financial benefits such as safety, employee capability, customer trust and regulatory compliance should also be considered.</w:t>
      </w:r>
    </w:p>
    <w:p w14:paraId="648D2561" w14:textId="77777777" w:rsidR="001325C4" w:rsidRDefault="007449CA">
      <w:pPr>
        <w:pStyle w:val="Heading2"/>
        <w:keepNext w:val="0"/>
        <w:keepLines w:val="0"/>
        <w:spacing w:after="80" w:line="360" w:lineRule="auto"/>
        <w:jc w:val="both"/>
        <w:rPr>
          <w:b/>
          <w:bCs/>
          <w:sz w:val="22"/>
          <w:szCs w:val="22"/>
        </w:rPr>
      </w:pPr>
      <w:bookmarkStart w:id="33" w:name="_dtns0ere0smj" w:colFirst="0" w:colLast="0"/>
      <w:bookmarkEnd w:id="33"/>
      <w:r>
        <w:rPr>
          <w:b/>
          <w:bCs/>
          <w:sz w:val="22"/>
          <w:szCs w:val="22"/>
        </w:rPr>
        <w:t>5.4 Communication and Employee Engagement Plan</w:t>
      </w:r>
    </w:p>
    <w:p w14:paraId="15DFE6AA" w14:textId="77777777" w:rsidR="001325C4" w:rsidRDefault="007449CA">
      <w:pPr>
        <w:spacing w:before="240" w:after="240" w:line="360" w:lineRule="auto"/>
        <w:jc w:val="both"/>
      </w:pPr>
      <w:r>
        <w:t>Communication should be continuous and tailored to different stakeholders. Employees are particularly important because technological change may create concerns about skills, job security and future responsibilities. ADKAR highlights awareness, desire, knowledge, ability and reinforcement as important stages in individual adoption (Hiatt, 2006).</w:t>
      </w:r>
    </w:p>
    <w:p w14:paraId="49A0B4DD" w14:textId="77777777" w:rsidR="001325C4" w:rsidRDefault="007449CA">
      <w:pPr>
        <w:spacing w:before="240" w:after="240" w:line="360" w:lineRule="auto"/>
        <w:jc w:val="both"/>
      </w:pPr>
      <w:r>
        <w:t xml:space="preserve">Senior leaders should communicate the transformation vision, while managers should explain how the </w:t>
      </w:r>
      <w:proofErr w:type="spellStart"/>
      <w:r>
        <w:t>programme</w:t>
      </w:r>
      <w:proofErr w:type="spellEnd"/>
      <w:r>
        <w:t xml:space="preserve"> affects individual departments. Employees should receive information through town-hall meetings, team briefings, digital platforms and training.</w:t>
      </w:r>
    </w:p>
    <w:p w14:paraId="35476976" w14:textId="77777777" w:rsidR="001325C4" w:rsidRDefault="007449CA">
      <w:pPr>
        <w:spacing w:before="240" w:after="240" w:line="360" w:lineRule="auto"/>
        <w:jc w:val="both"/>
      </w:pPr>
      <w:r>
        <w:t xml:space="preserve">Communication should </w:t>
      </w:r>
      <w:proofErr w:type="spellStart"/>
      <w:r>
        <w:t>emphasise</w:t>
      </w:r>
      <w:proofErr w:type="spellEnd"/>
      <w:r>
        <w:t xml:space="preserve"> that AI and automation are intended to develop employee capabilities and improve work, rather than simply reduce employment. Employees should be offered reskilling opportunities and channels for providing feedback.</w:t>
      </w:r>
    </w:p>
    <w:p w14:paraId="0FA5B248" w14:textId="77777777" w:rsidR="001325C4" w:rsidRDefault="007449CA">
      <w:pPr>
        <w:spacing w:before="240" w:after="240" w:line="360" w:lineRule="auto"/>
        <w:jc w:val="both"/>
      </w:pPr>
      <w:r>
        <w:t>Dealers should participate in developing online purchasing systems so that digital sales complement the existing dealer network. Customers should receive clear information about online ordering, connected services, software updates and data use.</w:t>
      </w:r>
    </w:p>
    <w:p w14:paraId="62B52289" w14:textId="77777777" w:rsidR="001325C4" w:rsidRDefault="007449CA">
      <w:pPr>
        <w:spacing w:before="240" w:after="240" w:line="360" w:lineRule="auto"/>
        <w:jc w:val="both"/>
      </w:pPr>
      <w:r>
        <w:t xml:space="preserve">Toyota's certification reforms also demonstrate the importance of communication, employee training and management involvement at the </w:t>
      </w:r>
      <w:proofErr w:type="spellStart"/>
      <w:r>
        <w:rPr>
          <w:i/>
          <w:iCs/>
        </w:rPr>
        <w:t>genba</w:t>
      </w:r>
      <w:proofErr w:type="spellEnd"/>
      <w:r>
        <w:t xml:space="preserve"> (Toyota Motor Corporation, 2025b).</w:t>
      </w:r>
    </w:p>
    <w:p w14:paraId="59FACC51" w14:textId="77777777" w:rsidR="001325C4" w:rsidRDefault="001325C4">
      <w:pPr>
        <w:pStyle w:val="Heading2"/>
        <w:keepNext w:val="0"/>
        <w:keepLines w:val="0"/>
        <w:spacing w:after="80" w:line="360" w:lineRule="auto"/>
        <w:jc w:val="both"/>
        <w:rPr>
          <w:b/>
          <w:bCs/>
          <w:sz w:val="22"/>
          <w:szCs w:val="22"/>
        </w:rPr>
      </w:pPr>
      <w:bookmarkStart w:id="34" w:name="_3fv3ohvz8f92" w:colFirst="0" w:colLast="0"/>
      <w:bookmarkEnd w:id="34"/>
    </w:p>
    <w:p w14:paraId="057D2482" w14:textId="77777777" w:rsidR="001325C4" w:rsidRDefault="007449CA">
      <w:pPr>
        <w:pStyle w:val="Heading2"/>
        <w:keepNext w:val="0"/>
        <w:keepLines w:val="0"/>
        <w:spacing w:after="80" w:line="360" w:lineRule="auto"/>
        <w:jc w:val="both"/>
        <w:rPr>
          <w:b/>
          <w:bCs/>
          <w:sz w:val="22"/>
          <w:szCs w:val="22"/>
        </w:rPr>
      </w:pPr>
      <w:bookmarkStart w:id="35" w:name="_zd9kl0vbe9b0" w:colFirst="0" w:colLast="0"/>
      <w:bookmarkEnd w:id="35"/>
      <w:r>
        <w:rPr>
          <w:b/>
          <w:bCs/>
          <w:sz w:val="22"/>
          <w:szCs w:val="22"/>
        </w:rPr>
        <w:t>5.5 Evaluation and Control Plan</w:t>
      </w:r>
    </w:p>
    <w:p w14:paraId="2CEE43FA" w14:textId="77777777" w:rsidR="001325C4" w:rsidRDefault="007449CA">
      <w:pPr>
        <w:spacing w:before="240" w:after="240" w:line="360" w:lineRule="auto"/>
        <w:jc w:val="both"/>
      </w:pPr>
      <w:r>
        <w:t xml:space="preserve">The </w:t>
      </w:r>
      <w:proofErr w:type="spellStart"/>
      <w:r>
        <w:t>programme</w:t>
      </w:r>
      <w:proofErr w:type="spellEnd"/>
      <w:r>
        <w:t xml:space="preserve"> should be evaluated using financial, operational, customer, employee, innovation and compliance indicators.</w:t>
      </w:r>
    </w:p>
    <w:tbl>
      <w:tblPr>
        <w:tblStyle w:val="a1"/>
        <w:tblW w:w="9420" w:type="dxa"/>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600" w:firstRow="0" w:lastRow="0" w:firstColumn="0" w:lastColumn="0" w:noHBand="1" w:noVBand="1"/>
      </w:tblPr>
      <w:tblGrid>
        <w:gridCol w:w="2865"/>
        <w:gridCol w:w="6555"/>
      </w:tblGrid>
      <w:tr w:rsidR="001325C4" w14:paraId="7D5E7C8F" w14:textId="77777777">
        <w:trPr>
          <w:trHeight w:val="495"/>
        </w:trPr>
        <w:tc>
          <w:tcPr>
            <w:tcW w:w="2865" w:type="dxa"/>
            <w:tcBorders>
              <w:top w:val="single" w:sz="6" w:space="0" w:color="000000"/>
              <w:left w:val="single" w:sz="6" w:space="0" w:color="000000"/>
              <w:bottom w:val="single" w:sz="6" w:space="0" w:color="000000"/>
              <w:right w:val="single" w:sz="6" w:space="0" w:color="000000"/>
            </w:tcBorders>
            <w:tcMar>
              <w:top w:w="20" w:type="dxa"/>
              <w:left w:w="20" w:type="dxa"/>
              <w:bottom w:w="20" w:type="dxa"/>
              <w:right w:w="20" w:type="dxa"/>
            </w:tcMar>
          </w:tcPr>
          <w:p w14:paraId="4BB2A2DD" w14:textId="77777777" w:rsidR="001325C4" w:rsidRDefault="007449CA">
            <w:pPr>
              <w:spacing w:after="160" w:line="360" w:lineRule="auto"/>
              <w:ind w:left="-640"/>
              <w:jc w:val="center"/>
              <w:rPr>
                <w:b/>
                <w:bCs/>
              </w:rPr>
            </w:pPr>
            <w:r>
              <w:rPr>
                <w:b/>
                <w:bCs/>
              </w:rPr>
              <w:lastRenderedPageBreak/>
              <w:t>Objective</w:t>
            </w:r>
          </w:p>
        </w:tc>
        <w:tc>
          <w:tcPr>
            <w:tcW w:w="6555" w:type="dxa"/>
            <w:tcBorders>
              <w:top w:val="single" w:sz="6" w:space="0" w:color="000000"/>
              <w:left w:val="single" w:sz="6" w:space="0" w:color="000000"/>
              <w:bottom w:val="single" w:sz="6" w:space="0" w:color="000000"/>
              <w:right w:val="single" w:sz="6" w:space="0" w:color="000000"/>
            </w:tcBorders>
            <w:tcMar>
              <w:top w:w="20" w:type="dxa"/>
              <w:left w:w="20" w:type="dxa"/>
              <w:bottom w:w="20" w:type="dxa"/>
              <w:right w:w="20" w:type="dxa"/>
            </w:tcMar>
          </w:tcPr>
          <w:p w14:paraId="1F1ED858" w14:textId="77777777" w:rsidR="001325C4" w:rsidRDefault="007449CA">
            <w:pPr>
              <w:spacing w:after="160" w:line="360" w:lineRule="auto"/>
              <w:ind w:left="-640"/>
              <w:jc w:val="center"/>
              <w:rPr>
                <w:b/>
                <w:bCs/>
              </w:rPr>
            </w:pPr>
            <w:r>
              <w:rPr>
                <w:b/>
                <w:bCs/>
              </w:rPr>
              <w:t>Key Performance Indicator</w:t>
            </w:r>
          </w:p>
        </w:tc>
      </w:tr>
      <w:tr w:rsidR="001325C4" w14:paraId="692E8E73" w14:textId="77777777">
        <w:trPr>
          <w:trHeight w:val="495"/>
        </w:trPr>
        <w:tc>
          <w:tcPr>
            <w:tcW w:w="2865" w:type="dxa"/>
            <w:tcBorders>
              <w:top w:val="single" w:sz="6" w:space="0" w:color="000000"/>
              <w:left w:val="single" w:sz="6" w:space="0" w:color="000000"/>
              <w:bottom w:val="single" w:sz="6" w:space="0" w:color="000000"/>
              <w:right w:val="single" w:sz="6" w:space="0" w:color="000000"/>
            </w:tcBorders>
            <w:tcMar>
              <w:top w:w="20" w:type="dxa"/>
              <w:left w:w="20" w:type="dxa"/>
              <w:bottom w:w="20" w:type="dxa"/>
              <w:right w:w="20" w:type="dxa"/>
            </w:tcMar>
          </w:tcPr>
          <w:p w14:paraId="2CDD7CED" w14:textId="77777777" w:rsidR="001325C4" w:rsidRDefault="007449CA">
            <w:pPr>
              <w:spacing w:after="160" w:line="360" w:lineRule="auto"/>
              <w:ind w:left="-640"/>
              <w:jc w:val="center"/>
            </w:pPr>
            <w:r>
              <w:t>Digital capability</w:t>
            </w:r>
          </w:p>
        </w:tc>
        <w:tc>
          <w:tcPr>
            <w:tcW w:w="6555" w:type="dxa"/>
            <w:tcBorders>
              <w:top w:val="single" w:sz="6" w:space="0" w:color="000000"/>
              <w:left w:val="single" w:sz="6" w:space="0" w:color="000000"/>
              <w:bottom w:val="single" w:sz="6" w:space="0" w:color="000000"/>
              <w:right w:val="single" w:sz="6" w:space="0" w:color="000000"/>
            </w:tcBorders>
            <w:tcMar>
              <w:top w:w="20" w:type="dxa"/>
              <w:left w:w="20" w:type="dxa"/>
              <w:bottom w:w="20" w:type="dxa"/>
              <w:right w:w="20" w:type="dxa"/>
            </w:tcMar>
          </w:tcPr>
          <w:p w14:paraId="480E570E" w14:textId="77777777" w:rsidR="001325C4" w:rsidRDefault="007449CA">
            <w:pPr>
              <w:spacing w:after="160" w:line="360" w:lineRule="auto"/>
              <w:ind w:left="-640"/>
              <w:jc w:val="center"/>
            </w:pPr>
            <w:r>
              <w:t>Number of successful AI/software projects</w:t>
            </w:r>
          </w:p>
        </w:tc>
      </w:tr>
      <w:tr w:rsidR="001325C4" w14:paraId="70645AA5" w14:textId="77777777">
        <w:trPr>
          <w:trHeight w:val="495"/>
        </w:trPr>
        <w:tc>
          <w:tcPr>
            <w:tcW w:w="2865" w:type="dxa"/>
            <w:tcBorders>
              <w:top w:val="single" w:sz="6" w:space="0" w:color="000000"/>
              <w:left w:val="single" w:sz="6" w:space="0" w:color="000000"/>
              <w:bottom w:val="single" w:sz="6" w:space="0" w:color="000000"/>
              <w:right w:val="single" w:sz="6" w:space="0" w:color="000000"/>
            </w:tcBorders>
            <w:tcMar>
              <w:top w:w="20" w:type="dxa"/>
              <w:left w:w="20" w:type="dxa"/>
              <w:bottom w:w="20" w:type="dxa"/>
              <w:right w:w="20" w:type="dxa"/>
            </w:tcMar>
          </w:tcPr>
          <w:p w14:paraId="3A1BADDD" w14:textId="77777777" w:rsidR="001325C4" w:rsidRDefault="007449CA">
            <w:pPr>
              <w:spacing w:after="160" w:line="360" w:lineRule="auto"/>
              <w:ind w:left="-640"/>
              <w:jc w:val="center"/>
            </w:pPr>
            <w:r>
              <w:t>Employee development</w:t>
            </w:r>
          </w:p>
        </w:tc>
        <w:tc>
          <w:tcPr>
            <w:tcW w:w="6555" w:type="dxa"/>
            <w:tcBorders>
              <w:top w:val="single" w:sz="6" w:space="0" w:color="000000"/>
              <w:left w:val="single" w:sz="6" w:space="0" w:color="000000"/>
              <w:bottom w:val="single" w:sz="6" w:space="0" w:color="000000"/>
              <w:right w:val="single" w:sz="6" w:space="0" w:color="000000"/>
            </w:tcBorders>
            <w:tcMar>
              <w:top w:w="20" w:type="dxa"/>
              <w:left w:w="20" w:type="dxa"/>
              <w:bottom w:w="20" w:type="dxa"/>
              <w:right w:w="20" w:type="dxa"/>
            </w:tcMar>
          </w:tcPr>
          <w:p w14:paraId="52E9DA31" w14:textId="77777777" w:rsidR="001325C4" w:rsidRDefault="007449CA">
            <w:pPr>
              <w:spacing w:after="160" w:line="360" w:lineRule="auto"/>
              <w:ind w:left="-640"/>
              <w:jc w:val="center"/>
            </w:pPr>
            <w:r>
              <w:t>Percentage of targeted employees completing digital training</w:t>
            </w:r>
          </w:p>
        </w:tc>
      </w:tr>
      <w:tr w:rsidR="001325C4" w14:paraId="3A61B579" w14:textId="77777777">
        <w:trPr>
          <w:trHeight w:val="495"/>
        </w:trPr>
        <w:tc>
          <w:tcPr>
            <w:tcW w:w="2865" w:type="dxa"/>
            <w:tcBorders>
              <w:top w:val="single" w:sz="6" w:space="0" w:color="000000"/>
              <w:left w:val="single" w:sz="6" w:space="0" w:color="000000"/>
              <w:bottom w:val="single" w:sz="6" w:space="0" w:color="000000"/>
              <w:right w:val="single" w:sz="6" w:space="0" w:color="000000"/>
            </w:tcBorders>
            <w:tcMar>
              <w:top w:w="20" w:type="dxa"/>
              <w:left w:w="20" w:type="dxa"/>
              <w:bottom w:w="20" w:type="dxa"/>
              <w:right w:w="20" w:type="dxa"/>
            </w:tcMar>
          </w:tcPr>
          <w:p w14:paraId="54F66BC5" w14:textId="77777777" w:rsidR="001325C4" w:rsidRDefault="007449CA">
            <w:pPr>
              <w:spacing w:after="160" w:line="360" w:lineRule="auto"/>
              <w:ind w:left="-640"/>
              <w:jc w:val="center"/>
            </w:pPr>
            <w:r>
              <w:t>Customer experience</w:t>
            </w:r>
          </w:p>
        </w:tc>
        <w:tc>
          <w:tcPr>
            <w:tcW w:w="6555" w:type="dxa"/>
            <w:tcBorders>
              <w:top w:val="single" w:sz="6" w:space="0" w:color="000000"/>
              <w:left w:val="single" w:sz="6" w:space="0" w:color="000000"/>
              <w:bottom w:val="single" w:sz="6" w:space="0" w:color="000000"/>
              <w:right w:val="single" w:sz="6" w:space="0" w:color="000000"/>
            </w:tcBorders>
            <w:tcMar>
              <w:top w:w="20" w:type="dxa"/>
              <w:left w:w="20" w:type="dxa"/>
              <w:bottom w:w="20" w:type="dxa"/>
              <w:right w:w="20" w:type="dxa"/>
            </w:tcMar>
          </w:tcPr>
          <w:p w14:paraId="0C9139C3" w14:textId="77777777" w:rsidR="001325C4" w:rsidRDefault="007449CA">
            <w:pPr>
              <w:spacing w:after="160" w:line="360" w:lineRule="auto"/>
              <w:ind w:left="-640"/>
              <w:jc w:val="center"/>
            </w:pPr>
            <w:r>
              <w:t>Digital customer satisfaction and conversion rates</w:t>
            </w:r>
          </w:p>
        </w:tc>
      </w:tr>
      <w:tr w:rsidR="001325C4" w14:paraId="790FF0B9" w14:textId="77777777">
        <w:trPr>
          <w:trHeight w:val="495"/>
        </w:trPr>
        <w:tc>
          <w:tcPr>
            <w:tcW w:w="2865" w:type="dxa"/>
            <w:tcBorders>
              <w:top w:val="single" w:sz="6" w:space="0" w:color="000000"/>
              <w:left w:val="single" w:sz="6" w:space="0" w:color="000000"/>
              <w:bottom w:val="single" w:sz="6" w:space="0" w:color="000000"/>
              <w:right w:val="single" w:sz="6" w:space="0" w:color="000000"/>
            </w:tcBorders>
            <w:tcMar>
              <w:top w:w="20" w:type="dxa"/>
              <w:left w:w="20" w:type="dxa"/>
              <w:bottom w:w="20" w:type="dxa"/>
              <w:right w:w="20" w:type="dxa"/>
            </w:tcMar>
          </w:tcPr>
          <w:p w14:paraId="517BAF4F" w14:textId="77777777" w:rsidR="001325C4" w:rsidRDefault="007449CA">
            <w:pPr>
              <w:spacing w:after="160" w:line="360" w:lineRule="auto"/>
              <w:ind w:left="-640"/>
              <w:jc w:val="center"/>
            </w:pPr>
            <w:r>
              <w:t>Operational efficiency</w:t>
            </w:r>
          </w:p>
        </w:tc>
        <w:tc>
          <w:tcPr>
            <w:tcW w:w="6555" w:type="dxa"/>
            <w:tcBorders>
              <w:top w:val="single" w:sz="6" w:space="0" w:color="000000"/>
              <w:left w:val="single" w:sz="6" w:space="0" w:color="000000"/>
              <w:bottom w:val="single" w:sz="6" w:space="0" w:color="000000"/>
              <w:right w:val="single" w:sz="6" w:space="0" w:color="000000"/>
            </w:tcBorders>
            <w:tcMar>
              <w:top w:w="20" w:type="dxa"/>
              <w:left w:w="20" w:type="dxa"/>
              <w:bottom w:w="20" w:type="dxa"/>
              <w:right w:w="20" w:type="dxa"/>
            </w:tcMar>
          </w:tcPr>
          <w:p w14:paraId="11014710" w14:textId="77777777" w:rsidR="001325C4" w:rsidRDefault="007449CA">
            <w:pPr>
              <w:spacing w:after="160" w:line="360" w:lineRule="auto"/>
              <w:ind w:left="-640"/>
              <w:jc w:val="center"/>
            </w:pPr>
            <w:r>
              <w:t>Reduction in downtime and defects</w:t>
            </w:r>
          </w:p>
        </w:tc>
      </w:tr>
      <w:tr w:rsidR="001325C4" w14:paraId="625082C7" w14:textId="77777777">
        <w:trPr>
          <w:trHeight w:val="495"/>
        </w:trPr>
        <w:tc>
          <w:tcPr>
            <w:tcW w:w="2865" w:type="dxa"/>
            <w:tcBorders>
              <w:top w:val="single" w:sz="6" w:space="0" w:color="000000"/>
              <w:left w:val="single" w:sz="6" w:space="0" w:color="000000"/>
              <w:bottom w:val="single" w:sz="6" w:space="0" w:color="000000"/>
              <w:right w:val="single" w:sz="6" w:space="0" w:color="000000"/>
            </w:tcBorders>
            <w:tcMar>
              <w:top w:w="20" w:type="dxa"/>
              <w:left w:w="20" w:type="dxa"/>
              <w:bottom w:w="20" w:type="dxa"/>
              <w:right w:w="20" w:type="dxa"/>
            </w:tcMar>
          </w:tcPr>
          <w:p w14:paraId="7392E715" w14:textId="77777777" w:rsidR="001325C4" w:rsidRDefault="007449CA">
            <w:pPr>
              <w:spacing w:after="160" w:line="360" w:lineRule="auto"/>
              <w:ind w:left="-640"/>
              <w:jc w:val="center"/>
            </w:pPr>
            <w:r>
              <w:t>Innovation</w:t>
            </w:r>
          </w:p>
        </w:tc>
        <w:tc>
          <w:tcPr>
            <w:tcW w:w="6555" w:type="dxa"/>
            <w:tcBorders>
              <w:top w:val="single" w:sz="6" w:space="0" w:color="000000"/>
              <w:left w:val="single" w:sz="6" w:space="0" w:color="000000"/>
              <w:bottom w:val="single" w:sz="6" w:space="0" w:color="000000"/>
              <w:right w:val="single" w:sz="6" w:space="0" w:color="000000"/>
            </w:tcBorders>
            <w:tcMar>
              <w:top w:w="20" w:type="dxa"/>
              <w:left w:w="20" w:type="dxa"/>
              <w:bottom w:w="20" w:type="dxa"/>
              <w:right w:w="20" w:type="dxa"/>
            </w:tcMar>
          </w:tcPr>
          <w:p w14:paraId="65B816D3" w14:textId="77777777" w:rsidR="001325C4" w:rsidRDefault="007449CA">
            <w:pPr>
              <w:spacing w:after="160" w:line="360" w:lineRule="auto"/>
              <w:ind w:left="-640"/>
              <w:jc w:val="center"/>
            </w:pPr>
            <w:r>
              <w:t>Number of pilots successfully scaled</w:t>
            </w:r>
          </w:p>
        </w:tc>
      </w:tr>
      <w:tr w:rsidR="001325C4" w14:paraId="4D0F5D50" w14:textId="77777777">
        <w:trPr>
          <w:trHeight w:val="495"/>
        </w:trPr>
        <w:tc>
          <w:tcPr>
            <w:tcW w:w="2865" w:type="dxa"/>
            <w:tcBorders>
              <w:top w:val="single" w:sz="6" w:space="0" w:color="000000"/>
              <w:left w:val="single" w:sz="6" w:space="0" w:color="000000"/>
              <w:bottom w:val="single" w:sz="6" w:space="0" w:color="000000"/>
              <w:right w:val="single" w:sz="6" w:space="0" w:color="000000"/>
            </w:tcBorders>
            <w:tcMar>
              <w:top w:w="20" w:type="dxa"/>
              <w:left w:w="20" w:type="dxa"/>
              <w:bottom w:w="20" w:type="dxa"/>
              <w:right w:w="20" w:type="dxa"/>
            </w:tcMar>
          </w:tcPr>
          <w:p w14:paraId="45B5FC3C" w14:textId="77777777" w:rsidR="001325C4" w:rsidRDefault="007449CA">
            <w:pPr>
              <w:spacing w:after="160" w:line="360" w:lineRule="auto"/>
              <w:ind w:left="-640"/>
              <w:jc w:val="center"/>
            </w:pPr>
            <w:r>
              <w:t>Employee adoption</w:t>
            </w:r>
          </w:p>
        </w:tc>
        <w:tc>
          <w:tcPr>
            <w:tcW w:w="6555" w:type="dxa"/>
            <w:tcBorders>
              <w:top w:val="single" w:sz="6" w:space="0" w:color="000000"/>
              <w:left w:val="single" w:sz="6" w:space="0" w:color="000000"/>
              <w:bottom w:val="single" w:sz="6" w:space="0" w:color="000000"/>
              <w:right w:val="single" w:sz="6" w:space="0" w:color="000000"/>
            </w:tcBorders>
            <w:tcMar>
              <w:top w:w="20" w:type="dxa"/>
              <w:left w:w="20" w:type="dxa"/>
              <w:bottom w:w="20" w:type="dxa"/>
              <w:right w:w="20" w:type="dxa"/>
            </w:tcMar>
          </w:tcPr>
          <w:p w14:paraId="719A71DF" w14:textId="77777777" w:rsidR="001325C4" w:rsidRDefault="007449CA">
            <w:pPr>
              <w:spacing w:after="160" w:line="360" w:lineRule="auto"/>
              <w:ind w:left="-640"/>
              <w:jc w:val="center"/>
            </w:pPr>
            <w:r>
              <w:t>Employee confidence and adoption of new systems</w:t>
            </w:r>
          </w:p>
        </w:tc>
      </w:tr>
      <w:tr w:rsidR="001325C4" w14:paraId="76B613E1" w14:textId="77777777">
        <w:trPr>
          <w:trHeight w:val="495"/>
        </w:trPr>
        <w:tc>
          <w:tcPr>
            <w:tcW w:w="2865" w:type="dxa"/>
            <w:tcBorders>
              <w:top w:val="single" w:sz="6" w:space="0" w:color="000000"/>
              <w:left w:val="single" w:sz="6" w:space="0" w:color="000000"/>
              <w:bottom w:val="single" w:sz="6" w:space="0" w:color="000000"/>
              <w:right w:val="single" w:sz="6" w:space="0" w:color="000000"/>
            </w:tcBorders>
            <w:tcMar>
              <w:top w:w="20" w:type="dxa"/>
              <w:left w:w="20" w:type="dxa"/>
              <w:bottom w:w="20" w:type="dxa"/>
              <w:right w:w="20" w:type="dxa"/>
            </w:tcMar>
          </w:tcPr>
          <w:p w14:paraId="617BB614" w14:textId="77777777" w:rsidR="001325C4" w:rsidRDefault="007449CA">
            <w:pPr>
              <w:spacing w:after="160" w:line="360" w:lineRule="auto"/>
              <w:ind w:left="-640"/>
              <w:jc w:val="center"/>
            </w:pPr>
            <w:r>
              <w:t>Governance</w:t>
            </w:r>
          </w:p>
        </w:tc>
        <w:tc>
          <w:tcPr>
            <w:tcW w:w="6555" w:type="dxa"/>
            <w:tcBorders>
              <w:top w:val="single" w:sz="6" w:space="0" w:color="000000"/>
              <w:left w:val="single" w:sz="6" w:space="0" w:color="000000"/>
              <w:bottom w:val="single" w:sz="6" w:space="0" w:color="000000"/>
              <w:right w:val="single" w:sz="6" w:space="0" w:color="000000"/>
            </w:tcBorders>
            <w:tcMar>
              <w:top w:w="20" w:type="dxa"/>
              <w:left w:w="20" w:type="dxa"/>
              <w:bottom w:w="20" w:type="dxa"/>
              <w:right w:w="20" w:type="dxa"/>
            </w:tcMar>
          </w:tcPr>
          <w:p w14:paraId="62050C4F" w14:textId="77777777" w:rsidR="001325C4" w:rsidRDefault="007449CA">
            <w:pPr>
              <w:spacing w:after="160" w:line="360" w:lineRule="auto"/>
              <w:ind w:left="-640"/>
              <w:jc w:val="center"/>
            </w:pPr>
            <w:r>
              <w:t>Number and severity of compliance incidents</w:t>
            </w:r>
          </w:p>
        </w:tc>
      </w:tr>
      <w:tr w:rsidR="001325C4" w14:paraId="727BFE2A" w14:textId="77777777">
        <w:trPr>
          <w:trHeight w:val="495"/>
        </w:trPr>
        <w:tc>
          <w:tcPr>
            <w:tcW w:w="2865" w:type="dxa"/>
            <w:tcBorders>
              <w:top w:val="single" w:sz="6" w:space="0" w:color="000000"/>
              <w:left w:val="single" w:sz="6" w:space="0" w:color="000000"/>
              <w:bottom w:val="single" w:sz="6" w:space="0" w:color="000000"/>
              <w:right w:val="single" w:sz="6" w:space="0" w:color="000000"/>
            </w:tcBorders>
            <w:tcMar>
              <w:top w:w="20" w:type="dxa"/>
              <w:left w:w="20" w:type="dxa"/>
              <w:bottom w:w="20" w:type="dxa"/>
              <w:right w:w="20" w:type="dxa"/>
            </w:tcMar>
          </w:tcPr>
          <w:p w14:paraId="42258F22" w14:textId="77777777" w:rsidR="001325C4" w:rsidRDefault="007449CA">
            <w:pPr>
              <w:spacing w:after="160" w:line="360" w:lineRule="auto"/>
              <w:ind w:left="-640"/>
              <w:jc w:val="center"/>
            </w:pPr>
            <w:r>
              <w:t>Cybersecurity</w:t>
            </w:r>
          </w:p>
        </w:tc>
        <w:tc>
          <w:tcPr>
            <w:tcW w:w="6555" w:type="dxa"/>
            <w:tcBorders>
              <w:top w:val="single" w:sz="6" w:space="0" w:color="000000"/>
              <w:left w:val="single" w:sz="6" w:space="0" w:color="000000"/>
              <w:bottom w:val="single" w:sz="6" w:space="0" w:color="000000"/>
              <w:right w:val="single" w:sz="6" w:space="0" w:color="000000"/>
            </w:tcBorders>
            <w:tcMar>
              <w:top w:w="20" w:type="dxa"/>
              <w:left w:w="20" w:type="dxa"/>
              <w:bottom w:w="20" w:type="dxa"/>
              <w:right w:w="20" w:type="dxa"/>
            </w:tcMar>
          </w:tcPr>
          <w:p w14:paraId="35F0D083" w14:textId="77777777" w:rsidR="001325C4" w:rsidRDefault="007449CA">
            <w:pPr>
              <w:spacing w:after="160" w:line="360" w:lineRule="auto"/>
              <w:ind w:left="-640"/>
              <w:jc w:val="center"/>
            </w:pPr>
            <w:r>
              <w:t>Number and severity of cybersecurity incidents</w:t>
            </w:r>
          </w:p>
        </w:tc>
      </w:tr>
      <w:tr w:rsidR="001325C4" w14:paraId="4770D0BB" w14:textId="77777777">
        <w:trPr>
          <w:trHeight w:val="495"/>
        </w:trPr>
        <w:tc>
          <w:tcPr>
            <w:tcW w:w="2865" w:type="dxa"/>
            <w:tcBorders>
              <w:top w:val="single" w:sz="6" w:space="0" w:color="000000"/>
              <w:left w:val="single" w:sz="6" w:space="0" w:color="000000"/>
              <w:bottom w:val="single" w:sz="6" w:space="0" w:color="000000"/>
              <w:right w:val="single" w:sz="6" w:space="0" w:color="000000"/>
            </w:tcBorders>
            <w:tcMar>
              <w:top w:w="20" w:type="dxa"/>
              <w:left w:w="20" w:type="dxa"/>
              <w:bottom w:w="20" w:type="dxa"/>
              <w:right w:w="20" w:type="dxa"/>
            </w:tcMar>
          </w:tcPr>
          <w:p w14:paraId="19D28387" w14:textId="77777777" w:rsidR="001325C4" w:rsidRDefault="007449CA">
            <w:pPr>
              <w:spacing w:after="160" w:line="360" w:lineRule="auto"/>
              <w:ind w:left="-640"/>
              <w:jc w:val="center"/>
            </w:pPr>
            <w:r>
              <w:t>Financial performance</w:t>
            </w:r>
          </w:p>
        </w:tc>
        <w:tc>
          <w:tcPr>
            <w:tcW w:w="6555" w:type="dxa"/>
            <w:tcBorders>
              <w:top w:val="single" w:sz="6" w:space="0" w:color="000000"/>
              <w:left w:val="single" w:sz="6" w:space="0" w:color="000000"/>
              <w:bottom w:val="single" w:sz="6" w:space="0" w:color="000000"/>
              <w:right w:val="single" w:sz="6" w:space="0" w:color="000000"/>
            </w:tcBorders>
            <w:tcMar>
              <w:top w:w="20" w:type="dxa"/>
              <w:left w:w="20" w:type="dxa"/>
              <w:bottom w:w="20" w:type="dxa"/>
              <w:right w:w="20" w:type="dxa"/>
            </w:tcMar>
          </w:tcPr>
          <w:p w14:paraId="3C0C85AB" w14:textId="77777777" w:rsidR="001325C4" w:rsidRDefault="007449CA">
            <w:pPr>
              <w:spacing w:after="160" w:line="360" w:lineRule="auto"/>
              <w:ind w:left="-640"/>
              <w:jc w:val="center"/>
            </w:pPr>
            <w:r>
              <w:t>ROI and financial benefits achieved</w:t>
            </w:r>
          </w:p>
        </w:tc>
      </w:tr>
    </w:tbl>
    <w:p w14:paraId="4E046715" w14:textId="77777777" w:rsidR="001325C4" w:rsidRDefault="007449CA">
      <w:pPr>
        <w:spacing w:before="240" w:after="240" w:line="360" w:lineRule="auto"/>
        <w:jc w:val="both"/>
      </w:pPr>
      <w:r>
        <w:t>Operational results should be reviewed monthly, with formal quarterly reviews by the Transformation Steering Committee and strategic reviews by the board every six months. Employee surveys should be conducted twice yearly to identify resistance, confusion or excessive workload.</w:t>
      </w:r>
    </w:p>
    <w:p w14:paraId="19F35F9B" w14:textId="77777777" w:rsidR="001325C4" w:rsidRDefault="007449CA">
      <w:pPr>
        <w:spacing w:before="240" w:after="240" w:line="360" w:lineRule="auto"/>
        <w:jc w:val="both"/>
      </w:pPr>
      <w:r>
        <w:t>Independent safety, cybersecurity and ethics reviews should be completed before major AI and software systems are widely deployed. This is particularly important where software affects vehicle safety and customer data.</w:t>
      </w:r>
    </w:p>
    <w:p w14:paraId="28A78205" w14:textId="77777777" w:rsidR="001325C4" w:rsidRDefault="007449CA">
      <w:pPr>
        <w:pStyle w:val="Heading2"/>
        <w:keepNext w:val="0"/>
        <w:keepLines w:val="0"/>
        <w:spacing w:after="80" w:line="360" w:lineRule="auto"/>
        <w:jc w:val="both"/>
        <w:rPr>
          <w:b/>
          <w:bCs/>
          <w:sz w:val="22"/>
          <w:szCs w:val="22"/>
        </w:rPr>
      </w:pPr>
      <w:bookmarkStart w:id="36" w:name="_exdk5bunukly" w:colFirst="0" w:colLast="0"/>
      <w:bookmarkEnd w:id="36"/>
      <w:r>
        <w:rPr>
          <w:b/>
          <w:bCs/>
          <w:sz w:val="22"/>
          <w:szCs w:val="22"/>
        </w:rPr>
        <w:t>5.6 Risk Management and Overall Plan</w:t>
      </w:r>
    </w:p>
    <w:p w14:paraId="3D33C2F2" w14:textId="77777777" w:rsidR="001325C4" w:rsidRDefault="007449CA">
      <w:pPr>
        <w:spacing w:before="240" w:after="240" w:line="360" w:lineRule="auto"/>
        <w:jc w:val="both"/>
      </w:pPr>
      <w:r>
        <w:t>Major risks include employee resistance, cybersecurity threats, data-protection problems, insufficient digital skills, supplier constraints, cost overruns and poor system integration. Toyota should address these through phased implementation, employee consultation, reskilling, cybersecurity testing, independent audits and clear accountability.</w:t>
      </w:r>
    </w:p>
    <w:p w14:paraId="05CAA28C" w14:textId="77777777" w:rsidR="001325C4" w:rsidRDefault="007449CA">
      <w:pPr>
        <w:spacing w:before="240" w:after="240" w:line="360" w:lineRule="auto"/>
        <w:jc w:val="both"/>
      </w:pPr>
      <w:r>
        <w:t xml:space="preserve">The </w:t>
      </w:r>
      <w:proofErr w:type="spellStart"/>
      <w:r>
        <w:t>programme</w:t>
      </w:r>
      <w:proofErr w:type="spellEnd"/>
      <w:r>
        <w:t xml:space="preserve"> can be </w:t>
      </w:r>
      <w:proofErr w:type="spellStart"/>
      <w:r>
        <w:t>summarised</w:t>
      </w:r>
      <w:proofErr w:type="spellEnd"/>
      <w:r>
        <w:t xml:space="preserve"> as follows:</w:t>
      </w:r>
    </w:p>
    <w:tbl>
      <w:tblPr>
        <w:tblStyle w:val="a2"/>
        <w:tblW w:w="10890" w:type="dxa"/>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600" w:firstRow="0" w:lastRow="0" w:firstColumn="0" w:lastColumn="0" w:noHBand="1" w:noVBand="1"/>
      </w:tblPr>
      <w:tblGrid>
        <w:gridCol w:w="1087"/>
        <w:gridCol w:w="5361"/>
        <w:gridCol w:w="4442"/>
      </w:tblGrid>
      <w:tr w:rsidR="001325C4" w14:paraId="08E1FF67" w14:textId="77777777">
        <w:trPr>
          <w:trHeight w:val="495"/>
        </w:trPr>
        <w:tc>
          <w:tcPr>
            <w:tcW w:w="1087" w:type="dxa"/>
            <w:tcBorders>
              <w:top w:val="single" w:sz="6" w:space="0" w:color="000000"/>
              <w:left w:val="single" w:sz="6" w:space="0" w:color="000000"/>
              <w:bottom w:val="single" w:sz="6" w:space="0" w:color="000000"/>
              <w:right w:val="single" w:sz="6" w:space="0" w:color="000000"/>
            </w:tcBorders>
            <w:tcMar>
              <w:top w:w="20" w:type="dxa"/>
              <w:left w:w="20" w:type="dxa"/>
              <w:bottom w:w="20" w:type="dxa"/>
              <w:right w:w="20" w:type="dxa"/>
            </w:tcMar>
          </w:tcPr>
          <w:p w14:paraId="49CA8629" w14:textId="77777777" w:rsidR="001325C4" w:rsidRDefault="007449CA">
            <w:pPr>
              <w:spacing w:after="160" w:line="360" w:lineRule="auto"/>
              <w:jc w:val="both"/>
              <w:rPr>
                <w:b/>
                <w:bCs/>
              </w:rPr>
            </w:pPr>
            <w:r>
              <w:rPr>
                <w:b/>
                <w:bCs/>
              </w:rPr>
              <w:t>Period</w:t>
            </w:r>
          </w:p>
        </w:tc>
        <w:tc>
          <w:tcPr>
            <w:tcW w:w="5360" w:type="dxa"/>
            <w:tcBorders>
              <w:top w:val="single" w:sz="6" w:space="0" w:color="000000"/>
              <w:left w:val="single" w:sz="6" w:space="0" w:color="000000"/>
              <w:bottom w:val="single" w:sz="6" w:space="0" w:color="000000"/>
              <w:right w:val="single" w:sz="6" w:space="0" w:color="000000"/>
            </w:tcBorders>
            <w:tcMar>
              <w:top w:w="20" w:type="dxa"/>
              <w:left w:w="20" w:type="dxa"/>
              <w:bottom w:w="20" w:type="dxa"/>
              <w:right w:w="20" w:type="dxa"/>
            </w:tcMar>
          </w:tcPr>
          <w:p w14:paraId="7989C0A9" w14:textId="77777777" w:rsidR="001325C4" w:rsidRDefault="007449CA">
            <w:pPr>
              <w:spacing w:after="160" w:line="360" w:lineRule="auto"/>
              <w:jc w:val="center"/>
              <w:rPr>
                <w:b/>
                <w:bCs/>
              </w:rPr>
            </w:pPr>
            <w:r>
              <w:rPr>
                <w:b/>
                <w:bCs/>
              </w:rPr>
              <w:t>Main activities</w:t>
            </w:r>
          </w:p>
        </w:tc>
        <w:tc>
          <w:tcPr>
            <w:tcW w:w="4441" w:type="dxa"/>
            <w:tcBorders>
              <w:top w:val="single" w:sz="6" w:space="0" w:color="000000"/>
              <w:left w:val="single" w:sz="6" w:space="0" w:color="000000"/>
              <w:bottom w:val="single" w:sz="6" w:space="0" w:color="000000"/>
              <w:right w:val="single" w:sz="6" w:space="0" w:color="000000"/>
            </w:tcBorders>
            <w:tcMar>
              <w:top w:w="20" w:type="dxa"/>
              <w:left w:w="20" w:type="dxa"/>
              <w:bottom w:w="20" w:type="dxa"/>
              <w:right w:w="20" w:type="dxa"/>
            </w:tcMar>
          </w:tcPr>
          <w:p w14:paraId="34B11792" w14:textId="77777777" w:rsidR="001325C4" w:rsidRDefault="007449CA">
            <w:pPr>
              <w:spacing w:after="160" w:line="360" w:lineRule="auto"/>
              <w:jc w:val="center"/>
              <w:rPr>
                <w:b/>
                <w:bCs/>
              </w:rPr>
            </w:pPr>
            <w:r>
              <w:rPr>
                <w:b/>
                <w:bCs/>
              </w:rPr>
              <w:t>Expected outcome</w:t>
            </w:r>
          </w:p>
        </w:tc>
      </w:tr>
      <w:tr w:rsidR="001325C4" w14:paraId="57D94FB0" w14:textId="77777777">
        <w:trPr>
          <w:trHeight w:val="765"/>
        </w:trPr>
        <w:tc>
          <w:tcPr>
            <w:tcW w:w="1087" w:type="dxa"/>
            <w:tcBorders>
              <w:top w:val="single" w:sz="6" w:space="0" w:color="000000"/>
              <w:left w:val="single" w:sz="6" w:space="0" w:color="000000"/>
              <w:bottom w:val="single" w:sz="6" w:space="0" w:color="000000"/>
              <w:right w:val="single" w:sz="6" w:space="0" w:color="000000"/>
            </w:tcBorders>
            <w:tcMar>
              <w:top w:w="20" w:type="dxa"/>
              <w:left w:w="20" w:type="dxa"/>
              <w:bottom w:w="20" w:type="dxa"/>
              <w:right w:w="20" w:type="dxa"/>
            </w:tcMar>
          </w:tcPr>
          <w:p w14:paraId="610FD135" w14:textId="77777777" w:rsidR="001325C4" w:rsidRDefault="007449CA">
            <w:pPr>
              <w:spacing w:after="160" w:line="360" w:lineRule="auto"/>
              <w:jc w:val="both"/>
              <w:rPr>
                <w:b/>
                <w:bCs/>
              </w:rPr>
            </w:pPr>
            <w:r>
              <w:rPr>
                <w:b/>
                <w:bCs/>
              </w:rPr>
              <w:t>Year 1</w:t>
            </w:r>
          </w:p>
        </w:tc>
        <w:tc>
          <w:tcPr>
            <w:tcW w:w="5360" w:type="dxa"/>
            <w:tcBorders>
              <w:top w:val="single" w:sz="6" w:space="0" w:color="000000"/>
              <w:left w:val="single" w:sz="6" w:space="0" w:color="000000"/>
              <w:bottom w:val="single" w:sz="6" w:space="0" w:color="000000"/>
              <w:right w:val="single" w:sz="6" w:space="0" w:color="000000"/>
            </w:tcBorders>
            <w:tcMar>
              <w:top w:w="20" w:type="dxa"/>
              <w:left w:w="20" w:type="dxa"/>
              <w:bottom w:w="20" w:type="dxa"/>
              <w:right w:w="20" w:type="dxa"/>
            </w:tcMar>
          </w:tcPr>
          <w:p w14:paraId="36D9C056" w14:textId="77777777" w:rsidR="001325C4" w:rsidRDefault="007449CA">
            <w:pPr>
              <w:spacing w:after="160" w:line="360" w:lineRule="auto"/>
              <w:jc w:val="center"/>
            </w:pPr>
            <w:r>
              <w:t>Digital assessment, steering committee, employee training and pilot projects</w:t>
            </w:r>
          </w:p>
        </w:tc>
        <w:tc>
          <w:tcPr>
            <w:tcW w:w="4441" w:type="dxa"/>
            <w:tcBorders>
              <w:top w:val="single" w:sz="6" w:space="0" w:color="000000"/>
              <w:left w:val="single" w:sz="6" w:space="0" w:color="000000"/>
              <w:bottom w:val="single" w:sz="6" w:space="0" w:color="000000"/>
              <w:right w:val="single" w:sz="6" w:space="0" w:color="000000"/>
            </w:tcBorders>
            <w:tcMar>
              <w:top w:w="20" w:type="dxa"/>
              <w:left w:w="20" w:type="dxa"/>
              <w:bottom w:w="20" w:type="dxa"/>
              <w:right w:w="20" w:type="dxa"/>
            </w:tcMar>
          </w:tcPr>
          <w:p w14:paraId="5AB4742A" w14:textId="77777777" w:rsidR="001325C4" w:rsidRDefault="007449CA">
            <w:pPr>
              <w:spacing w:after="160" w:line="360" w:lineRule="auto"/>
              <w:jc w:val="center"/>
            </w:pPr>
            <w:r>
              <w:t>Readiness and evidence of successful solutions</w:t>
            </w:r>
          </w:p>
        </w:tc>
      </w:tr>
      <w:tr w:rsidR="001325C4" w14:paraId="140C1395" w14:textId="77777777">
        <w:trPr>
          <w:trHeight w:val="765"/>
        </w:trPr>
        <w:tc>
          <w:tcPr>
            <w:tcW w:w="1087" w:type="dxa"/>
            <w:tcBorders>
              <w:top w:val="single" w:sz="6" w:space="0" w:color="000000"/>
              <w:left w:val="single" w:sz="6" w:space="0" w:color="000000"/>
              <w:bottom w:val="single" w:sz="6" w:space="0" w:color="000000"/>
              <w:right w:val="single" w:sz="6" w:space="0" w:color="000000"/>
            </w:tcBorders>
            <w:tcMar>
              <w:top w:w="20" w:type="dxa"/>
              <w:left w:w="20" w:type="dxa"/>
              <w:bottom w:w="20" w:type="dxa"/>
              <w:right w:w="20" w:type="dxa"/>
            </w:tcMar>
          </w:tcPr>
          <w:p w14:paraId="46D30A60" w14:textId="77777777" w:rsidR="001325C4" w:rsidRDefault="007449CA">
            <w:pPr>
              <w:spacing w:after="160" w:line="360" w:lineRule="auto"/>
              <w:jc w:val="both"/>
              <w:rPr>
                <w:b/>
                <w:bCs/>
              </w:rPr>
            </w:pPr>
            <w:r>
              <w:rPr>
                <w:b/>
                <w:bCs/>
              </w:rPr>
              <w:lastRenderedPageBreak/>
              <w:t>Year 2</w:t>
            </w:r>
          </w:p>
        </w:tc>
        <w:tc>
          <w:tcPr>
            <w:tcW w:w="5360" w:type="dxa"/>
            <w:tcBorders>
              <w:top w:val="single" w:sz="6" w:space="0" w:color="000000"/>
              <w:left w:val="single" w:sz="6" w:space="0" w:color="000000"/>
              <w:bottom w:val="single" w:sz="6" w:space="0" w:color="000000"/>
              <w:right w:val="single" w:sz="6" w:space="0" w:color="000000"/>
            </w:tcBorders>
            <w:tcMar>
              <w:top w:w="20" w:type="dxa"/>
              <w:left w:w="20" w:type="dxa"/>
              <w:bottom w:w="20" w:type="dxa"/>
              <w:right w:w="20" w:type="dxa"/>
            </w:tcMar>
          </w:tcPr>
          <w:p w14:paraId="2941CCE2" w14:textId="77777777" w:rsidR="001325C4" w:rsidRDefault="007449CA">
            <w:pPr>
              <w:spacing w:after="160" w:line="360" w:lineRule="auto"/>
              <w:jc w:val="center"/>
            </w:pPr>
            <w:r>
              <w:t>Scale successful AI, software and digital customer projects</w:t>
            </w:r>
          </w:p>
        </w:tc>
        <w:tc>
          <w:tcPr>
            <w:tcW w:w="4441" w:type="dxa"/>
            <w:tcBorders>
              <w:top w:val="single" w:sz="6" w:space="0" w:color="000000"/>
              <w:left w:val="single" w:sz="6" w:space="0" w:color="000000"/>
              <w:bottom w:val="single" w:sz="6" w:space="0" w:color="000000"/>
              <w:right w:val="single" w:sz="6" w:space="0" w:color="000000"/>
            </w:tcBorders>
            <w:tcMar>
              <w:top w:w="20" w:type="dxa"/>
              <w:left w:w="20" w:type="dxa"/>
              <w:bottom w:w="20" w:type="dxa"/>
              <w:right w:w="20" w:type="dxa"/>
            </w:tcMar>
          </w:tcPr>
          <w:p w14:paraId="5C5DC2EE" w14:textId="77777777" w:rsidR="001325C4" w:rsidRDefault="007449CA">
            <w:pPr>
              <w:spacing w:after="160" w:line="360" w:lineRule="auto"/>
              <w:jc w:val="center"/>
            </w:pPr>
            <w:r>
              <w:t xml:space="preserve">Wider </w:t>
            </w:r>
            <w:proofErr w:type="spellStart"/>
            <w:r>
              <w:t>organisational</w:t>
            </w:r>
            <w:proofErr w:type="spellEnd"/>
            <w:r>
              <w:t xml:space="preserve"> adoption</w:t>
            </w:r>
          </w:p>
        </w:tc>
      </w:tr>
      <w:tr w:rsidR="001325C4" w14:paraId="53FED35B" w14:textId="77777777">
        <w:trPr>
          <w:trHeight w:val="765"/>
        </w:trPr>
        <w:tc>
          <w:tcPr>
            <w:tcW w:w="1087" w:type="dxa"/>
            <w:tcBorders>
              <w:top w:val="single" w:sz="6" w:space="0" w:color="000000"/>
              <w:left w:val="single" w:sz="6" w:space="0" w:color="000000"/>
              <w:bottom w:val="single" w:sz="6" w:space="0" w:color="000000"/>
              <w:right w:val="single" w:sz="6" w:space="0" w:color="000000"/>
            </w:tcBorders>
            <w:tcMar>
              <w:top w:w="20" w:type="dxa"/>
              <w:left w:w="20" w:type="dxa"/>
              <w:bottom w:w="20" w:type="dxa"/>
              <w:right w:w="20" w:type="dxa"/>
            </w:tcMar>
          </w:tcPr>
          <w:p w14:paraId="2E57FCEB" w14:textId="77777777" w:rsidR="001325C4" w:rsidRDefault="007449CA">
            <w:pPr>
              <w:spacing w:after="160" w:line="360" w:lineRule="auto"/>
              <w:jc w:val="both"/>
              <w:rPr>
                <w:b/>
                <w:bCs/>
              </w:rPr>
            </w:pPr>
            <w:r>
              <w:rPr>
                <w:b/>
                <w:bCs/>
              </w:rPr>
              <w:t>Year 3</w:t>
            </w:r>
          </w:p>
        </w:tc>
        <w:tc>
          <w:tcPr>
            <w:tcW w:w="5360" w:type="dxa"/>
            <w:tcBorders>
              <w:top w:val="single" w:sz="6" w:space="0" w:color="000000"/>
              <w:left w:val="single" w:sz="6" w:space="0" w:color="000000"/>
              <w:bottom w:val="single" w:sz="6" w:space="0" w:color="000000"/>
              <w:right w:val="single" w:sz="6" w:space="0" w:color="000000"/>
            </w:tcBorders>
            <w:tcMar>
              <w:top w:w="20" w:type="dxa"/>
              <w:left w:w="20" w:type="dxa"/>
              <w:bottom w:w="20" w:type="dxa"/>
              <w:right w:w="20" w:type="dxa"/>
            </w:tcMar>
          </w:tcPr>
          <w:p w14:paraId="008E8949" w14:textId="77777777" w:rsidR="001325C4" w:rsidRDefault="007449CA">
            <w:pPr>
              <w:spacing w:after="160" w:line="360" w:lineRule="auto"/>
              <w:jc w:val="center"/>
            </w:pPr>
            <w:r>
              <w:t>Embed systems into normal operations and performance management</w:t>
            </w:r>
          </w:p>
        </w:tc>
        <w:tc>
          <w:tcPr>
            <w:tcW w:w="4441" w:type="dxa"/>
            <w:tcBorders>
              <w:top w:val="single" w:sz="6" w:space="0" w:color="000000"/>
              <w:left w:val="single" w:sz="6" w:space="0" w:color="000000"/>
              <w:bottom w:val="single" w:sz="6" w:space="0" w:color="000000"/>
              <w:right w:val="single" w:sz="6" w:space="0" w:color="000000"/>
            </w:tcBorders>
            <w:tcMar>
              <w:top w:w="20" w:type="dxa"/>
              <w:left w:w="20" w:type="dxa"/>
              <w:bottom w:w="20" w:type="dxa"/>
              <w:right w:w="20" w:type="dxa"/>
            </w:tcMar>
          </w:tcPr>
          <w:p w14:paraId="773554B0" w14:textId="77777777" w:rsidR="001325C4" w:rsidRDefault="007449CA">
            <w:pPr>
              <w:spacing w:after="160" w:line="360" w:lineRule="auto"/>
              <w:jc w:val="center"/>
            </w:pPr>
            <w:r>
              <w:t>Sustainable digital capability and continuous improvement</w:t>
            </w:r>
          </w:p>
        </w:tc>
      </w:tr>
    </w:tbl>
    <w:p w14:paraId="71FF332E" w14:textId="77777777" w:rsidR="001325C4" w:rsidRDefault="007449CA">
      <w:pPr>
        <w:spacing w:before="240" w:after="240" w:line="360" w:lineRule="auto"/>
        <w:jc w:val="both"/>
      </w:pPr>
      <w:r>
        <w:t xml:space="preserve">The proposed </w:t>
      </w:r>
      <w:proofErr w:type="spellStart"/>
      <w:r>
        <w:t>programme</w:t>
      </w:r>
      <w:proofErr w:type="spellEnd"/>
      <w:r>
        <w:t xml:space="preserve"> allows Toyota to combine its established operational discipline with greater digital capability and </w:t>
      </w:r>
      <w:proofErr w:type="spellStart"/>
      <w:r>
        <w:t>organisational</w:t>
      </w:r>
      <w:proofErr w:type="spellEnd"/>
      <w:r>
        <w:t xml:space="preserve"> agility. Rather than replacing the Toyota Way, the company should extend </w:t>
      </w:r>
      <w:r>
        <w:rPr>
          <w:i/>
          <w:iCs/>
        </w:rPr>
        <w:t>kaizen</w:t>
      </w:r>
      <w:r>
        <w:t xml:space="preserve">, </w:t>
      </w:r>
      <w:proofErr w:type="spellStart"/>
      <w:r>
        <w:rPr>
          <w:i/>
          <w:iCs/>
        </w:rPr>
        <w:t>genchi</w:t>
      </w:r>
      <w:proofErr w:type="spellEnd"/>
      <w:r>
        <w:rPr>
          <w:i/>
          <w:iCs/>
        </w:rPr>
        <w:t xml:space="preserve"> </w:t>
      </w:r>
      <w:proofErr w:type="spellStart"/>
      <w:r>
        <w:rPr>
          <w:i/>
          <w:iCs/>
        </w:rPr>
        <w:t>genbutsu</w:t>
      </w:r>
      <w:proofErr w:type="spellEnd"/>
      <w:r>
        <w:t xml:space="preserve"> and respect for people into AI, software and digital services. This balance between continuity and transformation can help Toyota respond to technological and customer changes while maintaining its long-standing commitment to quality and safety. </w:t>
      </w:r>
    </w:p>
    <w:p w14:paraId="665B65D8" w14:textId="77777777" w:rsidR="001325C4" w:rsidRDefault="001325C4">
      <w:pPr>
        <w:spacing w:before="240" w:after="240" w:line="360" w:lineRule="auto"/>
        <w:jc w:val="both"/>
      </w:pPr>
    </w:p>
    <w:p w14:paraId="5B5EEC27" w14:textId="77777777" w:rsidR="001325C4" w:rsidRDefault="007449CA">
      <w:pPr>
        <w:spacing w:before="240" w:after="240" w:line="360" w:lineRule="auto"/>
        <w:jc w:val="both"/>
        <w:rPr>
          <w:b/>
          <w:bCs/>
          <w:u w:val="single"/>
        </w:rPr>
      </w:pPr>
      <w:r>
        <w:rPr>
          <w:b/>
          <w:bCs/>
          <w:u w:val="single"/>
        </w:rPr>
        <w:t>REFERENCES</w:t>
      </w:r>
    </w:p>
    <w:p w14:paraId="63968874" w14:textId="77777777" w:rsidR="001325C4" w:rsidRDefault="007449CA">
      <w:pPr>
        <w:spacing w:before="240" w:after="240" w:line="360" w:lineRule="auto"/>
        <w:jc w:val="both"/>
      </w:pPr>
      <w:r>
        <w:t xml:space="preserve">Appelbaum, S.H., Habashy, S., Malo, J.-L. and Shafiq, H. (2012) ‘Back to the future: revisiting Kotter’s 1996 change model’, </w:t>
      </w:r>
      <w:r>
        <w:rPr>
          <w:i/>
          <w:iCs/>
        </w:rPr>
        <w:t>Journal of Management Development</w:t>
      </w:r>
      <w:r>
        <w:t xml:space="preserve">, 31(8), pp. 764–782. </w:t>
      </w:r>
      <w:proofErr w:type="spellStart"/>
      <w:r>
        <w:t>doi</w:t>
      </w:r>
      <w:proofErr w:type="spellEnd"/>
      <w:r>
        <w:t>: 10.1108/02621711211253231.</w:t>
      </w:r>
    </w:p>
    <w:p w14:paraId="20FDC6C0" w14:textId="77777777" w:rsidR="001325C4" w:rsidRDefault="007449CA">
      <w:pPr>
        <w:spacing w:before="240" w:after="240" w:line="360" w:lineRule="auto"/>
        <w:jc w:val="both"/>
      </w:pPr>
      <w:r>
        <w:t xml:space="preserve">Bass, B.M. (1985) </w:t>
      </w:r>
      <w:r>
        <w:rPr>
          <w:i/>
          <w:iCs/>
        </w:rPr>
        <w:t>Leadership and performance beyond expectations</w:t>
      </w:r>
      <w:r>
        <w:t>. New York: Free Press.</w:t>
      </w:r>
    </w:p>
    <w:p w14:paraId="42BE69D9" w14:textId="77777777" w:rsidR="001325C4" w:rsidRDefault="007449CA">
      <w:pPr>
        <w:spacing w:before="240" w:after="240" w:line="360" w:lineRule="auto"/>
        <w:jc w:val="both"/>
      </w:pPr>
      <w:r>
        <w:t xml:space="preserve">Burnes, B. (2004) ‘Kurt Lewin and the planned approach to change: a re-appraisal’, </w:t>
      </w:r>
      <w:r>
        <w:rPr>
          <w:i/>
          <w:iCs/>
        </w:rPr>
        <w:t>Journal of Management Studies</w:t>
      </w:r>
      <w:r>
        <w:t xml:space="preserve">, 41(6), pp. 977–1002. </w:t>
      </w:r>
      <w:proofErr w:type="spellStart"/>
      <w:r>
        <w:t>doi</w:t>
      </w:r>
      <w:proofErr w:type="spellEnd"/>
      <w:r>
        <w:t>: 10.1111/j.1467-6486.2004.</w:t>
      </w:r>
      <w:proofErr w:type="gramStart"/>
      <w:r>
        <w:t>00463.x.</w:t>
      </w:r>
      <w:proofErr w:type="gramEnd"/>
    </w:p>
    <w:p w14:paraId="1DEF8938" w14:textId="77777777" w:rsidR="001325C4" w:rsidRDefault="007449CA">
      <w:pPr>
        <w:spacing w:before="240" w:after="240" w:line="360" w:lineRule="auto"/>
        <w:jc w:val="both"/>
      </w:pPr>
      <w:r>
        <w:t xml:space="preserve">Choi, T.Y., Netland, T.H., Sanders, N., Sodhi, M.S. and Wagner, S.M. (2023) ‘Just-in-time for supply chains in turbulent times’, </w:t>
      </w:r>
      <w:r>
        <w:rPr>
          <w:i/>
          <w:iCs/>
        </w:rPr>
        <w:t>Production and Operations Management</w:t>
      </w:r>
      <w:r>
        <w:t xml:space="preserve">, 32(7), pp. 2331–2340. </w:t>
      </w:r>
      <w:proofErr w:type="spellStart"/>
      <w:r>
        <w:t>doi</w:t>
      </w:r>
      <w:proofErr w:type="spellEnd"/>
      <w:r>
        <w:t>: 10.1111/poms.13979.</w:t>
      </w:r>
    </w:p>
    <w:p w14:paraId="096FE597" w14:textId="77777777" w:rsidR="001325C4" w:rsidRDefault="007449CA">
      <w:pPr>
        <w:spacing w:before="240" w:after="240" w:line="360" w:lineRule="auto"/>
        <w:jc w:val="both"/>
      </w:pPr>
      <w:r>
        <w:t xml:space="preserve">Hiatt, J.M. (2006) </w:t>
      </w:r>
      <w:r>
        <w:rPr>
          <w:i/>
          <w:iCs/>
        </w:rPr>
        <w:t>ADKAR: a model for change in business, government and our community</w:t>
      </w:r>
      <w:r>
        <w:t xml:space="preserve">. Loveland, CO: </w:t>
      </w:r>
      <w:proofErr w:type="spellStart"/>
      <w:r>
        <w:t>Prosci</w:t>
      </w:r>
      <w:proofErr w:type="spellEnd"/>
      <w:r>
        <w:t xml:space="preserve"> Learning Center Publications.</w:t>
      </w:r>
    </w:p>
    <w:p w14:paraId="24C786D5" w14:textId="77777777" w:rsidR="001325C4" w:rsidRDefault="007449CA">
      <w:pPr>
        <w:spacing w:before="240" w:after="240" w:line="360" w:lineRule="auto"/>
        <w:jc w:val="both"/>
      </w:pPr>
      <w:proofErr w:type="spellStart"/>
      <w:r>
        <w:t>Jayamaha</w:t>
      </w:r>
      <w:proofErr w:type="spellEnd"/>
      <w:r>
        <w:t xml:space="preserve">, N.P., Wagner, J.P., Grigg, N.P., Campbell-Allen, N.M. and Harvie, W. (2014) ‘Testing a theoretical model underlying the “Toyota Way” – an empirical study involving a large global sample of Toyota facilities’, </w:t>
      </w:r>
      <w:r>
        <w:rPr>
          <w:i/>
          <w:iCs/>
        </w:rPr>
        <w:t>International Journal of Production Research</w:t>
      </w:r>
      <w:r>
        <w:t xml:space="preserve">, 52(14), pp. 4332–4350. </w:t>
      </w:r>
      <w:proofErr w:type="spellStart"/>
      <w:r>
        <w:t>doi</w:t>
      </w:r>
      <w:proofErr w:type="spellEnd"/>
      <w:r>
        <w:t>: 10.1080/00207543.2014.883467.</w:t>
      </w:r>
    </w:p>
    <w:p w14:paraId="158C5CF8" w14:textId="77777777" w:rsidR="001325C4" w:rsidRDefault="007449CA">
      <w:pPr>
        <w:spacing w:before="240" w:after="240" w:line="360" w:lineRule="auto"/>
        <w:jc w:val="both"/>
      </w:pPr>
      <w:r>
        <w:t xml:space="preserve">Kim, S., Connerton, T.P. and Park, C. (2022) ‘Transforming the automotive retail: drivers for customers’ omnichannel BOPS (Buy Online &amp; Pick up in Store) behavior’, </w:t>
      </w:r>
      <w:r>
        <w:rPr>
          <w:i/>
          <w:iCs/>
        </w:rPr>
        <w:t>Journal of Business Research</w:t>
      </w:r>
      <w:r>
        <w:t xml:space="preserve">, 139, pp. 411–425. </w:t>
      </w:r>
      <w:proofErr w:type="spellStart"/>
      <w:r>
        <w:t>doi</w:t>
      </w:r>
      <w:proofErr w:type="spellEnd"/>
      <w:r>
        <w:t>: 10.1016/j.jbusres.2021.09.070.</w:t>
      </w:r>
    </w:p>
    <w:p w14:paraId="44D7436D" w14:textId="77777777" w:rsidR="001325C4" w:rsidRDefault="007449CA">
      <w:pPr>
        <w:spacing w:before="240" w:after="240" w:line="360" w:lineRule="auto"/>
        <w:jc w:val="both"/>
      </w:pPr>
      <w:r>
        <w:t xml:space="preserve">Kotter, J.P. (1996) </w:t>
      </w:r>
      <w:r>
        <w:rPr>
          <w:i/>
          <w:iCs/>
        </w:rPr>
        <w:t>Leading change</w:t>
      </w:r>
      <w:r>
        <w:t>. Boston, MA: Harvard Business School Press.</w:t>
      </w:r>
    </w:p>
    <w:p w14:paraId="11428252" w14:textId="77777777" w:rsidR="001325C4" w:rsidRDefault="007449CA">
      <w:pPr>
        <w:spacing w:before="240" w:after="240" w:line="360" w:lineRule="auto"/>
        <w:jc w:val="both"/>
      </w:pPr>
      <w:r>
        <w:t xml:space="preserve">Liker, J.K. (2004) </w:t>
      </w:r>
      <w:r>
        <w:rPr>
          <w:i/>
          <w:iCs/>
        </w:rPr>
        <w:t>The Toyota Way: 14 management principles from the world’s greatest manufacturer</w:t>
      </w:r>
      <w:r>
        <w:t>. New York: McGraw-Hill.</w:t>
      </w:r>
    </w:p>
    <w:p w14:paraId="3F8E2F79" w14:textId="77777777" w:rsidR="001325C4" w:rsidRDefault="007449CA">
      <w:pPr>
        <w:spacing w:before="240" w:after="240" w:line="360" w:lineRule="auto"/>
        <w:jc w:val="both"/>
      </w:pPr>
      <w:r>
        <w:lastRenderedPageBreak/>
        <w:t xml:space="preserve">Schein, E.H. and Schein, P.A. (2017) </w:t>
      </w:r>
      <w:r>
        <w:rPr>
          <w:i/>
          <w:iCs/>
        </w:rPr>
        <w:t>Organizational culture and leadership</w:t>
      </w:r>
      <w:r>
        <w:t xml:space="preserve">. 5th </w:t>
      </w:r>
      <w:proofErr w:type="spellStart"/>
      <w:r>
        <w:t>edn</w:t>
      </w:r>
      <w:proofErr w:type="spellEnd"/>
      <w:r>
        <w:t>. Hoboken, NJ: Wiley.</w:t>
      </w:r>
    </w:p>
    <w:p w14:paraId="4CC00AD3" w14:textId="77777777" w:rsidR="001325C4" w:rsidRDefault="007449CA">
      <w:pPr>
        <w:spacing w:before="240" w:after="240" w:line="360" w:lineRule="auto"/>
        <w:jc w:val="both"/>
      </w:pPr>
      <w:r>
        <w:t xml:space="preserve">Teece, D.J., Pisano, G. and </w:t>
      </w:r>
      <w:proofErr w:type="spellStart"/>
      <w:r>
        <w:t>Shuen</w:t>
      </w:r>
      <w:proofErr w:type="spellEnd"/>
      <w:r>
        <w:t xml:space="preserve">, A. (1997) ‘Dynamic capabilities and strategic management’, </w:t>
      </w:r>
      <w:r>
        <w:rPr>
          <w:i/>
          <w:iCs/>
        </w:rPr>
        <w:t>Strategic Management Journal</w:t>
      </w:r>
      <w:r>
        <w:t xml:space="preserve">, 18(7), pp. 509–533. </w:t>
      </w:r>
      <w:proofErr w:type="spellStart"/>
      <w:r>
        <w:t>doi</w:t>
      </w:r>
      <w:proofErr w:type="spellEnd"/>
      <w:r>
        <w:t>: 10.1002/(SICI)1097-0266(199708)18:7&lt;</w:t>
      </w:r>
      <w:proofErr w:type="gramStart"/>
      <w:r>
        <w:t>509::</w:t>
      </w:r>
      <w:proofErr w:type="gramEnd"/>
      <w:r>
        <w:t>AID-SMJ882&gt;3.0.CO;2-Z.</w:t>
      </w:r>
    </w:p>
    <w:p w14:paraId="7E6C20A2" w14:textId="77777777" w:rsidR="001325C4" w:rsidRDefault="007449CA">
      <w:pPr>
        <w:spacing w:before="240" w:after="240" w:line="360" w:lineRule="auto"/>
        <w:jc w:val="both"/>
      </w:pPr>
      <w:r>
        <w:t xml:space="preserve">Vial, G. (2019) ‘Understanding digital transformation: a review and a research agenda’, </w:t>
      </w:r>
      <w:r>
        <w:rPr>
          <w:i/>
          <w:iCs/>
        </w:rPr>
        <w:t>The Journal of Strategic Information Systems</w:t>
      </w:r>
      <w:r>
        <w:t xml:space="preserve">, 28(2), pp. 118–144. </w:t>
      </w:r>
      <w:proofErr w:type="spellStart"/>
      <w:r>
        <w:t>doi</w:t>
      </w:r>
      <w:proofErr w:type="spellEnd"/>
      <w:r>
        <w:t>: 10.1016/j.jsis.2019.01.003.</w:t>
      </w:r>
    </w:p>
    <w:p w14:paraId="152CDAD8" w14:textId="77777777" w:rsidR="001325C4" w:rsidRDefault="007449CA">
      <w:pPr>
        <w:spacing w:before="240" w:after="240" w:line="360" w:lineRule="auto"/>
        <w:jc w:val="both"/>
      </w:pPr>
      <w:r>
        <w:t xml:space="preserve">Toyota Motor Corporation (2023a) </w:t>
      </w:r>
      <w:r>
        <w:rPr>
          <w:i/>
          <w:iCs/>
        </w:rPr>
        <w:t>New management policy &amp; direction announcement</w:t>
      </w:r>
      <w:r>
        <w:t>. 7 April. Available at:</w:t>
      </w:r>
      <w:hyperlink r:id="rId8">
        <w:r>
          <w:t xml:space="preserve"> </w:t>
        </w:r>
      </w:hyperlink>
      <w:hyperlink r:id="rId9">
        <w:r>
          <w:rPr>
            <w:color w:val="1155CC"/>
            <w:u w:val="single"/>
          </w:rPr>
          <w:t>Toyota Global Newsroom</w:t>
        </w:r>
      </w:hyperlink>
      <w:r>
        <w:t xml:space="preserve"> (Accessed: 19 August 2026).</w:t>
      </w:r>
    </w:p>
    <w:p w14:paraId="74D44AD6" w14:textId="77777777" w:rsidR="001325C4" w:rsidRDefault="007449CA">
      <w:pPr>
        <w:spacing w:before="240" w:after="240" w:line="360" w:lineRule="auto"/>
        <w:jc w:val="both"/>
      </w:pPr>
      <w:r>
        <w:t xml:space="preserve">Toyota Motor Corporation (2023b) </w:t>
      </w:r>
      <w:r>
        <w:rPr>
          <w:i/>
          <w:iCs/>
        </w:rPr>
        <w:t>TMC announces changes to executive structure, senior professional/senior management employees</w:t>
      </w:r>
      <w:r>
        <w:t>. 13 February. Available at:</w:t>
      </w:r>
      <w:hyperlink r:id="rId10">
        <w:r>
          <w:t xml:space="preserve"> </w:t>
        </w:r>
      </w:hyperlink>
      <w:hyperlink r:id="rId11">
        <w:r>
          <w:rPr>
            <w:color w:val="1155CC"/>
            <w:u w:val="single"/>
          </w:rPr>
          <w:t>Toyota Global Newsroom</w:t>
        </w:r>
      </w:hyperlink>
      <w:r>
        <w:t xml:space="preserve"> (Accessed: 19 August 2026).</w:t>
      </w:r>
    </w:p>
    <w:p w14:paraId="0F47E0B1" w14:textId="77777777" w:rsidR="001325C4" w:rsidRDefault="007449CA">
      <w:pPr>
        <w:spacing w:before="240" w:after="240" w:line="360" w:lineRule="auto"/>
        <w:jc w:val="both"/>
      </w:pPr>
      <w:r>
        <w:t xml:space="preserve">Toyota Motor Corporation (2024a) </w:t>
      </w:r>
      <w:r>
        <w:rPr>
          <w:i/>
          <w:iCs/>
        </w:rPr>
        <w:t>Toyota’s next-generation BEV battery development and production plan certified by METI</w:t>
      </w:r>
      <w:r>
        <w:t>. 6 September. Available at:</w:t>
      </w:r>
      <w:hyperlink r:id="rId12">
        <w:r>
          <w:t xml:space="preserve"> </w:t>
        </w:r>
      </w:hyperlink>
      <w:hyperlink r:id="rId13">
        <w:r>
          <w:rPr>
            <w:color w:val="1155CC"/>
            <w:u w:val="single"/>
          </w:rPr>
          <w:t>Toyota Global Newsroom</w:t>
        </w:r>
      </w:hyperlink>
      <w:r>
        <w:t xml:space="preserve"> (Accessed: 19 August 2026).</w:t>
      </w:r>
    </w:p>
    <w:p w14:paraId="53839DD2" w14:textId="77777777" w:rsidR="001325C4" w:rsidRDefault="007449CA">
      <w:pPr>
        <w:spacing w:before="240" w:after="240" w:line="360" w:lineRule="auto"/>
        <w:jc w:val="both"/>
      </w:pPr>
      <w:r>
        <w:t xml:space="preserve">Toyota Motor Corporation (2024b) </w:t>
      </w:r>
      <w:r>
        <w:rPr>
          <w:i/>
          <w:iCs/>
        </w:rPr>
        <w:t>Correction order issued to model certification applications</w:t>
      </w:r>
      <w:r>
        <w:t>. 31 July. Available at:</w:t>
      </w:r>
      <w:hyperlink r:id="rId14">
        <w:r>
          <w:t xml:space="preserve"> </w:t>
        </w:r>
      </w:hyperlink>
      <w:hyperlink r:id="rId15">
        <w:r>
          <w:rPr>
            <w:color w:val="1155CC"/>
            <w:u w:val="single"/>
          </w:rPr>
          <w:t>Toyota Global Newsroom</w:t>
        </w:r>
      </w:hyperlink>
      <w:r>
        <w:t xml:space="preserve"> (Accessed: 19 August 2026).</w:t>
      </w:r>
    </w:p>
    <w:p w14:paraId="7B4A71FA" w14:textId="77777777" w:rsidR="001325C4" w:rsidRDefault="007449CA">
      <w:pPr>
        <w:spacing w:before="240" w:after="240" w:line="360" w:lineRule="auto"/>
        <w:jc w:val="both"/>
      </w:pPr>
      <w:r>
        <w:t xml:space="preserve">Toyota Motor Corporation (2024c) </w:t>
      </w:r>
      <w:r>
        <w:rPr>
          <w:i/>
          <w:iCs/>
        </w:rPr>
        <w:t>Toyota submits report on measures to prevent recurrence</w:t>
      </w:r>
      <w:r>
        <w:t>. 9 August. Available at:</w:t>
      </w:r>
      <w:hyperlink r:id="rId16">
        <w:r>
          <w:t xml:space="preserve"> </w:t>
        </w:r>
      </w:hyperlink>
      <w:hyperlink r:id="rId17">
        <w:r>
          <w:rPr>
            <w:color w:val="1155CC"/>
            <w:u w:val="single"/>
          </w:rPr>
          <w:t>Toyota Global Newsroom</w:t>
        </w:r>
      </w:hyperlink>
      <w:r>
        <w:t xml:space="preserve"> (Accessed: 19 August 2026).</w:t>
      </w:r>
    </w:p>
    <w:p w14:paraId="72038B37" w14:textId="77777777" w:rsidR="001325C4" w:rsidRDefault="007449CA">
      <w:pPr>
        <w:spacing w:before="240" w:after="240" w:line="360" w:lineRule="auto"/>
        <w:jc w:val="both"/>
      </w:pPr>
      <w:r>
        <w:t xml:space="preserve">Toyota Motor Corporation (2025a) </w:t>
      </w:r>
      <w:r>
        <w:rPr>
          <w:i/>
          <w:iCs/>
        </w:rPr>
        <w:t>Integrated Report 2025</w:t>
      </w:r>
      <w:r>
        <w:t>. Toyota City: Toyota Motor Corporation. Available at:</w:t>
      </w:r>
      <w:hyperlink r:id="rId18">
        <w:r>
          <w:t xml:space="preserve"> </w:t>
        </w:r>
      </w:hyperlink>
      <w:hyperlink r:id="rId19">
        <w:r>
          <w:rPr>
            <w:color w:val="1155CC"/>
            <w:u w:val="single"/>
          </w:rPr>
          <w:t>Toyota Integrated Report</w:t>
        </w:r>
      </w:hyperlink>
      <w:r>
        <w:t xml:space="preserve"> (Accessed: 19 August 2026).</w:t>
      </w:r>
    </w:p>
    <w:p w14:paraId="0D009F84" w14:textId="77777777" w:rsidR="001325C4" w:rsidRDefault="007449CA">
      <w:pPr>
        <w:spacing w:before="240" w:after="240" w:line="360" w:lineRule="auto"/>
        <w:jc w:val="both"/>
      </w:pPr>
      <w:r>
        <w:t xml:space="preserve">Toyota Motor Corporation (2025b) </w:t>
      </w:r>
      <w:r>
        <w:rPr>
          <w:i/>
          <w:iCs/>
        </w:rPr>
        <w:t>Toyota submits fourth progress report on measures to prevent recurrence</w:t>
      </w:r>
      <w:r>
        <w:t>. 9 September. Available at:</w:t>
      </w:r>
      <w:hyperlink r:id="rId20">
        <w:r>
          <w:t xml:space="preserve"> </w:t>
        </w:r>
      </w:hyperlink>
      <w:hyperlink r:id="rId21">
        <w:r>
          <w:rPr>
            <w:color w:val="1155CC"/>
            <w:u w:val="single"/>
          </w:rPr>
          <w:t>Toyota Global Newsroom</w:t>
        </w:r>
      </w:hyperlink>
      <w:r>
        <w:t xml:space="preserve"> (Accessed: 19 August 2026).</w:t>
      </w:r>
    </w:p>
    <w:p w14:paraId="6BF43908" w14:textId="77777777" w:rsidR="001325C4" w:rsidRDefault="007449CA">
      <w:pPr>
        <w:spacing w:before="240" w:after="240" w:line="360" w:lineRule="auto"/>
        <w:jc w:val="both"/>
      </w:pPr>
      <w:r>
        <w:t xml:space="preserve">Woven by Toyota (2025) </w:t>
      </w:r>
      <w:r>
        <w:rPr>
          <w:i/>
          <w:iCs/>
        </w:rPr>
        <w:t>Arene debuts in Toyota’s all-new RAV4</w:t>
      </w:r>
      <w:r>
        <w:t>. 21 May. Available at:</w:t>
      </w:r>
      <w:hyperlink r:id="rId22">
        <w:r>
          <w:t xml:space="preserve"> </w:t>
        </w:r>
      </w:hyperlink>
      <w:hyperlink r:id="rId23">
        <w:r>
          <w:rPr>
            <w:color w:val="1155CC"/>
            <w:u w:val="single"/>
          </w:rPr>
          <w:t>Woven by Toyota</w:t>
        </w:r>
      </w:hyperlink>
      <w:r>
        <w:t xml:space="preserve"> (Accessed: 19 August 2026).</w:t>
      </w:r>
    </w:p>
    <w:p w14:paraId="133CDCF3" w14:textId="77777777" w:rsidR="001325C4" w:rsidRDefault="001325C4">
      <w:pPr>
        <w:spacing w:before="240" w:after="240" w:line="360" w:lineRule="auto"/>
        <w:jc w:val="both"/>
      </w:pPr>
    </w:p>
    <w:p w14:paraId="20F4FF1E" w14:textId="77777777" w:rsidR="001325C4" w:rsidRDefault="001325C4">
      <w:pPr>
        <w:spacing w:before="240" w:after="240" w:line="360" w:lineRule="auto"/>
        <w:jc w:val="both"/>
      </w:pPr>
    </w:p>
    <w:sectPr w:rsidR="001325C4">
      <w:headerReference w:type="default" r:id="rId24"/>
      <w:headerReference w:type="first" r:id="rId25"/>
      <w:footerReference w:type="first" r:id="rId26"/>
      <w:pgSz w:w="12240" w:h="15840"/>
      <w:pgMar w:top="1170" w:right="630" w:bottom="450" w:left="720" w:header="720" w:footer="72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FAA099E" w14:textId="77777777" w:rsidR="007449CA" w:rsidRDefault="007449CA">
      <w:pPr>
        <w:spacing w:line="240" w:lineRule="auto"/>
      </w:pPr>
      <w:r>
        <w:separator/>
      </w:r>
    </w:p>
  </w:endnote>
  <w:endnote w:type="continuationSeparator" w:id="0">
    <w:p w14:paraId="5281EFC4" w14:textId="77777777" w:rsidR="007449CA" w:rsidRDefault="007449CA">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embedRegular r:id="rId1" w:fontKey="{C1CACBB9-EBD7-804B-B95F-48CF95962A7C}"/>
  </w:font>
  <w:font w:name="Arial">
    <w:panose1 w:val="020B0604020202020204"/>
    <w:charset w:val="00"/>
    <w:family w:val="swiss"/>
    <w:pitch w:val="variable"/>
    <w:sig w:usb0="E0002EFF" w:usb1="C000785B" w:usb2="00000009" w:usb3="00000000" w:csb0="000001FF" w:csb1="00000000"/>
    <w:embedRegular r:id="rId2" w:fontKey="{29EC7242-4D1B-274F-9F50-5D97AE25DD9A}"/>
    <w:embedBold r:id="rId3" w:fontKey="{09A81896-CF22-2847-97A3-CFE07CEE2B1A}"/>
    <w:embedItalic r:id="rId4" w:fontKey="{7B0E5EB9-3924-2148-9786-B2D00D0AF550}"/>
  </w:font>
  <w:font w:name="Calibri">
    <w:panose1 w:val="020F0502020204030204"/>
    <w:charset w:val="00"/>
    <w:family w:val="swiss"/>
    <w:pitch w:val="variable"/>
    <w:sig w:usb0="E4002EFF" w:usb1="C000247B" w:usb2="00000009" w:usb3="00000000" w:csb0="000001FF" w:csb1="00000000"/>
    <w:embedRegular r:id="rId5" w:fontKey="{55532D62-DB71-3046-AA03-126B8DD69ABD}"/>
  </w:font>
  <w:font w:name="Cambria">
    <w:panose1 w:val="02040503050406030204"/>
    <w:charset w:val="00"/>
    <w:family w:val="roman"/>
    <w:pitch w:val="variable"/>
    <w:sig w:usb0="E00006FF" w:usb1="420024FF" w:usb2="02000000" w:usb3="00000000" w:csb0="0000019F" w:csb1="00000000"/>
    <w:embedRegular r:id="rId6" w:fontKey="{93A9C3A1-F427-374D-BB3B-A1DC1452FB2A}"/>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543961" w14:textId="77777777" w:rsidR="001325C4" w:rsidRDefault="001325C4"/>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4DFD39" w14:textId="77777777" w:rsidR="007449CA" w:rsidRDefault="007449CA">
      <w:pPr>
        <w:spacing w:line="240" w:lineRule="auto"/>
      </w:pPr>
      <w:r>
        <w:separator/>
      </w:r>
    </w:p>
  </w:footnote>
  <w:footnote w:type="continuationSeparator" w:id="0">
    <w:p w14:paraId="4D23A653" w14:textId="77777777" w:rsidR="007449CA" w:rsidRDefault="007449CA">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70C88B" w14:textId="6E150CBB" w:rsidR="001325C4" w:rsidRDefault="007449CA">
    <w:pPr>
      <w:jc w:val="right"/>
    </w:pPr>
    <w:r>
      <w:fldChar w:fldCharType="begin"/>
    </w:r>
    <w:r>
      <w:instrText>PAGE</w:instrText>
    </w:r>
    <w:r>
      <w:fldChar w:fldCharType="separate"/>
    </w:r>
    <w:r w:rsidR="0018213B">
      <w:rPr>
        <w:noProof/>
      </w:rPr>
      <w:t>2</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77CCB1" w14:textId="77777777" w:rsidR="001325C4" w:rsidRDefault="001325C4"/>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BA269EB"/>
    <w:multiLevelType w:val="multilevel"/>
    <w:tmpl w:val="6016B79E"/>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num w:numId="1" w16cid:durableId="11888423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1"/>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325C4"/>
    <w:rsid w:val="001325C4"/>
    <w:rsid w:val="0018213B"/>
    <w:rsid w:val="007449CA"/>
    <w:rsid w:val="00D0483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136D95B5"/>
  <w15:docId w15:val="{D0E43B42-C1E4-524D-A496-297627591D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unhideWhenUsed/>
    <w:qFormat/>
    <w:pPr>
      <w:keepNext/>
      <w:keepLines/>
      <w:spacing w:before="360" w:after="120"/>
      <w:outlineLvl w:val="1"/>
    </w:pPr>
    <w:rPr>
      <w:sz w:val="32"/>
      <w:szCs w:val="32"/>
    </w:rPr>
  </w:style>
  <w:style w:type="paragraph" w:styleId="Heading3">
    <w:name w:val="heading 3"/>
    <w:basedOn w:val="Normal"/>
    <w:next w:val="Normal"/>
    <w:uiPriority w:val="9"/>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iCs/>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table" w:customStyle="1" w:styleId="a">
    <w:basedOn w:val="TableNormal0"/>
    <w:tblPr>
      <w:tblStyleRowBandSize w:val="1"/>
      <w:tblStyleColBandSize w:val="1"/>
    </w:tblPr>
  </w:style>
  <w:style w:type="table" w:customStyle="1" w:styleId="a0">
    <w:basedOn w:val="TableNormal0"/>
    <w:tblPr>
      <w:tblStyleRowBandSize w:val="1"/>
      <w:tblStyleColBandSize w:val="1"/>
    </w:tblPr>
  </w:style>
  <w:style w:type="table" w:customStyle="1" w:styleId="a1">
    <w:basedOn w:val="TableNormal0"/>
    <w:tblPr>
      <w:tblStyleRowBandSize w:val="1"/>
      <w:tblStyleColBandSize w:val="1"/>
    </w:tblPr>
  </w:style>
  <w:style w:type="table" w:customStyle="1" w:styleId="a2">
    <w:basedOn w:val="TableNormal0"/>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s://global.toyota/en/newsroom/corporate/39013233.html?utm_source=chatgpt.com" TargetMode="External"/><Relationship Id="rId13" Type="http://schemas.openxmlformats.org/officeDocument/2006/relationships/hyperlink" Target="https://global.toyota/en/newsroom/corporate/41100223.html?utm_source=chatgpt.com" TargetMode="External"/><Relationship Id="rId18" Type="http://schemas.openxmlformats.org/officeDocument/2006/relationships/hyperlink" Target="https://global.toyota/en/ir/library/annual/?utm_source=chatgpt.com" TargetMode="External"/><Relationship Id="rId26" Type="http://schemas.openxmlformats.org/officeDocument/2006/relationships/footer" Target="footer1.xml"/><Relationship Id="rId3" Type="http://schemas.openxmlformats.org/officeDocument/2006/relationships/settings" Target="settings.xml"/><Relationship Id="rId21" Type="http://schemas.openxmlformats.org/officeDocument/2006/relationships/hyperlink" Target="https://global.toyota/en/newsroom/corporate/43290098.html?utm_source=chatgpt.com" TargetMode="External"/><Relationship Id="rId7" Type="http://schemas.openxmlformats.org/officeDocument/2006/relationships/image" Target="media/image1.png"/><Relationship Id="rId12" Type="http://schemas.openxmlformats.org/officeDocument/2006/relationships/hyperlink" Target="https://global.toyota/en/newsroom/corporate/41100223.html?utm_source=chatgpt.com" TargetMode="External"/><Relationship Id="rId17" Type="http://schemas.openxmlformats.org/officeDocument/2006/relationships/hyperlink" Target="https://global.toyota/en/newsroom/corporate/41363981.html?utm_source=chatgpt.com" TargetMode="External"/><Relationship Id="rId25" Type="http://schemas.openxmlformats.org/officeDocument/2006/relationships/header" Target="header2.xml"/><Relationship Id="rId2" Type="http://schemas.openxmlformats.org/officeDocument/2006/relationships/styles" Target="styles.xml"/><Relationship Id="rId16" Type="http://schemas.openxmlformats.org/officeDocument/2006/relationships/hyperlink" Target="https://global.toyota/en/newsroom/corporate/41363981.html?utm_source=chatgpt.com" TargetMode="External"/><Relationship Id="rId20" Type="http://schemas.openxmlformats.org/officeDocument/2006/relationships/hyperlink" Target="https://global.toyota/en/newsroom/corporate/43290098.html?utm_source=chatgpt.com"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global.toyota/en/newsroom/corporate/38774342.html?utm_source=chatgpt.com" TargetMode="External"/><Relationship Id="rId24"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hyperlink" Target="https://global.toyota/en/newsroom/corporate/41314045.html?utm_source=chatgpt.com" TargetMode="External"/><Relationship Id="rId23" Type="http://schemas.openxmlformats.org/officeDocument/2006/relationships/hyperlink" Target="https://woven.toyota/en/our-latest/20250521/?utm_source=chatgpt.com" TargetMode="External"/><Relationship Id="rId28" Type="http://schemas.openxmlformats.org/officeDocument/2006/relationships/theme" Target="theme/theme1.xml"/><Relationship Id="rId10" Type="http://schemas.openxmlformats.org/officeDocument/2006/relationships/hyperlink" Target="https://global.toyota/en/newsroom/corporate/38774342.html?utm_source=chatgpt.com" TargetMode="External"/><Relationship Id="rId19" Type="http://schemas.openxmlformats.org/officeDocument/2006/relationships/hyperlink" Target="https://global.toyota/en/ir/library/annual/?utm_source=chatgpt.com" TargetMode="External"/><Relationship Id="rId4" Type="http://schemas.openxmlformats.org/officeDocument/2006/relationships/webSettings" Target="webSettings.xml"/><Relationship Id="rId9" Type="http://schemas.openxmlformats.org/officeDocument/2006/relationships/hyperlink" Target="https://global.toyota/en/newsroom/corporate/39013233.html?utm_source=chatgpt.com" TargetMode="External"/><Relationship Id="rId14" Type="http://schemas.openxmlformats.org/officeDocument/2006/relationships/hyperlink" Target="https://global.toyota/en/newsroom/corporate/41314045.html?utm_source=chatgpt.com" TargetMode="External"/><Relationship Id="rId22" Type="http://schemas.openxmlformats.org/officeDocument/2006/relationships/hyperlink" Target="https://woven.toyota/en/our-latest/20250521/?utm_source=chatgpt.com" TargetMode="External"/><Relationship Id="rId27" Type="http://schemas.openxmlformats.org/officeDocument/2006/relationships/fontTable" Target="fontTable.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17</Pages>
  <Words>5982</Words>
  <Characters>34098</Characters>
  <Application>Microsoft Office Word</Application>
  <DocSecurity>0</DocSecurity>
  <Lines>284</Lines>
  <Paragraphs>79</Paragraphs>
  <ScaleCrop>false</ScaleCrop>
  <Company/>
  <LinksUpToDate>false</LinksUpToDate>
  <CharactersWithSpaces>40001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Stephen Adekunle Adenekan Adunni (2325452)</cp:lastModifiedBy>
  <cp:revision>2</cp:revision>
  <dcterms:created xsi:type="dcterms:W3CDTF">2026-08-20T14:30:00Z</dcterms:created>
  <dcterms:modified xsi:type="dcterms:W3CDTF">2026-08-20T14:30:00Z</dcterms:modified>
</cp:coreProperties>
</file>