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7983602"/>
        <w:docPartObj>
          <w:docPartGallery w:val="Cover Pages"/>
          <w:docPartUnique/>
        </w:docPartObj>
      </w:sdtPr>
      <w:sdtEndPr>
        <w:rPr>
          <w:rStyle w:val="normaltextrun"/>
          <w:rFonts w:ascii="Calibri" w:hAnsi="Calibri" w:cs="Calibri"/>
        </w:rPr>
      </w:sdtEndPr>
      <w:sdtContent>
        <w:p w14:paraId="21A1F81F" w14:textId="0C021671" w:rsidR="001F225F" w:rsidRDefault="001F225F"/>
        <w:p w14:paraId="6357CF7A" w14:textId="144E90B2" w:rsidR="001F225F" w:rsidRDefault="001F225F">
          <w:pPr>
            <w:rPr>
              <w:rStyle w:val="normaltextrun"/>
              <w:rFonts w:ascii="Calibri" w:hAnsi="Calibri" w:cs="Calibri"/>
            </w:rPr>
          </w:pPr>
          <w:r>
            <w:rPr>
              <w:noProof/>
              <w:lang w:eastAsia="zh-CN"/>
            </w:rPr>
            <mc:AlternateContent>
              <mc:Choice Requires="wpg">
                <w:drawing>
                  <wp:anchor distT="0" distB="0" distL="114300" distR="114300" simplePos="0" relativeHeight="251659264" behindDoc="1" locked="0" layoutInCell="1" allowOverlap="1" wp14:anchorId="086ACD18" wp14:editId="044AC42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ABF79E0" w14:textId="29FAC46F" w:rsidR="001F225F" w:rsidRDefault="001F225F" w:rsidP="001F225F">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Evaluate the effectiveness of the Public Service response to a terrorist attack.</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86ACD18" id="Group 1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ABF79E0" w14:textId="29FAC46F" w:rsidR="001F225F" w:rsidRDefault="001F225F" w:rsidP="001F225F">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Evaluate the effectiveness of the Public Service response to a terrorist attack.</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07BBC2BE" wp14:editId="2511C34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4B5D7E" w14:textId="02559304" w:rsidR="001F225F" w:rsidRDefault="001F225F">
                                    <w:pPr>
                                      <w:pStyle w:val="NoSpacing"/>
                                      <w:spacing w:before="40" w:after="40"/>
                                      <w:rPr>
                                        <w:caps/>
                                        <w:color w:val="4472C4" w:themeColor="accent1"/>
                                        <w:sz w:val="28"/>
                                        <w:szCs w:val="28"/>
                                      </w:rPr>
                                    </w:pPr>
                                    <w:r>
                                      <w:rPr>
                                        <w:caps/>
                                        <w:color w:val="4472C4" w:themeColor="accent1"/>
                                        <w:sz w:val="28"/>
                                        <w:szCs w:val="28"/>
                                      </w:rPr>
                                      <w:t>Policing terrorism BMPL 5011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34E70C1" w14:textId="05110E18" w:rsidR="001F225F" w:rsidRDefault="001F225F">
                                    <w:pPr>
                                      <w:pStyle w:val="NoSpacing"/>
                                      <w:spacing w:before="40" w:after="40"/>
                                      <w:rPr>
                                        <w:caps/>
                                        <w:color w:val="5B9BD5" w:themeColor="accent5"/>
                                        <w:sz w:val="24"/>
                                        <w:szCs w:val="24"/>
                                      </w:rPr>
                                    </w:pPr>
                                    <w:r>
                                      <w:rPr>
                                        <w:caps/>
                                        <w:color w:val="5B9BD5" w:themeColor="accent5"/>
                                        <w:sz w:val="24"/>
                                        <w:szCs w:val="24"/>
                                      </w:rPr>
                                      <w:t>Cerys Bowen (2203320)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7BBC2BE" id="_x0000_t202" coordsize="21600,21600" o:spt="202" path="m,l,21600r21600,l21600,xe">
                    <v:stroke joinstyle="miter"/>
                    <v:path gradientshapeok="t" o:connecttype="rect"/>
                  </v:shapetype>
                  <v:shape id="Text Box 1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4B5D7E" w14:textId="02559304" w:rsidR="001F225F" w:rsidRDefault="001F225F">
                              <w:pPr>
                                <w:pStyle w:val="NoSpacing"/>
                                <w:spacing w:before="40" w:after="40"/>
                                <w:rPr>
                                  <w:caps/>
                                  <w:color w:val="4472C4" w:themeColor="accent1"/>
                                  <w:sz w:val="28"/>
                                  <w:szCs w:val="28"/>
                                </w:rPr>
                              </w:pPr>
                              <w:r>
                                <w:rPr>
                                  <w:caps/>
                                  <w:color w:val="4472C4" w:themeColor="accent1"/>
                                  <w:sz w:val="28"/>
                                  <w:szCs w:val="28"/>
                                </w:rPr>
                                <w:t>Policing terrorism BMPL 5011</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34E70C1" w14:textId="05110E18" w:rsidR="001F225F" w:rsidRDefault="001F225F">
                              <w:pPr>
                                <w:pStyle w:val="NoSpacing"/>
                                <w:spacing w:before="40" w:after="40"/>
                                <w:rPr>
                                  <w:caps/>
                                  <w:color w:val="5B9BD5" w:themeColor="accent5"/>
                                  <w:sz w:val="24"/>
                                  <w:szCs w:val="24"/>
                                </w:rPr>
                              </w:pPr>
                              <w:r>
                                <w:rPr>
                                  <w:caps/>
                                  <w:color w:val="5B9BD5" w:themeColor="accent5"/>
                                  <w:sz w:val="24"/>
                                  <w:szCs w:val="24"/>
                                </w:rPr>
                                <w:t>Cerys Bowen (2203320)</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03CF5359" wp14:editId="7AF4503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488EFA" w14:textId="3F52F118" w:rsidR="001F225F" w:rsidRDefault="001F225F" w:rsidP="001F225F">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r>
                                      <w:rPr>
                                        <w:color w:val="FFFFFF" w:themeColor="background1"/>
                                        <w:sz w:val="24"/>
                                        <w:szCs w:val="24"/>
                                      </w:rPr>
                                      <w:t>2024</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3CF5359" id="Rectangle 2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p w14:paraId="53488EFA" w14:textId="3F52F118" w:rsidR="001F225F" w:rsidRDefault="001F225F" w:rsidP="001F225F">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r>
                                <w:rPr>
                                  <w:color w:val="FFFFFF" w:themeColor="background1"/>
                                  <w:sz w:val="24"/>
                                  <w:szCs w:val="24"/>
                                </w:rPr>
                                <w:t>2024</w:t>
                              </w:r>
                            </w:sdtContent>
                          </w:sdt>
                        </w:p>
                      </w:txbxContent>
                    </v:textbox>
                    <w10:wrap anchorx="margin" anchory="page"/>
                  </v:rect>
                </w:pict>
              </mc:Fallback>
            </mc:AlternateContent>
          </w:r>
          <w:r>
            <w:rPr>
              <w:rStyle w:val="normaltextrun"/>
              <w:rFonts w:ascii="Calibri" w:hAnsi="Calibri" w:cs="Calibri"/>
            </w:rPr>
            <w:br w:type="page"/>
          </w:r>
        </w:p>
      </w:sdtContent>
    </w:sdt>
    <w:p w14:paraId="7573B195" w14:textId="6A308B2B" w:rsidR="007749D0" w:rsidRPr="00077E05" w:rsidRDefault="007749D0" w:rsidP="007749D0">
      <w:pPr>
        <w:pStyle w:val="paragraph"/>
        <w:spacing w:before="0" w:beforeAutospacing="0" w:after="0" w:afterAutospacing="0"/>
        <w:ind w:left="120" w:right="-30" w:firstLine="360"/>
        <w:textAlignment w:val="baseline"/>
        <w:rPr>
          <w:rFonts w:ascii="Segoe UI" w:hAnsi="Segoe UI" w:cs="Segoe UI"/>
        </w:rPr>
      </w:pPr>
      <w:r w:rsidRPr="00077E05">
        <w:rPr>
          <w:rStyle w:val="normaltextrun"/>
          <w:rFonts w:ascii="Calibri" w:hAnsi="Calibri" w:cs="Calibri"/>
        </w:rPr>
        <w:lastRenderedPageBreak/>
        <w:t xml:space="preserve">The public services play a crucial role when it comes to ensuring the safety of individuals and the surrounding area when responding to terrorist attacks. It is a responsibility that emergency services must respond effectively to terrorist attacks to preserve as many lives as possible due to the increase in terrorist attacks over the years. According to Smith &amp; Zeigler (2017) there have been 140,000 terrorist attacks between 1970 and 2014 in countries with and without active civil wars and is still on the rise. Therefore, since one of the most major terrorist attacks known as 9/11 incident the increase of conflating terrorist attacks calls the urgency of emergency services having to respond efficiently ad proportionately to terrorist attacks. </w:t>
      </w:r>
      <w:r w:rsidRPr="00077E05">
        <w:rPr>
          <w:rStyle w:val="eop"/>
          <w:rFonts w:ascii="Calibri" w:hAnsi="Calibri" w:cs="Calibri"/>
        </w:rPr>
        <w:t> </w:t>
      </w:r>
    </w:p>
    <w:p w14:paraId="7270A9B8" w14:textId="2B4BF084" w:rsidR="007749D0" w:rsidRPr="00077E05" w:rsidRDefault="007749D0" w:rsidP="00230CA0">
      <w:pPr>
        <w:pStyle w:val="paragraph"/>
        <w:spacing w:before="0" w:beforeAutospacing="0" w:after="0" w:afterAutospacing="0"/>
        <w:ind w:left="120" w:right="-30" w:firstLine="360"/>
        <w:textAlignment w:val="baseline"/>
        <w:rPr>
          <w:rFonts w:ascii="Segoe UI" w:hAnsi="Segoe UI" w:cs="Segoe UI"/>
        </w:rPr>
      </w:pPr>
      <w:r w:rsidRPr="00077E05">
        <w:rPr>
          <w:rStyle w:val="normaltextrun"/>
          <w:rFonts w:ascii="Calibri" w:hAnsi="Calibri" w:cs="Calibri"/>
        </w:rPr>
        <w:t>It is stated by Allen, et al., (2022) that the seriousness and increase of terrorist attacks bec</w:t>
      </w:r>
      <w:r w:rsidR="00180E5C" w:rsidRPr="00077E05">
        <w:rPr>
          <w:rStyle w:val="normaltextrun"/>
          <w:rFonts w:ascii="Calibri" w:hAnsi="Calibri" w:cs="Calibri"/>
        </w:rPr>
        <w:t>a</w:t>
      </w:r>
      <w:r w:rsidRPr="00077E05">
        <w:rPr>
          <w:rStyle w:val="normaltextrun"/>
          <w:rFonts w:ascii="Calibri" w:hAnsi="Calibri" w:cs="Calibri"/>
        </w:rPr>
        <w:t>me visible because of the incident on the 11</w:t>
      </w:r>
      <w:r w:rsidRPr="00077E05">
        <w:rPr>
          <w:rStyle w:val="normaltextrun"/>
          <w:rFonts w:ascii="Calibri" w:hAnsi="Calibri" w:cs="Calibri"/>
          <w:vertAlign w:val="superscript"/>
        </w:rPr>
        <w:t>th</w:t>
      </w:r>
      <w:r w:rsidRPr="00077E05">
        <w:rPr>
          <w:rStyle w:val="normaltextrun"/>
          <w:rFonts w:ascii="Calibri" w:hAnsi="Calibri" w:cs="Calibri"/>
        </w:rPr>
        <w:t xml:space="preserve"> of September 2001 known as the Twin Towers. The Terrorism Act 2000 was introduced by the police and Home Secretary that enabled counterterrorism to all forms. By introducing this it gave the police the opportunity to respond to terrorist attacks before the initial stage of carrying out the attack. This</w:t>
      </w:r>
      <w:r w:rsidR="00077E05" w:rsidRPr="00077E05">
        <w:rPr>
          <w:rStyle w:val="normaltextrun"/>
          <w:rFonts w:ascii="Calibri" w:hAnsi="Calibri" w:cs="Calibri"/>
        </w:rPr>
        <w:t xml:space="preserve"> </w:t>
      </w:r>
      <w:r w:rsidRPr="00077E05">
        <w:rPr>
          <w:rStyle w:val="normaltextrun"/>
          <w:rFonts w:ascii="Calibri" w:hAnsi="Calibri" w:cs="Calibri"/>
        </w:rPr>
        <w:t xml:space="preserve">legislation allows stop and search powers for the prevention of any ongoing terrorist attacks by disrupting them. This has been an effective response to disrupting terrorist attacks with police officers carrying out over 200 Section 44 stop and searches in 2009 that shows the effectiveness of individual’s being caught and held liable before the incident was carried out. </w:t>
      </w:r>
      <w:r w:rsidRPr="00077E05">
        <w:rPr>
          <w:rStyle w:val="eop"/>
          <w:rFonts w:ascii="Calibri" w:hAnsi="Calibri" w:cs="Calibri"/>
        </w:rPr>
        <w:t> </w:t>
      </w:r>
    </w:p>
    <w:p w14:paraId="672BFD24" w14:textId="4B2AE3CB" w:rsidR="007749D0" w:rsidRPr="00077E05" w:rsidRDefault="007749D0" w:rsidP="00230CA0">
      <w:pPr>
        <w:pStyle w:val="paragraph"/>
        <w:spacing w:before="0" w:beforeAutospacing="0" w:after="0" w:afterAutospacing="0"/>
        <w:ind w:left="120" w:right="-30" w:firstLine="360"/>
        <w:textAlignment w:val="baseline"/>
        <w:rPr>
          <w:rFonts w:ascii="Segoe UI" w:hAnsi="Segoe UI" w:cs="Segoe UI"/>
        </w:rPr>
      </w:pPr>
      <w:r w:rsidRPr="00077E05">
        <w:rPr>
          <w:rStyle w:val="normaltextrun"/>
          <w:rFonts w:ascii="Calibri" w:hAnsi="Calibri" w:cs="Calibri"/>
        </w:rPr>
        <w:t>Graham (2018) reinforces the emergency services effective response to terrorist attacks by stating that the emergency service commanders responding and the pre-planning in advance are prepared for extreme incidents that may occur in the future. On the other hand, he states that the emergency services are not thoroughly prepared for the extreme terrorist attacks that may happen in the UK. Reasoning for this is the UK have had to rethink their response to serious terrorist attacks after responding in an unsuccessful manner</w:t>
      </w:r>
      <w:r w:rsidR="00180E5C" w:rsidRPr="00077E05">
        <w:rPr>
          <w:rStyle w:val="normaltextrun"/>
          <w:rFonts w:ascii="Calibri" w:hAnsi="Calibri" w:cs="Calibri"/>
        </w:rPr>
        <w:t>. In this incident</w:t>
      </w:r>
      <w:r w:rsidRPr="00077E05">
        <w:rPr>
          <w:rStyle w:val="normaltextrun"/>
          <w:rFonts w:ascii="Calibri" w:hAnsi="Calibri" w:cs="Calibri"/>
        </w:rPr>
        <w:t xml:space="preserve"> </w:t>
      </w:r>
      <w:r w:rsidR="00180E5C" w:rsidRPr="00077E05">
        <w:rPr>
          <w:rStyle w:val="normaltextrun"/>
          <w:rFonts w:ascii="Calibri" w:hAnsi="Calibri" w:cs="Calibri"/>
        </w:rPr>
        <w:t xml:space="preserve">there were </w:t>
      </w:r>
      <w:r w:rsidRPr="00077E05">
        <w:rPr>
          <w:rStyle w:val="normaltextrun"/>
          <w:rFonts w:ascii="Calibri" w:hAnsi="Calibri" w:cs="Calibri"/>
        </w:rPr>
        <w:t>172 deaths on the 26</w:t>
      </w:r>
      <w:r w:rsidRPr="00077E05">
        <w:rPr>
          <w:rStyle w:val="normaltextrun"/>
          <w:rFonts w:ascii="Calibri" w:hAnsi="Calibri" w:cs="Calibri"/>
          <w:vertAlign w:val="superscript"/>
        </w:rPr>
        <w:t>th</w:t>
      </w:r>
      <w:r w:rsidRPr="00077E05">
        <w:rPr>
          <w:rStyle w:val="normaltextrun"/>
          <w:rFonts w:ascii="Calibri" w:hAnsi="Calibri" w:cs="Calibri"/>
        </w:rPr>
        <w:t xml:space="preserve"> of November 2008 in Mumbai where multiple groups of terrorists carried out multiple attacks using bombs, firearms and setting fires. This resulted with issues regarding security with the London Olympics in 2012 with a visible threat in the UK with Marauding Terrorist Firearms. </w:t>
      </w:r>
      <w:proofErr w:type="spellStart"/>
      <w:r w:rsidRPr="00077E05">
        <w:rPr>
          <w:rStyle w:val="normaltextrun"/>
          <w:rFonts w:ascii="Calibri" w:hAnsi="Calibri" w:cs="Calibri"/>
        </w:rPr>
        <w:t>Synnove</w:t>
      </w:r>
      <w:proofErr w:type="spellEnd"/>
      <w:r w:rsidRPr="00077E05">
        <w:rPr>
          <w:rStyle w:val="normaltextrun"/>
          <w:rFonts w:ascii="Calibri" w:hAnsi="Calibri" w:cs="Calibri"/>
        </w:rPr>
        <w:t xml:space="preserve"> (2022) states that since the implications regarding the emergency service is response to terrorist attacks a two-day training exercise was brought into place for the purpose of testing the UK emergency service is responses to MTFA. This included looking at common attacks that would occur in the near future such as trained individuals carrying out a sustained planned attack that influenced the </w:t>
      </w:r>
      <w:proofErr w:type="spellStart"/>
      <w:r w:rsidRPr="00077E05">
        <w:rPr>
          <w:rStyle w:val="normaltextrun"/>
          <w:rFonts w:ascii="Calibri" w:hAnsi="Calibri" w:cs="Calibri"/>
        </w:rPr>
        <w:t>Uk’s</w:t>
      </w:r>
      <w:proofErr w:type="spellEnd"/>
      <w:r w:rsidRPr="00077E05">
        <w:rPr>
          <w:rStyle w:val="normaltextrun"/>
          <w:rFonts w:ascii="Calibri" w:hAnsi="Calibri" w:cs="Calibri"/>
        </w:rPr>
        <w:t xml:space="preserve"> arrangements regarding emergency services. </w:t>
      </w:r>
      <w:r w:rsidRPr="00077E05">
        <w:rPr>
          <w:rStyle w:val="eop"/>
          <w:rFonts w:ascii="Calibri" w:hAnsi="Calibri" w:cs="Calibri"/>
        </w:rPr>
        <w:t> </w:t>
      </w:r>
    </w:p>
    <w:p w14:paraId="1D9B2D50" w14:textId="24DA75F6" w:rsidR="007749D0" w:rsidRPr="00077E05" w:rsidRDefault="007749D0" w:rsidP="00230CA0">
      <w:pPr>
        <w:pStyle w:val="paragraph"/>
        <w:spacing w:before="0" w:beforeAutospacing="0" w:after="0" w:afterAutospacing="0"/>
        <w:ind w:left="120" w:right="-30" w:firstLine="360"/>
        <w:textAlignment w:val="baseline"/>
        <w:rPr>
          <w:rFonts w:ascii="Segoe UI" w:hAnsi="Segoe UI" w:cs="Segoe UI"/>
        </w:rPr>
      </w:pPr>
      <w:r w:rsidRPr="00077E05">
        <w:rPr>
          <w:rStyle w:val="normaltextrun"/>
          <w:rFonts w:ascii="Calibri" w:hAnsi="Calibri" w:cs="Calibri"/>
        </w:rPr>
        <w:t xml:space="preserve">The emergency services having a successful response to terrorist attacks is reinforced by Wang &amp; Young (2020) when stating </w:t>
      </w:r>
      <w:r w:rsidR="00180E5C" w:rsidRPr="00077E05">
        <w:rPr>
          <w:rStyle w:val="normaltextrun"/>
          <w:rFonts w:ascii="Calibri" w:hAnsi="Calibri" w:cs="Calibri"/>
        </w:rPr>
        <w:t>they</w:t>
      </w:r>
      <w:r w:rsidRPr="00077E05">
        <w:rPr>
          <w:rStyle w:val="normaltextrun"/>
          <w:rFonts w:ascii="Calibri" w:hAnsi="Calibri" w:cs="Calibri"/>
        </w:rPr>
        <w:t xml:space="preserve"> have specially designated teams for when a terrorist attack is taking place, and 24/7 national response is required. This has brought the introduction of Ambulance Intervention Teams associated with MTFA incidents and police Authorised Firearms Officers. As well as Counter Terrorism Policing working closely alongside the police forces brining in intelligence to try and deter any terrorist attacks. To allow an efficient response </w:t>
      </w:r>
      <w:r w:rsidR="00180E5C" w:rsidRPr="00077E05">
        <w:rPr>
          <w:rStyle w:val="normaltextrun"/>
          <w:rFonts w:ascii="Calibri" w:hAnsi="Calibri" w:cs="Calibri"/>
        </w:rPr>
        <w:t>they</w:t>
      </w:r>
      <w:r w:rsidRPr="00077E05">
        <w:rPr>
          <w:rStyle w:val="normaltextrun"/>
          <w:rFonts w:ascii="Calibri" w:hAnsi="Calibri" w:cs="Calibri"/>
        </w:rPr>
        <w:t xml:space="preserve"> work alongside other emergency services such as the military</w:t>
      </w:r>
      <w:r w:rsidR="00180E5C" w:rsidRPr="00077E05">
        <w:rPr>
          <w:rStyle w:val="normaltextrun"/>
          <w:rFonts w:ascii="Calibri" w:hAnsi="Calibri" w:cs="Calibri"/>
        </w:rPr>
        <w:t>. By doing this</w:t>
      </w:r>
      <w:r w:rsidRPr="00077E05">
        <w:rPr>
          <w:rStyle w:val="normaltextrun"/>
          <w:rFonts w:ascii="Calibri" w:hAnsi="Calibri" w:cs="Calibri"/>
        </w:rPr>
        <w:t xml:space="preserve"> </w:t>
      </w:r>
      <w:r w:rsidR="00180E5C" w:rsidRPr="00077E05">
        <w:rPr>
          <w:rStyle w:val="normaltextrun"/>
          <w:rFonts w:ascii="Calibri" w:hAnsi="Calibri" w:cs="Calibri"/>
        </w:rPr>
        <w:t>they</w:t>
      </w:r>
      <w:r w:rsidRPr="00077E05">
        <w:rPr>
          <w:rStyle w:val="normaltextrun"/>
          <w:rFonts w:ascii="Calibri" w:hAnsi="Calibri" w:cs="Calibri"/>
        </w:rPr>
        <w:t xml:space="preserve"> work on how all the emergency services react by holding exercises that are held in the public to make these practises as realistic as though it was happening in real life. </w:t>
      </w:r>
      <w:r w:rsidRPr="00077E05">
        <w:rPr>
          <w:rStyle w:val="eop"/>
          <w:rFonts w:ascii="Calibri" w:hAnsi="Calibri" w:cs="Calibri"/>
        </w:rPr>
        <w:t> </w:t>
      </w:r>
    </w:p>
    <w:p w14:paraId="65262ABB" w14:textId="6603A10D" w:rsidR="007749D0" w:rsidRPr="00077E05" w:rsidRDefault="007749D0" w:rsidP="00230CA0">
      <w:pPr>
        <w:pStyle w:val="paragraph"/>
        <w:spacing w:before="0" w:beforeAutospacing="0" w:after="0" w:afterAutospacing="0"/>
        <w:ind w:left="120" w:right="-30" w:firstLine="360"/>
        <w:textAlignment w:val="baseline"/>
        <w:rPr>
          <w:rFonts w:ascii="Segoe UI" w:hAnsi="Segoe UI" w:cs="Segoe UI"/>
        </w:rPr>
      </w:pPr>
      <w:r w:rsidRPr="00077E05">
        <w:rPr>
          <w:rStyle w:val="normaltextrun"/>
          <w:rFonts w:ascii="Calibri" w:hAnsi="Calibri" w:cs="Calibri"/>
        </w:rPr>
        <w:t xml:space="preserve">On the other hand, </w:t>
      </w:r>
      <w:proofErr w:type="spellStart"/>
      <w:r w:rsidRPr="00077E05">
        <w:rPr>
          <w:rStyle w:val="normaltextrun"/>
          <w:rFonts w:ascii="Calibri" w:hAnsi="Calibri" w:cs="Calibri"/>
        </w:rPr>
        <w:t>Barten</w:t>
      </w:r>
      <w:proofErr w:type="spellEnd"/>
      <w:r w:rsidRPr="00077E05">
        <w:rPr>
          <w:rStyle w:val="normaltextrun"/>
          <w:rFonts w:ascii="Calibri" w:hAnsi="Calibri" w:cs="Calibri"/>
        </w:rPr>
        <w:t xml:space="preserve">, et al., (2023) states that to ensure an efficient response to managing a disaster communication is mandatory. He states that this is unlike previous incidents where clear communication was not carried out by emergency responders that </w:t>
      </w:r>
      <w:r w:rsidRPr="00077E05">
        <w:rPr>
          <w:rStyle w:val="normaltextrun"/>
          <w:rFonts w:ascii="Calibri" w:hAnsi="Calibri" w:cs="Calibri"/>
        </w:rPr>
        <w:lastRenderedPageBreak/>
        <w:t xml:space="preserve">resulted in serious safety concerns for injured individuals. The importance of clear and direct communication is crucial between emergency services because sufficient resources and staff are sent for the best possible outcome for example preserving lives, preserving the scene, and gathering information at the scene. It is highlighted that failures in successful communication are reported from numerous terrorist attacks because of multiple emergency services not cooperating successfully. </w:t>
      </w:r>
      <w:r w:rsidRPr="00077E05">
        <w:rPr>
          <w:rStyle w:val="eop"/>
          <w:rFonts w:ascii="Calibri" w:hAnsi="Calibri" w:cs="Calibri"/>
        </w:rPr>
        <w:t> </w:t>
      </w:r>
    </w:p>
    <w:p w14:paraId="04422B84" w14:textId="0FB1ADC2" w:rsidR="007749D0" w:rsidRPr="00077E05" w:rsidRDefault="007749D0" w:rsidP="007749D0">
      <w:pPr>
        <w:pStyle w:val="paragraph"/>
        <w:spacing w:before="0" w:beforeAutospacing="0" w:after="0" w:afterAutospacing="0"/>
        <w:ind w:left="120" w:right="-30" w:firstLine="360"/>
        <w:textAlignment w:val="baseline"/>
        <w:rPr>
          <w:rFonts w:ascii="Segoe UI" w:hAnsi="Segoe UI" w:cs="Segoe UI"/>
        </w:rPr>
      </w:pPr>
      <w:r w:rsidRPr="00077E05">
        <w:rPr>
          <w:rStyle w:val="normaltextrun"/>
          <w:rFonts w:ascii="Calibri" w:hAnsi="Calibri" w:cs="Calibri"/>
        </w:rPr>
        <w:t xml:space="preserve">This is reinforced by </w:t>
      </w:r>
      <w:proofErr w:type="spellStart"/>
      <w:r w:rsidRPr="00077E05">
        <w:rPr>
          <w:rStyle w:val="normaltextrun"/>
          <w:rFonts w:ascii="Calibri" w:hAnsi="Calibri" w:cs="Calibri"/>
        </w:rPr>
        <w:t>Mirbabaie</w:t>
      </w:r>
      <w:proofErr w:type="spellEnd"/>
      <w:r w:rsidRPr="00077E05">
        <w:rPr>
          <w:rStyle w:val="normaltextrun"/>
          <w:rFonts w:ascii="Calibri" w:hAnsi="Calibri" w:cs="Calibri"/>
        </w:rPr>
        <w:t xml:space="preserve"> &amp; Marx (2020) by stating that the Manchester terrorist attack response was recommended improvements that needed changing with how they responded and the communication between emergency services. This incident happened on the 22</w:t>
      </w:r>
      <w:r w:rsidRPr="00077E05">
        <w:rPr>
          <w:rStyle w:val="normaltextrun"/>
          <w:rFonts w:ascii="Calibri" w:hAnsi="Calibri" w:cs="Calibri"/>
          <w:vertAlign w:val="superscript"/>
        </w:rPr>
        <w:t>nd</w:t>
      </w:r>
      <w:r w:rsidRPr="00077E05">
        <w:rPr>
          <w:rStyle w:val="normaltextrun"/>
          <w:rFonts w:ascii="Calibri" w:hAnsi="Calibri" w:cs="Calibri"/>
        </w:rPr>
        <w:t xml:space="preserve"> of May 2017 where a suicide bomber detonated an explosive device in the Manchester Arena. This terrorist attack was one of the worst attacks in the United Kingdom since the London Bombings in 2005. </w:t>
      </w:r>
      <w:r w:rsidR="00180E5C" w:rsidRPr="00077E05">
        <w:rPr>
          <w:rStyle w:val="normaltextrun"/>
          <w:rFonts w:ascii="Calibri" w:hAnsi="Calibri" w:cs="Calibri"/>
        </w:rPr>
        <w:t>The</w:t>
      </w:r>
      <w:r w:rsidRPr="00077E05">
        <w:rPr>
          <w:rStyle w:val="normaltextrun"/>
          <w:rFonts w:ascii="Calibri" w:hAnsi="Calibri" w:cs="Calibri"/>
        </w:rPr>
        <w:t xml:space="preserve"> police did not inform the fire service that Operation Plato was happening therefore, the fire service did not turn up to the location until 2 hours after the incident had occurred. There were also communication issues between the police force and the ambulance service and the triage system resulting in critically injured individual’s being taken to hospital 3 and a half hours after the terrorist attack. This resulted with 22 individuals being killed and many individuals severely injured. </w:t>
      </w:r>
      <w:r w:rsidRPr="00077E05">
        <w:rPr>
          <w:rStyle w:val="eop"/>
          <w:rFonts w:ascii="Calibri" w:hAnsi="Calibri" w:cs="Calibri"/>
        </w:rPr>
        <w:t> </w:t>
      </w:r>
    </w:p>
    <w:p w14:paraId="798C29C9" w14:textId="7235B53B" w:rsidR="007749D0" w:rsidRPr="00077E05" w:rsidRDefault="007749D0" w:rsidP="007749D0">
      <w:pPr>
        <w:pStyle w:val="paragraph"/>
        <w:spacing w:before="0" w:beforeAutospacing="0" w:after="0" w:afterAutospacing="0"/>
        <w:ind w:left="120" w:right="-30" w:firstLine="360"/>
        <w:textAlignment w:val="baseline"/>
        <w:rPr>
          <w:rFonts w:ascii="Segoe UI" w:hAnsi="Segoe UI" w:cs="Segoe UI"/>
        </w:rPr>
      </w:pPr>
      <w:r w:rsidRPr="00077E05">
        <w:rPr>
          <w:rStyle w:val="normaltextrun"/>
          <w:rFonts w:ascii="Calibri" w:hAnsi="Calibri" w:cs="Calibri"/>
        </w:rPr>
        <w:t>According to Power &amp; Laurence (2017) the emergency services took part in a simulated terrorist incident to compare and assess the command level goals of each public service sector. The reasoning for this was each public sector had different goals when responding to a terrorist attack therefore the strategies used were not communicating between them all. For example, the police service had the responsibility of responding to the incident and preventing any further harm to the surrounding area wh</w:t>
      </w:r>
      <w:r w:rsidR="00D4781B">
        <w:rPr>
          <w:rStyle w:val="normaltextrun"/>
          <w:rFonts w:ascii="Calibri" w:hAnsi="Calibri" w:cs="Calibri"/>
        </w:rPr>
        <w:t>i</w:t>
      </w:r>
      <w:r w:rsidRPr="00077E05">
        <w:rPr>
          <w:rStyle w:val="normaltextrun"/>
          <w:rFonts w:ascii="Calibri" w:hAnsi="Calibri" w:cs="Calibri"/>
        </w:rPr>
        <w:t xml:space="preserve">le the fire service took on high risk procedures to evaluate the safety of the area. From this it is shown that there was poor understanding from the different agencies regarding objectives. </w:t>
      </w:r>
      <w:r w:rsidR="00180E5C" w:rsidRPr="00077E05">
        <w:rPr>
          <w:rStyle w:val="normaltextrun"/>
          <w:rFonts w:ascii="Calibri" w:hAnsi="Calibri" w:cs="Calibri"/>
        </w:rPr>
        <w:t>They then</w:t>
      </w:r>
      <w:r w:rsidRPr="00077E05">
        <w:rPr>
          <w:rStyle w:val="normaltextrun"/>
          <w:rFonts w:ascii="Calibri" w:hAnsi="Calibri" w:cs="Calibri"/>
        </w:rPr>
        <w:t xml:space="preserve"> implemented a distributed decision model that allows agencies to work collaboratively to save as many lives as possible. This is reinforced by </w:t>
      </w:r>
      <w:proofErr w:type="spellStart"/>
      <w:r w:rsidRPr="00077E05">
        <w:rPr>
          <w:rStyle w:val="normaltextrun"/>
          <w:rFonts w:ascii="Calibri" w:hAnsi="Calibri" w:cs="Calibri"/>
        </w:rPr>
        <w:t>Chauhun</w:t>
      </w:r>
      <w:proofErr w:type="spellEnd"/>
      <w:r w:rsidRPr="00077E05">
        <w:rPr>
          <w:rStyle w:val="normaltextrun"/>
          <w:rFonts w:ascii="Calibri" w:hAnsi="Calibri" w:cs="Calibri"/>
        </w:rPr>
        <w:t xml:space="preserve"> &amp; Keene (2018) by stating that the emergency services response to terrorist attacks have taken necessary steps to improving the response to be as effective as possible. </w:t>
      </w:r>
      <w:r w:rsidR="00180E5C" w:rsidRPr="00077E05">
        <w:rPr>
          <w:rStyle w:val="normaltextrun"/>
          <w:rFonts w:ascii="Calibri" w:hAnsi="Calibri" w:cs="Calibri"/>
        </w:rPr>
        <w:t>This</w:t>
      </w:r>
      <w:r w:rsidRPr="00077E05">
        <w:rPr>
          <w:rStyle w:val="normaltextrun"/>
          <w:rFonts w:ascii="Calibri" w:hAnsi="Calibri" w:cs="Calibri"/>
        </w:rPr>
        <w:t xml:space="preserve"> is essential for key agencies to respond regularly to exercises and drills to ensure that emergency services are confident with collaborating and working together when it come to a terrorist incident. Therefore, the sufficient resources that are put in place to </w:t>
      </w:r>
      <w:r w:rsidRPr="00077E05">
        <w:rPr>
          <w:rStyle w:val="normaltextrun"/>
          <w:rFonts w:ascii="Calibri" w:hAnsi="Calibri" w:cs="Calibri"/>
          <w:color w:val="000000"/>
        </w:rPr>
        <w:t>implement the most successful plan.</w:t>
      </w:r>
      <w:r w:rsidRPr="00077E05">
        <w:rPr>
          <w:rStyle w:val="eop"/>
          <w:rFonts w:ascii="Calibri" w:hAnsi="Calibri" w:cs="Calibri"/>
          <w:color w:val="000000"/>
        </w:rPr>
        <w:t> </w:t>
      </w:r>
    </w:p>
    <w:p w14:paraId="112C0520" w14:textId="169C7C53" w:rsidR="007749D0" w:rsidRPr="00077E05" w:rsidRDefault="00180E5C" w:rsidP="00180E5C">
      <w:pPr>
        <w:pStyle w:val="paragraph"/>
        <w:spacing w:before="0" w:beforeAutospacing="0" w:after="0" w:afterAutospacing="0"/>
        <w:ind w:left="-30" w:right="-30" w:firstLine="150"/>
        <w:textAlignment w:val="baseline"/>
        <w:rPr>
          <w:rFonts w:ascii="Segoe UI" w:hAnsi="Segoe UI" w:cs="Segoe UI"/>
        </w:rPr>
      </w:pPr>
      <w:r w:rsidRPr="00077E05">
        <w:rPr>
          <w:rStyle w:val="normaltextrun"/>
          <w:rFonts w:ascii="Calibri" w:hAnsi="Calibri" w:cs="Calibri"/>
          <w:color w:val="000000"/>
        </w:rPr>
        <w:tab/>
      </w:r>
      <w:r w:rsidR="007749D0" w:rsidRPr="00077E05">
        <w:rPr>
          <w:rStyle w:val="normaltextrun"/>
          <w:rFonts w:ascii="Calibri" w:hAnsi="Calibri" w:cs="Calibri"/>
          <w:color w:val="000000"/>
        </w:rPr>
        <w:t>According to Gurney, et al., (2020) the Joint Emergency Service Interoperability Programme known as JESIP is an effective method used for emergency services to collaborate and work effectively together whilst responding to a multiagency incident. This reinforces the effectiveness of the public service response to a terrorist attack as response system</w:t>
      </w:r>
      <w:r w:rsidRPr="00077E05">
        <w:rPr>
          <w:rStyle w:val="normaltextrun"/>
          <w:rFonts w:ascii="Calibri" w:hAnsi="Calibri" w:cs="Calibri"/>
          <w:color w:val="000000"/>
        </w:rPr>
        <w:t>s</w:t>
      </w:r>
      <w:r w:rsidR="007749D0" w:rsidRPr="00077E05">
        <w:rPr>
          <w:rStyle w:val="normaltextrun"/>
          <w:rFonts w:ascii="Calibri" w:hAnsi="Calibri" w:cs="Calibri"/>
          <w:color w:val="000000"/>
        </w:rPr>
        <w:t xml:space="preserve"> ha</w:t>
      </w:r>
      <w:r w:rsidRPr="00077E05">
        <w:rPr>
          <w:rStyle w:val="normaltextrun"/>
          <w:rFonts w:ascii="Calibri" w:hAnsi="Calibri" w:cs="Calibri"/>
          <w:color w:val="000000"/>
        </w:rPr>
        <w:t>ve</w:t>
      </w:r>
      <w:r w:rsidR="007749D0" w:rsidRPr="00077E05">
        <w:rPr>
          <w:rStyle w:val="normaltextrun"/>
          <w:rFonts w:ascii="Calibri" w:hAnsi="Calibri" w:cs="Calibri"/>
          <w:color w:val="000000"/>
        </w:rPr>
        <w:t xml:space="preserve"> been made more reliable by implementing the correct principles and framework. </w:t>
      </w:r>
      <w:r w:rsidRPr="00077E05">
        <w:rPr>
          <w:rStyle w:val="normaltextrun"/>
          <w:rFonts w:ascii="Calibri" w:hAnsi="Calibri" w:cs="Calibri"/>
          <w:color w:val="000000"/>
        </w:rPr>
        <w:t xml:space="preserve">The </w:t>
      </w:r>
      <w:r w:rsidR="007749D0" w:rsidRPr="00077E05">
        <w:rPr>
          <w:rStyle w:val="normaltextrun"/>
          <w:rFonts w:ascii="Calibri" w:hAnsi="Calibri" w:cs="Calibri"/>
          <w:color w:val="000000"/>
        </w:rPr>
        <w:t>introduc</w:t>
      </w:r>
      <w:r w:rsidRPr="00077E05">
        <w:rPr>
          <w:rStyle w:val="normaltextrun"/>
          <w:rFonts w:ascii="Calibri" w:hAnsi="Calibri" w:cs="Calibri"/>
          <w:color w:val="000000"/>
        </w:rPr>
        <w:t>tion of</w:t>
      </w:r>
      <w:r w:rsidR="007749D0" w:rsidRPr="00077E05">
        <w:rPr>
          <w:rStyle w:val="normaltextrun"/>
          <w:rFonts w:ascii="Calibri" w:hAnsi="Calibri" w:cs="Calibri"/>
          <w:color w:val="000000"/>
        </w:rPr>
        <w:t xml:space="preserve"> JESIP and the Joint Decision Model JESIP gives support to public services to respond effectively to terrorist incidents. College of Policing (2013) </w:t>
      </w:r>
      <w:r w:rsidR="00077E05" w:rsidRPr="00077E05">
        <w:rPr>
          <w:rStyle w:val="normaltextrun"/>
          <w:rFonts w:ascii="Calibri" w:hAnsi="Calibri" w:cs="Calibri"/>
          <w:color w:val="000000"/>
        </w:rPr>
        <w:t xml:space="preserve">reinforces this </w:t>
      </w:r>
      <w:r w:rsidR="007749D0" w:rsidRPr="00077E05">
        <w:rPr>
          <w:rStyle w:val="normaltextrun"/>
          <w:rFonts w:ascii="Calibri" w:hAnsi="Calibri" w:cs="Calibri"/>
          <w:color w:val="000000"/>
        </w:rPr>
        <w:t>by stating that the public services require a structured plan and arrangement when responding to major incidents to ensure the legislative requirements are met correctly. This was introduced to ensure the effectiveness of how the public services collaborate due to the public criticising issues to how the police were responding to terrorist attacks for example the London Bridge attach on the 3</w:t>
      </w:r>
      <w:r w:rsidR="007749D0" w:rsidRPr="00077E05">
        <w:rPr>
          <w:rStyle w:val="normaltextrun"/>
          <w:rFonts w:ascii="Calibri" w:hAnsi="Calibri" w:cs="Calibri"/>
          <w:color w:val="000000"/>
          <w:vertAlign w:val="superscript"/>
        </w:rPr>
        <w:t>rd</w:t>
      </w:r>
      <w:r w:rsidR="007749D0" w:rsidRPr="00077E05">
        <w:rPr>
          <w:rStyle w:val="normaltextrun"/>
          <w:rFonts w:ascii="Calibri" w:hAnsi="Calibri" w:cs="Calibri"/>
          <w:color w:val="000000"/>
        </w:rPr>
        <w:t xml:space="preserve"> of June 2017. In this incident police officers responded to the terrorist attack by firing the attackers and two members of the public were shot and numerous individuals were seriously injured. Therefore, JESIP was an effective response to implement principles for a clear plan for public services.</w:t>
      </w:r>
      <w:r w:rsidR="007749D0" w:rsidRPr="00077E05">
        <w:rPr>
          <w:rStyle w:val="eop"/>
          <w:rFonts w:ascii="Calibri" w:hAnsi="Calibri" w:cs="Calibri"/>
          <w:color w:val="000000"/>
        </w:rPr>
        <w:t> </w:t>
      </w:r>
    </w:p>
    <w:p w14:paraId="3F58C930" w14:textId="6C12017D" w:rsidR="007749D0" w:rsidRPr="00077E05" w:rsidRDefault="007749D0" w:rsidP="001F1579">
      <w:pPr>
        <w:pStyle w:val="paragraph"/>
        <w:spacing w:before="0" w:beforeAutospacing="0" w:after="0" w:afterAutospacing="0"/>
        <w:ind w:left="-30" w:right="-30" w:firstLine="720"/>
        <w:textAlignment w:val="baseline"/>
        <w:rPr>
          <w:rFonts w:ascii="Segoe UI" w:hAnsi="Segoe UI" w:cs="Segoe UI"/>
        </w:rPr>
      </w:pPr>
      <w:proofErr w:type="spellStart"/>
      <w:r w:rsidRPr="00077E05">
        <w:rPr>
          <w:rStyle w:val="normaltextrun"/>
          <w:rFonts w:ascii="Calibri" w:hAnsi="Calibri" w:cs="Calibri"/>
          <w:color w:val="000000"/>
        </w:rPr>
        <w:lastRenderedPageBreak/>
        <w:t>Moosavian</w:t>
      </w:r>
      <w:proofErr w:type="spellEnd"/>
      <w:r w:rsidRPr="00077E05">
        <w:rPr>
          <w:rStyle w:val="normaltextrun"/>
          <w:rFonts w:ascii="Calibri" w:hAnsi="Calibri" w:cs="Calibri"/>
          <w:color w:val="000000"/>
        </w:rPr>
        <w:t xml:space="preserve"> (2014) </w:t>
      </w:r>
      <w:r w:rsidR="001F1579" w:rsidRPr="00077E05">
        <w:rPr>
          <w:rStyle w:val="normaltextrun"/>
          <w:rFonts w:ascii="Calibri" w:hAnsi="Calibri" w:cs="Calibri"/>
          <w:color w:val="000000"/>
        </w:rPr>
        <w:t>states the</w:t>
      </w:r>
      <w:r w:rsidRPr="00077E05">
        <w:rPr>
          <w:rStyle w:val="normaltextrun"/>
          <w:rFonts w:ascii="Calibri" w:hAnsi="Calibri" w:cs="Calibri"/>
          <w:color w:val="000000"/>
        </w:rPr>
        <w:t xml:space="preserve"> introduction of The Civil Contingencies Act 2004</w:t>
      </w:r>
      <w:r w:rsidR="001F1579" w:rsidRPr="00077E05">
        <w:rPr>
          <w:rStyle w:val="normaltextrun"/>
          <w:rFonts w:ascii="Calibri" w:hAnsi="Calibri" w:cs="Calibri"/>
          <w:color w:val="000000"/>
        </w:rPr>
        <w:t xml:space="preserve"> shows public services responding effectively</w:t>
      </w:r>
      <w:r w:rsidRPr="00077E05">
        <w:rPr>
          <w:rStyle w:val="normaltextrun"/>
          <w:rFonts w:ascii="Calibri" w:hAnsi="Calibri" w:cs="Calibri"/>
          <w:color w:val="000000"/>
        </w:rPr>
        <w:t xml:space="preserve">. This enables public services to define an emergency that is known as a major incident. One of those being a situation where there is serious threat to human welfare. The second being a situation where there is serious threat to the environment or terrorist attacks. </w:t>
      </w:r>
      <w:r w:rsidR="001F1579" w:rsidRPr="00077E05">
        <w:rPr>
          <w:rStyle w:val="normaltextrun"/>
          <w:rFonts w:ascii="Calibri" w:hAnsi="Calibri" w:cs="Calibri"/>
          <w:color w:val="000000"/>
        </w:rPr>
        <w:t>The</w:t>
      </w:r>
      <w:r w:rsidRPr="00077E05">
        <w:rPr>
          <w:rStyle w:val="normaltextrun"/>
          <w:rFonts w:ascii="Calibri" w:hAnsi="Calibri" w:cs="Calibri"/>
          <w:color w:val="000000"/>
        </w:rPr>
        <w:t xml:space="preserve"> introduction of this legislation ensures an effective response </w:t>
      </w:r>
      <w:r w:rsidR="001F1579" w:rsidRPr="00077E05">
        <w:rPr>
          <w:rStyle w:val="normaltextrun"/>
          <w:rFonts w:ascii="Calibri" w:hAnsi="Calibri" w:cs="Calibri"/>
          <w:color w:val="000000"/>
        </w:rPr>
        <w:t>and</w:t>
      </w:r>
      <w:r w:rsidRPr="00077E05">
        <w:rPr>
          <w:rStyle w:val="normaltextrun"/>
          <w:rFonts w:ascii="Calibri" w:hAnsi="Calibri" w:cs="Calibri"/>
          <w:color w:val="000000"/>
        </w:rPr>
        <w:t xml:space="preserve"> a </w:t>
      </w:r>
      <w:r w:rsidR="001F1579" w:rsidRPr="00077E05">
        <w:rPr>
          <w:rStyle w:val="normaltextrun"/>
          <w:rFonts w:ascii="Calibri" w:hAnsi="Calibri" w:cs="Calibri"/>
          <w:color w:val="000000"/>
        </w:rPr>
        <w:t>solid framework for</w:t>
      </w:r>
      <w:r w:rsidRPr="00077E05">
        <w:rPr>
          <w:rStyle w:val="normaltextrun"/>
          <w:rFonts w:ascii="Calibri" w:hAnsi="Calibri" w:cs="Calibri"/>
          <w:color w:val="000000"/>
        </w:rPr>
        <w:t xml:space="preserve"> supporting structures. Nash (2020) </w:t>
      </w:r>
      <w:r w:rsidR="001F1579" w:rsidRPr="00077E05">
        <w:rPr>
          <w:rStyle w:val="normaltextrun"/>
          <w:rFonts w:ascii="Calibri" w:hAnsi="Calibri" w:cs="Calibri"/>
          <w:color w:val="000000"/>
        </w:rPr>
        <w:t>reinforces</w:t>
      </w:r>
      <w:r w:rsidRPr="00077E05">
        <w:rPr>
          <w:rStyle w:val="normaltextrun"/>
          <w:rFonts w:ascii="Calibri" w:hAnsi="Calibri" w:cs="Calibri"/>
          <w:color w:val="000000"/>
        </w:rPr>
        <w:t xml:space="preserve"> </w:t>
      </w:r>
      <w:r w:rsidR="006C5F87" w:rsidRPr="00077E05">
        <w:rPr>
          <w:rStyle w:val="normaltextrun"/>
          <w:rFonts w:ascii="Calibri" w:hAnsi="Calibri" w:cs="Calibri"/>
          <w:color w:val="000000"/>
        </w:rPr>
        <w:t>this by stating</w:t>
      </w:r>
      <w:r w:rsidRPr="00077E05">
        <w:rPr>
          <w:rStyle w:val="normaltextrun"/>
          <w:rFonts w:ascii="Calibri" w:hAnsi="Calibri" w:cs="Calibri"/>
          <w:color w:val="000000"/>
        </w:rPr>
        <w:t xml:space="preserve"> </w:t>
      </w:r>
      <w:r w:rsidR="006C5F87" w:rsidRPr="00077E05">
        <w:rPr>
          <w:rStyle w:val="normaltextrun"/>
          <w:rFonts w:ascii="Calibri" w:hAnsi="Calibri" w:cs="Calibri"/>
          <w:color w:val="000000"/>
        </w:rPr>
        <w:t xml:space="preserve">that </w:t>
      </w:r>
      <w:r w:rsidR="00FC1529">
        <w:rPr>
          <w:rStyle w:val="normaltextrun"/>
          <w:rFonts w:ascii="Calibri" w:hAnsi="Calibri" w:cs="Calibri"/>
          <w:color w:val="000000"/>
        </w:rPr>
        <w:t>t</w:t>
      </w:r>
      <w:r w:rsidR="006C5F87" w:rsidRPr="00077E05">
        <w:rPr>
          <w:rStyle w:val="normaltextrun"/>
          <w:rFonts w:ascii="Calibri" w:hAnsi="Calibri" w:cs="Calibri"/>
          <w:color w:val="000000"/>
        </w:rPr>
        <w:t>he</w:t>
      </w:r>
      <w:r w:rsidRPr="00077E05">
        <w:rPr>
          <w:rStyle w:val="normaltextrun"/>
          <w:rFonts w:ascii="Calibri" w:hAnsi="Calibri" w:cs="Calibri"/>
          <w:color w:val="000000"/>
        </w:rPr>
        <w:t xml:space="preserve"> public services </w:t>
      </w:r>
      <w:r w:rsidR="006C5F87" w:rsidRPr="00077E05">
        <w:rPr>
          <w:rStyle w:val="normaltextrun"/>
          <w:rFonts w:ascii="Calibri" w:hAnsi="Calibri" w:cs="Calibri"/>
          <w:color w:val="000000"/>
        </w:rPr>
        <w:t>have</w:t>
      </w:r>
      <w:r w:rsidR="001F1579" w:rsidRPr="00077E05">
        <w:rPr>
          <w:rStyle w:val="normaltextrun"/>
          <w:rFonts w:ascii="Calibri" w:hAnsi="Calibri" w:cs="Calibri"/>
          <w:color w:val="000000"/>
        </w:rPr>
        <w:t xml:space="preserve"> a</w:t>
      </w:r>
      <w:r w:rsidRPr="00077E05">
        <w:rPr>
          <w:rStyle w:val="normaltextrun"/>
          <w:rFonts w:ascii="Calibri" w:hAnsi="Calibri" w:cs="Calibri"/>
          <w:color w:val="000000"/>
        </w:rPr>
        <w:t xml:space="preserve"> strong structure to follow </w:t>
      </w:r>
      <w:r w:rsidR="006C5F87" w:rsidRPr="00077E05">
        <w:rPr>
          <w:rStyle w:val="normaltextrun"/>
          <w:rFonts w:ascii="Calibri" w:hAnsi="Calibri" w:cs="Calibri"/>
          <w:color w:val="000000"/>
        </w:rPr>
        <w:t>being</w:t>
      </w:r>
      <w:r w:rsidR="001F1579" w:rsidRPr="00077E05">
        <w:rPr>
          <w:rStyle w:val="normaltextrun"/>
          <w:rFonts w:ascii="Calibri" w:hAnsi="Calibri" w:cs="Calibri"/>
          <w:color w:val="000000"/>
        </w:rPr>
        <w:t xml:space="preserve"> a</w:t>
      </w:r>
      <w:r w:rsidRPr="00077E05">
        <w:rPr>
          <w:rStyle w:val="normaltextrun"/>
          <w:rFonts w:ascii="Calibri" w:hAnsi="Calibri" w:cs="Calibri"/>
          <w:color w:val="000000"/>
        </w:rPr>
        <w:t xml:space="preserve"> fundamental role when having to consider the planning provisions and any guidance associated</w:t>
      </w:r>
      <w:r w:rsidR="001F1579" w:rsidRPr="00077E05">
        <w:rPr>
          <w:rStyle w:val="normaltextrun"/>
          <w:rFonts w:ascii="Calibri" w:hAnsi="Calibri" w:cs="Calibri"/>
          <w:color w:val="000000"/>
        </w:rPr>
        <w:t xml:space="preserve"> with terrorist incidents</w:t>
      </w:r>
      <w:r w:rsidRPr="00077E05">
        <w:rPr>
          <w:rStyle w:val="normaltextrun"/>
          <w:rFonts w:ascii="Calibri" w:hAnsi="Calibri" w:cs="Calibri"/>
          <w:color w:val="000000"/>
        </w:rPr>
        <w:t xml:space="preserve">. </w:t>
      </w:r>
      <w:r w:rsidR="001F1579" w:rsidRPr="00077E05">
        <w:rPr>
          <w:rStyle w:val="normaltextrun"/>
          <w:rFonts w:ascii="Calibri" w:hAnsi="Calibri" w:cs="Calibri"/>
          <w:color w:val="000000"/>
        </w:rPr>
        <w:t>This</w:t>
      </w:r>
      <w:r w:rsidRPr="00077E05">
        <w:rPr>
          <w:rStyle w:val="normaltextrun"/>
          <w:rFonts w:ascii="Calibri" w:hAnsi="Calibri" w:cs="Calibri"/>
          <w:color w:val="000000"/>
        </w:rPr>
        <w:t xml:space="preserve"> act allows the public services to have a clear set of responsibilities and roles allowing each sector to work as effectively as possible. Stainsby (2012) states that The Civil Contingencies Act 2004 </w:t>
      </w:r>
      <w:r w:rsidR="006C5F87" w:rsidRPr="00077E05">
        <w:rPr>
          <w:rStyle w:val="normaltextrun"/>
          <w:rFonts w:ascii="Calibri" w:hAnsi="Calibri" w:cs="Calibri"/>
          <w:color w:val="000000"/>
        </w:rPr>
        <w:t>being</w:t>
      </w:r>
      <w:r w:rsidRPr="00077E05">
        <w:rPr>
          <w:rStyle w:val="normaltextrun"/>
          <w:rFonts w:ascii="Calibri" w:hAnsi="Calibri" w:cs="Calibri"/>
          <w:color w:val="000000"/>
        </w:rPr>
        <w:t xml:space="preserve"> brought into place ensuring the capability for the United Kingdom to be able to deal with incidents such as extreme terrorist attacks because of the previous legislation not being up to standard due to previous issues with incidents such as the Manchester arena bombing. After criticism from experts the government saw an area of improvement within this legalisation and ensured that a singular framework to be followed would benefit the public services by understanding what roles to carry out at that current time of a major incident. </w:t>
      </w:r>
      <w:r w:rsidRPr="00077E05">
        <w:rPr>
          <w:rStyle w:val="eop"/>
          <w:rFonts w:ascii="Calibri" w:hAnsi="Calibri" w:cs="Calibri"/>
          <w:color w:val="000000"/>
        </w:rPr>
        <w:t> </w:t>
      </w:r>
    </w:p>
    <w:p w14:paraId="4C2B0509" w14:textId="447173D5" w:rsidR="007749D0" w:rsidRPr="00077E05" w:rsidRDefault="007749D0" w:rsidP="001F1579">
      <w:pPr>
        <w:pStyle w:val="paragraph"/>
        <w:spacing w:before="0" w:beforeAutospacing="0" w:after="0" w:afterAutospacing="0"/>
        <w:ind w:left="-30" w:right="-30" w:firstLine="720"/>
        <w:textAlignment w:val="baseline"/>
        <w:rPr>
          <w:rFonts w:ascii="Segoe UI" w:hAnsi="Segoe UI" w:cs="Segoe UI"/>
        </w:rPr>
      </w:pPr>
      <w:r w:rsidRPr="00077E05">
        <w:rPr>
          <w:rStyle w:val="normaltextrun"/>
          <w:rFonts w:ascii="Calibri" w:hAnsi="Calibri" w:cs="Calibri"/>
          <w:color w:val="000000"/>
        </w:rPr>
        <w:t>An effective response from public services to terrorist attacks according to HMICFRS (2020) is Counter Terrorism Policing. This is the United Kingdom's police forces working together to find and gather intelligence from communities to reduce the amount of terrorist attack and help with the safety of communities from activity regarding terrorist attacks. The Government examined the effectiveness of the police is collaboration of intelligence and how effective the strategies are in preventing and responding to terrorist attacks. It is recognised that the Counter Terrorism Police are affecting the U</w:t>
      </w:r>
      <w:r w:rsidR="00077E05" w:rsidRPr="00077E05">
        <w:rPr>
          <w:rStyle w:val="normaltextrun"/>
          <w:rFonts w:ascii="Calibri" w:hAnsi="Calibri" w:cs="Calibri"/>
          <w:color w:val="000000"/>
        </w:rPr>
        <w:t>K</w:t>
      </w:r>
      <w:r w:rsidRPr="00077E05">
        <w:rPr>
          <w:rStyle w:val="normaltextrun"/>
          <w:rFonts w:ascii="Calibri" w:hAnsi="Calibri" w:cs="Calibri"/>
          <w:color w:val="000000"/>
        </w:rPr>
        <w:t xml:space="preserve"> positively because </w:t>
      </w:r>
      <w:r w:rsidR="001F1579" w:rsidRPr="00077E05">
        <w:rPr>
          <w:rStyle w:val="normaltextrun"/>
          <w:rFonts w:ascii="Calibri" w:hAnsi="Calibri" w:cs="Calibri"/>
          <w:color w:val="000000"/>
        </w:rPr>
        <w:t xml:space="preserve">the </w:t>
      </w:r>
      <w:r w:rsidRPr="00077E05">
        <w:rPr>
          <w:rStyle w:val="normaltextrun"/>
          <w:rFonts w:ascii="Calibri" w:hAnsi="Calibri" w:cs="Calibri"/>
          <w:color w:val="000000"/>
        </w:rPr>
        <w:t xml:space="preserve">threat level has been changed from severe to substantial reinforcing that the ‘Prevent’ scheme is working. </w:t>
      </w:r>
      <w:proofErr w:type="spellStart"/>
      <w:r w:rsidRPr="00077E05">
        <w:rPr>
          <w:rStyle w:val="normaltextrun"/>
          <w:rFonts w:ascii="Calibri" w:hAnsi="Calibri" w:cs="Calibri"/>
          <w:color w:val="000000"/>
        </w:rPr>
        <w:t>Henschke</w:t>
      </w:r>
      <w:proofErr w:type="spellEnd"/>
      <w:r w:rsidRPr="00077E05">
        <w:rPr>
          <w:rStyle w:val="normaltextrun"/>
          <w:rFonts w:ascii="Calibri" w:hAnsi="Calibri" w:cs="Calibri"/>
          <w:color w:val="000000"/>
        </w:rPr>
        <w:t xml:space="preserve"> et al., (2021) </w:t>
      </w:r>
      <w:r w:rsidR="001F1579" w:rsidRPr="00077E05">
        <w:rPr>
          <w:rStyle w:val="normaltextrun"/>
          <w:rFonts w:ascii="Calibri" w:hAnsi="Calibri" w:cs="Calibri"/>
          <w:color w:val="000000"/>
        </w:rPr>
        <w:t>states that</w:t>
      </w:r>
      <w:r w:rsidRPr="00077E05">
        <w:rPr>
          <w:rStyle w:val="normaltextrun"/>
          <w:rFonts w:ascii="Calibri" w:hAnsi="Calibri" w:cs="Calibri"/>
          <w:color w:val="000000"/>
        </w:rPr>
        <w:t xml:space="preserve"> counter terrorism police respond to terrorist attacks because they are being supported by the National Counter Terrorism Policing Headquarters policy and can work alongside them for effective outcomes. As a result of the guidance and support provided, they can investigate into any suspicious activity or any behaviour that could potentially be linked to upcoming terrorist attacks.</w:t>
      </w:r>
      <w:r w:rsidRPr="00077E05">
        <w:rPr>
          <w:rStyle w:val="eop"/>
          <w:rFonts w:ascii="Calibri" w:hAnsi="Calibri" w:cs="Calibri"/>
          <w:color w:val="000000"/>
        </w:rPr>
        <w:t> </w:t>
      </w:r>
    </w:p>
    <w:p w14:paraId="296D18DE" w14:textId="4F758B3E" w:rsidR="007749D0" w:rsidRPr="00077E05" w:rsidRDefault="007749D0" w:rsidP="007749D0">
      <w:pPr>
        <w:pStyle w:val="paragraph"/>
        <w:spacing w:before="0" w:beforeAutospacing="0" w:after="0" w:afterAutospacing="0"/>
        <w:ind w:left="-30" w:right="-30" w:firstLine="720"/>
        <w:textAlignment w:val="baseline"/>
        <w:rPr>
          <w:rFonts w:ascii="Segoe UI" w:hAnsi="Segoe UI" w:cs="Segoe UI"/>
        </w:rPr>
      </w:pPr>
      <w:r w:rsidRPr="00077E05">
        <w:rPr>
          <w:rStyle w:val="normaltextrun"/>
          <w:rFonts w:ascii="Calibri" w:hAnsi="Calibri" w:cs="Calibri"/>
          <w:color w:val="000000"/>
        </w:rPr>
        <w:t>On the other hand, Halford</w:t>
      </w:r>
      <w:r w:rsidR="003A4BA4" w:rsidRPr="00077E05">
        <w:rPr>
          <w:rStyle w:val="normaltextrun"/>
          <w:rFonts w:ascii="Calibri" w:hAnsi="Calibri" w:cs="Calibri"/>
          <w:color w:val="000000"/>
        </w:rPr>
        <w:t xml:space="preserve"> </w:t>
      </w:r>
      <w:r w:rsidRPr="00077E05">
        <w:rPr>
          <w:rStyle w:val="normaltextrun"/>
          <w:rFonts w:ascii="Calibri" w:hAnsi="Calibri" w:cs="Calibri"/>
          <w:color w:val="000000"/>
        </w:rPr>
        <w:t xml:space="preserve">(2023) </w:t>
      </w:r>
      <w:r w:rsidR="003A4BA4" w:rsidRPr="00077E05">
        <w:rPr>
          <w:rStyle w:val="normaltextrun"/>
          <w:rFonts w:ascii="Calibri" w:hAnsi="Calibri" w:cs="Calibri"/>
          <w:color w:val="000000"/>
        </w:rPr>
        <w:t xml:space="preserve">says </w:t>
      </w:r>
      <w:r w:rsidRPr="00077E05">
        <w:rPr>
          <w:rStyle w:val="normaltextrun"/>
          <w:rFonts w:ascii="Calibri" w:hAnsi="Calibri" w:cs="Calibri"/>
          <w:color w:val="000000"/>
        </w:rPr>
        <w:t>that individuals raise concerns regarding the public service is response to terrorist attacks whilst working with counter terrorism police. The reasoning for this is the intelligence the counter terrorism policing receive may be impacted and influenced by varied factors. For example, when the Covid19</w:t>
      </w:r>
      <w:r w:rsidR="003A4BA4" w:rsidRPr="00077E05">
        <w:rPr>
          <w:rStyle w:val="normaltextrun"/>
          <w:rFonts w:ascii="Calibri" w:hAnsi="Calibri" w:cs="Calibri"/>
          <w:color w:val="000000"/>
        </w:rPr>
        <w:t xml:space="preserve"> </w:t>
      </w:r>
      <w:r w:rsidRPr="00077E05">
        <w:rPr>
          <w:rStyle w:val="normaltextrun"/>
          <w:rFonts w:ascii="Calibri" w:hAnsi="Calibri" w:cs="Calibri"/>
          <w:color w:val="000000"/>
        </w:rPr>
        <w:t xml:space="preserve">pandemic hit the UK the </w:t>
      </w:r>
      <w:r w:rsidR="003A4BA4" w:rsidRPr="00077E05">
        <w:rPr>
          <w:rStyle w:val="normaltextrun"/>
          <w:rFonts w:ascii="Calibri" w:hAnsi="Calibri" w:cs="Calibri"/>
          <w:color w:val="000000"/>
        </w:rPr>
        <w:t>intelligence</w:t>
      </w:r>
      <w:r w:rsidRPr="00077E05">
        <w:rPr>
          <w:rStyle w:val="normaltextrun"/>
          <w:rFonts w:ascii="Calibri" w:hAnsi="Calibri" w:cs="Calibri"/>
          <w:color w:val="000000"/>
        </w:rPr>
        <w:t xml:space="preserve"> that the police were receiving became extremely unreliable. The police force is intelligence ensures that the police a</w:t>
      </w:r>
      <w:r w:rsidR="007B76E6">
        <w:rPr>
          <w:rStyle w:val="normaltextrun"/>
          <w:rFonts w:ascii="Calibri" w:hAnsi="Calibri" w:cs="Calibri"/>
          <w:color w:val="000000"/>
        </w:rPr>
        <w:t>r</w:t>
      </w:r>
      <w:r w:rsidRPr="00077E05">
        <w:rPr>
          <w:rStyle w:val="normaltextrun"/>
          <w:rFonts w:ascii="Calibri" w:hAnsi="Calibri" w:cs="Calibri"/>
          <w:color w:val="000000"/>
        </w:rPr>
        <w:t xml:space="preserve">e able to put effective strategies in place for example stop and searches, undercover police officers and integrated led policing. Therefore, when there was a sudden impact to the strategies being carried out with </w:t>
      </w:r>
      <w:r w:rsidR="003A4BA4" w:rsidRPr="00077E05">
        <w:rPr>
          <w:rStyle w:val="normaltextrun"/>
          <w:rFonts w:ascii="Calibri" w:hAnsi="Calibri" w:cs="Calibri"/>
          <w:color w:val="000000"/>
        </w:rPr>
        <w:t>little</w:t>
      </w:r>
      <w:r w:rsidRPr="00077E05">
        <w:rPr>
          <w:rStyle w:val="normaltextrun"/>
          <w:rFonts w:ascii="Calibri" w:hAnsi="Calibri" w:cs="Calibri"/>
          <w:color w:val="000000"/>
        </w:rPr>
        <w:t xml:space="preserve"> intelligence being collected this brought up implications such as not being able to plan strategic plans in preparation to protect communities. </w:t>
      </w:r>
      <w:r w:rsidRPr="00077E05">
        <w:rPr>
          <w:rStyle w:val="eop"/>
          <w:rFonts w:ascii="Calibri" w:hAnsi="Calibri" w:cs="Calibri"/>
          <w:color w:val="000000"/>
        </w:rPr>
        <w:t> </w:t>
      </w:r>
    </w:p>
    <w:p w14:paraId="595FB405" w14:textId="39C8148C" w:rsidR="007749D0" w:rsidRPr="00077E05" w:rsidRDefault="007749D0" w:rsidP="007749D0">
      <w:pPr>
        <w:pStyle w:val="paragraph"/>
        <w:spacing w:before="0" w:beforeAutospacing="0" w:after="0" w:afterAutospacing="0"/>
        <w:ind w:left="-30" w:right="-30" w:firstLine="720"/>
        <w:textAlignment w:val="baseline"/>
        <w:rPr>
          <w:rFonts w:ascii="Segoe UI" w:hAnsi="Segoe UI" w:cs="Segoe UI"/>
        </w:rPr>
      </w:pPr>
      <w:r w:rsidRPr="00077E05">
        <w:rPr>
          <w:rStyle w:val="normaltextrun"/>
          <w:rFonts w:ascii="Calibri" w:hAnsi="Calibri" w:cs="Calibri"/>
          <w:color w:val="000000"/>
        </w:rPr>
        <w:t>According to HM Government (2018) the introduction of ‘CONTEST’ which is a strategy that was introduced to act against the uprising issues of terrorist attacks</w:t>
      </w:r>
      <w:r w:rsidR="003A4BA4" w:rsidRPr="00077E05">
        <w:rPr>
          <w:rStyle w:val="normaltextrun"/>
          <w:rFonts w:ascii="Calibri" w:hAnsi="Calibri" w:cs="Calibri"/>
          <w:color w:val="000000"/>
        </w:rPr>
        <w:t xml:space="preserve"> is extremely effective</w:t>
      </w:r>
      <w:r w:rsidRPr="00077E05">
        <w:rPr>
          <w:rStyle w:val="normaltextrun"/>
          <w:rFonts w:ascii="Calibri" w:hAnsi="Calibri" w:cs="Calibri"/>
          <w:color w:val="000000"/>
        </w:rPr>
        <w:t xml:space="preserve">. </w:t>
      </w:r>
      <w:r w:rsidR="003A4BA4" w:rsidRPr="00077E05">
        <w:rPr>
          <w:rStyle w:val="normaltextrun"/>
          <w:rFonts w:ascii="Calibri" w:hAnsi="Calibri" w:cs="Calibri"/>
          <w:color w:val="000000"/>
        </w:rPr>
        <w:t>Reasoning for this is the</w:t>
      </w:r>
      <w:r w:rsidRPr="00077E05">
        <w:rPr>
          <w:rStyle w:val="normaltextrun"/>
          <w:rFonts w:ascii="Calibri" w:hAnsi="Calibri" w:cs="Calibri"/>
          <w:color w:val="000000"/>
        </w:rPr>
        <w:t xml:space="preserve"> implement</w:t>
      </w:r>
      <w:r w:rsidR="003A4BA4" w:rsidRPr="00077E05">
        <w:rPr>
          <w:rStyle w:val="normaltextrun"/>
          <w:rFonts w:ascii="Calibri" w:hAnsi="Calibri" w:cs="Calibri"/>
          <w:color w:val="000000"/>
        </w:rPr>
        <w:t>ation</w:t>
      </w:r>
      <w:r w:rsidRPr="00077E05">
        <w:rPr>
          <w:rStyle w:val="normaltextrun"/>
          <w:rFonts w:ascii="Calibri" w:hAnsi="Calibri" w:cs="Calibri"/>
          <w:color w:val="000000"/>
        </w:rPr>
        <w:t xml:space="preserve"> a</w:t>
      </w:r>
      <w:r w:rsidR="003A4BA4" w:rsidRPr="00077E05">
        <w:rPr>
          <w:rStyle w:val="normaltextrun"/>
          <w:rFonts w:ascii="Calibri" w:hAnsi="Calibri" w:cs="Calibri"/>
          <w:color w:val="000000"/>
        </w:rPr>
        <w:t>nd</w:t>
      </w:r>
      <w:r w:rsidRPr="00077E05">
        <w:rPr>
          <w:rStyle w:val="normaltextrun"/>
          <w:rFonts w:ascii="Calibri" w:hAnsi="Calibri" w:cs="Calibri"/>
          <w:color w:val="000000"/>
        </w:rPr>
        <w:t xml:space="preserve"> strategic framework reduc</w:t>
      </w:r>
      <w:r w:rsidR="003A4BA4" w:rsidRPr="00077E05">
        <w:rPr>
          <w:rStyle w:val="normaltextrun"/>
          <w:rFonts w:ascii="Calibri" w:hAnsi="Calibri" w:cs="Calibri"/>
          <w:color w:val="000000"/>
        </w:rPr>
        <w:t>es</w:t>
      </w:r>
      <w:r w:rsidRPr="00077E05">
        <w:rPr>
          <w:rStyle w:val="normaltextrun"/>
          <w:rFonts w:ascii="Calibri" w:hAnsi="Calibri" w:cs="Calibri"/>
          <w:color w:val="000000"/>
        </w:rPr>
        <w:t xml:space="preserve"> the risk of terrorist attacks in the United Kingdom and the interests overseas. This strategy is made up of ‘Prevent’ which safeguards individual's that are vulnerable to radicalisation, ‘Pursue’ which prevents terrorist attacks happening in the United Kingdom and ‘Protect’ which strengthens the protection against terrorist attacks. Lastly the ‘Prepare’ </w:t>
      </w:r>
      <w:r w:rsidRPr="00077E05">
        <w:rPr>
          <w:rStyle w:val="normaltextrun"/>
          <w:rFonts w:ascii="Calibri" w:hAnsi="Calibri" w:cs="Calibri"/>
          <w:color w:val="000000"/>
        </w:rPr>
        <w:lastRenderedPageBreak/>
        <w:t xml:space="preserve">strategy ensures that terrorist attacks are mitigated. </w:t>
      </w:r>
      <w:proofErr w:type="spellStart"/>
      <w:r w:rsidRPr="00077E05">
        <w:rPr>
          <w:rStyle w:val="normaltextrun"/>
          <w:rFonts w:ascii="Calibri" w:hAnsi="Calibri" w:cs="Calibri"/>
          <w:color w:val="000000"/>
        </w:rPr>
        <w:t>Gearson</w:t>
      </w:r>
      <w:proofErr w:type="spellEnd"/>
      <w:r w:rsidRPr="00077E05">
        <w:rPr>
          <w:rStyle w:val="normaltextrun"/>
          <w:rFonts w:ascii="Calibri" w:hAnsi="Calibri" w:cs="Calibri"/>
          <w:color w:val="000000"/>
        </w:rPr>
        <w:t xml:space="preserve"> &amp; Rosemont, (2015) states that the strategy is highlighted as an essential part of the UK’s responding effectively to terrorism because of the effective communication between the Government, British people, private sectors, and international partners. Therefore, using this communication as the core aspect of this strategy ensures being able to assess the threat thoroughly and correctly ensuring safety to communities. An example of the ‘Prevent’ strategy being effective is where a 17-year-old individual called Callum from Luton who was posting concerning information on his Facebook. He was promoting a group called Young Patriots that was brought up to his teacher. He had a flare that he intended to set off later. As a result of this strategy plan the school were able to safeguard Callum and give him the correct support.</w:t>
      </w:r>
      <w:r w:rsidRPr="00077E05">
        <w:rPr>
          <w:rStyle w:val="eop"/>
          <w:rFonts w:ascii="Calibri" w:hAnsi="Calibri" w:cs="Calibri"/>
          <w:color w:val="000000"/>
        </w:rPr>
        <w:t> </w:t>
      </w:r>
    </w:p>
    <w:p w14:paraId="400933D5" w14:textId="77777777" w:rsidR="00230CA0" w:rsidRDefault="007749D0" w:rsidP="00230CA0">
      <w:pPr>
        <w:pStyle w:val="paragraph"/>
        <w:spacing w:before="0" w:beforeAutospacing="0" w:after="0" w:afterAutospacing="0"/>
        <w:ind w:left="-30" w:right="-30" w:firstLine="720"/>
        <w:textAlignment w:val="baseline"/>
        <w:rPr>
          <w:rFonts w:ascii="Segoe UI" w:hAnsi="Segoe UI" w:cs="Segoe UI"/>
        </w:rPr>
      </w:pPr>
      <w:r w:rsidRPr="00077E05">
        <w:rPr>
          <w:rStyle w:val="normaltextrun"/>
          <w:rFonts w:ascii="Calibri" w:hAnsi="Calibri" w:cs="Calibri"/>
          <w:color w:val="000000"/>
        </w:rPr>
        <w:t xml:space="preserve">On the other hand, Lum, et al., (2006) disagrees that the strategies that have been brought forwards by the Government are all effective. The reason for this is that on since the </w:t>
      </w:r>
      <w:r w:rsidR="006C5F87" w:rsidRPr="00077E05">
        <w:rPr>
          <w:rStyle w:val="normaltextrun"/>
          <w:rFonts w:ascii="Calibri" w:hAnsi="Calibri" w:cs="Calibri"/>
          <w:color w:val="000000"/>
        </w:rPr>
        <w:t xml:space="preserve">9/11 </w:t>
      </w:r>
      <w:r w:rsidRPr="00077E05">
        <w:rPr>
          <w:rStyle w:val="normaltextrun"/>
          <w:rFonts w:ascii="Calibri" w:hAnsi="Calibri" w:cs="Calibri"/>
          <w:color w:val="000000"/>
        </w:rPr>
        <w:t>incident, where there was a terrorist attack</w:t>
      </w:r>
      <w:r w:rsidR="006C5F87" w:rsidRPr="00077E05">
        <w:rPr>
          <w:rStyle w:val="normaltextrun"/>
          <w:rFonts w:ascii="Calibri" w:hAnsi="Calibri" w:cs="Calibri"/>
          <w:color w:val="000000"/>
        </w:rPr>
        <w:t xml:space="preserve"> </w:t>
      </w:r>
      <w:r w:rsidRPr="00077E05">
        <w:rPr>
          <w:rStyle w:val="normaltextrun"/>
          <w:rFonts w:ascii="Calibri" w:hAnsi="Calibri" w:cs="Calibri"/>
          <w:color w:val="000000"/>
        </w:rPr>
        <w:t xml:space="preserve">where an Islamic extremist group known as al-Qaeda carried out an airline hijackings and suicide attacks. </w:t>
      </w:r>
      <w:r w:rsidR="006C5F87" w:rsidRPr="00077E05">
        <w:rPr>
          <w:rStyle w:val="normaltextrun"/>
          <w:rFonts w:ascii="Calibri" w:hAnsi="Calibri" w:cs="Calibri"/>
          <w:color w:val="000000"/>
        </w:rPr>
        <w:t xml:space="preserve">This </w:t>
      </w:r>
      <w:r w:rsidRPr="00077E05">
        <w:rPr>
          <w:rStyle w:val="normaltextrun"/>
          <w:rFonts w:ascii="Calibri" w:hAnsi="Calibri" w:cs="Calibri"/>
          <w:color w:val="000000"/>
        </w:rPr>
        <w:t>caused a significant increase in governmental expenditures on anti-terrorism strategies. Another issue is engagement and communication the strategy has with Muslim communities. Therefore, it highlights the issue of being problematic when considering the difference</w:t>
      </w:r>
      <w:r w:rsidR="003A4BA4" w:rsidRPr="00077E05">
        <w:rPr>
          <w:rStyle w:val="normaltextrun"/>
          <w:rFonts w:ascii="Calibri" w:hAnsi="Calibri" w:cs="Calibri"/>
          <w:color w:val="000000"/>
        </w:rPr>
        <w:t>s</w:t>
      </w:r>
      <w:r w:rsidRPr="00077E05">
        <w:rPr>
          <w:rStyle w:val="normaltextrun"/>
          <w:rFonts w:ascii="Calibri" w:hAnsi="Calibri" w:cs="Calibri"/>
          <w:color w:val="000000"/>
        </w:rPr>
        <w:t xml:space="preserve"> in habits, practices, and perspectives when to comes to the approach of implementation between levels of governance.</w:t>
      </w:r>
      <w:r w:rsidRPr="00077E05">
        <w:rPr>
          <w:rStyle w:val="eop"/>
          <w:rFonts w:ascii="Calibri" w:hAnsi="Calibri" w:cs="Calibri"/>
          <w:color w:val="000000"/>
        </w:rPr>
        <w:t> </w:t>
      </w:r>
    </w:p>
    <w:p w14:paraId="152AF851" w14:textId="0E5DD035" w:rsidR="007749D0" w:rsidRPr="00230CA0" w:rsidRDefault="007749D0" w:rsidP="00230CA0">
      <w:pPr>
        <w:pStyle w:val="paragraph"/>
        <w:spacing w:before="0" w:beforeAutospacing="0" w:after="0" w:afterAutospacing="0"/>
        <w:ind w:left="-30" w:right="-30" w:firstLine="720"/>
        <w:textAlignment w:val="baseline"/>
        <w:rPr>
          <w:rStyle w:val="eop"/>
          <w:rFonts w:ascii="Segoe UI" w:hAnsi="Segoe UI" w:cs="Segoe UI"/>
        </w:rPr>
      </w:pPr>
      <w:r w:rsidRPr="00077E05">
        <w:rPr>
          <w:rStyle w:val="normaltextrun"/>
          <w:rFonts w:ascii="Calibri" w:hAnsi="Calibri" w:cs="Calibri"/>
          <w:color w:val="000000"/>
        </w:rPr>
        <w:t xml:space="preserve"> To conclude, after evaluating the effectiveness of the Public Service response to a terrorist attack it is highlighted that there is strategies and measures put in place to ensure the threat level is reduced and individuals in the communities feel safer. Previous terrorist incidents such as 9/11 and the Manchester arena showed aspects of the public services responding effectively and ineffectively. Therefore, because of issues regarding responding in previous terrorist incidents these have improved by new strategies being implemented and improved.</w:t>
      </w:r>
      <w:r w:rsidRPr="00077E05">
        <w:rPr>
          <w:rStyle w:val="eop"/>
          <w:rFonts w:ascii="Calibri" w:hAnsi="Calibri" w:cs="Calibri"/>
          <w:color w:val="000000"/>
        </w:rPr>
        <w:t> </w:t>
      </w:r>
    </w:p>
    <w:p w14:paraId="44FCFDAA" w14:textId="77777777" w:rsidR="007749D0" w:rsidRPr="00077E05" w:rsidRDefault="007749D0" w:rsidP="007749D0">
      <w:pPr>
        <w:pStyle w:val="paragraph"/>
        <w:spacing w:before="0" w:beforeAutospacing="0" w:after="0" w:afterAutospacing="0"/>
        <w:ind w:left="-30" w:right="-30" w:firstLine="720"/>
        <w:textAlignment w:val="baseline"/>
        <w:rPr>
          <w:rStyle w:val="eop"/>
          <w:rFonts w:ascii="Calibri" w:hAnsi="Calibri" w:cs="Calibri"/>
          <w:color w:val="000000"/>
        </w:rPr>
      </w:pPr>
    </w:p>
    <w:p w14:paraId="5E461A50" w14:textId="3B928934" w:rsidR="007749D0" w:rsidRPr="00077E05" w:rsidRDefault="007749D0" w:rsidP="007749D0">
      <w:pPr>
        <w:pStyle w:val="paragraph"/>
        <w:spacing w:before="0" w:beforeAutospacing="0" w:after="0" w:afterAutospacing="0"/>
        <w:ind w:right="-30"/>
        <w:textAlignment w:val="baseline"/>
        <w:rPr>
          <w:rStyle w:val="eop"/>
          <w:rFonts w:ascii="Calibri" w:hAnsi="Calibri" w:cs="Calibri"/>
          <w:color w:val="000000"/>
        </w:rPr>
      </w:pPr>
      <w:r w:rsidRPr="00077E05">
        <w:rPr>
          <w:rStyle w:val="eop"/>
          <w:rFonts w:ascii="Calibri" w:hAnsi="Calibri" w:cs="Calibri"/>
          <w:color w:val="000000"/>
        </w:rPr>
        <w:t>Word count=</w:t>
      </w:r>
      <w:r w:rsidR="00077E05" w:rsidRPr="00077E05">
        <w:rPr>
          <w:rStyle w:val="eop"/>
          <w:rFonts w:ascii="Calibri" w:hAnsi="Calibri" w:cs="Calibri"/>
          <w:color w:val="000000"/>
        </w:rPr>
        <w:t>219</w:t>
      </w:r>
      <w:r w:rsidR="001F225F">
        <w:rPr>
          <w:rStyle w:val="eop"/>
          <w:rFonts w:ascii="Calibri" w:hAnsi="Calibri" w:cs="Calibri"/>
          <w:color w:val="000000"/>
        </w:rPr>
        <w:t>8</w:t>
      </w:r>
    </w:p>
    <w:p w14:paraId="4C6182EE" w14:textId="77777777" w:rsidR="00077E05" w:rsidRDefault="00077E05" w:rsidP="007749D0">
      <w:pPr>
        <w:pStyle w:val="paragraph"/>
        <w:spacing w:before="0" w:beforeAutospacing="0" w:after="0" w:afterAutospacing="0"/>
        <w:ind w:right="-30"/>
        <w:textAlignment w:val="baseline"/>
        <w:rPr>
          <w:rStyle w:val="eop"/>
          <w:rFonts w:ascii="Calibri" w:hAnsi="Calibri" w:cs="Calibri"/>
          <w:color w:val="000000"/>
          <w:sz w:val="28"/>
          <w:szCs w:val="28"/>
        </w:rPr>
      </w:pPr>
    </w:p>
    <w:p w14:paraId="4B7B0D6B" w14:textId="77777777" w:rsidR="00077E05" w:rsidRDefault="00077E05" w:rsidP="007749D0">
      <w:pPr>
        <w:pStyle w:val="paragraph"/>
        <w:spacing w:before="0" w:beforeAutospacing="0" w:after="0" w:afterAutospacing="0"/>
        <w:ind w:right="-30"/>
        <w:textAlignment w:val="baseline"/>
        <w:rPr>
          <w:rStyle w:val="eop"/>
          <w:rFonts w:ascii="Calibri" w:hAnsi="Calibri" w:cs="Calibri"/>
          <w:color w:val="000000"/>
          <w:sz w:val="28"/>
          <w:szCs w:val="28"/>
        </w:rPr>
      </w:pPr>
    </w:p>
    <w:p w14:paraId="0B601E33" w14:textId="77777777" w:rsidR="00077E05" w:rsidRDefault="00077E05" w:rsidP="007749D0">
      <w:pPr>
        <w:pStyle w:val="paragraph"/>
        <w:spacing w:before="0" w:beforeAutospacing="0" w:after="0" w:afterAutospacing="0"/>
        <w:ind w:right="-30"/>
        <w:textAlignment w:val="baseline"/>
        <w:rPr>
          <w:rStyle w:val="eop"/>
          <w:rFonts w:ascii="Calibri" w:hAnsi="Calibri" w:cs="Calibri"/>
          <w:color w:val="000000"/>
          <w:sz w:val="28"/>
          <w:szCs w:val="28"/>
        </w:rPr>
      </w:pPr>
    </w:p>
    <w:p w14:paraId="3F99C174" w14:textId="77777777" w:rsidR="00077E05" w:rsidRDefault="00077E05" w:rsidP="007749D0">
      <w:pPr>
        <w:pStyle w:val="paragraph"/>
        <w:spacing w:before="0" w:beforeAutospacing="0" w:after="0" w:afterAutospacing="0"/>
        <w:ind w:right="-30"/>
        <w:textAlignment w:val="baseline"/>
        <w:rPr>
          <w:rStyle w:val="eop"/>
          <w:rFonts w:ascii="Calibri" w:hAnsi="Calibri" w:cs="Calibri"/>
          <w:color w:val="000000"/>
          <w:sz w:val="28"/>
          <w:szCs w:val="28"/>
        </w:rPr>
      </w:pPr>
    </w:p>
    <w:p w14:paraId="659281E5" w14:textId="0ABABF5B" w:rsidR="00077E05" w:rsidRPr="00077E05" w:rsidRDefault="00077E05" w:rsidP="007749D0">
      <w:pPr>
        <w:pStyle w:val="paragraph"/>
        <w:spacing w:before="0" w:beforeAutospacing="0" w:after="0" w:afterAutospacing="0"/>
        <w:ind w:right="-30"/>
        <w:textAlignment w:val="baseline"/>
        <w:rPr>
          <w:rStyle w:val="eop"/>
          <w:rFonts w:ascii="Calibri" w:hAnsi="Calibri" w:cs="Calibri"/>
          <w:b/>
          <w:bCs/>
          <w:color w:val="000000"/>
          <w:sz w:val="28"/>
          <w:szCs w:val="28"/>
          <w:u w:val="single"/>
        </w:rPr>
      </w:pPr>
      <w:r>
        <w:rPr>
          <w:rStyle w:val="eop"/>
          <w:rFonts w:ascii="Calibri" w:hAnsi="Calibri" w:cs="Calibri"/>
          <w:b/>
          <w:bCs/>
          <w:color w:val="000000"/>
          <w:sz w:val="28"/>
          <w:szCs w:val="28"/>
          <w:u w:val="single"/>
        </w:rPr>
        <w:t>Reference list:</w:t>
      </w:r>
    </w:p>
    <w:sdt>
      <w:sdtPr>
        <w:rPr>
          <w:rFonts w:ascii="Times New Roman" w:eastAsia="Times New Roman" w:hAnsi="Times New Roman" w:cs="Times New Roman"/>
          <w:b w:val="0"/>
          <w:bCs w:val="0"/>
          <w:color w:val="auto"/>
          <w:sz w:val="24"/>
          <w:szCs w:val="24"/>
          <w:lang w:val="en-GB" w:eastAsia="en-GB" w:bidi="ar-SA"/>
        </w:rPr>
        <w:id w:val="1416276633"/>
        <w:docPartObj>
          <w:docPartGallery w:val="Bibliographies"/>
          <w:docPartUnique/>
        </w:docPartObj>
      </w:sdtPr>
      <w:sdtEndPr>
        <w:rPr>
          <w:rFonts w:asciiTheme="minorHAnsi" w:hAnsiTheme="minorHAnsi" w:cstheme="minorHAnsi"/>
        </w:rPr>
      </w:sdtEndPr>
      <w:sdtContent>
        <w:p w14:paraId="659D0C97" w14:textId="12C5C81F" w:rsidR="00077E05" w:rsidRDefault="00077E05">
          <w:pPr>
            <w:pStyle w:val="Heading1"/>
          </w:pPr>
        </w:p>
        <w:sdt>
          <w:sdtPr>
            <w:id w:val="111145805"/>
            <w:bibliography/>
          </w:sdtPr>
          <w:sdtEndPr>
            <w:rPr>
              <w:rFonts w:asciiTheme="minorHAnsi" w:hAnsiTheme="minorHAnsi" w:cstheme="minorHAnsi"/>
            </w:rPr>
          </w:sdtEndPr>
          <w:sdtContent>
            <w:p w14:paraId="2A3263A9" w14:textId="5DB13A3F"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rPr>
                <w:fldChar w:fldCharType="begin"/>
              </w:r>
              <w:r w:rsidRPr="00077E05">
                <w:rPr>
                  <w:rFonts w:asciiTheme="minorHAnsi" w:hAnsiTheme="minorHAnsi" w:cstheme="minorHAnsi"/>
                </w:rPr>
                <w:instrText xml:space="preserve"> BIBLIOGRAPHY </w:instrText>
              </w:r>
              <w:r w:rsidRPr="00077E05">
                <w:rPr>
                  <w:rFonts w:asciiTheme="minorHAnsi" w:hAnsiTheme="minorHAnsi" w:cstheme="minorHAnsi"/>
                </w:rPr>
                <w:fldChar w:fldCharType="separate"/>
              </w:r>
              <w:r w:rsidRPr="00077E05">
                <w:rPr>
                  <w:rFonts w:asciiTheme="minorHAnsi" w:hAnsiTheme="minorHAnsi" w:cstheme="minorHAnsi"/>
                  <w:noProof/>
                  <w:lang w:val="en-US"/>
                </w:rPr>
                <w:t xml:space="preserve">Allen, G., Burton, M. B. &amp; Pratt, A., 2022. </w:t>
              </w:r>
              <w:r w:rsidRPr="00077E05">
                <w:rPr>
                  <w:rFonts w:asciiTheme="minorHAnsi" w:hAnsiTheme="minorHAnsi" w:cstheme="minorHAnsi"/>
                  <w:i/>
                  <w:iCs/>
                  <w:noProof/>
                  <w:lang w:val="en-US"/>
                </w:rPr>
                <w:t xml:space="preserve">Terrorism in Great Britain: the statistics. </w:t>
              </w:r>
              <w:r w:rsidRPr="00077E05">
                <w:rPr>
                  <w:rFonts w:asciiTheme="minorHAnsi" w:hAnsiTheme="minorHAnsi" w:cstheme="minorHAnsi"/>
                  <w:noProof/>
                  <w:lang w:val="en-US"/>
                </w:rPr>
                <w:t xml:space="preserve">[Online] </w:t>
              </w:r>
              <w:r w:rsidRPr="00077E05">
                <w:rPr>
                  <w:rFonts w:asciiTheme="minorHAnsi" w:hAnsiTheme="minorHAnsi" w:cstheme="minorHAnsi"/>
                  <w:noProof/>
                  <w:lang w:val="en-US"/>
                </w:rPr>
                <w:br/>
                <w:t xml:space="preserve">Available at: </w:t>
              </w:r>
              <w:r w:rsidRPr="00077E05">
                <w:rPr>
                  <w:rFonts w:asciiTheme="minorHAnsi" w:hAnsiTheme="minorHAnsi" w:cstheme="minorHAnsi"/>
                  <w:noProof/>
                  <w:u w:val="single"/>
                  <w:lang w:val="en-US"/>
                </w:rPr>
                <w:t>https://researchbriefings.files.parliament.uk/documents/CBP-7613/CBP-7613.pdf</w:t>
              </w:r>
              <w:r>
                <w:rPr>
                  <w:rFonts w:asciiTheme="minorHAnsi" w:hAnsiTheme="minorHAnsi" w:cstheme="minorHAnsi"/>
                  <w:noProof/>
                  <w:lang w:val="en-US"/>
                </w:rPr>
                <w:t xml:space="preserve"> </w:t>
              </w:r>
              <w:r w:rsidRPr="00077E05">
                <w:rPr>
                  <w:rFonts w:asciiTheme="minorHAnsi" w:hAnsiTheme="minorHAnsi" w:cstheme="minorHAnsi"/>
                  <w:noProof/>
                  <w:lang w:val="en-US"/>
                </w:rPr>
                <w:t>[Accessed 9 Februrary 2024].</w:t>
              </w:r>
            </w:p>
            <w:p w14:paraId="3CE2FB3D" w14:textId="77777777" w:rsidR="00077E05" w:rsidRPr="00077E05" w:rsidRDefault="00077E05" w:rsidP="00077E05">
              <w:pPr>
                <w:rPr>
                  <w:lang w:val="en-US"/>
                </w:rPr>
              </w:pPr>
            </w:p>
            <w:p w14:paraId="7E3949BF"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Barten, D., De Cauwer, H. &amp; Willems, M., 2023. Communication failure in the prehospital response to major terrorist attacks: lessons learned and future directions. </w:t>
              </w:r>
              <w:r w:rsidRPr="00077E05">
                <w:rPr>
                  <w:rFonts w:asciiTheme="minorHAnsi" w:hAnsiTheme="minorHAnsi" w:cstheme="minorHAnsi"/>
                  <w:i/>
                  <w:iCs/>
                  <w:noProof/>
                  <w:lang w:val="en-US"/>
                </w:rPr>
                <w:t xml:space="preserve">European journal of trauma and emergency surgery, </w:t>
              </w:r>
              <w:r w:rsidRPr="00077E05">
                <w:rPr>
                  <w:rFonts w:asciiTheme="minorHAnsi" w:hAnsiTheme="minorHAnsi" w:cstheme="minorHAnsi"/>
                  <w:noProof/>
                  <w:lang w:val="en-US"/>
                </w:rPr>
                <w:t>49(4), pp. 1741-1750.</w:t>
              </w:r>
            </w:p>
            <w:p w14:paraId="7135C638" w14:textId="77777777" w:rsidR="00077E05" w:rsidRPr="00077E05" w:rsidRDefault="00077E05" w:rsidP="00077E05">
              <w:pPr>
                <w:rPr>
                  <w:lang w:val="en-US"/>
                </w:rPr>
              </w:pPr>
            </w:p>
            <w:p w14:paraId="76CF2350"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Chauhun, R. &amp; Keene, D., 2018. Marauding terrorist attack (MTA): prehospital considerations. </w:t>
              </w:r>
              <w:r w:rsidRPr="00077E05">
                <w:rPr>
                  <w:rFonts w:asciiTheme="minorHAnsi" w:hAnsiTheme="minorHAnsi" w:cstheme="minorHAnsi"/>
                  <w:i/>
                  <w:iCs/>
                  <w:noProof/>
                  <w:lang w:val="en-US"/>
                </w:rPr>
                <w:t xml:space="preserve">Emergency medicine journal, </w:t>
              </w:r>
              <w:r w:rsidRPr="00077E05">
                <w:rPr>
                  <w:rFonts w:asciiTheme="minorHAnsi" w:hAnsiTheme="minorHAnsi" w:cstheme="minorHAnsi"/>
                  <w:noProof/>
                  <w:lang w:val="en-US"/>
                </w:rPr>
                <w:t>35(6), pp. 389-395.</w:t>
              </w:r>
            </w:p>
            <w:p w14:paraId="6E621F66" w14:textId="77777777" w:rsidR="00077E05" w:rsidRPr="00077E05" w:rsidRDefault="00077E05" w:rsidP="00077E05">
              <w:pPr>
                <w:rPr>
                  <w:lang w:val="en-US"/>
                </w:rPr>
              </w:pPr>
            </w:p>
            <w:p w14:paraId="038AA8E1" w14:textId="611B5496"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lastRenderedPageBreak/>
                <w:t xml:space="preserve">College of Policing, 2013. </w:t>
              </w:r>
              <w:r w:rsidRPr="00077E05">
                <w:rPr>
                  <w:rFonts w:asciiTheme="minorHAnsi" w:hAnsiTheme="minorHAnsi" w:cstheme="minorHAnsi"/>
                  <w:i/>
                  <w:iCs/>
                  <w:noProof/>
                  <w:lang w:val="en-US"/>
                </w:rPr>
                <w:t xml:space="preserve">Civil contingencies. </w:t>
              </w:r>
              <w:r w:rsidRPr="00077E05">
                <w:rPr>
                  <w:rFonts w:asciiTheme="minorHAnsi" w:hAnsiTheme="minorHAnsi" w:cstheme="minorHAnsi"/>
                  <w:noProof/>
                  <w:lang w:val="en-US"/>
                </w:rPr>
                <w:t xml:space="preserve">[Online] </w:t>
              </w:r>
              <w:r w:rsidRPr="00077E05">
                <w:rPr>
                  <w:rFonts w:asciiTheme="minorHAnsi" w:hAnsiTheme="minorHAnsi" w:cstheme="minorHAnsi"/>
                  <w:noProof/>
                  <w:lang w:val="en-US"/>
                </w:rPr>
                <w:br/>
                <w:t xml:space="preserve">Available at: </w:t>
              </w:r>
              <w:r w:rsidRPr="00077E05">
                <w:rPr>
                  <w:rFonts w:asciiTheme="minorHAnsi" w:hAnsiTheme="minorHAnsi" w:cstheme="minorHAnsi"/>
                  <w:noProof/>
                  <w:u w:val="single"/>
                  <w:lang w:val="en-US"/>
                </w:rPr>
                <w:t>https://www.college.police.uk/app/civil-emergencies/civil-contingencies/civil-contingencies</w:t>
              </w:r>
              <w:r>
                <w:rPr>
                  <w:rFonts w:asciiTheme="minorHAnsi" w:hAnsiTheme="minorHAnsi" w:cstheme="minorHAnsi"/>
                  <w:noProof/>
                  <w:lang w:val="en-US"/>
                </w:rPr>
                <w:t xml:space="preserve"> </w:t>
              </w:r>
              <w:r w:rsidRPr="00077E05">
                <w:rPr>
                  <w:rFonts w:asciiTheme="minorHAnsi" w:hAnsiTheme="minorHAnsi" w:cstheme="minorHAnsi"/>
                  <w:noProof/>
                  <w:lang w:val="en-US"/>
                </w:rPr>
                <w:t>[Accessed 13 Februrary 2024].</w:t>
              </w:r>
            </w:p>
            <w:p w14:paraId="4E4D1620" w14:textId="77777777" w:rsidR="00077E05" w:rsidRPr="00077E05" w:rsidRDefault="00077E05" w:rsidP="00077E05">
              <w:pPr>
                <w:rPr>
                  <w:lang w:val="en-US"/>
                </w:rPr>
              </w:pPr>
            </w:p>
            <w:p w14:paraId="797D7A1B"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Gearson, J. &amp; Rosemont, H., 2015. CONTEST as Strategy: Reassessing Britain's Counterterrorism Approach. </w:t>
              </w:r>
              <w:r w:rsidRPr="00077E05">
                <w:rPr>
                  <w:rFonts w:asciiTheme="minorHAnsi" w:hAnsiTheme="minorHAnsi" w:cstheme="minorHAnsi"/>
                  <w:i/>
                  <w:iCs/>
                  <w:noProof/>
                  <w:lang w:val="en-US"/>
                </w:rPr>
                <w:t xml:space="preserve">Studies in conflict and terrorism, </w:t>
              </w:r>
              <w:r w:rsidRPr="00077E05">
                <w:rPr>
                  <w:rFonts w:asciiTheme="minorHAnsi" w:hAnsiTheme="minorHAnsi" w:cstheme="minorHAnsi"/>
                  <w:noProof/>
                  <w:lang w:val="en-US"/>
                </w:rPr>
                <w:t>38(12), pp. 1038-1064.</w:t>
              </w:r>
            </w:p>
            <w:p w14:paraId="5EC986E1" w14:textId="77777777" w:rsidR="00077E05" w:rsidRPr="00077E05" w:rsidRDefault="00077E05" w:rsidP="00077E05">
              <w:pPr>
                <w:rPr>
                  <w:lang w:val="en-US"/>
                </w:rPr>
              </w:pPr>
            </w:p>
            <w:p w14:paraId="5DC24AC1"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Graham, D., 2018. Marauding Terrorist Firearms' Attacks: A Practitioner's View of the UK's Emergency Service Initial Response Arrangements to Deal with an Active Shooter. </w:t>
              </w:r>
              <w:r w:rsidRPr="00077E05">
                <w:rPr>
                  <w:rFonts w:asciiTheme="minorHAnsi" w:hAnsiTheme="minorHAnsi" w:cstheme="minorHAnsi"/>
                  <w:i/>
                  <w:iCs/>
                  <w:noProof/>
                  <w:lang w:val="en-US"/>
                </w:rPr>
                <w:t xml:space="preserve">The RUSI journal, </w:t>
              </w:r>
              <w:r w:rsidRPr="00077E05">
                <w:rPr>
                  <w:rFonts w:asciiTheme="minorHAnsi" w:hAnsiTheme="minorHAnsi" w:cstheme="minorHAnsi"/>
                  <w:noProof/>
                  <w:lang w:val="en-US"/>
                </w:rPr>
                <w:t>163(2), pp. 42-50.</w:t>
              </w:r>
            </w:p>
            <w:p w14:paraId="17B82905" w14:textId="77777777" w:rsidR="00077E05" w:rsidRPr="00077E05" w:rsidRDefault="00077E05" w:rsidP="00077E05">
              <w:pPr>
                <w:rPr>
                  <w:lang w:val="en-US"/>
                </w:rPr>
              </w:pPr>
            </w:p>
            <w:p w14:paraId="01BAAC27"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Gurney, I., Horne, S. &amp; Wright, C., 2020. Changes in NHS Major Incident management and their relevance to the Defence Medical Services. </w:t>
              </w:r>
              <w:r w:rsidRPr="00077E05">
                <w:rPr>
                  <w:rFonts w:asciiTheme="minorHAnsi" w:hAnsiTheme="minorHAnsi" w:cstheme="minorHAnsi"/>
                  <w:i/>
                  <w:iCs/>
                  <w:noProof/>
                  <w:lang w:val="en-US"/>
                </w:rPr>
                <w:t xml:space="preserve">BMJ military health, </w:t>
              </w:r>
              <w:r w:rsidRPr="00077E05">
                <w:rPr>
                  <w:rFonts w:asciiTheme="minorHAnsi" w:hAnsiTheme="minorHAnsi" w:cstheme="minorHAnsi"/>
                  <w:noProof/>
                  <w:lang w:val="en-US"/>
                </w:rPr>
                <w:t>166(2), pp. 84-88.</w:t>
              </w:r>
            </w:p>
            <w:p w14:paraId="1C9EF343" w14:textId="77777777" w:rsidR="00077E05" w:rsidRPr="00077E05" w:rsidRDefault="00077E05" w:rsidP="00077E05">
              <w:pPr>
                <w:rPr>
                  <w:lang w:val="en-US"/>
                </w:rPr>
              </w:pPr>
            </w:p>
            <w:p w14:paraId="716B0611"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Halford, E., 2023. The impact of COVID-19 on police intelligence report in the United Kingdom. </w:t>
              </w:r>
              <w:r w:rsidRPr="00077E05">
                <w:rPr>
                  <w:rFonts w:asciiTheme="minorHAnsi" w:hAnsiTheme="minorHAnsi" w:cstheme="minorHAnsi"/>
                  <w:i/>
                  <w:iCs/>
                  <w:noProof/>
                  <w:lang w:val="en-US"/>
                </w:rPr>
                <w:t xml:space="preserve">Journal of policing, intelligence and counter terrorism, </w:t>
              </w:r>
              <w:r w:rsidRPr="00077E05">
                <w:rPr>
                  <w:rFonts w:asciiTheme="minorHAnsi" w:hAnsiTheme="minorHAnsi" w:cstheme="minorHAnsi"/>
                  <w:noProof/>
                  <w:lang w:val="en-US"/>
                </w:rPr>
                <w:t>18(3), pp. 1-19.</w:t>
              </w:r>
            </w:p>
            <w:p w14:paraId="6F1DA6E8" w14:textId="77777777" w:rsidR="00077E05" w:rsidRPr="00077E05" w:rsidRDefault="00077E05" w:rsidP="00077E05">
              <w:pPr>
                <w:rPr>
                  <w:lang w:val="en-US"/>
                </w:rPr>
              </w:pPr>
            </w:p>
            <w:p w14:paraId="31D4B955"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Henschke, A., Reed, A. &amp; Robbins, S., 2021. </w:t>
              </w:r>
              <w:r w:rsidRPr="00077E05">
                <w:rPr>
                  <w:rFonts w:asciiTheme="minorHAnsi" w:hAnsiTheme="minorHAnsi" w:cstheme="minorHAnsi"/>
                  <w:i/>
                  <w:iCs/>
                  <w:noProof/>
                  <w:lang w:val="en-US"/>
                </w:rPr>
                <w:t xml:space="preserve">Counter-Terrorism, Ethics and Technology. </w:t>
              </w:r>
              <w:r w:rsidRPr="00077E05">
                <w:rPr>
                  <w:rFonts w:asciiTheme="minorHAnsi" w:hAnsiTheme="minorHAnsi" w:cstheme="minorHAnsi"/>
                  <w:noProof/>
                  <w:lang w:val="en-US"/>
                </w:rPr>
                <w:t>1st ed. London: Springer Nature.</w:t>
              </w:r>
            </w:p>
            <w:p w14:paraId="757C2BE2" w14:textId="77777777" w:rsidR="00077E05" w:rsidRPr="00077E05" w:rsidRDefault="00077E05" w:rsidP="00077E05">
              <w:pPr>
                <w:rPr>
                  <w:lang w:val="en-US"/>
                </w:rPr>
              </w:pPr>
            </w:p>
            <w:p w14:paraId="48D6C5B9"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HM Government, 2018. </w:t>
              </w:r>
              <w:r w:rsidRPr="00077E05">
                <w:rPr>
                  <w:rFonts w:asciiTheme="minorHAnsi" w:hAnsiTheme="minorHAnsi" w:cstheme="minorHAnsi"/>
                  <w:i/>
                  <w:iCs/>
                  <w:noProof/>
                  <w:lang w:val="en-US"/>
                </w:rPr>
                <w:t xml:space="preserve">CONTEST The United Kingdom’s Strategy for Countering Terrorism. </w:t>
              </w:r>
              <w:r w:rsidRPr="00077E05">
                <w:rPr>
                  <w:rFonts w:asciiTheme="minorHAnsi" w:hAnsiTheme="minorHAnsi" w:cstheme="minorHAnsi"/>
                  <w:noProof/>
                  <w:lang w:val="en-US"/>
                </w:rPr>
                <w:t xml:space="preserve">[Online] </w:t>
              </w:r>
              <w:r w:rsidRPr="00077E05">
                <w:rPr>
                  <w:rFonts w:asciiTheme="minorHAnsi" w:hAnsiTheme="minorHAnsi" w:cstheme="minorHAnsi"/>
                  <w:noProof/>
                  <w:lang w:val="en-US"/>
                </w:rPr>
                <w:br/>
                <w:t xml:space="preserve">Available at: </w:t>
              </w:r>
              <w:r w:rsidRPr="00077E05">
                <w:rPr>
                  <w:rFonts w:asciiTheme="minorHAnsi" w:hAnsiTheme="minorHAnsi" w:cstheme="minorHAnsi"/>
                  <w:noProof/>
                  <w:u w:val="single"/>
                  <w:lang w:val="en-US"/>
                </w:rPr>
                <w:t>https://assets.publishing.service.gov.uk/media/5b23df8f40f0b634d557b020/140618_CCS207_CCS0218929798-1_CONTEST_3.0_WEB.pdf</w:t>
              </w:r>
              <w:r w:rsidRPr="00077E05">
                <w:rPr>
                  <w:rFonts w:asciiTheme="minorHAnsi" w:hAnsiTheme="minorHAnsi" w:cstheme="minorHAnsi"/>
                  <w:noProof/>
                  <w:lang w:val="en-US"/>
                </w:rPr>
                <w:br/>
                <w:t>[Accessed 19 Februrary 2024].</w:t>
              </w:r>
            </w:p>
            <w:p w14:paraId="6D78804A" w14:textId="77777777" w:rsidR="00077E05" w:rsidRPr="00077E05" w:rsidRDefault="00077E05" w:rsidP="00077E05">
              <w:pPr>
                <w:rPr>
                  <w:lang w:val="en-US"/>
                </w:rPr>
              </w:pPr>
            </w:p>
            <w:p w14:paraId="726C2DDC"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HMICFRS, 2020. </w:t>
              </w:r>
              <w:r w:rsidRPr="00077E05">
                <w:rPr>
                  <w:rFonts w:asciiTheme="minorHAnsi" w:hAnsiTheme="minorHAnsi" w:cstheme="minorHAnsi"/>
                  <w:i/>
                  <w:iCs/>
                  <w:noProof/>
                  <w:lang w:val="en-US"/>
                </w:rPr>
                <w:t xml:space="preserve">Counter-terrorism policing An inspection of the police’s contribution to the government’s Prevent programme. </w:t>
              </w:r>
              <w:r w:rsidRPr="00077E05">
                <w:rPr>
                  <w:rFonts w:asciiTheme="minorHAnsi" w:hAnsiTheme="minorHAnsi" w:cstheme="minorHAnsi"/>
                  <w:noProof/>
                  <w:lang w:val="en-US"/>
                </w:rPr>
                <w:t xml:space="preserve">[Online] </w:t>
              </w:r>
              <w:r w:rsidRPr="00077E05">
                <w:rPr>
                  <w:rFonts w:asciiTheme="minorHAnsi" w:hAnsiTheme="minorHAnsi" w:cstheme="minorHAnsi"/>
                  <w:noProof/>
                  <w:lang w:val="en-US"/>
                </w:rPr>
                <w:br/>
                <w:t xml:space="preserve">Available at: </w:t>
              </w:r>
              <w:r w:rsidRPr="00077E05">
                <w:rPr>
                  <w:rFonts w:asciiTheme="minorHAnsi" w:hAnsiTheme="minorHAnsi" w:cstheme="minorHAnsi"/>
                  <w:noProof/>
                  <w:u w:val="single"/>
                  <w:lang w:val="en-US"/>
                </w:rPr>
                <w:t>https://assets-hmicfrs.justiceinspectorates.gov.uk/uploads/redacted-counter-terrorism-policing-inspection-police-contribution-government-prevent-programme.pdf</w:t>
              </w:r>
              <w:r w:rsidRPr="00077E05">
                <w:rPr>
                  <w:rFonts w:asciiTheme="minorHAnsi" w:hAnsiTheme="minorHAnsi" w:cstheme="minorHAnsi"/>
                  <w:noProof/>
                  <w:lang w:val="en-US"/>
                </w:rPr>
                <w:br/>
                <w:t>[Accessed 19 Februrary 2023].</w:t>
              </w:r>
            </w:p>
            <w:p w14:paraId="0EC00CDD" w14:textId="77777777" w:rsidR="00077E05" w:rsidRPr="00077E05" w:rsidRDefault="00077E05" w:rsidP="00077E05">
              <w:pPr>
                <w:rPr>
                  <w:lang w:val="en-US"/>
                </w:rPr>
              </w:pPr>
            </w:p>
            <w:p w14:paraId="3B284117"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Lum , C., Kennedy, L. &amp; Sherley, A., 2006. Are counter-terrorism strategies effective? The results of the Campbell systematic review on counter-terrorism evaluationresearch. </w:t>
              </w:r>
              <w:r w:rsidRPr="00077E05">
                <w:rPr>
                  <w:rFonts w:asciiTheme="minorHAnsi" w:hAnsiTheme="minorHAnsi" w:cstheme="minorHAnsi"/>
                  <w:i/>
                  <w:iCs/>
                  <w:noProof/>
                  <w:lang w:val="en-US"/>
                </w:rPr>
                <w:t xml:space="preserve">Journal of experimental criminology, </w:t>
              </w:r>
              <w:r w:rsidRPr="00077E05">
                <w:rPr>
                  <w:rFonts w:asciiTheme="minorHAnsi" w:hAnsiTheme="minorHAnsi" w:cstheme="minorHAnsi"/>
                  <w:noProof/>
                  <w:lang w:val="en-US"/>
                </w:rPr>
                <w:t>2(3), pp. 489-516.</w:t>
              </w:r>
            </w:p>
            <w:p w14:paraId="199A0217" w14:textId="77777777" w:rsidR="00077E05" w:rsidRPr="00077E05" w:rsidRDefault="00077E05" w:rsidP="00077E05">
              <w:pPr>
                <w:rPr>
                  <w:lang w:val="en-US"/>
                </w:rPr>
              </w:pPr>
            </w:p>
            <w:p w14:paraId="1255E60D"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Mirbabaie, M. &amp; Marx, J., 2020. 'Breaking' news: uncovering sense-breaking patterns in social media crisis communication during the 2017 Manchester bombing. </w:t>
              </w:r>
              <w:r w:rsidRPr="00077E05">
                <w:rPr>
                  <w:rFonts w:asciiTheme="minorHAnsi" w:hAnsiTheme="minorHAnsi" w:cstheme="minorHAnsi"/>
                  <w:i/>
                  <w:iCs/>
                  <w:noProof/>
                  <w:lang w:val="en-US"/>
                </w:rPr>
                <w:t xml:space="preserve">Behaviour &amp; information technology, </w:t>
              </w:r>
              <w:r w:rsidRPr="00077E05">
                <w:rPr>
                  <w:rFonts w:asciiTheme="minorHAnsi" w:hAnsiTheme="minorHAnsi" w:cstheme="minorHAnsi"/>
                  <w:noProof/>
                  <w:lang w:val="en-US"/>
                </w:rPr>
                <w:t>39(3), pp. 252-266.</w:t>
              </w:r>
            </w:p>
            <w:p w14:paraId="2593CA83" w14:textId="77777777" w:rsidR="00077E05" w:rsidRPr="00077E05" w:rsidRDefault="00077E05" w:rsidP="00077E05">
              <w:pPr>
                <w:rPr>
                  <w:lang w:val="en-US"/>
                </w:rPr>
              </w:pPr>
            </w:p>
            <w:p w14:paraId="04673A46"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Moosavian, R., 2014. 'Keep Calm and Carry On': informing the public under the Civil Contingencies Act 2004. </w:t>
              </w:r>
              <w:r w:rsidRPr="00077E05">
                <w:rPr>
                  <w:rFonts w:asciiTheme="minorHAnsi" w:hAnsiTheme="minorHAnsi" w:cstheme="minorHAnsi"/>
                  <w:i/>
                  <w:iCs/>
                  <w:noProof/>
                  <w:lang w:val="en-US"/>
                </w:rPr>
                <w:t xml:space="preserve">The international journal of human rights, </w:t>
              </w:r>
              <w:r w:rsidRPr="00077E05">
                <w:rPr>
                  <w:rFonts w:asciiTheme="minorHAnsi" w:hAnsiTheme="minorHAnsi" w:cstheme="minorHAnsi"/>
                  <w:noProof/>
                  <w:lang w:val="en-US"/>
                </w:rPr>
                <w:t>18(2), pp. 178-194.</w:t>
              </w:r>
            </w:p>
            <w:p w14:paraId="188EB6B5" w14:textId="77777777" w:rsidR="00077E05" w:rsidRPr="00077E05" w:rsidRDefault="00077E05" w:rsidP="00077E05">
              <w:pPr>
                <w:rPr>
                  <w:lang w:val="en-US"/>
                </w:rPr>
              </w:pPr>
            </w:p>
            <w:p w14:paraId="07332FBA"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Nash, M., 2020. Emergencies extraordinary measures: In a time of crisis what measures can the government introduce under the Civil Contingencies Act 2004?. </w:t>
              </w:r>
              <w:r w:rsidRPr="00077E05">
                <w:rPr>
                  <w:rFonts w:asciiTheme="minorHAnsi" w:hAnsiTheme="minorHAnsi" w:cstheme="minorHAnsi"/>
                  <w:i/>
                  <w:iCs/>
                  <w:noProof/>
                  <w:lang w:val="en-US"/>
                </w:rPr>
                <w:t xml:space="preserve">New law journal, </w:t>
              </w:r>
              <w:r w:rsidRPr="00077E05">
                <w:rPr>
                  <w:rFonts w:asciiTheme="minorHAnsi" w:hAnsiTheme="minorHAnsi" w:cstheme="minorHAnsi"/>
                  <w:noProof/>
                  <w:lang w:val="en-US"/>
                </w:rPr>
                <w:t>170(7879), p. 7.</w:t>
              </w:r>
            </w:p>
            <w:p w14:paraId="53E7CC76" w14:textId="77777777" w:rsidR="00077E05" w:rsidRPr="00077E05" w:rsidRDefault="00077E05" w:rsidP="00077E05">
              <w:pPr>
                <w:rPr>
                  <w:lang w:val="en-US"/>
                </w:rPr>
              </w:pPr>
            </w:p>
            <w:p w14:paraId="51BAB10F"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lastRenderedPageBreak/>
                <w:t xml:space="preserve">Power, N. &amp; Laurence, A., 2017. Offence or defence? Approach and avoid goals in the multi-agency emergency response to a simulated terrorism attack. </w:t>
              </w:r>
              <w:r w:rsidRPr="00077E05">
                <w:rPr>
                  <w:rFonts w:asciiTheme="minorHAnsi" w:hAnsiTheme="minorHAnsi" w:cstheme="minorHAnsi"/>
                  <w:i/>
                  <w:iCs/>
                  <w:noProof/>
                  <w:lang w:val="en-US"/>
                </w:rPr>
                <w:t xml:space="preserve">Journal of occupational and organizational psychology, </w:t>
              </w:r>
              <w:r w:rsidRPr="00077E05">
                <w:rPr>
                  <w:rFonts w:asciiTheme="minorHAnsi" w:hAnsiTheme="minorHAnsi" w:cstheme="minorHAnsi"/>
                  <w:noProof/>
                  <w:lang w:val="en-US"/>
                </w:rPr>
                <w:t>90(1), pp. 51-76.</w:t>
              </w:r>
            </w:p>
            <w:p w14:paraId="3654EB0B" w14:textId="77777777" w:rsidR="00077E05" w:rsidRPr="00077E05" w:rsidRDefault="00077E05" w:rsidP="00077E05">
              <w:pPr>
                <w:rPr>
                  <w:lang w:val="en-US"/>
                </w:rPr>
              </w:pPr>
            </w:p>
            <w:p w14:paraId="02277906"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Smith, M. &amp; Zeigler, S. M., 2017. Terrorism before and after 9/11-a more dangerous world?. </w:t>
              </w:r>
              <w:r w:rsidRPr="00077E05">
                <w:rPr>
                  <w:rFonts w:asciiTheme="minorHAnsi" w:hAnsiTheme="minorHAnsi" w:cstheme="minorHAnsi"/>
                  <w:i/>
                  <w:iCs/>
                  <w:noProof/>
                  <w:lang w:val="en-US"/>
                </w:rPr>
                <w:t xml:space="preserve">Research &amp; politics, </w:t>
              </w:r>
              <w:r w:rsidRPr="00077E05">
                <w:rPr>
                  <w:rFonts w:asciiTheme="minorHAnsi" w:hAnsiTheme="minorHAnsi" w:cstheme="minorHAnsi"/>
                  <w:noProof/>
                  <w:lang w:val="en-US"/>
                </w:rPr>
                <w:t>4(4), p. 205.</w:t>
              </w:r>
            </w:p>
            <w:p w14:paraId="45E9843E" w14:textId="77777777" w:rsidR="00077E05" w:rsidRPr="00077E05" w:rsidRDefault="00077E05" w:rsidP="00077E05">
              <w:pPr>
                <w:rPr>
                  <w:lang w:val="en-US"/>
                </w:rPr>
              </w:pPr>
            </w:p>
            <w:p w14:paraId="3F5A9639"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Stainsby, A., 2012. Briefing: Emergency planning and the UK Civil Contingencies Act 2004. </w:t>
              </w:r>
              <w:r w:rsidRPr="00077E05">
                <w:rPr>
                  <w:rFonts w:asciiTheme="minorHAnsi" w:hAnsiTheme="minorHAnsi" w:cstheme="minorHAnsi"/>
                  <w:i/>
                  <w:iCs/>
                  <w:noProof/>
                  <w:lang w:val="en-US"/>
                </w:rPr>
                <w:t xml:space="preserve">Proceedings of the Institution of Civil Engineers, </w:t>
              </w:r>
              <w:r w:rsidRPr="00077E05">
                <w:rPr>
                  <w:rFonts w:asciiTheme="minorHAnsi" w:hAnsiTheme="minorHAnsi" w:cstheme="minorHAnsi"/>
                  <w:noProof/>
                  <w:lang w:val="en-US"/>
                </w:rPr>
                <w:t>165(2), pp. 69-71.</w:t>
              </w:r>
            </w:p>
            <w:p w14:paraId="008A0DA3" w14:textId="77777777" w:rsidR="00077E05" w:rsidRPr="00077E05" w:rsidRDefault="00077E05" w:rsidP="00077E05">
              <w:pPr>
                <w:rPr>
                  <w:lang w:val="en-US"/>
                </w:rPr>
              </w:pPr>
            </w:p>
            <w:p w14:paraId="1141E7A6" w14:textId="77777777" w:rsid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Synnove, N., 2022. The Emergence of Collective Leadership During a Terrorist Attack: Dynamic Role Boundary Transgressions as Central in Aligning Efforts. </w:t>
              </w:r>
              <w:r w:rsidRPr="00077E05">
                <w:rPr>
                  <w:rFonts w:asciiTheme="minorHAnsi" w:hAnsiTheme="minorHAnsi" w:cstheme="minorHAnsi"/>
                  <w:i/>
                  <w:iCs/>
                  <w:noProof/>
                  <w:lang w:val="en-US"/>
                </w:rPr>
                <w:t xml:space="preserve">Journal of leadership &amp; organizational studies, </w:t>
              </w:r>
              <w:r w:rsidRPr="00077E05">
                <w:rPr>
                  <w:rFonts w:asciiTheme="minorHAnsi" w:hAnsiTheme="minorHAnsi" w:cstheme="minorHAnsi"/>
                  <w:noProof/>
                  <w:lang w:val="en-US"/>
                </w:rPr>
                <w:t>29(4), pp. 461-485.</w:t>
              </w:r>
            </w:p>
            <w:p w14:paraId="03EB7DCA" w14:textId="77777777" w:rsidR="00077E05" w:rsidRPr="00077E05" w:rsidRDefault="00077E05" w:rsidP="00077E05">
              <w:pPr>
                <w:rPr>
                  <w:lang w:val="en-US"/>
                </w:rPr>
              </w:pPr>
            </w:p>
            <w:p w14:paraId="286074BE" w14:textId="77777777" w:rsidR="00077E05" w:rsidRPr="00077E05" w:rsidRDefault="00077E05" w:rsidP="00077E05">
              <w:pPr>
                <w:pStyle w:val="Bibliography"/>
                <w:rPr>
                  <w:rFonts w:asciiTheme="minorHAnsi" w:hAnsiTheme="minorHAnsi" w:cstheme="minorHAnsi"/>
                  <w:noProof/>
                  <w:lang w:val="en-US"/>
                </w:rPr>
              </w:pPr>
              <w:r w:rsidRPr="00077E05">
                <w:rPr>
                  <w:rFonts w:asciiTheme="minorHAnsi" w:hAnsiTheme="minorHAnsi" w:cstheme="minorHAnsi"/>
                  <w:noProof/>
                  <w:lang w:val="en-US"/>
                </w:rPr>
                <w:t xml:space="preserve">Wang, A. &amp; Young, M., 2020. Terrorist attacks and investor risk preference: Evidence from mutual fund flows. </w:t>
              </w:r>
              <w:r w:rsidRPr="00077E05">
                <w:rPr>
                  <w:rFonts w:asciiTheme="minorHAnsi" w:hAnsiTheme="minorHAnsi" w:cstheme="minorHAnsi"/>
                  <w:i/>
                  <w:iCs/>
                  <w:noProof/>
                  <w:lang w:val="en-US"/>
                </w:rPr>
                <w:t xml:space="preserve">Journal of financial economics, </w:t>
              </w:r>
              <w:r w:rsidRPr="00077E05">
                <w:rPr>
                  <w:rFonts w:asciiTheme="minorHAnsi" w:hAnsiTheme="minorHAnsi" w:cstheme="minorHAnsi"/>
                  <w:noProof/>
                  <w:lang w:val="en-US"/>
                </w:rPr>
                <w:t>137(2), pp. 491-514.</w:t>
              </w:r>
            </w:p>
            <w:p w14:paraId="54F8E7A1" w14:textId="2801FA56" w:rsidR="00077E05" w:rsidRPr="00077E05" w:rsidRDefault="00077E05" w:rsidP="00077E05">
              <w:pPr>
                <w:rPr>
                  <w:rFonts w:asciiTheme="minorHAnsi" w:hAnsiTheme="minorHAnsi" w:cstheme="minorHAnsi"/>
                </w:rPr>
              </w:pPr>
              <w:r w:rsidRPr="00077E05">
                <w:rPr>
                  <w:rFonts w:asciiTheme="minorHAnsi" w:hAnsiTheme="minorHAnsi" w:cstheme="minorHAnsi"/>
                  <w:b/>
                  <w:bCs/>
                  <w:noProof/>
                </w:rPr>
                <w:fldChar w:fldCharType="end"/>
              </w:r>
            </w:p>
          </w:sdtContent>
        </w:sdt>
      </w:sdtContent>
    </w:sdt>
    <w:p w14:paraId="24A02387" w14:textId="77777777" w:rsidR="00077E05" w:rsidRPr="00077E05" w:rsidRDefault="00077E05" w:rsidP="007749D0">
      <w:pPr>
        <w:pStyle w:val="paragraph"/>
        <w:spacing w:before="0" w:beforeAutospacing="0" w:after="0" w:afterAutospacing="0"/>
        <w:ind w:right="-30"/>
        <w:textAlignment w:val="baseline"/>
        <w:rPr>
          <w:rFonts w:asciiTheme="minorHAnsi" w:hAnsiTheme="minorHAnsi" w:cstheme="minorHAnsi"/>
        </w:rPr>
      </w:pPr>
    </w:p>
    <w:p w14:paraId="517BBFC2" w14:textId="61B3E9D6" w:rsidR="0054611B" w:rsidRPr="0054611B" w:rsidRDefault="0054611B" w:rsidP="0054611B">
      <w:pPr>
        <w:ind w:firstLine="720"/>
        <w:rPr>
          <w:rFonts w:asciiTheme="minorHAnsi" w:hAnsiTheme="minorHAnsi" w:cstheme="minorHAnsi"/>
          <w:noProof/>
          <w:color w:val="000000" w:themeColor="text1"/>
          <w:sz w:val="28"/>
          <w:szCs w:val="28"/>
        </w:rPr>
      </w:pPr>
    </w:p>
    <w:p w14:paraId="5E08F507" w14:textId="77777777" w:rsidR="00D57503" w:rsidRDefault="00D57503" w:rsidP="00262350">
      <w:pPr>
        <w:rPr>
          <w:rFonts w:ascii="Merriweather" w:hAnsi="Merriweather"/>
          <w:color w:val="000000" w:themeColor="text1"/>
          <w:sz w:val="23"/>
          <w:szCs w:val="23"/>
          <w:shd w:val="clear" w:color="auto" w:fill="EFF2F7"/>
        </w:rPr>
      </w:pPr>
    </w:p>
    <w:p w14:paraId="74D6F2DE" w14:textId="0BD39192" w:rsidR="007749D0" w:rsidRPr="00BF608E" w:rsidRDefault="007749D0" w:rsidP="00262350">
      <w:pPr>
        <w:rPr>
          <w:rFonts w:ascii="Merriweather" w:hAnsi="Merriweather"/>
          <w:color w:val="000000" w:themeColor="text1"/>
          <w:sz w:val="23"/>
          <w:szCs w:val="23"/>
          <w:shd w:val="clear" w:color="auto" w:fill="EFF2F7"/>
        </w:rPr>
      </w:pPr>
    </w:p>
    <w:p w14:paraId="1BE623A8" w14:textId="77777777" w:rsidR="001E144A" w:rsidRPr="00BF608E" w:rsidRDefault="001E144A" w:rsidP="001E144A">
      <w:pPr>
        <w:ind w:left="128"/>
        <w:rPr>
          <w:rFonts w:cstheme="minorHAnsi"/>
          <w:color w:val="000000" w:themeColor="text1"/>
          <w:sz w:val="28"/>
          <w:szCs w:val="28"/>
        </w:rPr>
      </w:pPr>
    </w:p>
    <w:p w14:paraId="0770FC73" w14:textId="77777777" w:rsidR="001E144A" w:rsidRDefault="001E144A" w:rsidP="001E144A">
      <w:pPr>
        <w:ind w:left="128"/>
        <w:rPr>
          <w:rFonts w:cstheme="minorHAnsi"/>
          <w:sz w:val="28"/>
          <w:szCs w:val="28"/>
        </w:rPr>
      </w:pPr>
    </w:p>
    <w:p w14:paraId="402AAF3C" w14:textId="77777777" w:rsidR="001E144A" w:rsidRDefault="001E144A" w:rsidP="001E144A">
      <w:pPr>
        <w:ind w:left="128"/>
        <w:rPr>
          <w:rFonts w:cstheme="minorHAnsi"/>
          <w:sz w:val="28"/>
          <w:szCs w:val="28"/>
        </w:rPr>
      </w:pPr>
    </w:p>
    <w:p w14:paraId="2F68BF9D" w14:textId="77777777" w:rsidR="001E144A" w:rsidRDefault="001E144A" w:rsidP="001E144A">
      <w:pPr>
        <w:ind w:left="128"/>
        <w:rPr>
          <w:rFonts w:cstheme="minorHAnsi"/>
          <w:sz w:val="28"/>
          <w:szCs w:val="28"/>
        </w:rPr>
      </w:pPr>
    </w:p>
    <w:p w14:paraId="2A42AF88" w14:textId="4510C52A" w:rsidR="001E144A" w:rsidRPr="001E144A" w:rsidRDefault="001E144A" w:rsidP="001E144A">
      <w:pPr>
        <w:ind w:left="128"/>
        <w:rPr>
          <w:rFonts w:cstheme="minorHAnsi"/>
          <w:sz w:val="28"/>
          <w:szCs w:val="28"/>
        </w:rPr>
      </w:pPr>
      <w:r w:rsidRPr="001E144A">
        <w:rPr>
          <w:rFonts w:cstheme="minorHAnsi"/>
          <w:sz w:val="28"/>
          <w:szCs w:val="28"/>
        </w:rPr>
        <w:t xml:space="preserve"> </w:t>
      </w:r>
    </w:p>
    <w:sectPr w:rsidR="001E144A" w:rsidRPr="001E144A" w:rsidSect="007F5D90">
      <w:footerReference w:type="even" r:id="rId9"/>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55391" w14:textId="77777777" w:rsidR="007F5D90" w:rsidRDefault="007F5D90" w:rsidP="00B504B2">
      <w:r>
        <w:separator/>
      </w:r>
    </w:p>
  </w:endnote>
  <w:endnote w:type="continuationSeparator" w:id="0">
    <w:p w14:paraId="30C55F3E" w14:textId="77777777" w:rsidR="007F5D90" w:rsidRDefault="007F5D90" w:rsidP="00B504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panose1 w:val="00000500000000000000"/>
    <w:charset w:val="4D"/>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6208944"/>
      <w:docPartObj>
        <w:docPartGallery w:val="Page Numbers (Bottom of Page)"/>
        <w:docPartUnique/>
      </w:docPartObj>
    </w:sdtPr>
    <w:sdtContent>
      <w:p w14:paraId="7934024A" w14:textId="13A9A965" w:rsidR="00B504B2" w:rsidRDefault="00B504B2" w:rsidP="000C5F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02CB0A" w14:textId="77777777" w:rsidR="00B504B2" w:rsidRDefault="00B504B2" w:rsidP="00B504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7337204"/>
      <w:docPartObj>
        <w:docPartGallery w:val="Page Numbers (Bottom of Page)"/>
        <w:docPartUnique/>
      </w:docPartObj>
    </w:sdtPr>
    <w:sdtContent>
      <w:p w14:paraId="313684CD" w14:textId="5BE3B3D7" w:rsidR="00B504B2" w:rsidRDefault="00B504B2" w:rsidP="000C5F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5EF1CF4" w14:textId="77777777" w:rsidR="00B504B2" w:rsidRDefault="00B504B2" w:rsidP="00B504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5706B" w14:textId="77777777" w:rsidR="007F5D90" w:rsidRDefault="007F5D90" w:rsidP="00B504B2">
      <w:r>
        <w:separator/>
      </w:r>
    </w:p>
  </w:footnote>
  <w:footnote w:type="continuationSeparator" w:id="0">
    <w:p w14:paraId="0D970296" w14:textId="77777777" w:rsidR="007F5D90" w:rsidRDefault="007F5D90" w:rsidP="00B504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0228F"/>
    <w:multiLevelType w:val="multilevel"/>
    <w:tmpl w:val="18469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2" w15:restartNumberingAfterBreak="0">
    <w:nsid w:val="2436744A"/>
    <w:multiLevelType w:val="multilevel"/>
    <w:tmpl w:val="100C0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AC2AA"/>
    <w:multiLevelType w:val="hybridMultilevel"/>
    <w:tmpl w:val="FFFFFFFF"/>
    <w:lvl w:ilvl="0" w:tplc="F49812E4">
      <w:start w:val="1"/>
      <w:numFmt w:val="bullet"/>
      <w:lvlText w:val="·"/>
      <w:lvlJc w:val="left"/>
      <w:pPr>
        <w:ind w:left="720" w:hanging="360"/>
      </w:pPr>
      <w:rPr>
        <w:rFonts w:ascii="Symbol" w:hAnsi="Symbol" w:hint="default"/>
      </w:rPr>
    </w:lvl>
    <w:lvl w:ilvl="1" w:tplc="FBCA3F4E">
      <w:start w:val="1"/>
      <w:numFmt w:val="bullet"/>
      <w:lvlText w:val="o"/>
      <w:lvlJc w:val="left"/>
      <w:pPr>
        <w:ind w:left="1440" w:hanging="360"/>
      </w:pPr>
      <w:rPr>
        <w:rFonts w:ascii="Courier New" w:hAnsi="Courier New" w:hint="default"/>
      </w:rPr>
    </w:lvl>
    <w:lvl w:ilvl="2" w:tplc="F4F05976">
      <w:start w:val="1"/>
      <w:numFmt w:val="bullet"/>
      <w:lvlText w:val=""/>
      <w:lvlJc w:val="left"/>
      <w:pPr>
        <w:ind w:left="2160" w:hanging="360"/>
      </w:pPr>
      <w:rPr>
        <w:rFonts w:ascii="Wingdings" w:hAnsi="Wingdings" w:hint="default"/>
      </w:rPr>
    </w:lvl>
    <w:lvl w:ilvl="3" w:tplc="7040EA34">
      <w:start w:val="1"/>
      <w:numFmt w:val="bullet"/>
      <w:lvlText w:val=""/>
      <w:lvlJc w:val="left"/>
      <w:pPr>
        <w:ind w:left="2880" w:hanging="360"/>
      </w:pPr>
      <w:rPr>
        <w:rFonts w:ascii="Symbol" w:hAnsi="Symbol" w:hint="default"/>
      </w:rPr>
    </w:lvl>
    <w:lvl w:ilvl="4" w:tplc="4BC638A6">
      <w:start w:val="1"/>
      <w:numFmt w:val="bullet"/>
      <w:lvlText w:val="o"/>
      <w:lvlJc w:val="left"/>
      <w:pPr>
        <w:ind w:left="3600" w:hanging="360"/>
      </w:pPr>
      <w:rPr>
        <w:rFonts w:ascii="Courier New" w:hAnsi="Courier New" w:hint="default"/>
      </w:rPr>
    </w:lvl>
    <w:lvl w:ilvl="5" w:tplc="91A62DBE">
      <w:start w:val="1"/>
      <w:numFmt w:val="bullet"/>
      <w:lvlText w:val=""/>
      <w:lvlJc w:val="left"/>
      <w:pPr>
        <w:ind w:left="4320" w:hanging="360"/>
      </w:pPr>
      <w:rPr>
        <w:rFonts w:ascii="Wingdings" w:hAnsi="Wingdings" w:hint="default"/>
      </w:rPr>
    </w:lvl>
    <w:lvl w:ilvl="6" w:tplc="5EE044DC">
      <w:start w:val="1"/>
      <w:numFmt w:val="bullet"/>
      <w:lvlText w:val=""/>
      <w:lvlJc w:val="left"/>
      <w:pPr>
        <w:ind w:left="5040" w:hanging="360"/>
      </w:pPr>
      <w:rPr>
        <w:rFonts w:ascii="Symbol" w:hAnsi="Symbol" w:hint="default"/>
      </w:rPr>
    </w:lvl>
    <w:lvl w:ilvl="7" w:tplc="20F00238">
      <w:start w:val="1"/>
      <w:numFmt w:val="bullet"/>
      <w:lvlText w:val="o"/>
      <w:lvlJc w:val="left"/>
      <w:pPr>
        <w:ind w:left="5760" w:hanging="360"/>
      </w:pPr>
      <w:rPr>
        <w:rFonts w:ascii="Courier New" w:hAnsi="Courier New" w:hint="default"/>
      </w:rPr>
    </w:lvl>
    <w:lvl w:ilvl="8" w:tplc="6FD244CE">
      <w:start w:val="1"/>
      <w:numFmt w:val="bullet"/>
      <w:lvlText w:val=""/>
      <w:lvlJc w:val="left"/>
      <w:pPr>
        <w:ind w:left="6480" w:hanging="360"/>
      </w:pPr>
      <w:rPr>
        <w:rFonts w:ascii="Wingdings" w:hAnsi="Wingdings" w:hint="default"/>
      </w:rPr>
    </w:lvl>
  </w:abstractNum>
  <w:abstractNum w:abstractNumId="4" w15:restartNumberingAfterBreak="0">
    <w:nsid w:val="30D92291"/>
    <w:multiLevelType w:val="hybridMultilevel"/>
    <w:tmpl w:val="7E388F40"/>
    <w:lvl w:ilvl="0" w:tplc="00D2DC62">
      <w:start w:val="1"/>
      <w:numFmt w:val="bullet"/>
      <w:lvlText w:val="Ø"/>
      <w:lvlJc w:val="left"/>
      <w:pPr>
        <w:tabs>
          <w:tab w:val="num" w:pos="720"/>
        </w:tabs>
        <w:ind w:left="720" w:hanging="360"/>
      </w:pPr>
      <w:rPr>
        <w:rFonts w:ascii="Wingdings" w:hAnsi="Wingdings" w:hint="default"/>
      </w:rPr>
    </w:lvl>
    <w:lvl w:ilvl="1" w:tplc="516CF358" w:tentative="1">
      <w:start w:val="1"/>
      <w:numFmt w:val="bullet"/>
      <w:lvlText w:val="Ø"/>
      <w:lvlJc w:val="left"/>
      <w:pPr>
        <w:tabs>
          <w:tab w:val="num" w:pos="1440"/>
        </w:tabs>
        <w:ind w:left="1440" w:hanging="360"/>
      </w:pPr>
      <w:rPr>
        <w:rFonts w:ascii="Wingdings" w:hAnsi="Wingdings" w:hint="default"/>
      </w:rPr>
    </w:lvl>
    <w:lvl w:ilvl="2" w:tplc="01DE07B4" w:tentative="1">
      <w:start w:val="1"/>
      <w:numFmt w:val="bullet"/>
      <w:lvlText w:val="Ø"/>
      <w:lvlJc w:val="left"/>
      <w:pPr>
        <w:tabs>
          <w:tab w:val="num" w:pos="2160"/>
        </w:tabs>
        <w:ind w:left="2160" w:hanging="360"/>
      </w:pPr>
      <w:rPr>
        <w:rFonts w:ascii="Wingdings" w:hAnsi="Wingdings" w:hint="default"/>
      </w:rPr>
    </w:lvl>
    <w:lvl w:ilvl="3" w:tplc="DD76ADD8" w:tentative="1">
      <w:start w:val="1"/>
      <w:numFmt w:val="bullet"/>
      <w:lvlText w:val="Ø"/>
      <w:lvlJc w:val="left"/>
      <w:pPr>
        <w:tabs>
          <w:tab w:val="num" w:pos="2880"/>
        </w:tabs>
        <w:ind w:left="2880" w:hanging="360"/>
      </w:pPr>
      <w:rPr>
        <w:rFonts w:ascii="Wingdings" w:hAnsi="Wingdings" w:hint="default"/>
      </w:rPr>
    </w:lvl>
    <w:lvl w:ilvl="4" w:tplc="AEDCABD2" w:tentative="1">
      <w:start w:val="1"/>
      <w:numFmt w:val="bullet"/>
      <w:lvlText w:val="Ø"/>
      <w:lvlJc w:val="left"/>
      <w:pPr>
        <w:tabs>
          <w:tab w:val="num" w:pos="3600"/>
        </w:tabs>
        <w:ind w:left="3600" w:hanging="360"/>
      </w:pPr>
      <w:rPr>
        <w:rFonts w:ascii="Wingdings" w:hAnsi="Wingdings" w:hint="default"/>
      </w:rPr>
    </w:lvl>
    <w:lvl w:ilvl="5" w:tplc="35543430" w:tentative="1">
      <w:start w:val="1"/>
      <w:numFmt w:val="bullet"/>
      <w:lvlText w:val="Ø"/>
      <w:lvlJc w:val="left"/>
      <w:pPr>
        <w:tabs>
          <w:tab w:val="num" w:pos="4320"/>
        </w:tabs>
        <w:ind w:left="4320" w:hanging="360"/>
      </w:pPr>
      <w:rPr>
        <w:rFonts w:ascii="Wingdings" w:hAnsi="Wingdings" w:hint="default"/>
      </w:rPr>
    </w:lvl>
    <w:lvl w:ilvl="6" w:tplc="66A8A224" w:tentative="1">
      <w:start w:val="1"/>
      <w:numFmt w:val="bullet"/>
      <w:lvlText w:val="Ø"/>
      <w:lvlJc w:val="left"/>
      <w:pPr>
        <w:tabs>
          <w:tab w:val="num" w:pos="5040"/>
        </w:tabs>
        <w:ind w:left="5040" w:hanging="360"/>
      </w:pPr>
      <w:rPr>
        <w:rFonts w:ascii="Wingdings" w:hAnsi="Wingdings" w:hint="default"/>
      </w:rPr>
    </w:lvl>
    <w:lvl w:ilvl="7" w:tplc="EE6E8EFC" w:tentative="1">
      <w:start w:val="1"/>
      <w:numFmt w:val="bullet"/>
      <w:lvlText w:val="Ø"/>
      <w:lvlJc w:val="left"/>
      <w:pPr>
        <w:tabs>
          <w:tab w:val="num" w:pos="5760"/>
        </w:tabs>
        <w:ind w:left="5760" w:hanging="360"/>
      </w:pPr>
      <w:rPr>
        <w:rFonts w:ascii="Wingdings" w:hAnsi="Wingdings" w:hint="default"/>
      </w:rPr>
    </w:lvl>
    <w:lvl w:ilvl="8" w:tplc="BDB0C0AC" w:tentative="1">
      <w:start w:val="1"/>
      <w:numFmt w:val="bullet"/>
      <w:lvlText w:val="Ø"/>
      <w:lvlJc w:val="left"/>
      <w:pPr>
        <w:tabs>
          <w:tab w:val="num" w:pos="6480"/>
        </w:tabs>
        <w:ind w:left="6480" w:hanging="360"/>
      </w:pPr>
      <w:rPr>
        <w:rFonts w:ascii="Wingdings" w:hAnsi="Wingdings" w:hint="default"/>
      </w:rPr>
    </w:lvl>
  </w:abstractNum>
  <w:abstractNum w:abstractNumId="5" w15:restartNumberingAfterBreak="0">
    <w:nsid w:val="4F4C5C71"/>
    <w:multiLevelType w:val="hybridMultilevel"/>
    <w:tmpl w:val="6BD65804"/>
    <w:lvl w:ilvl="0" w:tplc="F1747266">
      <w:start w:val="1"/>
      <w:numFmt w:val="bullet"/>
      <w:lvlText w:val="Ø"/>
      <w:lvlJc w:val="left"/>
      <w:pPr>
        <w:tabs>
          <w:tab w:val="num" w:pos="720"/>
        </w:tabs>
        <w:ind w:left="720" w:hanging="360"/>
      </w:pPr>
      <w:rPr>
        <w:rFonts w:ascii="Wingdings" w:hAnsi="Wingdings" w:hint="default"/>
      </w:rPr>
    </w:lvl>
    <w:lvl w:ilvl="1" w:tplc="21DEBD60" w:tentative="1">
      <w:start w:val="1"/>
      <w:numFmt w:val="bullet"/>
      <w:lvlText w:val="Ø"/>
      <w:lvlJc w:val="left"/>
      <w:pPr>
        <w:tabs>
          <w:tab w:val="num" w:pos="1440"/>
        </w:tabs>
        <w:ind w:left="1440" w:hanging="360"/>
      </w:pPr>
      <w:rPr>
        <w:rFonts w:ascii="Wingdings" w:hAnsi="Wingdings" w:hint="default"/>
      </w:rPr>
    </w:lvl>
    <w:lvl w:ilvl="2" w:tplc="92428C88" w:tentative="1">
      <w:start w:val="1"/>
      <w:numFmt w:val="bullet"/>
      <w:lvlText w:val="Ø"/>
      <w:lvlJc w:val="left"/>
      <w:pPr>
        <w:tabs>
          <w:tab w:val="num" w:pos="2160"/>
        </w:tabs>
        <w:ind w:left="2160" w:hanging="360"/>
      </w:pPr>
      <w:rPr>
        <w:rFonts w:ascii="Wingdings" w:hAnsi="Wingdings" w:hint="default"/>
      </w:rPr>
    </w:lvl>
    <w:lvl w:ilvl="3" w:tplc="A8125062" w:tentative="1">
      <w:start w:val="1"/>
      <w:numFmt w:val="bullet"/>
      <w:lvlText w:val="Ø"/>
      <w:lvlJc w:val="left"/>
      <w:pPr>
        <w:tabs>
          <w:tab w:val="num" w:pos="2880"/>
        </w:tabs>
        <w:ind w:left="2880" w:hanging="360"/>
      </w:pPr>
      <w:rPr>
        <w:rFonts w:ascii="Wingdings" w:hAnsi="Wingdings" w:hint="default"/>
      </w:rPr>
    </w:lvl>
    <w:lvl w:ilvl="4" w:tplc="1930BF0C" w:tentative="1">
      <w:start w:val="1"/>
      <w:numFmt w:val="bullet"/>
      <w:lvlText w:val="Ø"/>
      <w:lvlJc w:val="left"/>
      <w:pPr>
        <w:tabs>
          <w:tab w:val="num" w:pos="3600"/>
        </w:tabs>
        <w:ind w:left="3600" w:hanging="360"/>
      </w:pPr>
      <w:rPr>
        <w:rFonts w:ascii="Wingdings" w:hAnsi="Wingdings" w:hint="default"/>
      </w:rPr>
    </w:lvl>
    <w:lvl w:ilvl="5" w:tplc="AA309FF4" w:tentative="1">
      <w:start w:val="1"/>
      <w:numFmt w:val="bullet"/>
      <w:lvlText w:val="Ø"/>
      <w:lvlJc w:val="left"/>
      <w:pPr>
        <w:tabs>
          <w:tab w:val="num" w:pos="4320"/>
        </w:tabs>
        <w:ind w:left="4320" w:hanging="360"/>
      </w:pPr>
      <w:rPr>
        <w:rFonts w:ascii="Wingdings" w:hAnsi="Wingdings" w:hint="default"/>
      </w:rPr>
    </w:lvl>
    <w:lvl w:ilvl="6" w:tplc="F2B46392" w:tentative="1">
      <w:start w:val="1"/>
      <w:numFmt w:val="bullet"/>
      <w:lvlText w:val="Ø"/>
      <w:lvlJc w:val="left"/>
      <w:pPr>
        <w:tabs>
          <w:tab w:val="num" w:pos="5040"/>
        </w:tabs>
        <w:ind w:left="5040" w:hanging="360"/>
      </w:pPr>
      <w:rPr>
        <w:rFonts w:ascii="Wingdings" w:hAnsi="Wingdings" w:hint="default"/>
      </w:rPr>
    </w:lvl>
    <w:lvl w:ilvl="7" w:tplc="56F8C1A0" w:tentative="1">
      <w:start w:val="1"/>
      <w:numFmt w:val="bullet"/>
      <w:lvlText w:val="Ø"/>
      <w:lvlJc w:val="left"/>
      <w:pPr>
        <w:tabs>
          <w:tab w:val="num" w:pos="5760"/>
        </w:tabs>
        <w:ind w:left="5760" w:hanging="360"/>
      </w:pPr>
      <w:rPr>
        <w:rFonts w:ascii="Wingdings" w:hAnsi="Wingdings" w:hint="default"/>
      </w:rPr>
    </w:lvl>
    <w:lvl w:ilvl="8" w:tplc="C700FC96" w:tentative="1">
      <w:start w:val="1"/>
      <w:numFmt w:val="bullet"/>
      <w:lvlText w:val="Ø"/>
      <w:lvlJc w:val="left"/>
      <w:pPr>
        <w:tabs>
          <w:tab w:val="num" w:pos="6480"/>
        </w:tabs>
        <w:ind w:left="6480" w:hanging="360"/>
      </w:pPr>
      <w:rPr>
        <w:rFonts w:ascii="Wingdings" w:hAnsi="Wingdings" w:hint="default"/>
      </w:rPr>
    </w:lvl>
  </w:abstractNum>
  <w:abstractNum w:abstractNumId="6" w15:restartNumberingAfterBreak="0">
    <w:nsid w:val="5F8A7FFC"/>
    <w:multiLevelType w:val="hybridMultilevel"/>
    <w:tmpl w:val="56662234"/>
    <w:lvl w:ilvl="0" w:tplc="B08A2D9A">
      <w:start w:val="1"/>
      <w:numFmt w:val="bullet"/>
      <w:lvlText w:val="Ø"/>
      <w:lvlJc w:val="left"/>
      <w:pPr>
        <w:tabs>
          <w:tab w:val="num" w:pos="720"/>
        </w:tabs>
        <w:ind w:left="720" w:hanging="360"/>
      </w:pPr>
      <w:rPr>
        <w:rFonts w:ascii="Wingdings" w:hAnsi="Wingdings" w:hint="default"/>
      </w:rPr>
    </w:lvl>
    <w:lvl w:ilvl="1" w:tplc="F5CC3014" w:tentative="1">
      <w:start w:val="1"/>
      <w:numFmt w:val="bullet"/>
      <w:lvlText w:val="Ø"/>
      <w:lvlJc w:val="left"/>
      <w:pPr>
        <w:tabs>
          <w:tab w:val="num" w:pos="1440"/>
        </w:tabs>
        <w:ind w:left="1440" w:hanging="360"/>
      </w:pPr>
      <w:rPr>
        <w:rFonts w:ascii="Wingdings" w:hAnsi="Wingdings" w:hint="default"/>
      </w:rPr>
    </w:lvl>
    <w:lvl w:ilvl="2" w:tplc="C67407C6" w:tentative="1">
      <w:start w:val="1"/>
      <w:numFmt w:val="bullet"/>
      <w:lvlText w:val="Ø"/>
      <w:lvlJc w:val="left"/>
      <w:pPr>
        <w:tabs>
          <w:tab w:val="num" w:pos="2160"/>
        </w:tabs>
        <w:ind w:left="2160" w:hanging="360"/>
      </w:pPr>
      <w:rPr>
        <w:rFonts w:ascii="Wingdings" w:hAnsi="Wingdings" w:hint="default"/>
      </w:rPr>
    </w:lvl>
    <w:lvl w:ilvl="3" w:tplc="9BBCE5EE" w:tentative="1">
      <w:start w:val="1"/>
      <w:numFmt w:val="bullet"/>
      <w:lvlText w:val="Ø"/>
      <w:lvlJc w:val="left"/>
      <w:pPr>
        <w:tabs>
          <w:tab w:val="num" w:pos="2880"/>
        </w:tabs>
        <w:ind w:left="2880" w:hanging="360"/>
      </w:pPr>
      <w:rPr>
        <w:rFonts w:ascii="Wingdings" w:hAnsi="Wingdings" w:hint="default"/>
      </w:rPr>
    </w:lvl>
    <w:lvl w:ilvl="4" w:tplc="9286A10E" w:tentative="1">
      <w:start w:val="1"/>
      <w:numFmt w:val="bullet"/>
      <w:lvlText w:val="Ø"/>
      <w:lvlJc w:val="left"/>
      <w:pPr>
        <w:tabs>
          <w:tab w:val="num" w:pos="3600"/>
        </w:tabs>
        <w:ind w:left="3600" w:hanging="360"/>
      </w:pPr>
      <w:rPr>
        <w:rFonts w:ascii="Wingdings" w:hAnsi="Wingdings" w:hint="default"/>
      </w:rPr>
    </w:lvl>
    <w:lvl w:ilvl="5" w:tplc="10AAB408" w:tentative="1">
      <w:start w:val="1"/>
      <w:numFmt w:val="bullet"/>
      <w:lvlText w:val="Ø"/>
      <w:lvlJc w:val="left"/>
      <w:pPr>
        <w:tabs>
          <w:tab w:val="num" w:pos="4320"/>
        </w:tabs>
        <w:ind w:left="4320" w:hanging="360"/>
      </w:pPr>
      <w:rPr>
        <w:rFonts w:ascii="Wingdings" w:hAnsi="Wingdings" w:hint="default"/>
      </w:rPr>
    </w:lvl>
    <w:lvl w:ilvl="6" w:tplc="2A3CA18A" w:tentative="1">
      <w:start w:val="1"/>
      <w:numFmt w:val="bullet"/>
      <w:lvlText w:val="Ø"/>
      <w:lvlJc w:val="left"/>
      <w:pPr>
        <w:tabs>
          <w:tab w:val="num" w:pos="5040"/>
        </w:tabs>
        <w:ind w:left="5040" w:hanging="360"/>
      </w:pPr>
      <w:rPr>
        <w:rFonts w:ascii="Wingdings" w:hAnsi="Wingdings" w:hint="default"/>
      </w:rPr>
    </w:lvl>
    <w:lvl w:ilvl="7" w:tplc="BD98FCA4" w:tentative="1">
      <w:start w:val="1"/>
      <w:numFmt w:val="bullet"/>
      <w:lvlText w:val="Ø"/>
      <w:lvlJc w:val="left"/>
      <w:pPr>
        <w:tabs>
          <w:tab w:val="num" w:pos="5760"/>
        </w:tabs>
        <w:ind w:left="5760" w:hanging="360"/>
      </w:pPr>
      <w:rPr>
        <w:rFonts w:ascii="Wingdings" w:hAnsi="Wingdings" w:hint="default"/>
      </w:rPr>
    </w:lvl>
    <w:lvl w:ilvl="8" w:tplc="CED67362" w:tentative="1">
      <w:start w:val="1"/>
      <w:numFmt w:val="bullet"/>
      <w:lvlText w:val="Ø"/>
      <w:lvlJc w:val="left"/>
      <w:pPr>
        <w:tabs>
          <w:tab w:val="num" w:pos="6480"/>
        </w:tabs>
        <w:ind w:left="6480" w:hanging="360"/>
      </w:pPr>
      <w:rPr>
        <w:rFonts w:ascii="Wingdings" w:hAnsi="Wingdings" w:hint="default"/>
      </w:rPr>
    </w:lvl>
  </w:abstractNum>
  <w:abstractNum w:abstractNumId="7" w15:restartNumberingAfterBreak="0">
    <w:nsid w:val="61B93F6B"/>
    <w:multiLevelType w:val="hybridMultilevel"/>
    <w:tmpl w:val="4540FD66"/>
    <w:lvl w:ilvl="0" w:tplc="D3FCEA0A">
      <w:start w:val="1"/>
      <w:numFmt w:val="bullet"/>
      <w:lvlText w:val="•"/>
      <w:lvlJc w:val="left"/>
      <w:pPr>
        <w:tabs>
          <w:tab w:val="num" w:pos="720"/>
        </w:tabs>
        <w:ind w:left="720" w:hanging="360"/>
      </w:pPr>
      <w:rPr>
        <w:rFonts w:ascii="Arial" w:hAnsi="Arial" w:hint="default"/>
      </w:rPr>
    </w:lvl>
    <w:lvl w:ilvl="1" w:tplc="3FE247C2" w:tentative="1">
      <w:start w:val="1"/>
      <w:numFmt w:val="bullet"/>
      <w:lvlText w:val="•"/>
      <w:lvlJc w:val="left"/>
      <w:pPr>
        <w:tabs>
          <w:tab w:val="num" w:pos="1440"/>
        </w:tabs>
        <w:ind w:left="1440" w:hanging="360"/>
      </w:pPr>
      <w:rPr>
        <w:rFonts w:ascii="Arial" w:hAnsi="Arial" w:hint="default"/>
      </w:rPr>
    </w:lvl>
    <w:lvl w:ilvl="2" w:tplc="60BEE684" w:tentative="1">
      <w:start w:val="1"/>
      <w:numFmt w:val="bullet"/>
      <w:lvlText w:val="•"/>
      <w:lvlJc w:val="left"/>
      <w:pPr>
        <w:tabs>
          <w:tab w:val="num" w:pos="2160"/>
        </w:tabs>
        <w:ind w:left="2160" w:hanging="360"/>
      </w:pPr>
      <w:rPr>
        <w:rFonts w:ascii="Arial" w:hAnsi="Arial" w:hint="default"/>
      </w:rPr>
    </w:lvl>
    <w:lvl w:ilvl="3" w:tplc="080ACB00" w:tentative="1">
      <w:start w:val="1"/>
      <w:numFmt w:val="bullet"/>
      <w:lvlText w:val="•"/>
      <w:lvlJc w:val="left"/>
      <w:pPr>
        <w:tabs>
          <w:tab w:val="num" w:pos="2880"/>
        </w:tabs>
        <w:ind w:left="2880" w:hanging="360"/>
      </w:pPr>
      <w:rPr>
        <w:rFonts w:ascii="Arial" w:hAnsi="Arial" w:hint="default"/>
      </w:rPr>
    </w:lvl>
    <w:lvl w:ilvl="4" w:tplc="6254C5A6" w:tentative="1">
      <w:start w:val="1"/>
      <w:numFmt w:val="bullet"/>
      <w:lvlText w:val="•"/>
      <w:lvlJc w:val="left"/>
      <w:pPr>
        <w:tabs>
          <w:tab w:val="num" w:pos="3600"/>
        </w:tabs>
        <w:ind w:left="3600" w:hanging="360"/>
      </w:pPr>
      <w:rPr>
        <w:rFonts w:ascii="Arial" w:hAnsi="Arial" w:hint="default"/>
      </w:rPr>
    </w:lvl>
    <w:lvl w:ilvl="5" w:tplc="17600DD4" w:tentative="1">
      <w:start w:val="1"/>
      <w:numFmt w:val="bullet"/>
      <w:lvlText w:val="•"/>
      <w:lvlJc w:val="left"/>
      <w:pPr>
        <w:tabs>
          <w:tab w:val="num" w:pos="4320"/>
        </w:tabs>
        <w:ind w:left="4320" w:hanging="360"/>
      </w:pPr>
      <w:rPr>
        <w:rFonts w:ascii="Arial" w:hAnsi="Arial" w:hint="default"/>
      </w:rPr>
    </w:lvl>
    <w:lvl w:ilvl="6" w:tplc="FC54D8B8" w:tentative="1">
      <w:start w:val="1"/>
      <w:numFmt w:val="bullet"/>
      <w:lvlText w:val="•"/>
      <w:lvlJc w:val="left"/>
      <w:pPr>
        <w:tabs>
          <w:tab w:val="num" w:pos="5040"/>
        </w:tabs>
        <w:ind w:left="5040" w:hanging="360"/>
      </w:pPr>
      <w:rPr>
        <w:rFonts w:ascii="Arial" w:hAnsi="Arial" w:hint="default"/>
      </w:rPr>
    </w:lvl>
    <w:lvl w:ilvl="7" w:tplc="8C3A381E" w:tentative="1">
      <w:start w:val="1"/>
      <w:numFmt w:val="bullet"/>
      <w:lvlText w:val="•"/>
      <w:lvlJc w:val="left"/>
      <w:pPr>
        <w:tabs>
          <w:tab w:val="num" w:pos="5760"/>
        </w:tabs>
        <w:ind w:left="5760" w:hanging="360"/>
      </w:pPr>
      <w:rPr>
        <w:rFonts w:ascii="Arial" w:hAnsi="Arial" w:hint="default"/>
      </w:rPr>
    </w:lvl>
    <w:lvl w:ilvl="8" w:tplc="368ACF4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D0772CC"/>
    <w:multiLevelType w:val="hybridMultilevel"/>
    <w:tmpl w:val="813AF492"/>
    <w:lvl w:ilvl="0" w:tplc="42507C42">
      <w:start w:val="1"/>
      <w:numFmt w:val="bullet"/>
      <w:lvlText w:val="•"/>
      <w:lvlJc w:val="left"/>
      <w:pPr>
        <w:tabs>
          <w:tab w:val="num" w:pos="720"/>
        </w:tabs>
        <w:ind w:left="720" w:hanging="360"/>
      </w:pPr>
      <w:rPr>
        <w:rFonts w:ascii="Arial" w:hAnsi="Arial" w:hint="default"/>
      </w:rPr>
    </w:lvl>
    <w:lvl w:ilvl="1" w:tplc="88E65BB6" w:tentative="1">
      <w:start w:val="1"/>
      <w:numFmt w:val="bullet"/>
      <w:lvlText w:val="•"/>
      <w:lvlJc w:val="left"/>
      <w:pPr>
        <w:tabs>
          <w:tab w:val="num" w:pos="1440"/>
        </w:tabs>
        <w:ind w:left="1440" w:hanging="360"/>
      </w:pPr>
      <w:rPr>
        <w:rFonts w:ascii="Arial" w:hAnsi="Arial" w:hint="default"/>
      </w:rPr>
    </w:lvl>
    <w:lvl w:ilvl="2" w:tplc="DB8C10F4" w:tentative="1">
      <w:start w:val="1"/>
      <w:numFmt w:val="bullet"/>
      <w:lvlText w:val="•"/>
      <w:lvlJc w:val="left"/>
      <w:pPr>
        <w:tabs>
          <w:tab w:val="num" w:pos="2160"/>
        </w:tabs>
        <w:ind w:left="2160" w:hanging="360"/>
      </w:pPr>
      <w:rPr>
        <w:rFonts w:ascii="Arial" w:hAnsi="Arial" w:hint="default"/>
      </w:rPr>
    </w:lvl>
    <w:lvl w:ilvl="3" w:tplc="E21277A2" w:tentative="1">
      <w:start w:val="1"/>
      <w:numFmt w:val="bullet"/>
      <w:lvlText w:val="•"/>
      <w:lvlJc w:val="left"/>
      <w:pPr>
        <w:tabs>
          <w:tab w:val="num" w:pos="2880"/>
        </w:tabs>
        <w:ind w:left="2880" w:hanging="360"/>
      </w:pPr>
      <w:rPr>
        <w:rFonts w:ascii="Arial" w:hAnsi="Arial" w:hint="default"/>
      </w:rPr>
    </w:lvl>
    <w:lvl w:ilvl="4" w:tplc="25FA4304" w:tentative="1">
      <w:start w:val="1"/>
      <w:numFmt w:val="bullet"/>
      <w:lvlText w:val="•"/>
      <w:lvlJc w:val="left"/>
      <w:pPr>
        <w:tabs>
          <w:tab w:val="num" w:pos="3600"/>
        </w:tabs>
        <w:ind w:left="3600" w:hanging="360"/>
      </w:pPr>
      <w:rPr>
        <w:rFonts w:ascii="Arial" w:hAnsi="Arial" w:hint="default"/>
      </w:rPr>
    </w:lvl>
    <w:lvl w:ilvl="5" w:tplc="53881A96" w:tentative="1">
      <w:start w:val="1"/>
      <w:numFmt w:val="bullet"/>
      <w:lvlText w:val="•"/>
      <w:lvlJc w:val="left"/>
      <w:pPr>
        <w:tabs>
          <w:tab w:val="num" w:pos="4320"/>
        </w:tabs>
        <w:ind w:left="4320" w:hanging="360"/>
      </w:pPr>
      <w:rPr>
        <w:rFonts w:ascii="Arial" w:hAnsi="Arial" w:hint="default"/>
      </w:rPr>
    </w:lvl>
    <w:lvl w:ilvl="6" w:tplc="5B16E840" w:tentative="1">
      <w:start w:val="1"/>
      <w:numFmt w:val="bullet"/>
      <w:lvlText w:val="•"/>
      <w:lvlJc w:val="left"/>
      <w:pPr>
        <w:tabs>
          <w:tab w:val="num" w:pos="5040"/>
        </w:tabs>
        <w:ind w:left="5040" w:hanging="360"/>
      </w:pPr>
      <w:rPr>
        <w:rFonts w:ascii="Arial" w:hAnsi="Arial" w:hint="default"/>
      </w:rPr>
    </w:lvl>
    <w:lvl w:ilvl="7" w:tplc="86E45A1A" w:tentative="1">
      <w:start w:val="1"/>
      <w:numFmt w:val="bullet"/>
      <w:lvlText w:val="•"/>
      <w:lvlJc w:val="left"/>
      <w:pPr>
        <w:tabs>
          <w:tab w:val="num" w:pos="5760"/>
        </w:tabs>
        <w:ind w:left="5760" w:hanging="360"/>
      </w:pPr>
      <w:rPr>
        <w:rFonts w:ascii="Arial" w:hAnsi="Arial" w:hint="default"/>
      </w:rPr>
    </w:lvl>
    <w:lvl w:ilvl="8" w:tplc="2FE83D32" w:tentative="1">
      <w:start w:val="1"/>
      <w:numFmt w:val="bullet"/>
      <w:lvlText w:val="•"/>
      <w:lvlJc w:val="left"/>
      <w:pPr>
        <w:tabs>
          <w:tab w:val="num" w:pos="6480"/>
        </w:tabs>
        <w:ind w:left="6480" w:hanging="360"/>
      </w:pPr>
      <w:rPr>
        <w:rFonts w:ascii="Arial" w:hAnsi="Arial" w:hint="default"/>
      </w:rPr>
    </w:lvl>
  </w:abstractNum>
  <w:num w:numId="1" w16cid:durableId="649988044">
    <w:abstractNumId w:val="1"/>
  </w:num>
  <w:num w:numId="2" w16cid:durableId="114838342">
    <w:abstractNumId w:val="8"/>
  </w:num>
  <w:num w:numId="3" w16cid:durableId="1805467827">
    <w:abstractNumId w:val="7"/>
  </w:num>
  <w:num w:numId="4" w16cid:durableId="1149245416">
    <w:abstractNumId w:val="5"/>
  </w:num>
  <w:num w:numId="5" w16cid:durableId="76170784">
    <w:abstractNumId w:val="0"/>
  </w:num>
  <w:num w:numId="6" w16cid:durableId="156001818">
    <w:abstractNumId w:val="6"/>
  </w:num>
  <w:num w:numId="7" w16cid:durableId="1569535546">
    <w:abstractNumId w:val="2"/>
  </w:num>
  <w:num w:numId="8" w16cid:durableId="17706310">
    <w:abstractNumId w:val="4"/>
  </w:num>
  <w:num w:numId="9" w16cid:durableId="4758021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4B2"/>
    <w:rsid w:val="00002F50"/>
    <w:rsid w:val="0003601A"/>
    <w:rsid w:val="000375BF"/>
    <w:rsid w:val="00064476"/>
    <w:rsid w:val="00077E05"/>
    <w:rsid w:val="000A6B73"/>
    <w:rsid w:val="000B0D7A"/>
    <w:rsid w:val="00123D1E"/>
    <w:rsid w:val="001378E5"/>
    <w:rsid w:val="001775D2"/>
    <w:rsid w:val="00180E5C"/>
    <w:rsid w:val="001D29B5"/>
    <w:rsid w:val="001E144A"/>
    <w:rsid w:val="001F1579"/>
    <w:rsid w:val="001F225F"/>
    <w:rsid w:val="001F4846"/>
    <w:rsid w:val="00230CA0"/>
    <w:rsid w:val="00242AC2"/>
    <w:rsid w:val="00262350"/>
    <w:rsid w:val="00285F47"/>
    <w:rsid w:val="00290A4D"/>
    <w:rsid w:val="00291EFD"/>
    <w:rsid w:val="002A0FFD"/>
    <w:rsid w:val="002D51B3"/>
    <w:rsid w:val="002D7DCA"/>
    <w:rsid w:val="00361CF0"/>
    <w:rsid w:val="00370827"/>
    <w:rsid w:val="0037140C"/>
    <w:rsid w:val="00371B46"/>
    <w:rsid w:val="003A4BA4"/>
    <w:rsid w:val="003E7021"/>
    <w:rsid w:val="004078D1"/>
    <w:rsid w:val="00441882"/>
    <w:rsid w:val="004E7011"/>
    <w:rsid w:val="004F25CD"/>
    <w:rsid w:val="00541550"/>
    <w:rsid w:val="0054611B"/>
    <w:rsid w:val="00562F94"/>
    <w:rsid w:val="00563A83"/>
    <w:rsid w:val="00583CF4"/>
    <w:rsid w:val="00596725"/>
    <w:rsid w:val="005E7E88"/>
    <w:rsid w:val="005F6A21"/>
    <w:rsid w:val="00651EE5"/>
    <w:rsid w:val="00672490"/>
    <w:rsid w:val="006B6666"/>
    <w:rsid w:val="006C33D1"/>
    <w:rsid w:val="006C5F87"/>
    <w:rsid w:val="007749D0"/>
    <w:rsid w:val="00781A5D"/>
    <w:rsid w:val="007976B9"/>
    <w:rsid w:val="007A330B"/>
    <w:rsid w:val="007B0EA1"/>
    <w:rsid w:val="007B76E6"/>
    <w:rsid w:val="007F04E1"/>
    <w:rsid w:val="007F5D90"/>
    <w:rsid w:val="00856974"/>
    <w:rsid w:val="008A43CD"/>
    <w:rsid w:val="00920169"/>
    <w:rsid w:val="009C567D"/>
    <w:rsid w:val="00A059C9"/>
    <w:rsid w:val="00A07E77"/>
    <w:rsid w:val="00A148BA"/>
    <w:rsid w:val="00A2088C"/>
    <w:rsid w:val="00A65BD4"/>
    <w:rsid w:val="00A83086"/>
    <w:rsid w:val="00AC0F51"/>
    <w:rsid w:val="00B37D88"/>
    <w:rsid w:val="00B504B2"/>
    <w:rsid w:val="00B51436"/>
    <w:rsid w:val="00B946CF"/>
    <w:rsid w:val="00BA1F4E"/>
    <w:rsid w:val="00BF608E"/>
    <w:rsid w:val="00C360B3"/>
    <w:rsid w:val="00CC7DDF"/>
    <w:rsid w:val="00CD3BD5"/>
    <w:rsid w:val="00CD5DAF"/>
    <w:rsid w:val="00CE1153"/>
    <w:rsid w:val="00D35FF6"/>
    <w:rsid w:val="00D37114"/>
    <w:rsid w:val="00D4781B"/>
    <w:rsid w:val="00D57503"/>
    <w:rsid w:val="00E260B8"/>
    <w:rsid w:val="00ED108A"/>
    <w:rsid w:val="00EF4423"/>
    <w:rsid w:val="00F16C06"/>
    <w:rsid w:val="00F83627"/>
    <w:rsid w:val="00FC1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6366E"/>
  <w15:chartTrackingRefBased/>
  <w15:docId w15:val="{8672B4E8-CE96-FC4D-A4A2-2455921E4E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08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77E0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504B2"/>
    <w:rPr>
      <w:rFonts w:eastAsiaTheme="minorEastAsia"/>
      <w:sz w:val="22"/>
      <w:szCs w:val="22"/>
      <w:lang w:val="en-US" w:eastAsia="zh-CN"/>
    </w:rPr>
  </w:style>
  <w:style w:type="character" w:customStyle="1" w:styleId="NoSpacingChar">
    <w:name w:val="No Spacing Char"/>
    <w:basedOn w:val="DefaultParagraphFont"/>
    <w:link w:val="NoSpacing"/>
    <w:uiPriority w:val="1"/>
    <w:rsid w:val="00B504B2"/>
    <w:rPr>
      <w:rFonts w:eastAsiaTheme="minorEastAsia"/>
      <w:sz w:val="22"/>
      <w:szCs w:val="22"/>
      <w:lang w:val="en-US" w:eastAsia="zh-CN"/>
    </w:rPr>
  </w:style>
  <w:style w:type="paragraph" w:styleId="Footer">
    <w:name w:val="footer"/>
    <w:basedOn w:val="Normal"/>
    <w:link w:val="FooterChar"/>
    <w:uiPriority w:val="99"/>
    <w:unhideWhenUsed/>
    <w:rsid w:val="00B504B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504B2"/>
  </w:style>
  <w:style w:type="character" w:styleId="PageNumber">
    <w:name w:val="page number"/>
    <w:basedOn w:val="DefaultParagraphFont"/>
    <w:uiPriority w:val="99"/>
    <w:semiHidden/>
    <w:unhideWhenUsed/>
    <w:rsid w:val="00B504B2"/>
  </w:style>
  <w:style w:type="character" w:styleId="Hyperlink">
    <w:name w:val="Hyperlink"/>
    <w:basedOn w:val="DefaultParagraphFont"/>
    <w:uiPriority w:val="99"/>
    <w:semiHidden/>
    <w:unhideWhenUsed/>
    <w:rsid w:val="001E144A"/>
    <w:rPr>
      <w:color w:val="0000FF"/>
      <w:u w:val="single"/>
    </w:rPr>
  </w:style>
  <w:style w:type="character" w:customStyle="1" w:styleId="ref-lnk">
    <w:name w:val="ref-lnk"/>
    <w:basedOn w:val="DefaultParagraphFont"/>
    <w:rsid w:val="0003601A"/>
  </w:style>
  <w:style w:type="character" w:customStyle="1" w:styleId="off-screen">
    <w:name w:val="off-screen"/>
    <w:basedOn w:val="DefaultParagraphFont"/>
    <w:rsid w:val="0003601A"/>
  </w:style>
  <w:style w:type="paragraph" w:styleId="NormalWeb">
    <w:name w:val="Normal (Web)"/>
    <w:basedOn w:val="Normal"/>
    <w:uiPriority w:val="99"/>
    <w:semiHidden/>
    <w:unhideWhenUsed/>
    <w:rsid w:val="0003601A"/>
    <w:pPr>
      <w:spacing w:before="100" w:beforeAutospacing="1" w:after="100" w:afterAutospacing="1"/>
    </w:pPr>
  </w:style>
  <w:style w:type="character" w:styleId="FollowedHyperlink">
    <w:name w:val="FollowedHyperlink"/>
    <w:basedOn w:val="DefaultParagraphFont"/>
    <w:uiPriority w:val="99"/>
    <w:semiHidden/>
    <w:unhideWhenUsed/>
    <w:rsid w:val="007F04E1"/>
    <w:rPr>
      <w:color w:val="954F72" w:themeColor="followedHyperlink"/>
      <w:u w:val="single"/>
    </w:rPr>
  </w:style>
  <w:style w:type="paragraph" w:customStyle="1" w:styleId="first">
    <w:name w:val="first"/>
    <w:basedOn w:val="Normal"/>
    <w:rsid w:val="00262350"/>
    <w:pPr>
      <w:spacing w:before="100" w:beforeAutospacing="1" w:after="100" w:afterAutospacing="1"/>
    </w:pPr>
  </w:style>
  <w:style w:type="character" w:customStyle="1" w:styleId="u-custom-list-number">
    <w:name w:val="u-custom-list-number"/>
    <w:basedOn w:val="DefaultParagraphFont"/>
    <w:rsid w:val="002A0FFD"/>
  </w:style>
  <w:style w:type="paragraph" w:styleId="ListParagraph">
    <w:name w:val="List Paragraph"/>
    <w:basedOn w:val="Normal"/>
    <w:uiPriority w:val="34"/>
    <w:qFormat/>
    <w:rsid w:val="00371B46"/>
    <w:pPr>
      <w:ind w:left="720"/>
      <w:contextualSpacing/>
    </w:pPr>
    <w:rPr>
      <w:rFonts w:asciiTheme="minorHAnsi" w:eastAsiaTheme="minorHAnsi" w:hAnsiTheme="minorHAnsi" w:cstheme="minorBidi"/>
      <w:lang w:eastAsia="en-US"/>
    </w:rPr>
  </w:style>
  <w:style w:type="paragraph" w:customStyle="1" w:styleId="trt0xe">
    <w:name w:val="trt0xe"/>
    <w:basedOn w:val="Normal"/>
    <w:rsid w:val="00CC7DDF"/>
    <w:pPr>
      <w:spacing w:before="100" w:beforeAutospacing="1" w:after="100" w:afterAutospacing="1"/>
    </w:pPr>
  </w:style>
  <w:style w:type="character" w:styleId="Strong">
    <w:name w:val="Strong"/>
    <w:basedOn w:val="DefaultParagraphFont"/>
    <w:uiPriority w:val="22"/>
    <w:qFormat/>
    <w:rsid w:val="00242AC2"/>
    <w:rPr>
      <w:b/>
      <w:bCs/>
    </w:rPr>
  </w:style>
  <w:style w:type="character" w:customStyle="1" w:styleId="normaltextrun">
    <w:name w:val="normaltextrun"/>
    <w:basedOn w:val="DefaultParagraphFont"/>
    <w:rsid w:val="0054611B"/>
  </w:style>
  <w:style w:type="character" w:customStyle="1" w:styleId="eop">
    <w:name w:val="eop"/>
    <w:basedOn w:val="DefaultParagraphFont"/>
    <w:rsid w:val="0054611B"/>
  </w:style>
  <w:style w:type="paragraph" w:customStyle="1" w:styleId="paragraph">
    <w:name w:val="paragraph"/>
    <w:basedOn w:val="Normal"/>
    <w:rsid w:val="00BF608E"/>
    <w:pPr>
      <w:spacing w:before="100" w:beforeAutospacing="1" w:after="100" w:afterAutospacing="1"/>
    </w:pPr>
  </w:style>
  <w:style w:type="character" w:customStyle="1" w:styleId="Heading1Char">
    <w:name w:val="Heading 1 Char"/>
    <w:basedOn w:val="DefaultParagraphFont"/>
    <w:link w:val="Heading1"/>
    <w:uiPriority w:val="9"/>
    <w:rsid w:val="00077E0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77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4711">
      <w:bodyDiv w:val="1"/>
      <w:marLeft w:val="0"/>
      <w:marRight w:val="0"/>
      <w:marTop w:val="0"/>
      <w:marBottom w:val="0"/>
      <w:divBdr>
        <w:top w:val="none" w:sz="0" w:space="0" w:color="auto"/>
        <w:left w:val="none" w:sz="0" w:space="0" w:color="auto"/>
        <w:bottom w:val="none" w:sz="0" w:space="0" w:color="auto"/>
        <w:right w:val="none" w:sz="0" w:space="0" w:color="auto"/>
      </w:divBdr>
    </w:div>
    <w:div w:id="91635221">
      <w:bodyDiv w:val="1"/>
      <w:marLeft w:val="0"/>
      <w:marRight w:val="0"/>
      <w:marTop w:val="0"/>
      <w:marBottom w:val="0"/>
      <w:divBdr>
        <w:top w:val="none" w:sz="0" w:space="0" w:color="auto"/>
        <w:left w:val="none" w:sz="0" w:space="0" w:color="auto"/>
        <w:bottom w:val="none" w:sz="0" w:space="0" w:color="auto"/>
        <w:right w:val="none" w:sz="0" w:space="0" w:color="auto"/>
      </w:divBdr>
      <w:divsChild>
        <w:div w:id="1403718168">
          <w:marLeft w:val="0"/>
          <w:marRight w:val="0"/>
          <w:marTop w:val="0"/>
          <w:marBottom w:val="0"/>
          <w:divBdr>
            <w:top w:val="none" w:sz="0" w:space="0" w:color="auto"/>
            <w:left w:val="none" w:sz="0" w:space="0" w:color="auto"/>
            <w:bottom w:val="none" w:sz="0" w:space="0" w:color="auto"/>
            <w:right w:val="none" w:sz="0" w:space="0" w:color="auto"/>
          </w:divBdr>
        </w:div>
        <w:div w:id="965962002">
          <w:marLeft w:val="0"/>
          <w:marRight w:val="0"/>
          <w:marTop w:val="0"/>
          <w:marBottom w:val="0"/>
          <w:divBdr>
            <w:top w:val="none" w:sz="0" w:space="0" w:color="auto"/>
            <w:left w:val="none" w:sz="0" w:space="0" w:color="auto"/>
            <w:bottom w:val="none" w:sz="0" w:space="0" w:color="auto"/>
            <w:right w:val="none" w:sz="0" w:space="0" w:color="auto"/>
          </w:divBdr>
        </w:div>
        <w:div w:id="1877040939">
          <w:marLeft w:val="0"/>
          <w:marRight w:val="0"/>
          <w:marTop w:val="0"/>
          <w:marBottom w:val="0"/>
          <w:divBdr>
            <w:top w:val="none" w:sz="0" w:space="0" w:color="auto"/>
            <w:left w:val="none" w:sz="0" w:space="0" w:color="auto"/>
            <w:bottom w:val="none" w:sz="0" w:space="0" w:color="auto"/>
            <w:right w:val="none" w:sz="0" w:space="0" w:color="auto"/>
          </w:divBdr>
        </w:div>
        <w:div w:id="582833542">
          <w:marLeft w:val="0"/>
          <w:marRight w:val="0"/>
          <w:marTop w:val="0"/>
          <w:marBottom w:val="0"/>
          <w:divBdr>
            <w:top w:val="none" w:sz="0" w:space="0" w:color="auto"/>
            <w:left w:val="none" w:sz="0" w:space="0" w:color="auto"/>
            <w:bottom w:val="none" w:sz="0" w:space="0" w:color="auto"/>
            <w:right w:val="none" w:sz="0" w:space="0" w:color="auto"/>
          </w:divBdr>
        </w:div>
        <w:div w:id="704259623">
          <w:marLeft w:val="0"/>
          <w:marRight w:val="0"/>
          <w:marTop w:val="0"/>
          <w:marBottom w:val="0"/>
          <w:divBdr>
            <w:top w:val="none" w:sz="0" w:space="0" w:color="auto"/>
            <w:left w:val="none" w:sz="0" w:space="0" w:color="auto"/>
            <w:bottom w:val="none" w:sz="0" w:space="0" w:color="auto"/>
            <w:right w:val="none" w:sz="0" w:space="0" w:color="auto"/>
          </w:divBdr>
        </w:div>
        <w:div w:id="693847106">
          <w:marLeft w:val="0"/>
          <w:marRight w:val="0"/>
          <w:marTop w:val="0"/>
          <w:marBottom w:val="0"/>
          <w:divBdr>
            <w:top w:val="none" w:sz="0" w:space="0" w:color="auto"/>
            <w:left w:val="none" w:sz="0" w:space="0" w:color="auto"/>
            <w:bottom w:val="none" w:sz="0" w:space="0" w:color="auto"/>
            <w:right w:val="none" w:sz="0" w:space="0" w:color="auto"/>
          </w:divBdr>
        </w:div>
        <w:div w:id="841167619">
          <w:marLeft w:val="0"/>
          <w:marRight w:val="0"/>
          <w:marTop w:val="0"/>
          <w:marBottom w:val="0"/>
          <w:divBdr>
            <w:top w:val="none" w:sz="0" w:space="0" w:color="auto"/>
            <w:left w:val="none" w:sz="0" w:space="0" w:color="auto"/>
            <w:bottom w:val="none" w:sz="0" w:space="0" w:color="auto"/>
            <w:right w:val="none" w:sz="0" w:space="0" w:color="auto"/>
          </w:divBdr>
        </w:div>
        <w:div w:id="42025816">
          <w:marLeft w:val="0"/>
          <w:marRight w:val="0"/>
          <w:marTop w:val="0"/>
          <w:marBottom w:val="0"/>
          <w:divBdr>
            <w:top w:val="none" w:sz="0" w:space="0" w:color="auto"/>
            <w:left w:val="none" w:sz="0" w:space="0" w:color="auto"/>
            <w:bottom w:val="none" w:sz="0" w:space="0" w:color="auto"/>
            <w:right w:val="none" w:sz="0" w:space="0" w:color="auto"/>
          </w:divBdr>
        </w:div>
        <w:div w:id="855458290">
          <w:marLeft w:val="0"/>
          <w:marRight w:val="0"/>
          <w:marTop w:val="0"/>
          <w:marBottom w:val="0"/>
          <w:divBdr>
            <w:top w:val="none" w:sz="0" w:space="0" w:color="auto"/>
            <w:left w:val="none" w:sz="0" w:space="0" w:color="auto"/>
            <w:bottom w:val="none" w:sz="0" w:space="0" w:color="auto"/>
            <w:right w:val="none" w:sz="0" w:space="0" w:color="auto"/>
          </w:divBdr>
        </w:div>
        <w:div w:id="12728683">
          <w:marLeft w:val="0"/>
          <w:marRight w:val="0"/>
          <w:marTop w:val="0"/>
          <w:marBottom w:val="0"/>
          <w:divBdr>
            <w:top w:val="none" w:sz="0" w:space="0" w:color="auto"/>
            <w:left w:val="none" w:sz="0" w:space="0" w:color="auto"/>
            <w:bottom w:val="none" w:sz="0" w:space="0" w:color="auto"/>
            <w:right w:val="none" w:sz="0" w:space="0" w:color="auto"/>
          </w:divBdr>
        </w:div>
        <w:div w:id="1592621913">
          <w:marLeft w:val="0"/>
          <w:marRight w:val="0"/>
          <w:marTop w:val="0"/>
          <w:marBottom w:val="0"/>
          <w:divBdr>
            <w:top w:val="none" w:sz="0" w:space="0" w:color="auto"/>
            <w:left w:val="none" w:sz="0" w:space="0" w:color="auto"/>
            <w:bottom w:val="none" w:sz="0" w:space="0" w:color="auto"/>
            <w:right w:val="none" w:sz="0" w:space="0" w:color="auto"/>
          </w:divBdr>
        </w:div>
        <w:div w:id="536434586">
          <w:marLeft w:val="0"/>
          <w:marRight w:val="0"/>
          <w:marTop w:val="0"/>
          <w:marBottom w:val="0"/>
          <w:divBdr>
            <w:top w:val="none" w:sz="0" w:space="0" w:color="auto"/>
            <w:left w:val="none" w:sz="0" w:space="0" w:color="auto"/>
            <w:bottom w:val="none" w:sz="0" w:space="0" w:color="auto"/>
            <w:right w:val="none" w:sz="0" w:space="0" w:color="auto"/>
          </w:divBdr>
        </w:div>
        <w:div w:id="1076587692">
          <w:marLeft w:val="0"/>
          <w:marRight w:val="0"/>
          <w:marTop w:val="0"/>
          <w:marBottom w:val="0"/>
          <w:divBdr>
            <w:top w:val="none" w:sz="0" w:space="0" w:color="auto"/>
            <w:left w:val="none" w:sz="0" w:space="0" w:color="auto"/>
            <w:bottom w:val="none" w:sz="0" w:space="0" w:color="auto"/>
            <w:right w:val="none" w:sz="0" w:space="0" w:color="auto"/>
          </w:divBdr>
        </w:div>
        <w:div w:id="915287070">
          <w:marLeft w:val="0"/>
          <w:marRight w:val="0"/>
          <w:marTop w:val="0"/>
          <w:marBottom w:val="0"/>
          <w:divBdr>
            <w:top w:val="none" w:sz="0" w:space="0" w:color="auto"/>
            <w:left w:val="none" w:sz="0" w:space="0" w:color="auto"/>
            <w:bottom w:val="none" w:sz="0" w:space="0" w:color="auto"/>
            <w:right w:val="none" w:sz="0" w:space="0" w:color="auto"/>
          </w:divBdr>
        </w:div>
        <w:div w:id="549879020">
          <w:marLeft w:val="0"/>
          <w:marRight w:val="0"/>
          <w:marTop w:val="0"/>
          <w:marBottom w:val="0"/>
          <w:divBdr>
            <w:top w:val="none" w:sz="0" w:space="0" w:color="auto"/>
            <w:left w:val="none" w:sz="0" w:space="0" w:color="auto"/>
            <w:bottom w:val="none" w:sz="0" w:space="0" w:color="auto"/>
            <w:right w:val="none" w:sz="0" w:space="0" w:color="auto"/>
          </w:divBdr>
        </w:div>
      </w:divsChild>
    </w:div>
    <w:div w:id="94636275">
      <w:bodyDiv w:val="1"/>
      <w:marLeft w:val="0"/>
      <w:marRight w:val="0"/>
      <w:marTop w:val="0"/>
      <w:marBottom w:val="0"/>
      <w:divBdr>
        <w:top w:val="none" w:sz="0" w:space="0" w:color="auto"/>
        <w:left w:val="none" w:sz="0" w:space="0" w:color="auto"/>
        <w:bottom w:val="none" w:sz="0" w:space="0" w:color="auto"/>
        <w:right w:val="none" w:sz="0" w:space="0" w:color="auto"/>
      </w:divBdr>
    </w:div>
    <w:div w:id="96827935">
      <w:bodyDiv w:val="1"/>
      <w:marLeft w:val="0"/>
      <w:marRight w:val="0"/>
      <w:marTop w:val="0"/>
      <w:marBottom w:val="0"/>
      <w:divBdr>
        <w:top w:val="none" w:sz="0" w:space="0" w:color="auto"/>
        <w:left w:val="none" w:sz="0" w:space="0" w:color="auto"/>
        <w:bottom w:val="none" w:sz="0" w:space="0" w:color="auto"/>
        <w:right w:val="none" w:sz="0" w:space="0" w:color="auto"/>
      </w:divBdr>
    </w:div>
    <w:div w:id="210268424">
      <w:bodyDiv w:val="1"/>
      <w:marLeft w:val="0"/>
      <w:marRight w:val="0"/>
      <w:marTop w:val="0"/>
      <w:marBottom w:val="0"/>
      <w:divBdr>
        <w:top w:val="none" w:sz="0" w:space="0" w:color="auto"/>
        <w:left w:val="none" w:sz="0" w:space="0" w:color="auto"/>
        <w:bottom w:val="none" w:sz="0" w:space="0" w:color="auto"/>
        <w:right w:val="none" w:sz="0" w:space="0" w:color="auto"/>
      </w:divBdr>
    </w:div>
    <w:div w:id="226065475">
      <w:bodyDiv w:val="1"/>
      <w:marLeft w:val="0"/>
      <w:marRight w:val="0"/>
      <w:marTop w:val="0"/>
      <w:marBottom w:val="0"/>
      <w:divBdr>
        <w:top w:val="none" w:sz="0" w:space="0" w:color="auto"/>
        <w:left w:val="none" w:sz="0" w:space="0" w:color="auto"/>
        <w:bottom w:val="none" w:sz="0" w:space="0" w:color="auto"/>
        <w:right w:val="none" w:sz="0" w:space="0" w:color="auto"/>
      </w:divBdr>
    </w:div>
    <w:div w:id="228422098">
      <w:bodyDiv w:val="1"/>
      <w:marLeft w:val="0"/>
      <w:marRight w:val="0"/>
      <w:marTop w:val="0"/>
      <w:marBottom w:val="0"/>
      <w:divBdr>
        <w:top w:val="none" w:sz="0" w:space="0" w:color="auto"/>
        <w:left w:val="none" w:sz="0" w:space="0" w:color="auto"/>
        <w:bottom w:val="none" w:sz="0" w:space="0" w:color="auto"/>
        <w:right w:val="none" w:sz="0" w:space="0" w:color="auto"/>
      </w:divBdr>
    </w:div>
    <w:div w:id="268700369">
      <w:bodyDiv w:val="1"/>
      <w:marLeft w:val="0"/>
      <w:marRight w:val="0"/>
      <w:marTop w:val="0"/>
      <w:marBottom w:val="0"/>
      <w:divBdr>
        <w:top w:val="none" w:sz="0" w:space="0" w:color="auto"/>
        <w:left w:val="none" w:sz="0" w:space="0" w:color="auto"/>
        <w:bottom w:val="none" w:sz="0" w:space="0" w:color="auto"/>
        <w:right w:val="none" w:sz="0" w:space="0" w:color="auto"/>
      </w:divBdr>
    </w:div>
    <w:div w:id="281228777">
      <w:bodyDiv w:val="1"/>
      <w:marLeft w:val="0"/>
      <w:marRight w:val="0"/>
      <w:marTop w:val="0"/>
      <w:marBottom w:val="0"/>
      <w:divBdr>
        <w:top w:val="none" w:sz="0" w:space="0" w:color="auto"/>
        <w:left w:val="none" w:sz="0" w:space="0" w:color="auto"/>
        <w:bottom w:val="none" w:sz="0" w:space="0" w:color="auto"/>
        <w:right w:val="none" w:sz="0" w:space="0" w:color="auto"/>
      </w:divBdr>
    </w:div>
    <w:div w:id="283927467">
      <w:bodyDiv w:val="1"/>
      <w:marLeft w:val="0"/>
      <w:marRight w:val="0"/>
      <w:marTop w:val="0"/>
      <w:marBottom w:val="0"/>
      <w:divBdr>
        <w:top w:val="none" w:sz="0" w:space="0" w:color="auto"/>
        <w:left w:val="none" w:sz="0" w:space="0" w:color="auto"/>
        <w:bottom w:val="none" w:sz="0" w:space="0" w:color="auto"/>
        <w:right w:val="none" w:sz="0" w:space="0" w:color="auto"/>
      </w:divBdr>
    </w:div>
    <w:div w:id="332102837">
      <w:bodyDiv w:val="1"/>
      <w:marLeft w:val="0"/>
      <w:marRight w:val="0"/>
      <w:marTop w:val="0"/>
      <w:marBottom w:val="0"/>
      <w:divBdr>
        <w:top w:val="none" w:sz="0" w:space="0" w:color="auto"/>
        <w:left w:val="none" w:sz="0" w:space="0" w:color="auto"/>
        <w:bottom w:val="none" w:sz="0" w:space="0" w:color="auto"/>
        <w:right w:val="none" w:sz="0" w:space="0" w:color="auto"/>
      </w:divBdr>
    </w:div>
    <w:div w:id="355499058">
      <w:bodyDiv w:val="1"/>
      <w:marLeft w:val="0"/>
      <w:marRight w:val="0"/>
      <w:marTop w:val="0"/>
      <w:marBottom w:val="0"/>
      <w:divBdr>
        <w:top w:val="none" w:sz="0" w:space="0" w:color="auto"/>
        <w:left w:val="none" w:sz="0" w:space="0" w:color="auto"/>
        <w:bottom w:val="none" w:sz="0" w:space="0" w:color="auto"/>
        <w:right w:val="none" w:sz="0" w:space="0" w:color="auto"/>
      </w:divBdr>
    </w:div>
    <w:div w:id="366149790">
      <w:bodyDiv w:val="1"/>
      <w:marLeft w:val="0"/>
      <w:marRight w:val="0"/>
      <w:marTop w:val="0"/>
      <w:marBottom w:val="0"/>
      <w:divBdr>
        <w:top w:val="none" w:sz="0" w:space="0" w:color="auto"/>
        <w:left w:val="none" w:sz="0" w:space="0" w:color="auto"/>
        <w:bottom w:val="none" w:sz="0" w:space="0" w:color="auto"/>
        <w:right w:val="none" w:sz="0" w:space="0" w:color="auto"/>
      </w:divBdr>
    </w:div>
    <w:div w:id="371728222">
      <w:bodyDiv w:val="1"/>
      <w:marLeft w:val="0"/>
      <w:marRight w:val="0"/>
      <w:marTop w:val="0"/>
      <w:marBottom w:val="0"/>
      <w:divBdr>
        <w:top w:val="none" w:sz="0" w:space="0" w:color="auto"/>
        <w:left w:val="none" w:sz="0" w:space="0" w:color="auto"/>
        <w:bottom w:val="none" w:sz="0" w:space="0" w:color="auto"/>
        <w:right w:val="none" w:sz="0" w:space="0" w:color="auto"/>
      </w:divBdr>
    </w:div>
    <w:div w:id="388696512">
      <w:bodyDiv w:val="1"/>
      <w:marLeft w:val="0"/>
      <w:marRight w:val="0"/>
      <w:marTop w:val="0"/>
      <w:marBottom w:val="0"/>
      <w:divBdr>
        <w:top w:val="none" w:sz="0" w:space="0" w:color="auto"/>
        <w:left w:val="none" w:sz="0" w:space="0" w:color="auto"/>
        <w:bottom w:val="none" w:sz="0" w:space="0" w:color="auto"/>
        <w:right w:val="none" w:sz="0" w:space="0" w:color="auto"/>
      </w:divBdr>
      <w:divsChild>
        <w:div w:id="1616516651">
          <w:marLeft w:val="446"/>
          <w:marRight w:val="0"/>
          <w:marTop w:val="0"/>
          <w:marBottom w:val="0"/>
          <w:divBdr>
            <w:top w:val="none" w:sz="0" w:space="0" w:color="auto"/>
            <w:left w:val="none" w:sz="0" w:space="0" w:color="auto"/>
            <w:bottom w:val="none" w:sz="0" w:space="0" w:color="auto"/>
            <w:right w:val="none" w:sz="0" w:space="0" w:color="auto"/>
          </w:divBdr>
        </w:div>
        <w:div w:id="1133210095">
          <w:marLeft w:val="446"/>
          <w:marRight w:val="0"/>
          <w:marTop w:val="0"/>
          <w:marBottom w:val="0"/>
          <w:divBdr>
            <w:top w:val="none" w:sz="0" w:space="0" w:color="auto"/>
            <w:left w:val="none" w:sz="0" w:space="0" w:color="auto"/>
            <w:bottom w:val="none" w:sz="0" w:space="0" w:color="auto"/>
            <w:right w:val="none" w:sz="0" w:space="0" w:color="auto"/>
          </w:divBdr>
        </w:div>
        <w:div w:id="1347714671">
          <w:marLeft w:val="446"/>
          <w:marRight w:val="0"/>
          <w:marTop w:val="0"/>
          <w:marBottom w:val="0"/>
          <w:divBdr>
            <w:top w:val="none" w:sz="0" w:space="0" w:color="auto"/>
            <w:left w:val="none" w:sz="0" w:space="0" w:color="auto"/>
            <w:bottom w:val="none" w:sz="0" w:space="0" w:color="auto"/>
            <w:right w:val="none" w:sz="0" w:space="0" w:color="auto"/>
          </w:divBdr>
        </w:div>
      </w:divsChild>
    </w:div>
    <w:div w:id="415636573">
      <w:bodyDiv w:val="1"/>
      <w:marLeft w:val="0"/>
      <w:marRight w:val="0"/>
      <w:marTop w:val="0"/>
      <w:marBottom w:val="0"/>
      <w:divBdr>
        <w:top w:val="none" w:sz="0" w:space="0" w:color="auto"/>
        <w:left w:val="none" w:sz="0" w:space="0" w:color="auto"/>
        <w:bottom w:val="none" w:sz="0" w:space="0" w:color="auto"/>
        <w:right w:val="none" w:sz="0" w:space="0" w:color="auto"/>
      </w:divBdr>
    </w:div>
    <w:div w:id="449665944">
      <w:bodyDiv w:val="1"/>
      <w:marLeft w:val="0"/>
      <w:marRight w:val="0"/>
      <w:marTop w:val="0"/>
      <w:marBottom w:val="0"/>
      <w:divBdr>
        <w:top w:val="none" w:sz="0" w:space="0" w:color="auto"/>
        <w:left w:val="none" w:sz="0" w:space="0" w:color="auto"/>
        <w:bottom w:val="none" w:sz="0" w:space="0" w:color="auto"/>
        <w:right w:val="none" w:sz="0" w:space="0" w:color="auto"/>
      </w:divBdr>
    </w:div>
    <w:div w:id="453990319">
      <w:bodyDiv w:val="1"/>
      <w:marLeft w:val="0"/>
      <w:marRight w:val="0"/>
      <w:marTop w:val="0"/>
      <w:marBottom w:val="0"/>
      <w:divBdr>
        <w:top w:val="none" w:sz="0" w:space="0" w:color="auto"/>
        <w:left w:val="none" w:sz="0" w:space="0" w:color="auto"/>
        <w:bottom w:val="none" w:sz="0" w:space="0" w:color="auto"/>
        <w:right w:val="none" w:sz="0" w:space="0" w:color="auto"/>
      </w:divBdr>
    </w:div>
    <w:div w:id="459685335">
      <w:bodyDiv w:val="1"/>
      <w:marLeft w:val="0"/>
      <w:marRight w:val="0"/>
      <w:marTop w:val="0"/>
      <w:marBottom w:val="0"/>
      <w:divBdr>
        <w:top w:val="none" w:sz="0" w:space="0" w:color="auto"/>
        <w:left w:val="none" w:sz="0" w:space="0" w:color="auto"/>
        <w:bottom w:val="none" w:sz="0" w:space="0" w:color="auto"/>
        <w:right w:val="none" w:sz="0" w:space="0" w:color="auto"/>
      </w:divBdr>
    </w:div>
    <w:div w:id="465665505">
      <w:bodyDiv w:val="1"/>
      <w:marLeft w:val="0"/>
      <w:marRight w:val="0"/>
      <w:marTop w:val="0"/>
      <w:marBottom w:val="0"/>
      <w:divBdr>
        <w:top w:val="none" w:sz="0" w:space="0" w:color="auto"/>
        <w:left w:val="none" w:sz="0" w:space="0" w:color="auto"/>
        <w:bottom w:val="none" w:sz="0" w:space="0" w:color="auto"/>
        <w:right w:val="none" w:sz="0" w:space="0" w:color="auto"/>
      </w:divBdr>
    </w:div>
    <w:div w:id="491987934">
      <w:bodyDiv w:val="1"/>
      <w:marLeft w:val="0"/>
      <w:marRight w:val="0"/>
      <w:marTop w:val="0"/>
      <w:marBottom w:val="0"/>
      <w:divBdr>
        <w:top w:val="none" w:sz="0" w:space="0" w:color="auto"/>
        <w:left w:val="none" w:sz="0" w:space="0" w:color="auto"/>
        <w:bottom w:val="none" w:sz="0" w:space="0" w:color="auto"/>
        <w:right w:val="none" w:sz="0" w:space="0" w:color="auto"/>
      </w:divBdr>
      <w:divsChild>
        <w:div w:id="1907715157">
          <w:marLeft w:val="1200"/>
          <w:marRight w:val="0"/>
          <w:marTop w:val="240"/>
          <w:marBottom w:val="240"/>
          <w:divBdr>
            <w:top w:val="none" w:sz="0" w:space="0" w:color="auto"/>
            <w:left w:val="none" w:sz="0" w:space="0" w:color="auto"/>
            <w:bottom w:val="none" w:sz="0" w:space="0" w:color="auto"/>
            <w:right w:val="none" w:sz="0" w:space="0" w:color="auto"/>
          </w:divBdr>
        </w:div>
      </w:divsChild>
    </w:div>
    <w:div w:id="497616274">
      <w:bodyDiv w:val="1"/>
      <w:marLeft w:val="0"/>
      <w:marRight w:val="0"/>
      <w:marTop w:val="0"/>
      <w:marBottom w:val="0"/>
      <w:divBdr>
        <w:top w:val="none" w:sz="0" w:space="0" w:color="auto"/>
        <w:left w:val="none" w:sz="0" w:space="0" w:color="auto"/>
        <w:bottom w:val="none" w:sz="0" w:space="0" w:color="auto"/>
        <w:right w:val="none" w:sz="0" w:space="0" w:color="auto"/>
      </w:divBdr>
    </w:div>
    <w:div w:id="541476571">
      <w:bodyDiv w:val="1"/>
      <w:marLeft w:val="0"/>
      <w:marRight w:val="0"/>
      <w:marTop w:val="0"/>
      <w:marBottom w:val="0"/>
      <w:divBdr>
        <w:top w:val="none" w:sz="0" w:space="0" w:color="auto"/>
        <w:left w:val="none" w:sz="0" w:space="0" w:color="auto"/>
        <w:bottom w:val="none" w:sz="0" w:space="0" w:color="auto"/>
        <w:right w:val="none" w:sz="0" w:space="0" w:color="auto"/>
      </w:divBdr>
    </w:div>
    <w:div w:id="713578132">
      <w:bodyDiv w:val="1"/>
      <w:marLeft w:val="0"/>
      <w:marRight w:val="0"/>
      <w:marTop w:val="0"/>
      <w:marBottom w:val="0"/>
      <w:divBdr>
        <w:top w:val="none" w:sz="0" w:space="0" w:color="auto"/>
        <w:left w:val="none" w:sz="0" w:space="0" w:color="auto"/>
        <w:bottom w:val="none" w:sz="0" w:space="0" w:color="auto"/>
        <w:right w:val="none" w:sz="0" w:space="0" w:color="auto"/>
      </w:divBdr>
    </w:div>
    <w:div w:id="750586689">
      <w:bodyDiv w:val="1"/>
      <w:marLeft w:val="0"/>
      <w:marRight w:val="0"/>
      <w:marTop w:val="0"/>
      <w:marBottom w:val="0"/>
      <w:divBdr>
        <w:top w:val="none" w:sz="0" w:space="0" w:color="auto"/>
        <w:left w:val="none" w:sz="0" w:space="0" w:color="auto"/>
        <w:bottom w:val="none" w:sz="0" w:space="0" w:color="auto"/>
        <w:right w:val="none" w:sz="0" w:space="0" w:color="auto"/>
      </w:divBdr>
    </w:div>
    <w:div w:id="778985192">
      <w:bodyDiv w:val="1"/>
      <w:marLeft w:val="0"/>
      <w:marRight w:val="0"/>
      <w:marTop w:val="0"/>
      <w:marBottom w:val="0"/>
      <w:divBdr>
        <w:top w:val="none" w:sz="0" w:space="0" w:color="auto"/>
        <w:left w:val="none" w:sz="0" w:space="0" w:color="auto"/>
        <w:bottom w:val="none" w:sz="0" w:space="0" w:color="auto"/>
        <w:right w:val="none" w:sz="0" w:space="0" w:color="auto"/>
      </w:divBdr>
    </w:div>
    <w:div w:id="821001383">
      <w:bodyDiv w:val="1"/>
      <w:marLeft w:val="0"/>
      <w:marRight w:val="0"/>
      <w:marTop w:val="0"/>
      <w:marBottom w:val="0"/>
      <w:divBdr>
        <w:top w:val="none" w:sz="0" w:space="0" w:color="auto"/>
        <w:left w:val="none" w:sz="0" w:space="0" w:color="auto"/>
        <w:bottom w:val="none" w:sz="0" w:space="0" w:color="auto"/>
        <w:right w:val="none" w:sz="0" w:space="0" w:color="auto"/>
      </w:divBdr>
    </w:div>
    <w:div w:id="864446968">
      <w:bodyDiv w:val="1"/>
      <w:marLeft w:val="0"/>
      <w:marRight w:val="0"/>
      <w:marTop w:val="0"/>
      <w:marBottom w:val="0"/>
      <w:divBdr>
        <w:top w:val="none" w:sz="0" w:space="0" w:color="auto"/>
        <w:left w:val="none" w:sz="0" w:space="0" w:color="auto"/>
        <w:bottom w:val="none" w:sz="0" w:space="0" w:color="auto"/>
        <w:right w:val="none" w:sz="0" w:space="0" w:color="auto"/>
      </w:divBdr>
    </w:div>
    <w:div w:id="945649978">
      <w:bodyDiv w:val="1"/>
      <w:marLeft w:val="0"/>
      <w:marRight w:val="0"/>
      <w:marTop w:val="0"/>
      <w:marBottom w:val="0"/>
      <w:divBdr>
        <w:top w:val="none" w:sz="0" w:space="0" w:color="auto"/>
        <w:left w:val="none" w:sz="0" w:space="0" w:color="auto"/>
        <w:bottom w:val="none" w:sz="0" w:space="0" w:color="auto"/>
        <w:right w:val="none" w:sz="0" w:space="0" w:color="auto"/>
      </w:divBdr>
      <w:divsChild>
        <w:div w:id="25376997">
          <w:marLeft w:val="0"/>
          <w:marRight w:val="0"/>
          <w:marTop w:val="0"/>
          <w:marBottom w:val="720"/>
          <w:divBdr>
            <w:top w:val="none" w:sz="0" w:space="0" w:color="auto"/>
            <w:left w:val="none" w:sz="0" w:space="0" w:color="auto"/>
            <w:bottom w:val="none" w:sz="0" w:space="0" w:color="auto"/>
            <w:right w:val="none" w:sz="0" w:space="0" w:color="auto"/>
          </w:divBdr>
          <w:divsChild>
            <w:div w:id="208621851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958102421">
      <w:bodyDiv w:val="1"/>
      <w:marLeft w:val="0"/>
      <w:marRight w:val="0"/>
      <w:marTop w:val="0"/>
      <w:marBottom w:val="0"/>
      <w:divBdr>
        <w:top w:val="none" w:sz="0" w:space="0" w:color="auto"/>
        <w:left w:val="none" w:sz="0" w:space="0" w:color="auto"/>
        <w:bottom w:val="none" w:sz="0" w:space="0" w:color="auto"/>
        <w:right w:val="none" w:sz="0" w:space="0" w:color="auto"/>
      </w:divBdr>
    </w:div>
    <w:div w:id="975833613">
      <w:bodyDiv w:val="1"/>
      <w:marLeft w:val="0"/>
      <w:marRight w:val="0"/>
      <w:marTop w:val="0"/>
      <w:marBottom w:val="0"/>
      <w:divBdr>
        <w:top w:val="none" w:sz="0" w:space="0" w:color="auto"/>
        <w:left w:val="none" w:sz="0" w:space="0" w:color="auto"/>
        <w:bottom w:val="none" w:sz="0" w:space="0" w:color="auto"/>
        <w:right w:val="none" w:sz="0" w:space="0" w:color="auto"/>
      </w:divBdr>
    </w:div>
    <w:div w:id="999044403">
      <w:bodyDiv w:val="1"/>
      <w:marLeft w:val="0"/>
      <w:marRight w:val="0"/>
      <w:marTop w:val="0"/>
      <w:marBottom w:val="0"/>
      <w:divBdr>
        <w:top w:val="none" w:sz="0" w:space="0" w:color="auto"/>
        <w:left w:val="none" w:sz="0" w:space="0" w:color="auto"/>
        <w:bottom w:val="none" w:sz="0" w:space="0" w:color="auto"/>
        <w:right w:val="none" w:sz="0" w:space="0" w:color="auto"/>
      </w:divBdr>
    </w:div>
    <w:div w:id="1014380638">
      <w:bodyDiv w:val="1"/>
      <w:marLeft w:val="0"/>
      <w:marRight w:val="0"/>
      <w:marTop w:val="0"/>
      <w:marBottom w:val="0"/>
      <w:divBdr>
        <w:top w:val="none" w:sz="0" w:space="0" w:color="auto"/>
        <w:left w:val="none" w:sz="0" w:space="0" w:color="auto"/>
        <w:bottom w:val="none" w:sz="0" w:space="0" w:color="auto"/>
        <w:right w:val="none" w:sz="0" w:space="0" w:color="auto"/>
      </w:divBdr>
    </w:div>
    <w:div w:id="1051150568">
      <w:bodyDiv w:val="1"/>
      <w:marLeft w:val="0"/>
      <w:marRight w:val="0"/>
      <w:marTop w:val="0"/>
      <w:marBottom w:val="0"/>
      <w:divBdr>
        <w:top w:val="none" w:sz="0" w:space="0" w:color="auto"/>
        <w:left w:val="none" w:sz="0" w:space="0" w:color="auto"/>
        <w:bottom w:val="none" w:sz="0" w:space="0" w:color="auto"/>
        <w:right w:val="none" w:sz="0" w:space="0" w:color="auto"/>
      </w:divBdr>
    </w:div>
    <w:div w:id="1085154105">
      <w:bodyDiv w:val="1"/>
      <w:marLeft w:val="0"/>
      <w:marRight w:val="0"/>
      <w:marTop w:val="0"/>
      <w:marBottom w:val="0"/>
      <w:divBdr>
        <w:top w:val="none" w:sz="0" w:space="0" w:color="auto"/>
        <w:left w:val="none" w:sz="0" w:space="0" w:color="auto"/>
        <w:bottom w:val="none" w:sz="0" w:space="0" w:color="auto"/>
        <w:right w:val="none" w:sz="0" w:space="0" w:color="auto"/>
      </w:divBdr>
    </w:div>
    <w:div w:id="1124814718">
      <w:bodyDiv w:val="1"/>
      <w:marLeft w:val="0"/>
      <w:marRight w:val="0"/>
      <w:marTop w:val="0"/>
      <w:marBottom w:val="0"/>
      <w:divBdr>
        <w:top w:val="none" w:sz="0" w:space="0" w:color="auto"/>
        <w:left w:val="none" w:sz="0" w:space="0" w:color="auto"/>
        <w:bottom w:val="none" w:sz="0" w:space="0" w:color="auto"/>
        <w:right w:val="none" w:sz="0" w:space="0" w:color="auto"/>
      </w:divBdr>
      <w:divsChild>
        <w:div w:id="208080398">
          <w:marLeft w:val="1200"/>
          <w:marRight w:val="0"/>
          <w:marTop w:val="240"/>
          <w:marBottom w:val="240"/>
          <w:divBdr>
            <w:top w:val="none" w:sz="0" w:space="0" w:color="auto"/>
            <w:left w:val="none" w:sz="0" w:space="0" w:color="auto"/>
            <w:bottom w:val="none" w:sz="0" w:space="0" w:color="auto"/>
            <w:right w:val="none" w:sz="0" w:space="0" w:color="auto"/>
          </w:divBdr>
        </w:div>
      </w:divsChild>
    </w:div>
    <w:div w:id="1147744242">
      <w:bodyDiv w:val="1"/>
      <w:marLeft w:val="0"/>
      <w:marRight w:val="0"/>
      <w:marTop w:val="0"/>
      <w:marBottom w:val="0"/>
      <w:divBdr>
        <w:top w:val="none" w:sz="0" w:space="0" w:color="auto"/>
        <w:left w:val="none" w:sz="0" w:space="0" w:color="auto"/>
        <w:bottom w:val="none" w:sz="0" w:space="0" w:color="auto"/>
        <w:right w:val="none" w:sz="0" w:space="0" w:color="auto"/>
      </w:divBdr>
    </w:div>
    <w:div w:id="1178735778">
      <w:bodyDiv w:val="1"/>
      <w:marLeft w:val="0"/>
      <w:marRight w:val="0"/>
      <w:marTop w:val="0"/>
      <w:marBottom w:val="0"/>
      <w:divBdr>
        <w:top w:val="none" w:sz="0" w:space="0" w:color="auto"/>
        <w:left w:val="none" w:sz="0" w:space="0" w:color="auto"/>
        <w:bottom w:val="none" w:sz="0" w:space="0" w:color="auto"/>
        <w:right w:val="none" w:sz="0" w:space="0" w:color="auto"/>
      </w:divBdr>
    </w:div>
    <w:div w:id="1195770274">
      <w:bodyDiv w:val="1"/>
      <w:marLeft w:val="0"/>
      <w:marRight w:val="0"/>
      <w:marTop w:val="0"/>
      <w:marBottom w:val="0"/>
      <w:divBdr>
        <w:top w:val="none" w:sz="0" w:space="0" w:color="auto"/>
        <w:left w:val="none" w:sz="0" w:space="0" w:color="auto"/>
        <w:bottom w:val="none" w:sz="0" w:space="0" w:color="auto"/>
        <w:right w:val="none" w:sz="0" w:space="0" w:color="auto"/>
      </w:divBdr>
    </w:div>
    <w:div w:id="1198658470">
      <w:bodyDiv w:val="1"/>
      <w:marLeft w:val="0"/>
      <w:marRight w:val="0"/>
      <w:marTop w:val="0"/>
      <w:marBottom w:val="0"/>
      <w:divBdr>
        <w:top w:val="none" w:sz="0" w:space="0" w:color="auto"/>
        <w:left w:val="none" w:sz="0" w:space="0" w:color="auto"/>
        <w:bottom w:val="none" w:sz="0" w:space="0" w:color="auto"/>
        <w:right w:val="none" w:sz="0" w:space="0" w:color="auto"/>
      </w:divBdr>
    </w:div>
    <w:div w:id="1200246219">
      <w:bodyDiv w:val="1"/>
      <w:marLeft w:val="0"/>
      <w:marRight w:val="0"/>
      <w:marTop w:val="0"/>
      <w:marBottom w:val="0"/>
      <w:divBdr>
        <w:top w:val="none" w:sz="0" w:space="0" w:color="auto"/>
        <w:left w:val="none" w:sz="0" w:space="0" w:color="auto"/>
        <w:bottom w:val="none" w:sz="0" w:space="0" w:color="auto"/>
        <w:right w:val="none" w:sz="0" w:space="0" w:color="auto"/>
      </w:divBdr>
    </w:div>
    <w:div w:id="1278371665">
      <w:bodyDiv w:val="1"/>
      <w:marLeft w:val="0"/>
      <w:marRight w:val="0"/>
      <w:marTop w:val="0"/>
      <w:marBottom w:val="0"/>
      <w:divBdr>
        <w:top w:val="none" w:sz="0" w:space="0" w:color="auto"/>
        <w:left w:val="none" w:sz="0" w:space="0" w:color="auto"/>
        <w:bottom w:val="none" w:sz="0" w:space="0" w:color="auto"/>
        <w:right w:val="none" w:sz="0" w:space="0" w:color="auto"/>
      </w:divBdr>
    </w:div>
    <w:div w:id="1280186193">
      <w:bodyDiv w:val="1"/>
      <w:marLeft w:val="0"/>
      <w:marRight w:val="0"/>
      <w:marTop w:val="0"/>
      <w:marBottom w:val="0"/>
      <w:divBdr>
        <w:top w:val="none" w:sz="0" w:space="0" w:color="auto"/>
        <w:left w:val="none" w:sz="0" w:space="0" w:color="auto"/>
        <w:bottom w:val="none" w:sz="0" w:space="0" w:color="auto"/>
        <w:right w:val="none" w:sz="0" w:space="0" w:color="auto"/>
      </w:divBdr>
    </w:div>
    <w:div w:id="1330711820">
      <w:bodyDiv w:val="1"/>
      <w:marLeft w:val="0"/>
      <w:marRight w:val="0"/>
      <w:marTop w:val="0"/>
      <w:marBottom w:val="0"/>
      <w:divBdr>
        <w:top w:val="none" w:sz="0" w:space="0" w:color="auto"/>
        <w:left w:val="none" w:sz="0" w:space="0" w:color="auto"/>
        <w:bottom w:val="none" w:sz="0" w:space="0" w:color="auto"/>
        <w:right w:val="none" w:sz="0" w:space="0" w:color="auto"/>
      </w:divBdr>
      <w:divsChild>
        <w:div w:id="258949647">
          <w:marLeft w:val="274"/>
          <w:marRight w:val="0"/>
          <w:marTop w:val="0"/>
          <w:marBottom w:val="0"/>
          <w:divBdr>
            <w:top w:val="none" w:sz="0" w:space="0" w:color="auto"/>
            <w:left w:val="none" w:sz="0" w:space="0" w:color="auto"/>
            <w:bottom w:val="none" w:sz="0" w:space="0" w:color="auto"/>
            <w:right w:val="none" w:sz="0" w:space="0" w:color="auto"/>
          </w:divBdr>
        </w:div>
        <w:div w:id="1934583814">
          <w:marLeft w:val="274"/>
          <w:marRight w:val="0"/>
          <w:marTop w:val="0"/>
          <w:marBottom w:val="0"/>
          <w:divBdr>
            <w:top w:val="none" w:sz="0" w:space="0" w:color="auto"/>
            <w:left w:val="none" w:sz="0" w:space="0" w:color="auto"/>
            <w:bottom w:val="none" w:sz="0" w:space="0" w:color="auto"/>
            <w:right w:val="none" w:sz="0" w:space="0" w:color="auto"/>
          </w:divBdr>
        </w:div>
      </w:divsChild>
    </w:div>
    <w:div w:id="1349520855">
      <w:bodyDiv w:val="1"/>
      <w:marLeft w:val="0"/>
      <w:marRight w:val="0"/>
      <w:marTop w:val="0"/>
      <w:marBottom w:val="0"/>
      <w:divBdr>
        <w:top w:val="none" w:sz="0" w:space="0" w:color="auto"/>
        <w:left w:val="none" w:sz="0" w:space="0" w:color="auto"/>
        <w:bottom w:val="none" w:sz="0" w:space="0" w:color="auto"/>
        <w:right w:val="none" w:sz="0" w:space="0" w:color="auto"/>
      </w:divBdr>
    </w:div>
    <w:div w:id="1364936522">
      <w:bodyDiv w:val="1"/>
      <w:marLeft w:val="0"/>
      <w:marRight w:val="0"/>
      <w:marTop w:val="0"/>
      <w:marBottom w:val="0"/>
      <w:divBdr>
        <w:top w:val="none" w:sz="0" w:space="0" w:color="auto"/>
        <w:left w:val="none" w:sz="0" w:space="0" w:color="auto"/>
        <w:bottom w:val="none" w:sz="0" w:space="0" w:color="auto"/>
        <w:right w:val="none" w:sz="0" w:space="0" w:color="auto"/>
      </w:divBdr>
    </w:div>
    <w:div w:id="1387338630">
      <w:bodyDiv w:val="1"/>
      <w:marLeft w:val="0"/>
      <w:marRight w:val="0"/>
      <w:marTop w:val="0"/>
      <w:marBottom w:val="0"/>
      <w:divBdr>
        <w:top w:val="none" w:sz="0" w:space="0" w:color="auto"/>
        <w:left w:val="none" w:sz="0" w:space="0" w:color="auto"/>
        <w:bottom w:val="none" w:sz="0" w:space="0" w:color="auto"/>
        <w:right w:val="none" w:sz="0" w:space="0" w:color="auto"/>
      </w:divBdr>
    </w:div>
    <w:div w:id="1392843728">
      <w:bodyDiv w:val="1"/>
      <w:marLeft w:val="0"/>
      <w:marRight w:val="0"/>
      <w:marTop w:val="0"/>
      <w:marBottom w:val="0"/>
      <w:divBdr>
        <w:top w:val="none" w:sz="0" w:space="0" w:color="auto"/>
        <w:left w:val="none" w:sz="0" w:space="0" w:color="auto"/>
        <w:bottom w:val="none" w:sz="0" w:space="0" w:color="auto"/>
        <w:right w:val="none" w:sz="0" w:space="0" w:color="auto"/>
      </w:divBdr>
    </w:div>
    <w:div w:id="1426419589">
      <w:bodyDiv w:val="1"/>
      <w:marLeft w:val="0"/>
      <w:marRight w:val="0"/>
      <w:marTop w:val="0"/>
      <w:marBottom w:val="0"/>
      <w:divBdr>
        <w:top w:val="none" w:sz="0" w:space="0" w:color="auto"/>
        <w:left w:val="none" w:sz="0" w:space="0" w:color="auto"/>
        <w:bottom w:val="none" w:sz="0" w:space="0" w:color="auto"/>
        <w:right w:val="none" w:sz="0" w:space="0" w:color="auto"/>
      </w:divBdr>
    </w:div>
    <w:div w:id="1463109546">
      <w:bodyDiv w:val="1"/>
      <w:marLeft w:val="0"/>
      <w:marRight w:val="0"/>
      <w:marTop w:val="0"/>
      <w:marBottom w:val="0"/>
      <w:divBdr>
        <w:top w:val="none" w:sz="0" w:space="0" w:color="auto"/>
        <w:left w:val="none" w:sz="0" w:space="0" w:color="auto"/>
        <w:bottom w:val="none" w:sz="0" w:space="0" w:color="auto"/>
        <w:right w:val="none" w:sz="0" w:space="0" w:color="auto"/>
      </w:divBdr>
    </w:div>
    <w:div w:id="1503427764">
      <w:bodyDiv w:val="1"/>
      <w:marLeft w:val="0"/>
      <w:marRight w:val="0"/>
      <w:marTop w:val="0"/>
      <w:marBottom w:val="0"/>
      <w:divBdr>
        <w:top w:val="none" w:sz="0" w:space="0" w:color="auto"/>
        <w:left w:val="none" w:sz="0" w:space="0" w:color="auto"/>
        <w:bottom w:val="none" w:sz="0" w:space="0" w:color="auto"/>
        <w:right w:val="none" w:sz="0" w:space="0" w:color="auto"/>
      </w:divBdr>
    </w:div>
    <w:div w:id="1515919459">
      <w:bodyDiv w:val="1"/>
      <w:marLeft w:val="0"/>
      <w:marRight w:val="0"/>
      <w:marTop w:val="0"/>
      <w:marBottom w:val="0"/>
      <w:divBdr>
        <w:top w:val="none" w:sz="0" w:space="0" w:color="auto"/>
        <w:left w:val="none" w:sz="0" w:space="0" w:color="auto"/>
        <w:bottom w:val="none" w:sz="0" w:space="0" w:color="auto"/>
        <w:right w:val="none" w:sz="0" w:space="0" w:color="auto"/>
      </w:divBdr>
    </w:div>
    <w:div w:id="1552813669">
      <w:bodyDiv w:val="1"/>
      <w:marLeft w:val="0"/>
      <w:marRight w:val="0"/>
      <w:marTop w:val="0"/>
      <w:marBottom w:val="0"/>
      <w:divBdr>
        <w:top w:val="none" w:sz="0" w:space="0" w:color="auto"/>
        <w:left w:val="none" w:sz="0" w:space="0" w:color="auto"/>
        <w:bottom w:val="none" w:sz="0" w:space="0" w:color="auto"/>
        <w:right w:val="none" w:sz="0" w:space="0" w:color="auto"/>
      </w:divBdr>
    </w:div>
    <w:div w:id="1613978319">
      <w:bodyDiv w:val="1"/>
      <w:marLeft w:val="0"/>
      <w:marRight w:val="0"/>
      <w:marTop w:val="0"/>
      <w:marBottom w:val="0"/>
      <w:divBdr>
        <w:top w:val="none" w:sz="0" w:space="0" w:color="auto"/>
        <w:left w:val="none" w:sz="0" w:space="0" w:color="auto"/>
        <w:bottom w:val="none" w:sz="0" w:space="0" w:color="auto"/>
        <w:right w:val="none" w:sz="0" w:space="0" w:color="auto"/>
      </w:divBdr>
    </w:div>
    <w:div w:id="1642340525">
      <w:bodyDiv w:val="1"/>
      <w:marLeft w:val="0"/>
      <w:marRight w:val="0"/>
      <w:marTop w:val="0"/>
      <w:marBottom w:val="0"/>
      <w:divBdr>
        <w:top w:val="none" w:sz="0" w:space="0" w:color="auto"/>
        <w:left w:val="none" w:sz="0" w:space="0" w:color="auto"/>
        <w:bottom w:val="none" w:sz="0" w:space="0" w:color="auto"/>
        <w:right w:val="none" w:sz="0" w:space="0" w:color="auto"/>
      </w:divBdr>
    </w:div>
    <w:div w:id="1643802286">
      <w:bodyDiv w:val="1"/>
      <w:marLeft w:val="0"/>
      <w:marRight w:val="0"/>
      <w:marTop w:val="0"/>
      <w:marBottom w:val="0"/>
      <w:divBdr>
        <w:top w:val="none" w:sz="0" w:space="0" w:color="auto"/>
        <w:left w:val="none" w:sz="0" w:space="0" w:color="auto"/>
        <w:bottom w:val="none" w:sz="0" w:space="0" w:color="auto"/>
        <w:right w:val="none" w:sz="0" w:space="0" w:color="auto"/>
      </w:divBdr>
    </w:div>
    <w:div w:id="1673411818">
      <w:bodyDiv w:val="1"/>
      <w:marLeft w:val="0"/>
      <w:marRight w:val="0"/>
      <w:marTop w:val="0"/>
      <w:marBottom w:val="0"/>
      <w:divBdr>
        <w:top w:val="none" w:sz="0" w:space="0" w:color="auto"/>
        <w:left w:val="none" w:sz="0" w:space="0" w:color="auto"/>
        <w:bottom w:val="none" w:sz="0" w:space="0" w:color="auto"/>
        <w:right w:val="none" w:sz="0" w:space="0" w:color="auto"/>
      </w:divBdr>
    </w:div>
    <w:div w:id="1694652503">
      <w:bodyDiv w:val="1"/>
      <w:marLeft w:val="0"/>
      <w:marRight w:val="0"/>
      <w:marTop w:val="0"/>
      <w:marBottom w:val="0"/>
      <w:divBdr>
        <w:top w:val="none" w:sz="0" w:space="0" w:color="auto"/>
        <w:left w:val="none" w:sz="0" w:space="0" w:color="auto"/>
        <w:bottom w:val="none" w:sz="0" w:space="0" w:color="auto"/>
        <w:right w:val="none" w:sz="0" w:space="0" w:color="auto"/>
      </w:divBdr>
    </w:div>
    <w:div w:id="1751347205">
      <w:bodyDiv w:val="1"/>
      <w:marLeft w:val="0"/>
      <w:marRight w:val="0"/>
      <w:marTop w:val="0"/>
      <w:marBottom w:val="0"/>
      <w:divBdr>
        <w:top w:val="none" w:sz="0" w:space="0" w:color="auto"/>
        <w:left w:val="none" w:sz="0" w:space="0" w:color="auto"/>
        <w:bottom w:val="none" w:sz="0" w:space="0" w:color="auto"/>
        <w:right w:val="none" w:sz="0" w:space="0" w:color="auto"/>
      </w:divBdr>
    </w:div>
    <w:div w:id="1751580756">
      <w:bodyDiv w:val="1"/>
      <w:marLeft w:val="0"/>
      <w:marRight w:val="0"/>
      <w:marTop w:val="0"/>
      <w:marBottom w:val="0"/>
      <w:divBdr>
        <w:top w:val="none" w:sz="0" w:space="0" w:color="auto"/>
        <w:left w:val="none" w:sz="0" w:space="0" w:color="auto"/>
        <w:bottom w:val="none" w:sz="0" w:space="0" w:color="auto"/>
        <w:right w:val="none" w:sz="0" w:space="0" w:color="auto"/>
      </w:divBdr>
    </w:div>
    <w:div w:id="1773740098">
      <w:bodyDiv w:val="1"/>
      <w:marLeft w:val="0"/>
      <w:marRight w:val="0"/>
      <w:marTop w:val="0"/>
      <w:marBottom w:val="0"/>
      <w:divBdr>
        <w:top w:val="none" w:sz="0" w:space="0" w:color="auto"/>
        <w:left w:val="none" w:sz="0" w:space="0" w:color="auto"/>
        <w:bottom w:val="none" w:sz="0" w:space="0" w:color="auto"/>
        <w:right w:val="none" w:sz="0" w:space="0" w:color="auto"/>
      </w:divBdr>
    </w:div>
    <w:div w:id="1825660745">
      <w:bodyDiv w:val="1"/>
      <w:marLeft w:val="0"/>
      <w:marRight w:val="0"/>
      <w:marTop w:val="0"/>
      <w:marBottom w:val="0"/>
      <w:divBdr>
        <w:top w:val="none" w:sz="0" w:space="0" w:color="auto"/>
        <w:left w:val="none" w:sz="0" w:space="0" w:color="auto"/>
        <w:bottom w:val="none" w:sz="0" w:space="0" w:color="auto"/>
        <w:right w:val="none" w:sz="0" w:space="0" w:color="auto"/>
      </w:divBdr>
    </w:div>
    <w:div w:id="1833180281">
      <w:bodyDiv w:val="1"/>
      <w:marLeft w:val="0"/>
      <w:marRight w:val="0"/>
      <w:marTop w:val="0"/>
      <w:marBottom w:val="0"/>
      <w:divBdr>
        <w:top w:val="none" w:sz="0" w:space="0" w:color="auto"/>
        <w:left w:val="none" w:sz="0" w:space="0" w:color="auto"/>
        <w:bottom w:val="none" w:sz="0" w:space="0" w:color="auto"/>
        <w:right w:val="none" w:sz="0" w:space="0" w:color="auto"/>
      </w:divBdr>
    </w:div>
    <w:div w:id="1843884787">
      <w:bodyDiv w:val="1"/>
      <w:marLeft w:val="0"/>
      <w:marRight w:val="0"/>
      <w:marTop w:val="0"/>
      <w:marBottom w:val="0"/>
      <w:divBdr>
        <w:top w:val="none" w:sz="0" w:space="0" w:color="auto"/>
        <w:left w:val="none" w:sz="0" w:space="0" w:color="auto"/>
        <w:bottom w:val="none" w:sz="0" w:space="0" w:color="auto"/>
        <w:right w:val="none" w:sz="0" w:space="0" w:color="auto"/>
      </w:divBdr>
    </w:div>
    <w:div w:id="1870217706">
      <w:bodyDiv w:val="1"/>
      <w:marLeft w:val="0"/>
      <w:marRight w:val="0"/>
      <w:marTop w:val="0"/>
      <w:marBottom w:val="0"/>
      <w:divBdr>
        <w:top w:val="none" w:sz="0" w:space="0" w:color="auto"/>
        <w:left w:val="none" w:sz="0" w:space="0" w:color="auto"/>
        <w:bottom w:val="none" w:sz="0" w:space="0" w:color="auto"/>
        <w:right w:val="none" w:sz="0" w:space="0" w:color="auto"/>
      </w:divBdr>
    </w:div>
    <w:div w:id="1886408404">
      <w:bodyDiv w:val="1"/>
      <w:marLeft w:val="0"/>
      <w:marRight w:val="0"/>
      <w:marTop w:val="0"/>
      <w:marBottom w:val="0"/>
      <w:divBdr>
        <w:top w:val="none" w:sz="0" w:space="0" w:color="auto"/>
        <w:left w:val="none" w:sz="0" w:space="0" w:color="auto"/>
        <w:bottom w:val="none" w:sz="0" w:space="0" w:color="auto"/>
        <w:right w:val="none" w:sz="0" w:space="0" w:color="auto"/>
      </w:divBdr>
    </w:div>
    <w:div w:id="1894536031">
      <w:bodyDiv w:val="1"/>
      <w:marLeft w:val="0"/>
      <w:marRight w:val="0"/>
      <w:marTop w:val="0"/>
      <w:marBottom w:val="0"/>
      <w:divBdr>
        <w:top w:val="none" w:sz="0" w:space="0" w:color="auto"/>
        <w:left w:val="none" w:sz="0" w:space="0" w:color="auto"/>
        <w:bottom w:val="none" w:sz="0" w:space="0" w:color="auto"/>
        <w:right w:val="none" w:sz="0" w:space="0" w:color="auto"/>
      </w:divBdr>
    </w:div>
    <w:div w:id="1935698839">
      <w:bodyDiv w:val="1"/>
      <w:marLeft w:val="0"/>
      <w:marRight w:val="0"/>
      <w:marTop w:val="0"/>
      <w:marBottom w:val="0"/>
      <w:divBdr>
        <w:top w:val="none" w:sz="0" w:space="0" w:color="auto"/>
        <w:left w:val="none" w:sz="0" w:space="0" w:color="auto"/>
        <w:bottom w:val="none" w:sz="0" w:space="0" w:color="auto"/>
        <w:right w:val="none" w:sz="0" w:space="0" w:color="auto"/>
      </w:divBdr>
      <w:divsChild>
        <w:div w:id="2062433988">
          <w:marLeft w:val="547"/>
          <w:marRight w:val="0"/>
          <w:marTop w:val="115"/>
          <w:marBottom w:val="0"/>
          <w:divBdr>
            <w:top w:val="none" w:sz="0" w:space="0" w:color="auto"/>
            <w:left w:val="none" w:sz="0" w:space="0" w:color="auto"/>
            <w:bottom w:val="none" w:sz="0" w:space="0" w:color="auto"/>
            <w:right w:val="none" w:sz="0" w:space="0" w:color="auto"/>
          </w:divBdr>
        </w:div>
        <w:div w:id="535122949">
          <w:marLeft w:val="547"/>
          <w:marRight w:val="0"/>
          <w:marTop w:val="115"/>
          <w:marBottom w:val="0"/>
          <w:divBdr>
            <w:top w:val="none" w:sz="0" w:space="0" w:color="auto"/>
            <w:left w:val="none" w:sz="0" w:space="0" w:color="auto"/>
            <w:bottom w:val="none" w:sz="0" w:space="0" w:color="auto"/>
            <w:right w:val="none" w:sz="0" w:space="0" w:color="auto"/>
          </w:divBdr>
        </w:div>
        <w:div w:id="1930850046">
          <w:marLeft w:val="547"/>
          <w:marRight w:val="0"/>
          <w:marTop w:val="115"/>
          <w:marBottom w:val="0"/>
          <w:divBdr>
            <w:top w:val="none" w:sz="0" w:space="0" w:color="auto"/>
            <w:left w:val="none" w:sz="0" w:space="0" w:color="auto"/>
            <w:bottom w:val="none" w:sz="0" w:space="0" w:color="auto"/>
            <w:right w:val="none" w:sz="0" w:space="0" w:color="auto"/>
          </w:divBdr>
        </w:div>
        <w:div w:id="1831213784">
          <w:marLeft w:val="547"/>
          <w:marRight w:val="0"/>
          <w:marTop w:val="115"/>
          <w:marBottom w:val="0"/>
          <w:divBdr>
            <w:top w:val="none" w:sz="0" w:space="0" w:color="auto"/>
            <w:left w:val="none" w:sz="0" w:space="0" w:color="auto"/>
            <w:bottom w:val="none" w:sz="0" w:space="0" w:color="auto"/>
            <w:right w:val="none" w:sz="0" w:space="0" w:color="auto"/>
          </w:divBdr>
        </w:div>
      </w:divsChild>
    </w:div>
    <w:div w:id="1995378207">
      <w:bodyDiv w:val="1"/>
      <w:marLeft w:val="0"/>
      <w:marRight w:val="0"/>
      <w:marTop w:val="0"/>
      <w:marBottom w:val="0"/>
      <w:divBdr>
        <w:top w:val="none" w:sz="0" w:space="0" w:color="auto"/>
        <w:left w:val="none" w:sz="0" w:space="0" w:color="auto"/>
        <w:bottom w:val="none" w:sz="0" w:space="0" w:color="auto"/>
        <w:right w:val="none" w:sz="0" w:space="0" w:color="auto"/>
      </w:divBdr>
    </w:div>
    <w:div w:id="2001035430">
      <w:bodyDiv w:val="1"/>
      <w:marLeft w:val="0"/>
      <w:marRight w:val="0"/>
      <w:marTop w:val="0"/>
      <w:marBottom w:val="0"/>
      <w:divBdr>
        <w:top w:val="none" w:sz="0" w:space="0" w:color="auto"/>
        <w:left w:val="none" w:sz="0" w:space="0" w:color="auto"/>
        <w:bottom w:val="none" w:sz="0" w:space="0" w:color="auto"/>
        <w:right w:val="none" w:sz="0" w:space="0" w:color="auto"/>
      </w:divBdr>
    </w:div>
    <w:div w:id="2016228659">
      <w:bodyDiv w:val="1"/>
      <w:marLeft w:val="0"/>
      <w:marRight w:val="0"/>
      <w:marTop w:val="0"/>
      <w:marBottom w:val="0"/>
      <w:divBdr>
        <w:top w:val="none" w:sz="0" w:space="0" w:color="auto"/>
        <w:left w:val="none" w:sz="0" w:space="0" w:color="auto"/>
        <w:bottom w:val="none" w:sz="0" w:space="0" w:color="auto"/>
        <w:right w:val="none" w:sz="0" w:space="0" w:color="auto"/>
      </w:divBdr>
    </w:div>
    <w:div w:id="2042196588">
      <w:bodyDiv w:val="1"/>
      <w:marLeft w:val="0"/>
      <w:marRight w:val="0"/>
      <w:marTop w:val="0"/>
      <w:marBottom w:val="0"/>
      <w:divBdr>
        <w:top w:val="none" w:sz="0" w:space="0" w:color="auto"/>
        <w:left w:val="none" w:sz="0" w:space="0" w:color="auto"/>
        <w:bottom w:val="none" w:sz="0" w:space="0" w:color="auto"/>
        <w:right w:val="none" w:sz="0" w:space="0" w:color="auto"/>
      </w:divBdr>
      <w:divsChild>
        <w:div w:id="1025718915">
          <w:marLeft w:val="547"/>
          <w:marRight w:val="0"/>
          <w:marTop w:val="154"/>
          <w:marBottom w:val="0"/>
          <w:divBdr>
            <w:top w:val="none" w:sz="0" w:space="0" w:color="auto"/>
            <w:left w:val="none" w:sz="0" w:space="0" w:color="auto"/>
            <w:bottom w:val="none" w:sz="0" w:space="0" w:color="auto"/>
            <w:right w:val="none" w:sz="0" w:space="0" w:color="auto"/>
          </w:divBdr>
        </w:div>
        <w:div w:id="548877845">
          <w:marLeft w:val="547"/>
          <w:marRight w:val="0"/>
          <w:marTop w:val="154"/>
          <w:marBottom w:val="0"/>
          <w:divBdr>
            <w:top w:val="none" w:sz="0" w:space="0" w:color="auto"/>
            <w:left w:val="none" w:sz="0" w:space="0" w:color="auto"/>
            <w:bottom w:val="none" w:sz="0" w:space="0" w:color="auto"/>
            <w:right w:val="none" w:sz="0" w:space="0" w:color="auto"/>
          </w:divBdr>
        </w:div>
        <w:div w:id="647517907">
          <w:marLeft w:val="547"/>
          <w:marRight w:val="0"/>
          <w:marTop w:val="154"/>
          <w:marBottom w:val="0"/>
          <w:divBdr>
            <w:top w:val="none" w:sz="0" w:space="0" w:color="auto"/>
            <w:left w:val="none" w:sz="0" w:space="0" w:color="auto"/>
            <w:bottom w:val="none" w:sz="0" w:space="0" w:color="auto"/>
            <w:right w:val="none" w:sz="0" w:space="0" w:color="auto"/>
          </w:divBdr>
        </w:div>
      </w:divsChild>
    </w:div>
    <w:div w:id="2053066620">
      <w:bodyDiv w:val="1"/>
      <w:marLeft w:val="0"/>
      <w:marRight w:val="0"/>
      <w:marTop w:val="0"/>
      <w:marBottom w:val="0"/>
      <w:divBdr>
        <w:top w:val="none" w:sz="0" w:space="0" w:color="auto"/>
        <w:left w:val="none" w:sz="0" w:space="0" w:color="auto"/>
        <w:bottom w:val="none" w:sz="0" w:space="0" w:color="auto"/>
        <w:right w:val="none" w:sz="0" w:space="0" w:color="auto"/>
      </w:divBdr>
    </w:div>
    <w:div w:id="2053769051">
      <w:bodyDiv w:val="1"/>
      <w:marLeft w:val="0"/>
      <w:marRight w:val="0"/>
      <w:marTop w:val="0"/>
      <w:marBottom w:val="0"/>
      <w:divBdr>
        <w:top w:val="none" w:sz="0" w:space="0" w:color="auto"/>
        <w:left w:val="none" w:sz="0" w:space="0" w:color="auto"/>
        <w:bottom w:val="none" w:sz="0" w:space="0" w:color="auto"/>
        <w:right w:val="none" w:sz="0" w:space="0" w:color="auto"/>
      </w:divBdr>
    </w:div>
    <w:div w:id="2094351358">
      <w:bodyDiv w:val="1"/>
      <w:marLeft w:val="0"/>
      <w:marRight w:val="0"/>
      <w:marTop w:val="0"/>
      <w:marBottom w:val="0"/>
      <w:divBdr>
        <w:top w:val="none" w:sz="0" w:space="0" w:color="auto"/>
        <w:left w:val="none" w:sz="0" w:space="0" w:color="auto"/>
        <w:bottom w:val="none" w:sz="0" w:space="0" w:color="auto"/>
        <w:right w:val="none" w:sz="0" w:space="0" w:color="auto"/>
      </w:divBdr>
    </w:div>
    <w:div w:id="2103185607">
      <w:bodyDiv w:val="1"/>
      <w:marLeft w:val="0"/>
      <w:marRight w:val="0"/>
      <w:marTop w:val="0"/>
      <w:marBottom w:val="0"/>
      <w:divBdr>
        <w:top w:val="none" w:sz="0" w:space="0" w:color="auto"/>
        <w:left w:val="none" w:sz="0" w:space="0" w:color="auto"/>
        <w:bottom w:val="none" w:sz="0" w:space="0" w:color="auto"/>
        <w:right w:val="none" w:sz="0" w:space="0" w:color="auto"/>
      </w:divBdr>
      <w:divsChild>
        <w:div w:id="1217161909">
          <w:marLeft w:val="547"/>
          <w:marRight w:val="0"/>
          <w:marTop w:val="125"/>
          <w:marBottom w:val="0"/>
          <w:divBdr>
            <w:top w:val="none" w:sz="0" w:space="0" w:color="auto"/>
            <w:left w:val="none" w:sz="0" w:space="0" w:color="auto"/>
            <w:bottom w:val="none" w:sz="0" w:space="0" w:color="auto"/>
            <w:right w:val="none" w:sz="0" w:space="0" w:color="auto"/>
          </w:divBdr>
        </w:div>
        <w:div w:id="923106423">
          <w:marLeft w:val="547"/>
          <w:marRight w:val="0"/>
          <w:marTop w:val="125"/>
          <w:marBottom w:val="0"/>
          <w:divBdr>
            <w:top w:val="none" w:sz="0" w:space="0" w:color="auto"/>
            <w:left w:val="none" w:sz="0" w:space="0" w:color="auto"/>
            <w:bottom w:val="none" w:sz="0" w:space="0" w:color="auto"/>
            <w:right w:val="none" w:sz="0" w:space="0" w:color="auto"/>
          </w:divBdr>
        </w:div>
      </w:divsChild>
    </w:div>
    <w:div w:id="2115780360">
      <w:bodyDiv w:val="1"/>
      <w:marLeft w:val="0"/>
      <w:marRight w:val="0"/>
      <w:marTop w:val="0"/>
      <w:marBottom w:val="0"/>
      <w:divBdr>
        <w:top w:val="none" w:sz="0" w:space="0" w:color="auto"/>
        <w:left w:val="none" w:sz="0" w:space="0" w:color="auto"/>
        <w:bottom w:val="none" w:sz="0" w:space="0" w:color="auto"/>
        <w:right w:val="none" w:sz="0" w:space="0" w:color="auto"/>
      </w:divBdr>
    </w:div>
    <w:div w:id="2119837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Smi171</b:Tag>
    <b:SourceType>JournalArticle</b:SourceType>
    <b:Guid>{CD3589F6-4141-A440-8837-B715334A52D2}</b:Guid>
    <b:Title>Terrorism before and after 9/11-a more dangerous world?</b:Title>
    <b:JournalName>Research &amp; politics</b:JournalName>
    <b:Year>2017</b:Year>
    <b:Volume>4</b:Volume>
    <b:Issue>4</b:Issue>
    <b:Pages>205</b:Pages>
    <b:Author>
      <b:Author>
        <b:NameList>
          <b:Person>
            <b:Last>Smith</b:Last>
            <b:First>Maegan</b:First>
          </b:Person>
          <b:Person>
            <b:Last>Zeigler</b:Last>
            <b:Middle>M</b:Middle>
            <b:First>Sean</b:First>
          </b:Person>
        </b:NameList>
      </b:Author>
    </b:Author>
    <b:RefOrder>1</b:RefOrder>
  </b:Source>
  <b:Source>
    <b:Tag>All22</b:Tag>
    <b:SourceType>InternetSite</b:SourceType>
    <b:Guid>{61426E0A-9D83-B84F-A2F2-E998F9DED1ED}</b:Guid>
    <b:Title>Terrorism in Great Britain: the statistics</b:Title>
    <b:Year>2022</b:Year>
    <b:YearAccessed>2024</b:YearAccessed>
    <b:MonthAccessed>Februrary</b:MonthAccessed>
    <b:DayAccessed>9</b:DayAccessed>
    <b:Author>
      <b:Author>
        <b:NameList>
          <b:Person>
            <b:Last>Allen</b:Last>
            <b:First>Grahame</b:First>
          </b:Person>
          <b:Person>
            <b:Last>Burton</b:Last>
            <b:First>Matthew Burton</b:First>
          </b:Person>
          <b:Person>
            <b:Last>Pratt</b:Last>
            <b:First>Alison</b:First>
          </b:Person>
        </b:NameList>
      </b:Author>
    </b:Author>
    <b:URL>https://researchbriefings.files.parliament.uk/documents/CBP-7613/CBP-7613.pdf</b:URL>
    <b:RefOrder>2</b:RefOrder>
  </b:Source>
  <b:Source>
    <b:Tag>Gra18</b:Tag>
    <b:SourceType>JournalArticle</b:SourceType>
    <b:Guid>{73DF8DC6-A104-A948-B42B-F18E4E813F25}</b:Guid>
    <b:Title>Marauding Terrorist Firearms' Attacks: A Practitioner's View of the UK's Emergency Service Initial Response Arrangements to Deal with an Active Shooter</b:Title>
    <b:Year>2018</b:Year>
    <b:JournalName>The RUSI journal</b:JournalName>
    <b:Volume>163</b:Volume>
    <b:Issue>2</b:Issue>
    <b:Pages>42-50</b:Pages>
    <b:Author>
      <b:Author>
        <b:NameList>
          <b:Person>
            <b:Last>Graham</b:Last>
            <b:First>David</b:First>
          </b:Person>
        </b:NameList>
      </b:Author>
    </b:Author>
    <b:RefOrder>3</b:RefOrder>
  </b:Source>
  <b:Source>
    <b:Tag>Gra181</b:Tag>
    <b:SourceType>JournalArticle</b:SourceType>
    <b:Guid>{FF68146A-215C-A245-AB7F-1FB8F33AF459}</b:Guid>
    <b:Title>Terrorist attacks and investor risk preference: Evidence from mutual fund flows</b:Title>
    <b:JournalName>Journal of financial economics</b:JournalName>
    <b:Year>2020</b:Year>
    <b:Volume>137</b:Volume>
    <b:Issue>2</b:Issue>
    <b:Pages>491-514</b:Pages>
    <b:Author>
      <b:Author>
        <b:NameList>
          <b:Person>
            <b:Last>Wang</b:Last>
            <b:First>Albert</b:First>
          </b:Person>
          <b:Person>
            <b:Last>Young</b:Last>
            <b:First>Michael</b:First>
          </b:Person>
        </b:NameList>
      </b:Author>
    </b:Author>
    <b:RefOrder>4</b:RefOrder>
  </b:Source>
  <b:Source>
    <b:Tag>Bar23</b:Tag>
    <b:SourceType>JournalArticle</b:SourceType>
    <b:Guid>{2C428A70-B818-C944-96A5-1605F62D0EAD}</b:Guid>
    <b:Title>Communication failure in the prehospital response to major terrorist attacks: lessons learned and future directions</b:Title>
    <b:Year>2023</b:Year>
    <b:Author>
      <b:Author>
        <b:NameList>
          <b:Person>
            <b:Last>Barten</b:Last>
            <b:First>Dennis</b:First>
          </b:Person>
          <b:Person>
            <b:Last>De Cauwer</b:Last>
            <b:First>Harald</b:First>
          </b:Person>
          <b:Person>
            <b:Last>Willems</b:Last>
            <b:First>Melvin</b:First>
          </b:Person>
        </b:NameList>
      </b:Author>
    </b:Author>
    <b:JournalName>European journal of trauma and emergency surgery</b:JournalName>
    <b:Volume>49</b:Volume>
    <b:Issue>4</b:Issue>
    <b:Pages>1741-1750</b:Pages>
    <b:RefOrder>5</b:RefOrder>
  </b:Source>
  <b:Source>
    <b:Tag>Mir20</b:Tag>
    <b:SourceType>JournalArticle</b:SourceType>
    <b:Guid>{3EF80321-6C4D-F04F-953E-1B42D68F7A2C}</b:Guid>
    <b:Title>'Breaking' news: uncovering sense-breaking patterns in social media crisis communication during the 2017 Manchester bombing </b:Title>
    <b:JournalName>Behaviour &amp; information technology</b:JournalName>
    <b:Year>2020</b:Year>
    <b:Volume>39</b:Volume>
    <b:Issue>3</b:Issue>
    <b:Pages>252-266</b:Pages>
    <b:Author>
      <b:Author>
        <b:NameList>
          <b:Person>
            <b:Last>Mirbabaie</b:Last>
            <b:First>Milad</b:First>
          </b:Person>
          <b:Person>
            <b:Last>Marx</b:Last>
            <b:First>Julian</b:First>
          </b:Person>
        </b:NameList>
      </b:Author>
    </b:Author>
    <b:RefOrder>6</b:RefOrder>
  </b:Source>
  <b:Source>
    <b:Tag>Pow17</b:Tag>
    <b:SourceType>JournalArticle</b:SourceType>
    <b:Guid>{E67E248A-4F52-4B44-9722-CFA233DBC2BD}</b:Guid>
    <b:Title>Offence or defence? Approach and avoid goals in the multi-agency emergency response to a simulated terrorism attack</b:Title>
    <b:JournalName>Journal of occupational and organizational psychology</b:JournalName>
    <b:Year>2017</b:Year>
    <b:Volume>90</b:Volume>
    <b:Issue>1</b:Issue>
    <b:Pages>51-76</b:Pages>
    <b:Author>
      <b:Author>
        <b:NameList>
          <b:Person>
            <b:Last>Power</b:Last>
            <b:First>Nicola</b:First>
          </b:Person>
          <b:Person>
            <b:Last>Laurence</b:Last>
            <b:First>Alison</b:First>
          </b:Person>
        </b:NameList>
      </b:Author>
    </b:Author>
    <b:RefOrder>7</b:RefOrder>
  </b:Source>
  <b:Source>
    <b:Tag>Cha18</b:Tag>
    <b:SourceType>JournalArticle</b:SourceType>
    <b:Guid>{686CF19F-188C-024E-9454-740B9327357D}</b:Guid>
    <b:Title>Marauding terrorist attack (MTA): prehospital considerations</b:Title>
    <b:JournalName>Emergency medicine journal</b:JournalName>
    <b:Year>2018</b:Year>
    <b:Volume>35</b:Volume>
    <b:Issue>6</b:Issue>
    <b:Pages>389-395</b:Pages>
    <b:Author>
      <b:Author>
        <b:NameList>
          <b:Person>
            <b:Last>Chauhun</b:Last>
            <b:First>Ravi</b:First>
          </b:Person>
          <b:Person>
            <b:Last>Keene</b:Last>
            <b:First>Damien</b:First>
          </b:Person>
        </b:NameList>
      </b:Author>
    </b:Author>
    <b:RefOrder>8</b:RefOrder>
  </b:Source>
  <b:Source>
    <b:Tag>Gur22</b:Tag>
    <b:SourceType>JournalArticle</b:SourceType>
    <b:Guid>{B5E126A7-5B61-074C-A41C-0A50D1661922}</b:Guid>
    <b:Title>Changes in NHS Major Incident management and their relevance to the Defence Medical Services</b:Title>
    <b:JournalName>BMJ military health</b:JournalName>
    <b:Year>2020</b:Year>
    <b:Volume>166</b:Volume>
    <b:Issue>2</b:Issue>
    <b:Author>
      <b:Author>
        <b:NameList>
          <b:Person>
            <b:Last>Gurney</b:Last>
            <b:First>Ian</b:First>
          </b:Person>
          <b:Person>
            <b:Last>Horne</b:Last>
            <b:First>S</b:First>
          </b:Person>
          <b:Person>
            <b:Last>Wright</b:Last>
            <b:First>C</b:First>
          </b:Person>
        </b:NameList>
      </b:Author>
    </b:Author>
    <b:Pages>84-88</b:Pages>
    <b:RefOrder>9</b:RefOrder>
  </b:Source>
  <b:Source>
    <b:Tag>Col13</b:Tag>
    <b:SourceType>InternetSite</b:SourceType>
    <b:Guid>{485D0F2B-6475-5A4F-98E1-7A9A7BC421DB}</b:Guid>
    <b:Author>
      <b:Author>
        <b:Corporate>College of Policing</b:Corporate>
      </b:Author>
    </b:Author>
    <b:Title>Civil contingencies</b:Title>
    <b:Year>2013</b:Year>
    <b:YearAccessed>2024</b:YearAccessed>
    <b:MonthAccessed>Februrary</b:MonthAccessed>
    <b:DayAccessed>13</b:DayAccessed>
    <b:URL>https://www.college.police.uk/app/civil-emergencies/civil-contingencies/civil-contingencies</b:URL>
    <b:RefOrder>10</b:RefOrder>
  </b:Source>
  <b:Source>
    <b:Tag>Moo14</b:Tag>
    <b:SourceType>JournalArticle</b:SourceType>
    <b:Guid>{340B8BAB-F2A5-5B4D-8235-DBD51CC0367B}</b:Guid>
    <b:Title>'Keep Calm and Carry On': informing the public under the Civil Contingencies Act 2004</b:Title>
    <b:Year>2014</b:Year>
    <b:JournalName>The international journal of human rights</b:JournalName>
    <b:Volume>18</b:Volume>
    <b:Issue>2</b:Issue>
    <b:Pages>178-194</b:Pages>
    <b:Author>
      <b:Author>
        <b:NameList>
          <b:Person>
            <b:Last>Moosavian</b:Last>
            <b:First>Rebecca</b:First>
          </b:Person>
        </b:NameList>
      </b:Author>
    </b:Author>
    <b:RefOrder>11</b:RefOrder>
  </b:Source>
  <b:Source>
    <b:Tag>Nas20</b:Tag>
    <b:SourceType>JournalArticle</b:SourceType>
    <b:Guid>{F8D438DB-891F-4741-950F-B8613E70B6C5}</b:Guid>
    <b:Title>Emergencies extraordinary measures: In a time of crisis what measures can the government introduce under the Civil Contingencies Act 2004?</b:Title>
    <b:JournalName>New law journal</b:JournalName>
    <b:Year>2020</b:Year>
    <b:Volume>170</b:Volume>
    <b:Issue>7879</b:Issue>
    <b:Pages>7</b:Pages>
    <b:Author>
      <b:Author>
        <b:NameList>
          <b:Person>
            <b:Last>Nash</b:Last>
            <b:First>Michael</b:First>
          </b:Person>
        </b:NameList>
      </b:Author>
    </b:Author>
    <b:RefOrder>12</b:RefOrder>
  </b:Source>
  <b:Source>
    <b:Tag>Hal23</b:Tag>
    <b:SourceType>JournalArticle</b:SourceType>
    <b:Guid>{D1234987-8C78-5C44-8195-A83883B629C2}</b:Guid>
    <b:Title>The impact of COVID-19 on police intelligence report in the United Kingdom</b:Title>
    <b:JournalName>Journal of policing, intelligence and counter terrorism</b:JournalName>
    <b:Year>2023</b:Year>
    <b:Pages>1-19</b:Pages>
    <b:Author>
      <b:Author>
        <b:NameList>
          <b:Person>
            <b:Last>Halford</b:Last>
            <b:First>Eric</b:First>
          </b:Person>
        </b:NameList>
      </b:Author>
    </b:Author>
    <b:Volume>18</b:Volume>
    <b:Issue>3</b:Issue>
    <b:RefOrder>13</b:RefOrder>
  </b:Source>
  <b:Source>
    <b:Tag>HMI20</b:Tag>
    <b:SourceType>InternetSite</b:SourceType>
    <b:Guid>{23AC68A6-02BF-1B49-A7C1-16C9B6D76C9C}</b:Guid>
    <b:Title>Counter-terrorism policing An inspection of the police’s contribution to the government’s Prevent programme</b:Title>
    <b:Year>2020</b:Year>
    <b:Author>
      <b:Author>
        <b:Corporate>HMICFRS</b:Corporate>
      </b:Author>
    </b:Author>
    <b:URL>https://assets-hmicfrs.justiceinspectorates.gov.uk/uploads/redacted-counter-terrorism-policing-inspection-police-contribution-government-prevent-programme.pdf</b:URL>
    <b:YearAccessed>2023</b:YearAccessed>
    <b:MonthAccessed>Februrary</b:MonthAccessed>
    <b:DayAccessed>19</b:DayAccessed>
    <b:RefOrder>14</b:RefOrder>
  </b:Source>
  <b:Source>
    <b:Tag>Mor19</b:Tag>
    <b:SourceType>JournalArticle</b:SourceType>
    <b:Guid>{DF961682-2B34-1D4F-9214-95D8B79CF9CE}</b:Guid>
    <b:RefOrder>15</b:RefOrder>
  </b:Source>
  <b:Source>
    <b:Tag>Hen21</b:Tag>
    <b:SourceType>Book</b:SourceType>
    <b:Guid>{E47EDD60-B10B-7C44-A5CC-4D65CCE743DE}</b:Guid>
    <b:Title>Counter-Terrorism, Ethics and Technology</b:Title>
    <b:Year>2021</b:Year>
    <b:City>London</b:City>
    <b:Publisher>Springer Nature</b:Publisher>
    <b:Edition>1st</b:Edition>
    <b:Author>
      <b:Author>
        <b:NameList>
          <b:Person>
            <b:Last>Henschke</b:Last>
            <b:First>Adam</b:First>
          </b:Person>
          <b:Person>
            <b:Last>Reed</b:Last>
            <b:First>Alastair</b:First>
          </b:Person>
          <b:Person>
            <b:Last>Robbins</b:Last>
            <b:First>Scott</b:First>
          </b:Person>
        </b:NameList>
      </b:Author>
    </b:Author>
    <b:RefOrder>16</b:RefOrder>
  </b:Source>
  <b:Source>
    <b:Tag>HMG18</b:Tag>
    <b:SourceType>InternetSite</b:SourceType>
    <b:Guid>{8F4C83F2-4F8A-994B-8D18-73BE46CBF188}</b:Guid>
    <b:Author>
      <b:Author>
        <b:Corporate>HM Government</b:Corporate>
      </b:Author>
    </b:Author>
    <b:Title>CONTEST The United Kingdom’s Strategy for Countering Terrorism</b:Title>
    <b:URL>https://assets.publishing.service.gov.uk/media/5b23df8f40f0b634d557b020/140618_CCS207_CCS0218929798-1_CONTEST_3.0_WEB.pdf</b:URL>
    <b:Year>2018</b:Year>
    <b:YearAccessed>2024</b:YearAccessed>
    <b:MonthAccessed>Februrary</b:MonthAccessed>
    <b:DayAccessed>19</b:DayAccessed>
    <b:RefOrder>17</b:RefOrder>
  </b:Source>
  <b:Source>
    <b:Tag>Pri19</b:Tag>
    <b:SourceType>Book</b:SourceType>
    <b:Guid>{EACEDDFD-10FB-9148-A277-7B186805A7F6}</b:Guid>
    <b:RefOrder>18</b:RefOrder>
  </b:Source>
  <b:Source>
    <b:Tag>Lum06</b:Tag>
    <b:SourceType>JournalArticle</b:SourceType>
    <b:Guid>{2AF91C89-136A-9842-875E-632DF78C2EEE}</b:Guid>
    <b:Title>Are counter-terrorism strategies effective? The results of the Campbell systematic review on counter-terrorism evaluationresearch</b:Title>
    <b:JournalName>Journal of experimental criminology</b:JournalName>
    <b:Year>2006</b:Year>
    <b:Volume>2</b:Volume>
    <b:Issue>3</b:Issue>
    <b:Pages>489-516</b:Pages>
    <b:Author>
      <b:Author>
        <b:NameList>
          <b:Person>
            <b:Last>Lum </b:Last>
            <b:First>Cynthia</b:First>
          </b:Person>
          <b:Person>
            <b:Last>Kennedy</b:Last>
            <b:First>Leslie</b:First>
          </b:Person>
          <b:Person>
            <b:Last>Sherley</b:Last>
            <b:First>Alison</b:First>
          </b:Person>
        </b:NameList>
      </b:Author>
    </b:Author>
    <b:RefOrder>19</b:RefOrder>
  </b:Source>
  <b:Source>
    <b:Tag>Syn20</b:Tag>
    <b:SourceType>JournalArticle</b:SourceType>
    <b:Guid>{33B88B63-A7A1-A541-9CB2-259584469D13}</b:Guid>
    <b:Title>The Emergence of Collective Leadership During a Terrorist Attack: Dynamic Role Boundary Transgressions as Central in Aligning Efforts</b:Title>
    <b:JournalName>Journal of leadership &amp; organizational studies</b:JournalName>
    <b:Year>2022</b:Year>
    <b:Volume>29</b:Volume>
    <b:Issue>4</b:Issue>
    <b:Pages>461-485</b:Pages>
    <b:Author>
      <b:Author>
        <b:NameList>
          <b:Person>
            <b:Last>Synnove</b:Last>
            <b:First>Nesse</b:First>
          </b:Person>
        </b:NameList>
      </b:Author>
    </b:Author>
    <b:RefOrder>20</b:RefOrder>
  </b:Source>
  <b:Source>
    <b:Tag>Sta12</b:Tag>
    <b:SourceType>JournalArticle</b:SourceType>
    <b:Guid>{A7965220-478D-D343-9B24-4232F6996D5E}</b:Guid>
    <b:Title>Briefing: Emergency planning and the UK Civil Contingencies Act 2004</b:Title>
    <b:JournalName>Proceedings of the Institution of Civil Engineers</b:JournalName>
    <b:Year>2012</b:Year>
    <b:Volume>165</b:Volume>
    <b:Issue>2</b:Issue>
    <b:Pages>69-71</b:Pages>
    <b:Author>
      <b:Author>
        <b:NameList>
          <b:Person>
            <b:Last>Stainsby</b:Last>
            <b:First>Alison</b:First>
          </b:Person>
        </b:NameList>
      </b:Author>
    </b:Author>
    <b:RefOrder>21</b:RefOrder>
  </b:Source>
  <b:Source>
    <b:Tag>Gea15</b:Tag>
    <b:SourceType>JournalArticle</b:SourceType>
    <b:Guid>{959A11E7-7934-9A4E-B715-7F1EED01C2BF}</b:Guid>
    <b:Title>CONTEST as Strategy: Reassessing Britain's Counterterrorism Approach</b:Title>
    <b:JournalName>Studies in conflict and terrorism</b:JournalName>
    <b:Year>2015</b:Year>
    <b:Volume>38</b:Volume>
    <b:Issue>12</b:Issue>
    <b:Pages>1038-1064</b:Pages>
    <b:Author>
      <b:Author>
        <b:NameList>
          <b:Person>
            <b:Last>Gearson</b:Last>
            <b:First>John</b:First>
          </b:Person>
          <b:Person>
            <b:Last>Rosemont</b:Last>
            <b:First>Hugo</b:First>
          </b:Person>
        </b:NameList>
      </b:Author>
    </b:Author>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EE10AE-4855-384A-9E09-901805368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542</TotalTime>
  <Pages>7</Pages>
  <Words>2741</Words>
  <Characters>15628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effectiveness of the Public Service response to a terrorist attack.</dc:title>
  <dc:subject>Policing terrorism BMPL 5011</dc:subject>
  <dc:creator>Cerys Bowen (2203320)</dc:creator>
  <cp:keywords/>
  <dc:description/>
  <cp:lastModifiedBy>Cerys Bowen (2203320)</cp:lastModifiedBy>
  <cp:revision>18</cp:revision>
  <dcterms:created xsi:type="dcterms:W3CDTF">2024-01-31T12:17:00Z</dcterms:created>
  <dcterms:modified xsi:type="dcterms:W3CDTF">2024-03-10T19:30:00Z</dcterms:modified>
</cp:coreProperties>
</file>