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97F1F" w:rsidP="1E9E53A8" w:rsidRDefault="5CC39C91" w14:paraId="642D4C74" w14:textId="177632ED">
      <w:pPr>
        <w:spacing w:line="360" w:lineRule="auto"/>
        <w:jc w:val="center"/>
        <w:rPr>
          <w:rFonts w:ascii="Arial" w:hAnsi="Arial" w:eastAsia="Arial" w:cs="Arial"/>
          <w:color w:val="000000" w:themeColor="text1"/>
          <w:sz w:val="22"/>
          <w:szCs w:val="22"/>
        </w:rPr>
      </w:pPr>
      <w:r w:rsidRPr="3C3B7F19" w:rsidR="5CC39C91">
        <w:rPr>
          <w:rFonts w:ascii="Arial" w:hAnsi="Arial" w:eastAsia="Arial" w:cs="Arial"/>
          <w:color w:val="000000" w:themeColor="text1" w:themeTint="FF" w:themeShade="FF"/>
          <w:sz w:val="22"/>
          <w:szCs w:val="22"/>
        </w:rPr>
        <w:t xml:space="preserve">Student Name: </w:t>
      </w:r>
      <w:r w:rsidRPr="3C3B7F19" w:rsidR="76F62FB4">
        <w:rPr>
          <w:rFonts w:ascii="Arial" w:hAnsi="Arial" w:eastAsia="Arial" w:cs="Arial"/>
          <w:color w:val="000000" w:themeColor="text1" w:themeTint="FF" w:themeShade="FF"/>
          <w:sz w:val="22"/>
          <w:szCs w:val="22"/>
        </w:rPr>
        <w:t>Zarina Begum</w:t>
      </w:r>
    </w:p>
    <w:p w:rsidR="00997F1F" w:rsidP="1E9E53A8" w:rsidRDefault="76F62FB4" w14:paraId="3C3BACFD" w14:textId="05095B25">
      <w:pPr>
        <w:spacing w:line="360" w:lineRule="auto"/>
        <w:jc w:val="center"/>
        <w:rPr>
          <w:rFonts w:ascii="Arial" w:hAnsi="Arial" w:eastAsia="Arial" w:cs="Arial"/>
          <w:color w:val="000000" w:themeColor="text1"/>
          <w:sz w:val="22"/>
          <w:szCs w:val="22"/>
        </w:rPr>
      </w:pPr>
      <w:r w:rsidRPr="3C3B7F19" w:rsidR="76F62FB4">
        <w:rPr>
          <w:rFonts w:ascii="Arial" w:hAnsi="Arial" w:eastAsia="Arial" w:cs="Arial"/>
          <w:color w:val="000000" w:themeColor="text1" w:themeTint="FF" w:themeShade="FF"/>
          <w:sz w:val="22"/>
          <w:szCs w:val="22"/>
        </w:rPr>
        <w:t>Student number</w:t>
      </w:r>
      <w:r w:rsidRPr="3C3B7F19" w:rsidR="632B4168">
        <w:rPr>
          <w:rFonts w:ascii="Arial" w:hAnsi="Arial" w:eastAsia="Arial" w:cs="Arial"/>
          <w:color w:val="000000" w:themeColor="text1" w:themeTint="FF" w:themeShade="FF"/>
          <w:sz w:val="22"/>
          <w:szCs w:val="22"/>
        </w:rPr>
        <w:t xml:space="preserve">: </w:t>
      </w:r>
      <w:r w:rsidRPr="3C3B7F19" w:rsidR="76F62FB4">
        <w:rPr>
          <w:rFonts w:ascii="Arial" w:hAnsi="Arial" w:eastAsia="Arial" w:cs="Arial"/>
          <w:color w:val="000000" w:themeColor="text1" w:themeTint="FF" w:themeShade="FF"/>
          <w:sz w:val="22"/>
          <w:szCs w:val="22"/>
        </w:rPr>
        <w:t xml:space="preserve"> 2542797</w:t>
      </w:r>
    </w:p>
    <w:p w:rsidR="00997F1F" w:rsidP="1E9E53A8" w:rsidRDefault="76F62FB4" w14:paraId="3FBE5F72" w14:textId="6AC362AE">
      <w:pPr>
        <w:spacing w:line="360" w:lineRule="auto"/>
        <w:jc w:val="center"/>
        <w:rPr>
          <w:rFonts w:ascii="Arial" w:hAnsi="Arial" w:eastAsia="Arial" w:cs="Arial"/>
          <w:color w:val="000000" w:themeColor="text1"/>
          <w:sz w:val="22"/>
          <w:szCs w:val="22"/>
        </w:rPr>
      </w:pPr>
      <w:r w:rsidRPr="3C3B7F19" w:rsidR="76F62FB4">
        <w:rPr>
          <w:rFonts w:ascii="Arial" w:hAnsi="Arial" w:eastAsia="Arial" w:cs="Arial"/>
          <w:color w:val="000000" w:themeColor="text1" w:themeTint="FF" w:themeShade="FF"/>
          <w:sz w:val="22"/>
          <w:szCs w:val="22"/>
        </w:rPr>
        <w:t>Module code: LCHS400</w:t>
      </w:r>
      <w:r w:rsidRPr="3C3B7F19" w:rsidR="333412A3">
        <w:rPr>
          <w:rFonts w:ascii="Arial" w:hAnsi="Arial" w:eastAsia="Arial" w:cs="Arial"/>
          <w:color w:val="000000" w:themeColor="text1" w:themeTint="FF" w:themeShade="FF"/>
          <w:sz w:val="22"/>
          <w:szCs w:val="22"/>
        </w:rPr>
        <w:t>3</w:t>
      </w:r>
      <w:r w:rsidRPr="3C3B7F19" w:rsidR="76F62FB4">
        <w:rPr>
          <w:rFonts w:ascii="Arial" w:hAnsi="Arial" w:eastAsia="Arial" w:cs="Arial"/>
          <w:color w:val="000000" w:themeColor="text1" w:themeTint="FF" w:themeShade="FF"/>
          <w:sz w:val="22"/>
          <w:szCs w:val="22"/>
        </w:rPr>
        <w:t xml:space="preserve">_BIRM </w:t>
      </w:r>
    </w:p>
    <w:p w:rsidR="00997F1F" w:rsidP="1E9E53A8" w:rsidRDefault="76F62FB4" w14:paraId="63F86F45" w14:textId="07EC2D3F">
      <w:pPr>
        <w:spacing w:line="360" w:lineRule="auto"/>
        <w:jc w:val="center"/>
        <w:rPr>
          <w:rFonts w:ascii="Arial" w:hAnsi="Arial" w:eastAsia="Arial" w:cs="Arial"/>
          <w:color w:val="000000" w:themeColor="text1"/>
          <w:sz w:val="22"/>
          <w:szCs w:val="22"/>
        </w:rPr>
      </w:pPr>
      <w:r w:rsidRPr="3C3B7F19" w:rsidR="76F62FB4">
        <w:rPr>
          <w:rFonts w:ascii="Arial" w:hAnsi="Arial" w:eastAsia="Arial" w:cs="Arial"/>
          <w:color w:val="000000" w:themeColor="text1" w:themeTint="FF" w:themeShade="FF"/>
          <w:sz w:val="22"/>
          <w:szCs w:val="22"/>
        </w:rPr>
        <w:t>Module Title: Introduction to Health and Social Care</w:t>
      </w:r>
    </w:p>
    <w:p w:rsidR="00997F1F" w:rsidP="1E9E53A8" w:rsidRDefault="76F62FB4" w14:paraId="10D88AC2" w14:textId="15B110FC">
      <w:pPr>
        <w:spacing w:line="360" w:lineRule="auto"/>
        <w:jc w:val="center"/>
        <w:rPr>
          <w:rFonts w:ascii="Arial" w:hAnsi="Arial" w:eastAsia="Arial" w:cs="Arial"/>
          <w:color w:val="000000" w:themeColor="text1"/>
          <w:sz w:val="22"/>
          <w:szCs w:val="22"/>
        </w:rPr>
      </w:pPr>
      <w:r w:rsidRPr="3C3B7F19" w:rsidR="76F62FB4">
        <w:rPr>
          <w:rFonts w:ascii="Arial" w:hAnsi="Arial" w:eastAsia="Arial" w:cs="Arial"/>
          <w:color w:val="000000" w:themeColor="text1" w:themeTint="FF" w:themeShade="FF"/>
          <w:sz w:val="22"/>
          <w:szCs w:val="22"/>
        </w:rPr>
        <w:t xml:space="preserve">Lecturer name: </w:t>
      </w:r>
      <w:r w:rsidRPr="3C3B7F19" w:rsidR="30CD81D8">
        <w:rPr>
          <w:rFonts w:ascii="Arial" w:hAnsi="Arial" w:eastAsia="Arial" w:cs="Arial"/>
          <w:color w:val="000000" w:themeColor="text1" w:themeTint="FF" w:themeShade="FF"/>
          <w:sz w:val="22"/>
          <w:szCs w:val="22"/>
        </w:rPr>
        <w:t>Debra Odeh</w:t>
      </w:r>
    </w:p>
    <w:p w:rsidR="00997F1F" w:rsidP="1E9E53A8" w:rsidRDefault="00997F1F" w14:paraId="7643330E" w14:textId="509EF3B8">
      <w:pPr>
        <w:spacing w:line="360" w:lineRule="auto"/>
        <w:jc w:val="center"/>
        <w:rPr>
          <w:rFonts w:ascii="Arial" w:hAnsi="Arial" w:eastAsia="Arial" w:cs="Arial"/>
          <w:color w:val="000000" w:themeColor="text1"/>
          <w:sz w:val="22"/>
          <w:szCs w:val="22"/>
        </w:rPr>
      </w:pPr>
    </w:p>
    <w:p w:rsidR="00997F1F" w:rsidP="3C3B7F19" w:rsidRDefault="76F62FB4" w14:paraId="15797BAC" w14:textId="14EF48FC">
      <w:pPr>
        <w:spacing w:line="360" w:lineRule="auto"/>
        <w:jc w:val="center"/>
        <w:rPr>
          <w:rFonts w:ascii="Arial" w:hAnsi="Arial" w:eastAsia="Arial" w:cs="Arial"/>
          <w:color w:val="000000" w:themeColor="text1" w:themeTint="FF" w:themeShade="FF"/>
          <w:sz w:val="22"/>
          <w:szCs w:val="22"/>
        </w:rPr>
      </w:pPr>
      <w:r w:rsidRPr="3C3B7F19" w:rsidR="76F62FB4">
        <w:rPr>
          <w:rFonts w:ascii="Arial" w:hAnsi="Arial" w:eastAsia="Arial" w:cs="Arial"/>
          <w:color w:val="000000" w:themeColor="text1" w:themeTint="FF" w:themeShade="FF"/>
          <w:sz w:val="22"/>
          <w:szCs w:val="22"/>
        </w:rPr>
        <w:t xml:space="preserve">Assignment Title: </w:t>
      </w:r>
      <w:r w:rsidRPr="3C3B7F19" w:rsidR="113A555E">
        <w:rPr>
          <w:rFonts w:ascii="Arial" w:hAnsi="Arial" w:eastAsia="Arial" w:cs="Arial"/>
          <w:color w:val="000000" w:themeColor="text1" w:themeTint="FF" w:themeShade="FF"/>
          <w:sz w:val="22"/>
          <w:szCs w:val="22"/>
        </w:rPr>
        <w:t>Component</w:t>
      </w:r>
      <w:r w:rsidRPr="3C3B7F19" w:rsidR="113A555E">
        <w:rPr>
          <w:rFonts w:ascii="Arial" w:hAnsi="Arial" w:eastAsia="Arial" w:cs="Arial"/>
          <w:color w:val="000000" w:themeColor="text1" w:themeTint="FF" w:themeShade="FF"/>
          <w:sz w:val="22"/>
          <w:szCs w:val="22"/>
        </w:rPr>
        <w:t xml:space="preserve"> 1</w:t>
      </w:r>
      <w:r w:rsidRPr="3C3B7F19" w:rsidR="765A97D6">
        <w:rPr>
          <w:rFonts w:ascii="Arial" w:hAnsi="Arial" w:eastAsia="Arial" w:cs="Arial"/>
          <w:color w:val="000000" w:themeColor="text1" w:themeTint="FF" w:themeShade="FF"/>
          <w:sz w:val="22"/>
          <w:szCs w:val="22"/>
        </w:rPr>
        <w:t xml:space="preserve"> </w:t>
      </w:r>
    </w:p>
    <w:p w:rsidR="00997F1F" w:rsidP="1E9E53A8" w:rsidRDefault="76F62FB4" w14:paraId="570CBCB7" w14:textId="1C049F3E">
      <w:pPr>
        <w:spacing w:line="360" w:lineRule="auto"/>
        <w:jc w:val="center"/>
        <w:rPr>
          <w:rFonts w:ascii="Arial" w:hAnsi="Arial" w:eastAsia="Arial" w:cs="Arial"/>
          <w:color w:val="000000" w:themeColor="text1"/>
          <w:sz w:val="22"/>
          <w:szCs w:val="22"/>
        </w:rPr>
      </w:pPr>
      <w:r w:rsidRPr="3C3B7F19" w:rsidR="7AF3EC7F">
        <w:rPr>
          <w:rFonts w:ascii="Arial" w:hAnsi="Arial" w:eastAsia="Arial" w:cs="Arial"/>
          <w:color w:val="000000" w:themeColor="text1" w:themeTint="FF" w:themeShade="FF"/>
          <w:sz w:val="22"/>
          <w:szCs w:val="22"/>
        </w:rPr>
        <w:t>Task 1</w:t>
      </w:r>
      <w:r w:rsidRPr="3C3B7F19" w:rsidR="681F1BDE">
        <w:rPr>
          <w:rFonts w:ascii="Arial" w:hAnsi="Arial" w:eastAsia="Arial" w:cs="Arial"/>
          <w:color w:val="000000" w:themeColor="text1" w:themeTint="FF" w:themeShade="FF"/>
          <w:sz w:val="22"/>
          <w:szCs w:val="22"/>
        </w:rPr>
        <w:t>: le</w:t>
      </w:r>
      <w:r w:rsidRPr="3C3B7F19" w:rsidR="113A555E">
        <w:rPr>
          <w:rFonts w:ascii="Arial" w:hAnsi="Arial" w:eastAsia="Arial" w:cs="Arial"/>
          <w:color w:val="000000" w:themeColor="text1" w:themeTint="FF" w:themeShade="FF"/>
          <w:sz w:val="22"/>
          <w:szCs w:val="22"/>
        </w:rPr>
        <w:t xml:space="preserve">tter to local </w:t>
      </w:r>
      <w:r w:rsidRPr="3C3B7F19" w:rsidR="075CE711">
        <w:rPr>
          <w:rFonts w:ascii="Arial" w:hAnsi="Arial" w:eastAsia="Arial" w:cs="Arial"/>
          <w:color w:val="000000" w:themeColor="text1" w:themeTint="FF" w:themeShade="FF"/>
          <w:sz w:val="22"/>
          <w:szCs w:val="22"/>
        </w:rPr>
        <w:t>councilor</w:t>
      </w:r>
      <w:r w:rsidRPr="3C3B7F19" w:rsidR="113A555E">
        <w:rPr>
          <w:rFonts w:ascii="Arial" w:hAnsi="Arial" w:eastAsia="Arial" w:cs="Arial"/>
          <w:color w:val="000000" w:themeColor="text1" w:themeTint="FF" w:themeShade="FF"/>
          <w:sz w:val="22"/>
          <w:szCs w:val="22"/>
        </w:rPr>
        <w:t xml:space="preserve"> </w:t>
      </w:r>
    </w:p>
    <w:p w:rsidR="3DCD05F5" w:rsidP="3C3B7F19" w:rsidRDefault="3DCD05F5" w14:paraId="00C7708B" w14:textId="4AF387C0">
      <w:pPr>
        <w:spacing w:line="360" w:lineRule="auto"/>
        <w:jc w:val="center"/>
        <w:rPr>
          <w:rFonts w:ascii="Arial" w:hAnsi="Arial" w:eastAsia="Arial" w:cs="Arial"/>
          <w:color w:val="000000" w:themeColor="text1" w:themeTint="FF" w:themeShade="FF"/>
          <w:sz w:val="22"/>
          <w:szCs w:val="22"/>
        </w:rPr>
      </w:pPr>
      <w:r w:rsidRPr="3C3B7F19" w:rsidR="3DCD05F5">
        <w:rPr>
          <w:rFonts w:ascii="Arial" w:hAnsi="Arial" w:eastAsia="Arial" w:cs="Arial"/>
          <w:color w:val="000000" w:themeColor="text1" w:themeTint="FF" w:themeShade="FF"/>
          <w:sz w:val="22"/>
          <w:szCs w:val="22"/>
        </w:rPr>
        <w:t xml:space="preserve">Task 2: </w:t>
      </w:r>
      <w:r w:rsidRPr="3C3B7F19" w:rsidR="5D3A863E">
        <w:rPr>
          <w:rFonts w:ascii="Arial" w:hAnsi="Arial" w:eastAsia="Arial" w:cs="Arial"/>
          <w:color w:val="000000" w:themeColor="text1" w:themeTint="FF" w:themeShade="FF"/>
          <w:sz w:val="22"/>
          <w:szCs w:val="22"/>
        </w:rPr>
        <w:t>Essay, community antenatal midwifery services</w:t>
      </w:r>
    </w:p>
    <w:p w:rsidR="3C3B7F19" w:rsidP="3C3B7F19" w:rsidRDefault="3C3B7F19" w14:paraId="095DB6C0" w14:textId="558F2EDB">
      <w:pPr>
        <w:spacing w:line="360" w:lineRule="auto"/>
        <w:jc w:val="center"/>
        <w:rPr>
          <w:rFonts w:ascii="Arial" w:hAnsi="Arial" w:eastAsia="Arial" w:cs="Arial"/>
          <w:color w:val="000000" w:themeColor="text1" w:themeTint="FF" w:themeShade="FF"/>
          <w:sz w:val="22"/>
          <w:szCs w:val="22"/>
        </w:rPr>
      </w:pPr>
    </w:p>
    <w:p w:rsidR="00997F1F" w:rsidP="1E9E53A8" w:rsidRDefault="403C6777" w14:paraId="1E371A34" w14:textId="572BB530">
      <w:pPr>
        <w:spacing w:line="360" w:lineRule="auto"/>
        <w:jc w:val="center"/>
        <w:rPr>
          <w:rFonts w:ascii="Arial" w:hAnsi="Arial" w:eastAsia="Arial" w:cs="Arial"/>
          <w:color w:val="000000" w:themeColor="text1"/>
          <w:sz w:val="22"/>
          <w:szCs w:val="22"/>
        </w:rPr>
      </w:pPr>
      <w:r w:rsidRPr="3C3B7F19" w:rsidR="403C6777">
        <w:rPr>
          <w:rFonts w:ascii="Arial" w:hAnsi="Arial" w:eastAsia="Arial" w:cs="Arial"/>
          <w:color w:val="000000" w:themeColor="text1" w:themeTint="FF" w:themeShade="FF"/>
          <w:sz w:val="22"/>
          <w:szCs w:val="22"/>
        </w:rPr>
        <w:t>Mini Report- Addressing shortages in Domiciliary Care Services</w:t>
      </w:r>
    </w:p>
    <w:p w:rsidR="00997F1F" w:rsidP="1E9E53A8" w:rsidRDefault="00997F1F" w14:paraId="5712CC72" w14:textId="37D1C51C">
      <w:pPr>
        <w:spacing w:line="360" w:lineRule="auto"/>
        <w:jc w:val="center"/>
        <w:rPr>
          <w:rFonts w:ascii="Arial" w:hAnsi="Arial" w:eastAsia="Arial" w:cs="Arial"/>
          <w:color w:val="000000" w:themeColor="text1"/>
          <w:sz w:val="22"/>
          <w:szCs w:val="22"/>
        </w:rPr>
      </w:pPr>
    </w:p>
    <w:p w:rsidR="00997F1F" w:rsidP="1E9E53A8" w:rsidRDefault="76F62FB4" w14:paraId="2C078E63" w14:textId="069399EA">
      <w:pPr>
        <w:spacing w:line="360" w:lineRule="auto"/>
        <w:jc w:val="center"/>
        <w:rPr>
          <w:rFonts w:ascii="Arial" w:hAnsi="Arial" w:eastAsia="Arial" w:cs="Arial"/>
          <w:color w:val="000000" w:themeColor="text1"/>
          <w:sz w:val="22"/>
          <w:szCs w:val="22"/>
        </w:rPr>
      </w:pPr>
      <w:r w:rsidRPr="3C3B7F19" w:rsidR="76F62FB4">
        <w:rPr>
          <w:rFonts w:ascii="Arial" w:hAnsi="Arial" w:eastAsia="Arial" w:cs="Arial"/>
          <w:color w:val="000000" w:themeColor="text1" w:themeTint="FF" w:themeShade="FF"/>
          <w:sz w:val="22"/>
          <w:szCs w:val="22"/>
        </w:rPr>
        <w:t xml:space="preserve">Date: </w:t>
      </w:r>
      <w:r w:rsidRPr="3C3B7F19" w:rsidR="3949802B">
        <w:rPr>
          <w:rFonts w:ascii="Arial" w:hAnsi="Arial" w:eastAsia="Arial" w:cs="Arial"/>
          <w:color w:val="000000" w:themeColor="text1" w:themeTint="FF" w:themeShade="FF"/>
          <w:sz w:val="22"/>
          <w:szCs w:val="22"/>
        </w:rPr>
        <w:t>14</w:t>
      </w:r>
      <w:r w:rsidRPr="3C3B7F19" w:rsidR="76F62FB4">
        <w:rPr>
          <w:rFonts w:ascii="Arial" w:hAnsi="Arial" w:eastAsia="Arial" w:cs="Arial"/>
          <w:color w:val="000000" w:themeColor="text1" w:themeTint="FF" w:themeShade="FF"/>
          <w:sz w:val="22"/>
          <w:szCs w:val="22"/>
        </w:rPr>
        <w:t>.</w:t>
      </w:r>
      <w:r w:rsidRPr="3C3B7F19" w:rsidR="5816601E">
        <w:rPr>
          <w:rFonts w:ascii="Arial" w:hAnsi="Arial" w:eastAsia="Arial" w:cs="Arial"/>
          <w:color w:val="000000" w:themeColor="text1" w:themeTint="FF" w:themeShade="FF"/>
          <w:sz w:val="22"/>
          <w:szCs w:val="22"/>
        </w:rPr>
        <w:t>10</w:t>
      </w:r>
      <w:r w:rsidRPr="3C3B7F19" w:rsidR="76F62FB4">
        <w:rPr>
          <w:rFonts w:ascii="Arial" w:hAnsi="Arial" w:eastAsia="Arial" w:cs="Arial"/>
          <w:color w:val="000000" w:themeColor="text1" w:themeTint="FF" w:themeShade="FF"/>
          <w:sz w:val="22"/>
          <w:szCs w:val="22"/>
        </w:rPr>
        <w:t>.2026</w:t>
      </w:r>
    </w:p>
    <w:p w:rsidR="1E9E53A8" w:rsidP="1E9E53A8" w:rsidRDefault="1E9E53A8" w14:paraId="766A37BC" w14:textId="63CD58D6">
      <w:pPr>
        <w:spacing w:line="360" w:lineRule="auto"/>
        <w:jc w:val="center"/>
        <w:rPr>
          <w:rFonts w:ascii="Arial" w:hAnsi="Arial" w:eastAsia="Arial" w:cs="Arial"/>
          <w:color w:val="000000" w:themeColor="text1"/>
          <w:sz w:val="22"/>
          <w:szCs w:val="22"/>
        </w:rPr>
      </w:pPr>
    </w:p>
    <w:p w:rsidR="1E9E53A8" w:rsidP="1E9E53A8" w:rsidRDefault="1E9E53A8" w14:paraId="18C9BB3D" w14:textId="2F024658">
      <w:pPr>
        <w:spacing w:line="360" w:lineRule="auto"/>
        <w:jc w:val="center"/>
        <w:rPr>
          <w:rFonts w:ascii="Arial" w:hAnsi="Arial" w:eastAsia="Arial" w:cs="Arial"/>
          <w:color w:val="000000" w:themeColor="text1"/>
          <w:sz w:val="22"/>
          <w:szCs w:val="22"/>
        </w:rPr>
      </w:pPr>
    </w:p>
    <w:p w:rsidR="1E9E53A8" w:rsidP="1E9E53A8" w:rsidRDefault="1E9E53A8" w14:paraId="13D38A25" w14:textId="4E444DB4">
      <w:pPr>
        <w:spacing w:line="360" w:lineRule="auto"/>
        <w:jc w:val="center"/>
        <w:rPr>
          <w:rFonts w:ascii="Arial" w:hAnsi="Arial" w:eastAsia="Arial" w:cs="Arial"/>
          <w:color w:val="000000" w:themeColor="text1"/>
          <w:sz w:val="22"/>
          <w:szCs w:val="22"/>
        </w:rPr>
      </w:pPr>
    </w:p>
    <w:p w:rsidR="1E9E53A8" w:rsidP="1E9E53A8" w:rsidRDefault="1E9E53A8" w14:paraId="33232004" w14:textId="187717BA">
      <w:pPr>
        <w:spacing w:line="360" w:lineRule="auto"/>
        <w:jc w:val="center"/>
        <w:rPr>
          <w:rFonts w:ascii="Arial" w:hAnsi="Arial" w:eastAsia="Arial" w:cs="Arial"/>
          <w:color w:val="000000" w:themeColor="text1"/>
          <w:sz w:val="22"/>
          <w:szCs w:val="22"/>
        </w:rPr>
      </w:pPr>
    </w:p>
    <w:p w:rsidR="1E9E53A8" w:rsidP="1E9E53A8" w:rsidRDefault="1E9E53A8" w14:paraId="3F6EF680" w14:textId="258BAF3A">
      <w:pPr>
        <w:spacing w:line="360" w:lineRule="auto"/>
        <w:jc w:val="center"/>
        <w:rPr>
          <w:rFonts w:ascii="Arial" w:hAnsi="Arial" w:eastAsia="Arial" w:cs="Arial"/>
          <w:color w:val="000000" w:themeColor="text1"/>
          <w:sz w:val="22"/>
          <w:szCs w:val="22"/>
        </w:rPr>
      </w:pPr>
    </w:p>
    <w:p w:rsidR="1E9E53A8" w:rsidP="1E9E53A8" w:rsidRDefault="1E9E53A8" w14:paraId="130162C5" w14:textId="470A7695">
      <w:pPr>
        <w:spacing w:line="360" w:lineRule="auto"/>
        <w:jc w:val="center"/>
        <w:rPr>
          <w:rFonts w:ascii="Arial" w:hAnsi="Arial" w:eastAsia="Arial" w:cs="Arial"/>
          <w:color w:val="000000" w:themeColor="text1"/>
          <w:sz w:val="22"/>
          <w:szCs w:val="22"/>
        </w:rPr>
      </w:pPr>
    </w:p>
    <w:p w:rsidR="1E9E53A8" w:rsidP="1E9E53A8" w:rsidRDefault="1E9E53A8" w14:paraId="17DFFAC8" w14:textId="5A97BF7B">
      <w:pPr>
        <w:spacing w:line="360" w:lineRule="auto"/>
        <w:jc w:val="center"/>
        <w:rPr>
          <w:rFonts w:ascii="Arial" w:hAnsi="Arial" w:eastAsia="Arial" w:cs="Arial"/>
          <w:color w:val="000000" w:themeColor="text1"/>
          <w:sz w:val="22"/>
          <w:szCs w:val="22"/>
        </w:rPr>
      </w:pPr>
    </w:p>
    <w:p w:rsidR="1E9E53A8" w:rsidP="1E9E53A8" w:rsidRDefault="1E9E53A8" w14:paraId="13C52B65" w14:textId="6F9BBFB3">
      <w:pPr>
        <w:spacing w:line="360" w:lineRule="auto"/>
        <w:jc w:val="center"/>
        <w:rPr>
          <w:rFonts w:ascii="Arial" w:hAnsi="Arial" w:eastAsia="Arial" w:cs="Arial"/>
          <w:color w:val="000000" w:themeColor="text1"/>
          <w:sz w:val="22"/>
          <w:szCs w:val="22"/>
        </w:rPr>
      </w:pPr>
    </w:p>
    <w:p w:rsidR="1E9E53A8" w:rsidP="1E9E53A8" w:rsidRDefault="1E9E53A8" w14:paraId="799BC7DE" w14:textId="4D1CBCD3">
      <w:pPr>
        <w:spacing w:line="360" w:lineRule="auto"/>
        <w:jc w:val="center"/>
        <w:rPr>
          <w:rFonts w:ascii="Arial" w:hAnsi="Arial" w:eastAsia="Arial" w:cs="Arial"/>
          <w:color w:val="000000" w:themeColor="text1"/>
          <w:sz w:val="22"/>
          <w:szCs w:val="22"/>
        </w:rPr>
      </w:pPr>
    </w:p>
    <w:p w:rsidR="1E9E53A8" w:rsidP="1E9E53A8" w:rsidRDefault="1E9E53A8" w14:paraId="75BE4676" w14:textId="3B3448F7">
      <w:pPr>
        <w:spacing w:line="360" w:lineRule="auto"/>
        <w:jc w:val="center"/>
        <w:rPr>
          <w:rFonts w:ascii="Arial" w:hAnsi="Arial" w:eastAsia="Arial" w:cs="Arial"/>
          <w:color w:val="000000" w:themeColor="text1"/>
          <w:sz w:val="22"/>
          <w:szCs w:val="22"/>
        </w:rPr>
      </w:pPr>
    </w:p>
    <w:p w:rsidR="1E9E53A8" w:rsidP="1E9E53A8" w:rsidRDefault="1E9E53A8" w14:paraId="0CC6A333" w14:textId="3C60E5C9">
      <w:pPr>
        <w:spacing w:line="360" w:lineRule="auto"/>
        <w:jc w:val="center"/>
        <w:rPr>
          <w:rFonts w:ascii="Arial" w:hAnsi="Arial" w:eastAsia="Arial" w:cs="Arial"/>
          <w:color w:val="000000" w:themeColor="text1"/>
          <w:sz w:val="22"/>
          <w:szCs w:val="22"/>
        </w:rPr>
      </w:pPr>
    </w:p>
    <w:p w:rsidR="1E9E53A8" w:rsidP="1E9E53A8" w:rsidRDefault="1E9E53A8" w14:paraId="77F12090" w14:textId="32C78D62">
      <w:pPr>
        <w:spacing w:line="360" w:lineRule="auto"/>
        <w:jc w:val="center"/>
        <w:rPr>
          <w:rFonts w:ascii="Arial" w:hAnsi="Arial" w:eastAsia="Arial" w:cs="Arial"/>
          <w:color w:val="000000" w:themeColor="text1"/>
          <w:sz w:val="22"/>
          <w:szCs w:val="22"/>
        </w:rPr>
      </w:pPr>
    </w:p>
    <w:p w:rsidR="1E9E53A8" w:rsidP="418140C4" w:rsidRDefault="1E9E53A8" w14:paraId="223B6048" w14:textId="6C668861">
      <w:pPr>
        <w:spacing w:line="360" w:lineRule="auto"/>
        <w:jc w:val="center"/>
        <w:rPr>
          <w:rFonts w:ascii="Arial" w:hAnsi="Arial" w:eastAsia="Arial" w:cs="Arial"/>
          <w:color w:val="000000" w:themeColor="text1"/>
          <w:sz w:val="22"/>
          <w:szCs w:val="22"/>
        </w:rPr>
      </w:pPr>
    </w:p>
    <w:p w:rsidR="418140C4" w:rsidP="418140C4" w:rsidRDefault="418140C4" w14:paraId="04F9CA3F" w14:textId="608B6040">
      <w:pPr>
        <w:spacing w:line="360" w:lineRule="auto"/>
        <w:jc w:val="center"/>
        <w:rPr>
          <w:rFonts w:ascii="Arial" w:hAnsi="Arial" w:eastAsia="Arial" w:cs="Arial"/>
          <w:color w:val="000000" w:themeColor="text1"/>
          <w:sz w:val="22"/>
          <w:szCs w:val="22"/>
        </w:rPr>
      </w:pPr>
    </w:p>
    <w:p w:rsidR="6EBE69F7" w:rsidP="1E9E53A8" w:rsidRDefault="6EBE69F7" w14:paraId="521B9811" w14:textId="5D950C34">
      <w:pPr>
        <w:spacing w:line="360" w:lineRule="auto"/>
        <w:jc w:val="right"/>
        <w:rPr>
          <w:rFonts w:ascii="Arial" w:hAnsi="Arial" w:eastAsia="Arial" w:cs="Arial"/>
          <w:color w:val="000000" w:themeColor="text1"/>
          <w:sz w:val="22"/>
          <w:szCs w:val="22"/>
        </w:rPr>
      </w:pPr>
      <w:r w:rsidRPr="3C3B7F19" w:rsidR="6EBE69F7">
        <w:rPr>
          <w:rFonts w:ascii="Arial" w:hAnsi="Arial" w:eastAsia="Arial" w:cs="Arial"/>
          <w:color w:val="000000" w:themeColor="text1" w:themeTint="FF" w:themeShade="FF"/>
          <w:sz w:val="22"/>
          <w:szCs w:val="22"/>
        </w:rPr>
        <w:t>To councilor Julie Pierce,</w:t>
      </w:r>
    </w:p>
    <w:p w:rsidR="6EBE69F7" w:rsidP="1E9E53A8" w:rsidRDefault="6EBE69F7" w14:paraId="38AF0C88" w14:textId="0B3C51D9">
      <w:pPr>
        <w:spacing w:line="360" w:lineRule="auto"/>
        <w:jc w:val="right"/>
        <w:rPr>
          <w:rFonts w:ascii="Arial" w:hAnsi="Arial" w:eastAsia="Arial" w:cs="Arial"/>
          <w:color w:val="000000" w:themeColor="text1"/>
          <w:sz w:val="22"/>
          <w:szCs w:val="22"/>
        </w:rPr>
      </w:pPr>
      <w:r w:rsidRPr="3C3B7F19" w:rsidR="6EBE69F7">
        <w:rPr>
          <w:rFonts w:ascii="Arial" w:hAnsi="Arial" w:eastAsia="Arial" w:cs="Arial"/>
          <w:color w:val="000000" w:themeColor="text1" w:themeTint="FF" w:themeShade="FF"/>
          <w:sz w:val="22"/>
          <w:szCs w:val="22"/>
        </w:rPr>
        <w:t>Park Ward,</w:t>
      </w:r>
    </w:p>
    <w:p w:rsidR="6EBE69F7" w:rsidP="1E9E53A8" w:rsidRDefault="6EBE69F7" w14:paraId="2B3BB413" w14:textId="26F38A6B">
      <w:pPr>
        <w:spacing w:line="360" w:lineRule="auto"/>
        <w:jc w:val="right"/>
        <w:rPr>
          <w:rFonts w:ascii="Arial" w:hAnsi="Arial" w:eastAsia="Arial" w:cs="Arial"/>
          <w:color w:val="000000" w:themeColor="text1"/>
          <w:sz w:val="22"/>
          <w:szCs w:val="22"/>
        </w:rPr>
      </w:pPr>
      <w:r w:rsidRPr="3C3B7F19" w:rsidR="6EBE69F7">
        <w:rPr>
          <w:rFonts w:ascii="Arial" w:hAnsi="Arial" w:eastAsia="Arial" w:cs="Arial"/>
          <w:color w:val="000000" w:themeColor="text1" w:themeTint="FF" w:themeShade="FF"/>
          <w:sz w:val="22"/>
          <w:szCs w:val="22"/>
        </w:rPr>
        <w:t>Wellington,</w:t>
      </w:r>
    </w:p>
    <w:p w:rsidR="6EBE69F7" w:rsidP="5375C376" w:rsidRDefault="6EBE69F7" w14:paraId="6BD01EDD" w14:textId="46423ED5">
      <w:pPr>
        <w:spacing w:line="360" w:lineRule="auto"/>
        <w:jc w:val="right"/>
        <w:rPr>
          <w:rFonts w:ascii="Arial" w:hAnsi="Arial" w:eastAsia="Arial" w:cs="Arial"/>
          <w:color w:val="000000" w:themeColor="text1"/>
          <w:sz w:val="22"/>
          <w:szCs w:val="22"/>
        </w:rPr>
      </w:pPr>
      <w:r w:rsidRPr="3C3B7F19" w:rsidR="6EBE69F7">
        <w:rPr>
          <w:rFonts w:ascii="Arial" w:hAnsi="Arial" w:eastAsia="Arial" w:cs="Arial"/>
          <w:color w:val="000000" w:themeColor="text1" w:themeTint="FF" w:themeShade="FF"/>
          <w:sz w:val="22"/>
          <w:szCs w:val="22"/>
        </w:rPr>
        <w:t>Telford &amp; Wrekin Council.</w:t>
      </w:r>
    </w:p>
    <w:p w:rsidR="3C3B7F19" w:rsidP="3C3B7F19" w:rsidRDefault="3C3B7F19" w14:paraId="678B3B13" w14:textId="7A56443B">
      <w:pPr>
        <w:pStyle w:val="Normal"/>
        <w:spacing w:line="360" w:lineRule="auto"/>
        <w:jc w:val="right"/>
        <w:rPr>
          <w:rFonts w:ascii="Arial" w:hAnsi="Arial" w:eastAsia="Arial" w:cs="Arial"/>
          <w:color w:val="000000" w:themeColor="text1" w:themeTint="FF" w:themeShade="FF"/>
          <w:sz w:val="22"/>
          <w:szCs w:val="22"/>
        </w:rPr>
      </w:pPr>
      <w:r>
        <w:br/>
      </w:r>
    </w:p>
    <w:p w:rsidR="079B5A1C" w:rsidP="3C3B7F19" w:rsidRDefault="079B5A1C" w14:paraId="4A3CE1D8" w14:textId="7C2A3123">
      <w:pPr>
        <w:spacing w:before="360" w:beforeAutospacing="off" w:after="223" w:afterAutospacing="off"/>
        <w:rPr>
          <w:rFonts w:ascii="Arial" w:hAnsi="Arial" w:eastAsia="Arial" w:cs="Arial"/>
          <w:b w:val="1"/>
          <w:bCs w:val="1"/>
          <w:noProof w:val="0"/>
          <w:sz w:val="22"/>
          <w:szCs w:val="22"/>
          <w:lang w:val="en-US"/>
        </w:rPr>
      </w:pPr>
      <w:r w:rsidRPr="3C3B7F19" w:rsidR="079B5A1C">
        <w:rPr>
          <w:rFonts w:ascii="Arial" w:hAnsi="Arial" w:eastAsia="Arial" w:cs="Arial"/>
          <w:b w:val="1"/>
          <w:bCs w:val="1"/>
          <w:noProof w:val="0"/>
          <w:sz w:val="22"/>
          <w:szCs w:val="22"/>
          <w:lang w:val="en-US"/>
        </w:rPr>
        <w:t>1. Introduction</w:t>
      </w:r>
    </w:p>
    <w:p w:rsidR="079B5A1C" w:rsidP="3C3B7F19" w:rsidRDefault="079B5A1C" w14:paraId="3224C84F" w14:textId="499B7DCC">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Domiciliary care involves providing support to people in their own homes, including assistance with personal hygiene, dressing, preparing meals and managing everyday activities. It is particularly important for older people, disabled individuals and those recovering from illness, as it enables them to maintain their independence and remain within their communities.</w:t>
      </w:r>
    </w:p>
    <w:p w:rsidR="079B5A1C" w:rsidP="3C3B7F19" w:rsidRDefault="079B5A1C" w14:paraId="027E1339" w14:textId="47C98D97">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However, shortages of care workers and limited service availability can make it difficult for people to receive the assistance they need. The Care Quality Commission (CQC, 2024) reports that demand for adult social care is increasing, while the availability of services has not always kept pace. This report examines the effects of domiciliary care shortages and recommends practical measures that Telford &amp; Wrekin Council could introduce to improve local provision.</w:t>
      </w:r>
    </w:p>
    <w:p w:rsidR="079B5A1C" w:rsidP="3C3B7F19" w:rsidRDefault="079B5A1C" w14:paraId="5E3E5908" w14:textId="7873C826">
      <w:pPr>
        <w:spacing w:before="360" w:beforeAutospacing="off" w:after="223" w:afterAutospacing="off"/>
        <w:rPr>
          <w:rFonts w:ascii="Arial" w:hAnsi="Arial" w:eastAsia="Arial" w:cs="Arial"/>
          <w:b w:val="1"/>
          <w:bCs w:val="1"/>
          <w:noProof w:val="0"/>
          <w:sz w:val="22"/>
          <w:szCs w:val="22"/>
          <w:lang w:val="en-US"/>
        </w:rPr>
      </w:pPr>
      <w:r w:rsidRPr="3C3B7F19" w:rsidR="079B5A1C">
        <w:rPr>
          <w:rFonts w:ascii="Arial" w:hAnsi="Arial" w:eastAsia="Arial" w:cs="Arial"/>
          <w:b w:val="1"/>
          <w:bCs w:val="1"/>
          <w:noProof w:val="0"/>
          <w:sz w:val="22"/>
          <w:szCs w:val="22"/>
          <w:lang w:val="en-US"/>
        </w:rPr>
        <w:t>2. Impact of the Issue on the Community</w:t>
      </w:r>
    </w:p>
    <w:p w:rsidR="079B5A1C" w:rsidP="3C3B7F19" w:rsidRDefault="079B5A1C" w14:paraId="7B8E013C" w14:textId="447C2C97">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Insufficient domiciliary care can affect individuals, families and public services. People who cannot access regular support may struggle with essential daily activities, increasing their risk of poor nutrition, accidents and declining health. Delayed assistance can also undermine their dignity and independence, particularly when they must rely on relatives for personal care.</w:t>
      </w:r>
    </w:p>
    <w:p w:rsidR="079B5A1C" w:rsidP="3C3B7F19" w:rsidRDefault="079B5A1C" w14:paraId="53497099" w14:textId="2E0E3776">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Unpaid carers may experience additional financial and emotional pressure when they take on responsibilities that would otherwise be provided by professional care workers. Some relatives may need to reduce their working hours or leave employment, affecting their income and personal well-being.</w:t>
      </w:r>
    </w:p>
    <w:p w:rsidR="079B5A1C" w:rsidP="3C3B7F19" w:rsidRDefault="079B5A1C" w14:paraId="38BC31D4" w14:textId="635271B2">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Shortages also affect hospitals and other public services. The CQC (2024) reported that, in April 2024, waiting for home-based care or care-home placements accounted for 45% of discharge delays among patients who had remained in an acute hospital for at least 14 days. This demonstrates how insufficient community support can contribute to hospital delays and increase pressure on NHS resources.</w:t>
      </w:r>
    </w:p>
    <w:p w:rsidR="079B5A1C" w:rsidP="3C3B7F19" w:rsidRDefault="079B5A1C" w14:paraId="5F86E54D" w14:textId="196D3C11">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The Care Act 2014 provides a legal framework for addressing these concerns. Section 1 requires local authorities to promote individual well-being, including dignity, physical health and control over daily life. Section 2 emphasises preventing or delaying the development of care and support needs (Great Britain, 2014).</w:t>
      </w:r>
    </w:p>
    <w:p w:rsidR="079B5A1C" w:rsidP="3C3B7F19" w:rsidRDefault="079B5A1C" w14:paraId="157A168C" w14:textId="603EB720">
      <w:pPr>
        <w:spacing w:before="360" w:beforeAutospacing="off" w:after="223" w:afterAutospacing="off"/>
        <w:rPr>
          <w:rFonts w:ascii="Arial" w:hAnsi="Arial" w:eastAsia="Arial" w:cs="Arial"/>
          <w:b w:val="1"/>
          <w:bCs w:val="1"/>
          <w:noProof w:val="0"/>
          <w:sz w:val="22"/>
          <w:szCs w:val="22"/>
          <w:lang w:val="en-US"/>
        </w:rPr>
      </w:pPr>
      <w:r w:rsidRPr="3C3B7F19" w:rsidR="079B5A1C">
        <w:rPr>
          <w:rFonts w:ascii="Arial" w:hAnsi="Arial" w:eastAsia="Arial" w:cs="Arial"/>
          <w:b w:val="1"/>
          <w:bCs w:val="1"/>
          <w:noProof w:val="0"/>
          <w:sz w:val="22"/>
          <w:szCs w:val="22"/>
          <w:lang w:val="en-US"/>
        </w:rPr>
        <w:t>3. Recommended Responses to Address the Issue</w:t>
      </w:r>
    </w:p>
    <w:p w:rsidR="079B5A1C" w:rsidP="3C3B7F19" w:rsidRDefault="079B5A1C" w14:paraId="020256FF" w14:textId="6A839FB8">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b w:val="1"/>
          <w:bCs w:val="1"/>
          <w:noProof w:val="0"/>
          <w:sz w:val="22"/>
          <w:szCs w:val="22"/>
          <w:lang w:val="en-US"/>
        </w:rPr>
        <w:t>Improve recruitment and retention of care workers.</w:t>
      </w:r>
      <w:r w:rsidRPr="3C3B7F19" w:rsidR="079B5A1C">
        <w:rPr>
          <w:rFonts w:ascii="Arial" w:hAnsi="Arial" w:eastAsia="Arial" w:cs="Arial"/>
          <w:noProof w:val="0"/>
          <w:sz w:val="22"/>
          <w:szCs w:val="22"/>
          <w:lang w:val="en-US"/>
        </w:rPr>
        <w:t xml:space="preserve"> Telford &amp; Wrekin Council should work with local providers to improve employment conditions, recognise travel time between visits and provide training and career progression opportunities. Skills for Care (2025) reported that domiciliary care services in England had a vacancy rate of 9.7% in 2024/25. Although this is a national figure rather than a local estimate, it highlights the recruitment difficulties facing homecare providers. Better working conditions could help attract and retain staff, enabling more consistent care for residents.</w:t>
      </w:r>
    </w:p>
    <w:p w:rsidR="079B5A1C" w:rsidP="3C3B7F19" w:rsidRDefault="079B5A1C" w14:paraId="7390565A" w14:textId="1026E7A9">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b w:val="1"/>
          <w:bCs w:val="1"/>
          <w:noProof w:val="0"/>
          <w:sz w:val="22"/>
          <w:szCs w:val="22"/>
          <w:lang w:val="en-US"/>
        </w:rPr>
        <w:t>Strengthen commissioning and support local providers.</w:t>
      </w:r>
      <w:r w:rsidRPr="3C3B7F19" w:rsidR="079B5A1C">
        <w:rPr>
          <w:rFonts w:ascii="Arial" w:hAnsi="Arial" w:eastAsia="Arial" w:cs="Arial"/>
          <w:noProof w:val="0"/>
          <w:sz w:val="22"/>
          <w:szCs w:val="22"/>
          <w:lang w:val="en-US"/>
        </w:rPr>
        <w:t xml:space="preserve"> The Council should develop longer-term commissioning arrangements that give providers greater financial stability and allow them to plan staffing more effectively. Its Adult Social Care Market Position Statement 2025–2029 outlines the Council’s approach to developing a sustainable care market that responds to local needs (Telford &amp; Wrekin Council, 2025). The Council should </w:t>
      </w:r>
      <w:r w:rsidRPr="3C3B7F19" w:rsidR="079B5A1C">
        <w:rPr>
          <w:rFonts w:ascii="Arial" w:hAnsi="Arial" w:eastAsia="Arial" w:cs="Arial"/>
          <w:noProof w:val="0"/>
          <w:sz w:val="22"/>
          <w:szCs w:val="22"/>
          <w:lang w:val="en-US"/>
        </w:rPr>
        <w:t>identify</w:t>
      </w:r>
      <w:r w:rsidRPr="3C3B7F19" w:rsidR="079B5A1C">
        <w:rPr>
          <w:rFonts w:ascii="Arial" w:hAnsi="Arial" w:eastAsia="Arial" w:cs="Arial"/>
          <w:noProof w:val="0"/>
          <w:sz w:val="22"/>
          <w:szCs w:val="22"/>
          <w:lang w:val="en-US"/>
        </w:rPr>
        <w:t xml:space="preserve"> </w:t>
      </w:r>
      <w:r w:rsidRPr="3C3B7F19" w:rsidR="079B5A1C">
        <w:rPr>
          <w:rFonts w:ascii="Arial" w:hAnsi="Arial" w:eastAsia="Arial" w:cs="Arial"/>
          <w:noProof w:val="0"/>
          <w:sz w:val="22"/>
          <w:szCs w:val="22"/>
          <w:lang w:val="en-US"/>
        </w:rPr>
        <w:t>neighbourhoods</w:t>
      </w:r>
      <w:r w:rsidRPr="3C3B7F19" w:rsidR="079B5A1C">
        <w:rPr>
          <w:rFonts w:ascii="Arial" w:hAnsi="Arial" w:eastAsia="Arial" w:cs="Arial"/>
          <w:noProof w:val="0"/>
          <w:sz w:val="22"/>
          <w:szCs w:val="22"/>
          <w:lang w:val="en-US"/>
        </w:rPr>
        <w:t xml:space="preserve"> where services are insufficient, encourage suitable providers to </w:t>
      </w:r>
      <w:r w:rsidRPr="3C3B7F19" w:rsidR="079B5A1C">
        <w:rPr>
          <w:rFonts w:ascii="Arial" w:hAnsi="Arial" w:eastAsia="Arial" w:cs="Arial"/>
          <w:noProof w:val="0"/>
          <w:sz w:val="22"/>
          <w:szCs w:val="22"/>
          <w:lang w:val="en-US"/>
        </w:rPr>
        <w:t>operate</w:t>
      </w:r>
      <w:r w:rsidRPr="3C3B7F19" w:rsidR="079B5A1C">
        <w:rPr>
          <w:rFonts w:ascii="Arial" w:hAnsi="Arial" w:eastAsia="Arial" w:cs="Arial"/>
          <w:noProof w:val="0"/>
          <w:sz w:val="22"/>
          <w:szCs w:val="22"/>
          <w:lang w:val="en-US"/>
        </w:rPr>
        <w:t xml:space="preserve"> in these </w:t>
      </w:r>
      <w:r w:rsidRPr="3C3B7F19" w:rsidR="1390FFE3">
        <w:rPr>
          <w:rFonts w:ascii="Arial" w:hAnsi="Arial" w:eastAsia="Arial" w:cs="Arial"/>
          <w:noProof w:val="0"/>
          <w:sz w:val="22"/>
          <w:szCs w:val="22"/>
          <w:lang w:val="en-US"/>
        </w:rPr>
        <w:t>areas,</w:t>
      </w:r>
      <w:r w:rsidRPr="3C3B7F19" w:rsidR="079B5A1C">
        <w:rPr>
          <w:rFonts w:ascii="Arial" w:hAnsi="Arial" w:eastAsia="Arial" w:cs="Arial"/>
          <w:noProof w:val="0"/>
          <w:sz w:val="22"/>
          <w:szCs w:val="22"/>
          <w:lang w:val="en-US"/>
        </w:rPr>
        <w:t xml:space="preserve"> and regularly review whether commissioned services meet demand. This approach supports the market-shaping duty under section 5 of the Care Act 2014 (Great Britain, 2014).</w:t>
      </w:r>
    </w:p>
    <w:p w:rsidR="079B5A1C" w:rsidP="3C3B7F19" w:rsidRDefault="079B5A1C" w14:paraId="5CBEA5C8" w14:textId="2C26956E">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b w:val="1"/>
          <w:bCs w:val="1"/>
          <w:noProof w:val="0"/>
          <w:sz w:val="22"/>
          <w:szCs w:val="22"/>
          <w:lang w:val="en-US"/>
        </w:rPr>
        <w:t>Expand preventative and community-based support.</w:t>
      </w:r>
      <w:r w:rsidRPr="3C3B7F19" w:rsidR="079B5A1C">
        <w:rPr>
          <w:rFonts w:ascii="Arial" w:hAnsi="Arial" w:eastAsia="Arial" w:cs="Arial"/>
          <w:noProof w:val="0"/>
          <w:sz w:val="22"/>
          <w:szCs w:val="22"/>
          <w:lang w:val="en-US"/>
        </w:rPr>
        <w:t xml:space="preserve"> Early assessments, reablement and practical community assistance could help people maintain independence and prevent their needs from becoming more complex. The Council should work with NHS services and community organisations to identify people who may benefit from early support, particularly after illness or hospital discharge. These measures reflect the preventative principles of section 2 of the Care Act 2014.</w:t>
      </w:r>
    </w:p>
    <w:p w:rsidR="079B5A1C" w:rsidP="3C3B7F19" w:rsidRDefault="079B5A1C" w14:paraId="17FD45C0" w14:textId="0DBF2A60">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b w:val="1"/>
          <w:bCs w:val="1"/>
          <w:noProof w:val="0"/>
          <w:sz w:val="22"/>
          <w:szCs w:val="22"/>
          <w:lang w:val="en-US"/>
        </w:rPr>
        <w:t>Improve support for unpaid carers.</w:t>
      </w:r>
      <w:r w:rsidRPr="3C3B7F19" w:rsidR="079B5A1C">
        <w:rPr>
          <w:rFonts w:ascii="Arial" w:hAnsi="Arial" w:eastAsia="Arial" w:cs="Arial"/>
          <w:noProof w:val="0"/>
          <w:sz w:val="22"/>
          <w:szCs w:val="22"/>
          <w:lang w:val="en-US"/>
        </w:rPr>
        <w:t xml:space="preserve"> The Council should promote access to carers’ assessments, respite services, </w:t>
      </w:r>
      <w:bookmarkStart w:name="_Int_fJUFwf98" w:id="1978683555"/>
      <w:r w:rsidRPr="3C3B7F19" w:rsidR="079B5A1C">
        <w:rPr>
          <w:rFonts w:ascii="Arial" w:hAnsi="Arial" w:eastAsia="Arial" w:cs="Arial"/>
          <w:noProof w:val="0"/>
          <w:sz w:val="22"/>
          <w:szCs w:val="22"/>
          <w:lang w:val="en-US"/>
        </w:rPr>
        <w:t>information</w:t>
      </w:r>
      <w:bookmarkEnd w:id="1978683555"/>
      <w:r w:rsidRPr="3C3B7F19" w:rsidR="079B5A1C">
        <w:rPr>
          <w:rFonts w:ascii="Arial" w:hAnsi="Arial" w:eastAsia="Arial" w:cs="Arial"/>
          <w:noProof w:val="0"/>
          <w:sz w:val="22"/>
          <w:szCs w:val="22"/>
          <w:lang w:val="en-US"/>
        </w:rPr>
        <w:t xml:space="preserve"> and emotional support. Section 10 of the Care Act 2014 establishes duties concerning assessments for adult carers who meet the relevant conditions. Supporting carers alongside improvements to formal homecare services could reduce pressure on families and help people continue caring without unnecessarily compromising their own well-being (Great Britain, 2014).</w:t>
      </w:r>
    </w:p>
    <w:p w:rsidR="079B5A1C" w:rsidP="3C3B7F19" w:rsidRDefault="079B5A1C" w14:paraId="5896349A" w14:textId="22FDACCE">
      <w:pPr>
        <w:spacing w:before="360" w:beforeAutospacing="off" w:after="223" w:afterAutospacing="off"/>
        <w:rPr>
          <w:rFonts w:ascii="Arial" w:hAnsi="Arial" w:eastAsia="Arial" w:cs="Arial"/>
          <w:b w:val="1"/>
          <w:bCs w:val="1"/>
          <w:noProof w:val="0"/>
          <w:sz w:val="22"/>
          <w:szCs w:val="22"/>
          <w:lang w:val="en-US"/>
        </w:rPr>
      </w:pPr>
      <w:r w:rsidRPr="3C3B7F19" w:rsidR="079B5A1C">
        <w:rPr>
          <w:rFonts w:ascii="Arial" w:hAnsi="Arial" w:eastAsia="Arial" w:cs="Arial"/>
          <w:b w:val="1"/>
          <w:bCs w:val="1"/>
          <w:noProof w:val="0"/>
          <w:sz w:val="22"/>
          <w:szCs w:val="22"/>
          <w:lang w:val="en-US"/>
        </w:rPr>
        <w:t>4. Conclusion</w:t>
      </w:r>
    </w:p>
    <w:p w:rsidR="079B5A1C" w:rsidP="3C3B7F19" w:rsidRDefault="079B5A1C" w14:paraId="25A70314" w14:textId="2AB7AF59">
      <w:pPr>
        <w:spacing w:before="300" w:beforeAutospacing="off" w:after="180" w:afterAutospacing="off"/>
        <w:rPr>
          <w:rFonts w:ascii="Arial" w:hAnsi="Arial" w:eastAsia="Arial" w:cs="Arial"/>
          <w:noProof w:val="0"/>
          <w:sz w:val="22"/>
          <w:szCs w:val="22"/>
          <w:lang w:val="en-US"/>
        </w:rPr>
      </w:pPr>
      <w:r w:rsidRPr="3C3B7F19" w:rsidR="079B5A1C">
        <w:rPr>
          <w:rFonts w:ascii="Arial" w:hAnsi="Arial" w:eastAsia="Arial" w:cs="Arial"/>
          <w:noProof w:val="0"/>
          <w:sz w:val="22"/>
          <w:szCs w:val="22"/>
          <w:lang w:val="en-US"/>
        </w:rPr>
        <w:t>Domiciliary care shortages can threaten independence, increase pressure on unpaid carers and contribute to difficulties across health and social care services. Telford &amp; Wrekin Council should prioritise workforce retention, sustainable commissioning, preventative support and assistance for unpaid carers. These recommendations reflect the Care Act 2014 and provide a practical approach to improving access to reliable, person-centred care across the borough.</w:t>
      </w:r>
    </w:p>
    <w:p w:rsidR="3C3B7F19" w:rsidP="3C3B7F19" w:rsidRDefault="3C3B7F19" w14:paraId="74BD27FA" w14:textId="25A05C83">
      <w:pPr>
        <w:spacing w:before="0" w:beforeAutospacing="off" w:after="0" w:afterAutospacing="off"/>
        <w:rPr>
          <w:rFonts w:ascii="Arial" w:hAnsi="Arial" w:eastAsia="Arial" w:cs="Arial"/>
          <w:noProof w:val="0"/>
          <w:sz w:val="22"/>
          <w:szCs w:val="22"/>
          <w:lang w:val="en-US"/>
        </w:rPr>
      </w:pPr>
    </w:p>
    <w:p w:rsidR="3C3B7F19" w:rsidP="3C3B7F19" w:rsidRDefault="3C3B7F19" w14:paraId="5E2A31A2" w14:textId="6FAA1E9C">
      <w:pPr>
        <w:spacing w:before="0" w:beforeAutospacing="off" w:after="0" w:afterAutospacing="off"/>
        <w:rPr>
          <w:rFonts w:ascii="Arial" w:hAnsi="Arial" w:eastAsia="Arial" w:cs="Arial"/>
          <w:noProof w:val="0"/>
          <w:sz w:val="22"/>
          <w:szCs w:val="22"/>
          <w:lang w:val="en-US"/>
        </w:rPr>
      </w:pPr>
    </w:p>
    <w:p w:rsidR="3C3B7F19" w:rsidP="3C3B7F19" w:rsidRDefault="3C3B7F19" w14:paraId="7BF20CAB" w14:textId="1170EABA">
      <w:pPr>
        <w:spacing w:before="0" w:beforeAutospacing="off" w:after="0" w:afterAutospacing="off"/>
        <w:rPr>
          <w:rFonts w:ascii="Arial" w:hAnsi="Arial" w:eastAsia="Arial" w:cs="Arial"/>
          <w:noProof w:val="0"/>
          <w:sz w:val="22"/>
          <w:szCs w:val="22"/>
          <w:lang w:val="en-US"/>
        </w:rPr>
      </w:pPr>
    </w:p>
    <w:p w:rsidR="338F7046" w:rsidP="3C3B7F19" w:rsidRDefault="338F7046" w14:paraId="1796C641" w14:textId="00151060">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Task</w:t>
      </w:r>
      <w:r w:rsidRPr="3C3B7F19" w:rsidR="338F7046">
        <w:rPr>
          <w:rFonts w:ascii="Arial" w:hAnsi="Arial" w:eastAsia="Arial" w:cs="Arial"/>
          <w:noProof w:val="0"/>
          <w:sz w:val="22"/>
          <w:szCs w:val="22"/>
          <w:lang w:val="en-US"/>
        </w:rPr>
        <w:t> 2 Essay: Community Antenatal Midwifery Services</w:t>
      </w:r>
    </w:p>
    <w:p w:rsidR="3C3B7F19" w:rsidP="3C3B7F19" w:rsidRDefault="3C3B7F19" w14:paraId="728A0893" w14:textId="1B71494C">
      <w:pPr>
        <w:spacing w:before="0" w:beforeAutospacing="off" w:after="0" w:afterAutospacing="off"/>
        <w:rPr>
          <w:rFonts w:ascii="Arial" w:hAnsi="Arial" w:eastAsia="Arial" w:cs="Arial"/>
          <w:sz w:val="22"/>
          <w:szCs w:val="22"/>
        </w:rPr>
      </w:pPr>
    </w:p>
    <w:p w:rsidR="338F7046" w:rsidP="3C3B7F19" w:rsidRDefault="338F7046" w14:paraId="28A827A6" w14:textId="3B5A7B51">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Introduction</w:t>
      </w:r>
    </w:p>
    <w:p w:rsidR="3C3B7F19" w:rsidP="3C3B7F19" w:rsidRDefault="3C3B7F19" w14:paraId="32C83660" w14:textId="0FD00107">
      <w:pPr>
        <w:spacing w:before="0" w:beforeAutospacing="off" w:after="0" w:afterAutospacing="off"/>
        <w:rPr>
          <w:rFonts w:ascii="Arial" w:hAnsi="Arial" w:eastAsia="Arial" w:cs="Arial"/>
          <w:sz w:val="22"/>
          <w:szCs w:val="22"/>
        </w:rPr>
      </w:pPr>
    </w:p>
    <w:p w:rsidR="338F7046" w:rsidP="3C3B7F19" w:rsidRDefault="338F7046" w14:paraId="3FFBA9E5" w14:textId="1B78C1E6">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Community</w:t>
      </w:r>
      <w:r w:rsidRPr="3C3B7F19" w:rsidR="7CD88A9D">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based antenatal midwifery provides pregnancy</w:t>
      </w:r>
      <w:r w:rsidRPr="3C3B7F19" w:rsidR="373DE23F">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 xml:space="preserve">focused support, routine health </w:t>
      </w:r>
      <w:r w:rsidRPr="3C3B7F19" w:rsidR="338F7046">
        <w:rPr>
          <w:rFonts w:ascii="Arial" w:hAnsi="Arial" w:eastAsia="Arial" w:cs="Arial"/>
          <w:noProof w:val="0"/>
          <w:sz w:val="22"/>
          <w:szCs w:val="22"/>
          <w:lang w:val="en-US"/>
        </w:rPr>
        <w:t>monitoring</w:t>
      </w:r>
      <w:r w:rsidRPr="3C3B7F19" w:rsidR="338F7046">
        <w:rPr>
          <w:rFonts w:ascii="Arial" w:hAnsi="Arial" w:eastAsia="Arial" w:cs="Arial"/>
          <w:noProof w:val="0"/>
          <w:sz w:val="22"/>
          <w:szCs w:val="22"/>
          <w:lang w:val="en-US"/>
        </w:rPr>
        <w:t xml:space="preserve"> and early risk identification within local community spaces such as </w:t>
      </w:r>
      <w:r w:rsidRPr="3C3B7F19" w:rsidR="7B4427F1">
        <w:rPr>
          <w:rFonts w:ascii="Arial" w:hAnsi="Arial" w:eastAsia="Arial" w:cs="Arial"/>
          <w:noProof w:val="0"/>
          <w:sz w:val="22"/>
          <w:szCs w:val="22"/>
          <w:lang w:val="en-US"/>
        </w:rPr>
        <w:t>neighborhood</w:t>
      </w:r>
      <w:r w:rsidRPr="3C3B7F19" w:rsidR="338F7046">
        <w:rPr>
          <w:rFonts w:ascii="Arial" w:hAnsi="Arial" w:eastAsia="Arial" w:cs="Arial"/>
          <w:noProof w:val="0"/>
          <w:sz w:val="22"/>
          <w:szCs w:val="22"/>
          <w:lang w:val="en-US"/>
        </w:rPr>
        <w:t xml:space="preserve"> clinics or service</w:t>
      </w:r>
      <w:r w:rsidRPr="3C3B7F19" w:rsidR="26316F4C">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 xml:space="preserve">users homes, rather than being delivered solely in hospital settings (NHS, n.d.). This essay traces the historical development of these services, offers a balanced critical assessment of how they </w:t>
      </w:r>
      <w:r w:rsidRPr="3C3B7F19" w:rsidR="338F7046">
        <w:rPr>
          <w:rFonts w:ascii="Arial" w:hAnsi="Arial" w:eastAsia="Arial" w:cs="Arial"/>
          <w:noProof w:val="0"/>
          <w:sz w:val="22"/>
          <w:szCs w:val="22"/>
          <w:lang w:val="en-US"/>
        </w:rPr>
        <w:t>operate</w:t>
      </w:r>
      <w:r w:rsidRPr="3C3B7F19" w:rsidR="338F7046">
        <w:rPr>
          <w:rFonts w:ascii="Arial" w:hAnsi="Arial" w:eastAsia="Arial" w:cs="Arial"/>
          <w:noProof w:val="0"/>
          <w:sz w:val="22"/>
          <w:szCs w:val="22"/>
          <w:lang w:val="en-US"/>
        </w:rPr>
        <w:t xml:space="preserve"> in current</w:t>
      </w:r>
      <w:r w:rsidRPr="3C3B7F19" w:rsidR="5A53EE8F">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day practice, and explores their role in improving quality</w:t>
      </w:r>
      <w:r w:rsidRPr="3C3B7F19" w:rsidR="66D0B22F">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of</w:t>
      </w:r>
      <w:r w:rsidRPr="3C3B7F19" w:rsidR="180985B6">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life outcomes for pregnant people who access them.</w:t>
      </w:r>
    </w:p>
    <w:p w:rsidR="3C3B7F19" w:rsidP="3C3B7F19" w:rsidRDefault="3C3B7F19" w14:paraId="7FCD4115" w14:textId="1A1C1E38">
      <w:pPr>
        <w:spacing w:before="0" w:beforeAutospacing="off" w:after="0" w:afterAutospacing="off"/>
        <w:rPr>
          <w:rFonts w:ascii="Arial" w:hAnsi="Arial" w:eastAsia="Arial" w:cs="Arial"/>
          <w:sz w:val="22"/>
          <w:szCs w:val="22"/>
        </w:rPr>
      </w:pPr>
    </w:p>
    <w:p w:rsidR="338F7046" w:rsidP="3C3B7F19" w:rsidRDefault="338F7046" w14:paraId="702E6964" w14:textId="7FFC69F8">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Historical Origins and Context</w:t>
      </w:r>
    </w:p>
    <w:p w:rsidR="3C3B7F19" w:rsidP="3C3B7F19" w:rsidRDefault="3C3B7F19" w14:paraId="024C4B79" w14:textId="05E6C4BA">
      <w:pPr>
        <w:spacing w:before="0" w:beforeAutospacing="off" w:after="0" w:afterAutospacing="off"/>
        <w:rPr>
          <w:rFonts w:ascii="Arial" w:hAnsi="Arial" w:eastAsia="Arial" w:cs="Arial"/>
          <w:sz w:val="22"/>
          <w:szCs w:val="22"/>
        </w:rPr>
      </w:pPr>
    </w:p>
    <w:p w:rsidR="338F7046" w:rsidP="3C3B7F19" w:rsidRDefault="338F7046" w14:paraId="5E1EC4BC" w14:textId="364837FF">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 xml:space="preserve">Before the 1902 Midwives Act, maternity support was mostly delivered by women with practical experience rather than formal, regulated training (Royal College of Midwives, 2022). The introduction of this Act </w:t>
      </w:r>
      <w:r w:rsidRPr="3C3B7F19" w:rsidR="338F7046">
        <w:rPr>
          <w:rFonts w:ascii="Arial" w:hAnsi="Arial" w:eastAsia="Arial" w:cs="Arial"/>
          <w:noProof w:val="0"/>
          <w:sz w:val="22"/>
          <w:szCs w:val="22"/>
          <w:lang w:val="en-US"/>
        </w:rPr>
        <w:t>established</w:t>
      </w:r>
      <w:r w:rsidRPr="3C3B7F19" w:rsidR="338F7046">
        <w:rPr>
          <w:rFonts w:ascii="Arial" w:hAnsi="Arial" w:eastAsia="Arial" w:cs="Arial"/>
          <w:noProof w:val="0"/>
          <w:sz w:val="22"/>
          <w:szCs w:val="22"/>
          <w:lang w:val="en-US"/>
        </w:rPr>
        <w:t xml:space="preserve"> the first official register for qualified midwives, creating the legal framework for what later became known as </w:t>
      </w:r>
      <w:bookmarkStart w:name="_Int_WurkN9e9" w:id="967405443"/>
      <w:r w:rsidRPr="3C3B7F19" w:rsidR="338F7046">
        <w:rPr>
          <w:rFonts w:ascii="Arial" w:hAnsi="Arial" w:eastAsia="Arial" w:cs="Arial"/>
          <w:noProof w:val="0"/>
          <w:sz w:val="22"/>
          <w:szCs w:val="22"/>
          <w:lang w:val="en-US"/>
        </w:rPr>
        <w:t>district</w:t>
      </w:r>
      <w:r w:rsidRPr="3C3B7F19" w:rsidR="530B35A9">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based</w:t>
      </w:r>
      <w:bookmarkEnd w:id="967405443"/>
      <w:r w:rsidRPr="3C3B7F19" w:rsidR="338F7046">
        <w:rPr>
          <w:rFonts w:ascii="Arial" w:hAnsi="Arial" w:eastAsia="Arial" w:cs="Arial"/>
          <w:noProof w:val="0"/>
          <w:sz w:val="22"/>
          <w:szCs w:val="22"/>
          <w:lang w:val="en-US"/>
        </w:rPr>
        <w:t xml:space="preserve"> community midwifery (Association for Improvements in the Maternity Services [AIMS], 2022). When the NHS launched in 1948, district midwives became part of state</w:t>
      </w:r>
      <w:r>
        <w:noBreakHyphen/>
      </w:r>
      <w:r w:rsidRPr="3C3B7F19" w:rsidR="338F7046">
        <w:rPr>
          <w:rFonts w:ascii="Arial" w:hAnsi="Arial" w:eastAsia="Arial" w:cs="Arial"/>
          <w:noProof w:val="0"/>
          <w:sz w:val="22"/>
          <w:szCs w:val="22"/>
          <w:lang w:val="en-US"/>
        </w:rPr>
        <w:t>funded local health teams, carrying out home visits and running community</w:t>
      </w:r>
      <w:r>
        <w:noBreakHyphen/>
      </w:r>
      <w:r w:rsidRPr="3C3B7F19" w:rsidR="338F7046">
        <w:rPr>
          <w:rFonts w:ascii="Arial" w:hAnsi="Arial" w:eastAsia="Arial" w:cs="Arial"/>
          <w:noProof w:val="0"/>
          <w:sz w:val="22"/>
          <w:szCs w:val="22"/>
          <w:lang w:val="en-US"/>
        </w:rPr>
        <w:t xml:space="preserve">based antenatal clinics for families across </w:t>
      </w:r>
      <w:r w:rsidRPr="3C3B7F19" w:rsidR="3437AE2B">
        <w:rPr>
          <w:rFonts w:ascii="Arial" w:hAnsi="Arial" w:eastAsia="Arial" w:cs="Arial"/>
          <w:noProof w:val="0"/>
          <w:sz w:val="22"/>
          <w:szCs w:val="22"/>
          <w:lang w:val="en-US"/>
        </w:rPr>
        <w:t>neighborhoods</w:t>
      </w:r>
      <w:r w:rsidRPr="3C3B7F19" w:rsidR="338F7046">
        <w:rPr>
          <w:rFonts w:ascii="Arial" w:hAnsi="Arial" w:eastAsia="Arial" w:cs="Arial"/>
          <w:noProof w:val="0"/>
          <w:sz w:val="22"/>
          <w:szCs w:val="22"/>
          <w:lang w:val="en-US"/>
        </w:rPr>
        <w:t xml:space="preserve"> (AIMS, 2022).</w:t>
      </w:r>
    </w:p>
    <w:p w:rsidR="338F7046" w:rsidP="3C3B7F19" w:rsidRDefault="338F7046" w14:paraId="32D1A93E" w14:textId="55B70667">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From the 1970s onwards, national healthcare policy shifted toward hospital</w:t>
      </w:r>
      <w:r>
        <w:noBreakHyphen/>
      </w:r>
      <w:r w:rsidRPr="3C3B7F19" w:rsidR="338F7046">
        <w:rPr>
          <w:rFonts w:ascii="Arial" w:hAnsi="Arial" w:eastAsia="Arial" w:cs="Arial"/>
          <w:noProof w:val="0"/>
          <w:sz w:val="22"/>
          <w:szCs w:val="22"/>
          <w:lang w:val="en-US"/>
        </w:rPr>
        <w:t>centred maternity care, reducing priority for home</w:t>
      </w:r>
      <w:r>
        <w:noBreakHyphen/>
      </w:r>
      <w:r w:rsidRPr="3C3B7F19" w:rsidR="338F7046">
        <w:rPr>
          <w:rFonts w:ascii="Arial" w:hAnsi="Arial" w:eastAsia="Arial" w:cs="Arial"/>
          <w:noProof w:val="0"/>
          <w:sz w:val="22"/>
          <w:szCs w:val="22"/>
          <w:lang w:val="en-US"/>
        </w:rPr>
        <w:t>based antenatal support. However, the 2016 Better Births national maternity review recommended a return to community</w:t>
      </w:r>
      <w:r>
        <w:noBreakHyphen/>
      </w:r>
      <w:r w:rsidRPr="3C3B7F19" w:rsidR="338F7046">
        <w:rPr>
          <w:rFonts w:ascii="Arial" w:hAnsi="Arial" w:eastAsia="Arial" w:cs="Arial"/>
          <w:noProof w:val="0"/>
          <w:sz w:val="22"/>
          <w:szCs w:val="22"/>
          <w:lang w:val="en-US"/>
        </w:rPr>
        <w:t>led care models, placing greater emphasis on consistent, personalised support for pregnant individuals; this policy shift shaped the modern community antenatal midwifery service used today (NHS England, 2016).</w:t>
      </w:r>
    </w:p>
    <w:p w:rsidR="3C3B7F19" w:rsidP="3C3B7F19" w:rsidRDefault="3C3B7F19" w14:paraId="7E526EC5" w14:textId="75E23E33">
      <w:pPr>
        <w:spacing w:before="0" w:beforeAutospacing="off" w:after="0" w:afterAutospacing="off"/>
        <w:rPr>
          <w:rFonts w:ascii="Arial" w:hAnsi="Arial" w:eastAsia="Arial" w:cs="Arial"/>
          <w:sz w:val="22"/>
          <w:szCs w:val="22"/>
        </w:rPr>
      </w:pPr>
    </w:p>
    <w:p w:rsidR="338F7046" w:rsidP="3C3B7F19" w:rsidRDefault="338F7046" w14:paraId="7350BC8D" w14:textId="14B4784D">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Critical Evaluation of Current Function</w:t>
      </w:r>
    </w:p>
    <w:p w:rsidR="3C3B7F19" w:rsidP="3C3B7F19" w:rsidRDefault="3C3B7F19" w14:paraId="6964CD70" w14:textId="0AA18157">
      <w:pPr>
        <w:spacing w:before="0" w:beforeAutospacing="off" w:after="0" w:afterAutospacing="off"/>
        <w:rPr>
          <w:rFonts w:ascii="Arial" w:hAnsi="Arial" w:eastAsia="Arial" w:cs="Arial"/>
          <w:sz w:val="22"/>
          <w:szCs w:val="22"/>
        </w:rPr>
      </w:pPr>
    </w:p>
    <w:p w:rsidR="338F7046" w:rsidP="3C3B7F19" w:rsidRDefault="338F7046" w14:paraId="63922EFD" w14:textId="4B8DE9B9">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 xml:space="preserve">In contemporary practice, community antenatal midwives work within local NHS teams to deliver routine pregnancy checks, health screening, parenting </w:t>
      </w:r>
      <w:r w:rsidRPr="3C3B7F19" w:rsidR="338F7046">
        <w:rPr>
          <w:rFonts w:ascii="Arial" w:hAnsi="Arial" w:eastAsia="Arial" w:cs="Arial"/>
          <w:noProof w:val="0"/>
          <w:sz w:val="22"/>
          <w:szCs w:val="22"/>
          <w:lang w:val="en-US"/>
        </w:rPr>
        <w:t>guidance</w:t>
      </w:r>
      <w:r w:rsidRPr="3C3B7F19" w:rsidR="338F7046">
        <w:rPr>
          <w:rFonts w:ascii="Arial" w:hAnsi="Arial" w:eastAsia="Arial" w:cs="Arial"/>
          <w:noProof w:val="0"/>
          <w:sz w:val="22"/>
          <w:szCs w:val="22"/>
          <w:lang w:val="en-US"/>
        </w:rPr>
        <w:t xml:space="preserve"> and sign</w:t>
      </w:r>
      <w:r>
        <w:noBreakHyphen/>
      </w:r>
      <w:r w:rsidRPr="3C3B7F19" w:rsidR="338F7046">
        <w:rPr>
          <w:rFonts w:ascii="Arial" w:hAnsi="Arial" w:eastAsia="Arial" w:cs="Arial"/>
          <w:noProof w:val="0"/>
          <w:sz w:val="22"/>
          <w:szCs w:val="22"/>
          <w:lang w:val="en-US"/>
        </w:rPr>
        <w:t xml:space="preserve">posting to specialist care if health concerns arise (National Institute for Health and Care Excellence [NICE], 2021). A key national policy </w:t>
      </w:r>
      <w:r w:rsidRPr="3C3B7F19" w:rsidR="338F7046">
        <w:rPr>
          <w:rFonts w:ascii="Arial" w:hAnsi="Arial" w:eastAsia="Arial" w:cs="Arial"/>
          <w:noProof w:val="0"/>
          <w:sz w:val="22"/>
          <w:szCs w:val="22"/>
          <w:lang w:val="en-US"/>
        </w:rPr>
        <w:t>objective</w:t>
      </w:r>
      <w:r w:rsidRPr="3C3B7F19" w:rsidR="338F7046">
        <w:rPr>
          <w:rFonts w:ascii="Arial" w:hAnsi="Arial" w:eastAsia="Arial" w:cs="Arial"/>
          <w:noProof w:val="0"/>
          <w:sz w:val="22"/>
          <w:szCs w:val="22"/>
          <w:lang w:val="en-US"/>
        </w:rPr>
        <w:t xml:space="preserve"> is continuity</w:t>
      </w:r>
      <w:r w:rsidRPr="3C3B7F19" w:rsidR="79494B4B">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of</w:t>
      </w:r>
      <w:r w:rsidRPr="3C3B7F19" w:rsidR="2064DE44">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carer, where a small group of midwives supports the same person throughout their pregnancy journey (NHS England, 2022).</w:t>
      </w:r>
    </w:p>
    <w:p w:rsidR="338F7046" w:rsidP="3C3B7F19" w:rsidRDefault="338F7046" w14:paraId="55E310E1" w14:textId="1DD223F4">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One major benefit of this community</w:t>
      </w:r>
      <w:r w:rsidRPr="3C3B7F19" w:rsidR="545EFC89">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focused model is improved accessibility: appointments can take place in local clinics or at home, making it easier for those facing travel or mobility barriers to attend regular care (NHS, n.d.). Even so, the service faces notable limitations: ongoing midwifery workforce shortages and heavy caseloads mean consistent continuity</w:t>
      </w:r>
      <w:r w:rsidRPr="3C3B7F19" w:rsidR="17167A4C">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of</w:t>
      </w:r>
      <w:r w:rsidRPr="3C3B7F19" w:rsidR="583FFAE0">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 xml:space="preserve">carer cannot always be guaranteed, with many service users seeing different midwives at each appointment (NHS England, 2022). There are also gaps in outreach for </w:t>
      </w:r>
      <w:r w:rsidRPr="3C3B7F19" w:rsidR="338F7046">
        <w:rPr>
          <w:rFonts w:ascii="Arial" w:hAnsi="Arial" w:eastAsia="Arial" w:cs="Arial"/>
          <w:noProof w:val="0"/>
          <w:sz w:val="22"/>
          <w:szCs w:val="22"/>
          <w:lang w:val="en-US"/>
        </w:rPr>
        <w:t>marginalised</w:t>
      </w:r>
      <w:r w:rsidRPr="3C3B7F19" w:rsidR="338F7046">
        <w:rPr>
          <w:rFonts w:ascii="Arial" w:hAnsi="Arial" w:eastAsia="Arial" w:cs="Arial"/>
          <w:noProof w:val="0"/>
          <w:sz w:val="22"/>
          <w:szCs w:val="22"/>
          <w:lang w:val="en-US"/>
        </w:rPr>
        <w:t xml:space="preserve"> groups, where community team capacity is often stretched too thin to deliver targeted support.</w:t>
      </w:r>
    </w:p>
    <w:p w:rsidR="3C3B7F19" w:rsidP="3C3B7F19" w:rsidRDefault="3C3B7F19" w14:paraId="1A5B86D1" w14:textId="64E211C0">
      <w:pPr>
        <w:spacing w:before="0" w:beforeAutospacing="off" w:after="0" w:afterAutospacing="off"/>
        <w:rPr>
          <w:rFonts w:ascii="Arial" w:hAnsi="Arial" w:eastAsia="Arial" w:cs="Arial"/>
          <w:sz w:val="22"/>
          <w:szCs w:val="22"/>
        </w:rPr>
      </w:pPr>
    </w:p>
    <w:p w:rsidR="338F7046" w:rsidP="3C3B7F19" w:rsidRDefault="338F7046" w14:paraId="1C1BD9C6" w14:textId="4E41575F">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Significance for Quality of Life</w:t>
      </w:r>
    </w:p>
    <w:p w:rsidR="3C3B7F19" w:rsidP="3C3B7F19" w:rsidRDefault="3C3B7F19" w14:paraId="3439F399" w14:textId="35D1EFFD">
      <w:pPr>
        <w:spacing w:before="0" w:beforeAutospacing="off" w:after="0" w:afterAutospacing="off"/>
        <w:rPr>
          <w:rFonts w:ascii="Arial" w:hAnsi="Arial" w:eastAsia="Arial" w:cs="Arial"/>
          <w:sz w:val="22"/>
          <w:szCs w:val="22"/>
        </w:rPr>
      </w:pPr>
    </w:p>
    <w:p w:rsidR="338F7046" w:rsidP="3C3B7F19" w:rsidRDefault="338F7046" w14:paraId="6E5EB7A9" w14:textId="03671C5F">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Where community antenatal midwifery is well</w:t>
      </w:r>
      <w:r w:rsidRPr="3C3B7F19" w:rsidR="13A4E674">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resourced, it supports both physical and emotional wellbeing for pregnant people. Regular local appointments allow early identification of potential health risks, helping to prevent pregnancy</w:t>
      </w:r>
      <w:r w:rsidRPr="3C3B7F19" w:rsidR="2FF44BB2">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related complications (NICE, 2021). Beyond clinical safety, midwives provide emotional reassurance and practical information that helps build confidence for parenthood; receiving care within familiar local settings also helps service users feel they have greater choice and control over their pregnancy experience (NHS England, 2016). Where continuity</w:t>
      </w:r>
      <w:r>
        <w:noBreakHyphen/>
      </w:r>
      <w:r w:rsidRPr="3C3B7F19" w:rsidR="338F7046">
        <w:rPr>
          <w:rFonts w:ascii="Arial" w:hAnsi="Arial" w:eastAsia="Arial" w:cs="Arial"/>
          <w:noProof w:val="0"/>
          <w:sz w:val="22"/>
          <w:szCs w:val="22"/>
          <w:lang w:val="en-US"/>
        </w:rPr>
        <w:t>of</w:t>
      </w:r>
      <w:r>
        <w:noBreakHyphen/>
      </w:r>
      <w:r w:rsidRPr="3C3B7F19" w:rsidR="338F7046">
        <w:rPr>
          <w:rFonts w:ascii="Arial" w:hAnsi="Arial" w:eastAsia="Arial" w:cs="Arial"/>
          <w:noProof w:val="0"/>
          <w:sz w:val="22"/>
          <w:szCs w:val="22"/>
          <w:lang w:val="en-US"/>
        </w:rPr>
        <w:t xml:space="preserve">carer is successfully achieved, service feedback </w:t>
      </w:r>
      <w:r w:rsidRPr="3C3B7F19" w:rsidR="338F7046">
        <w:rPr>
          <w:rFonts w:ascii="Arial" w:hAnsi="Arial" w:eastAsia="Arial" w:cs="Arial"/>
          <w:noProof w:val="0"/>
          <w:sz w:val="22"/>
          <w:szCs w:val="22"/>
          <w:lang w:val="en-US"/>
        </w:rPr>
        <w:t>indicates</w:t>
      </w:r>
      <w:r w:rsidRPr="3C3B7F19" w:rsidR="338F7046">
        <w:rPr>
          <w:rFonts w:ascii="Arial" w:hAnsi="Arial" w:eastAsia="Arial" w:cs="Arial"/>
          <w:noProof w:val="0"/>
          <w:sz w:val="22"/>
          <w:szCs w:val="22"/>
          <w:lang w:val="en-US"/>
        </w:rPr>
        <w:t xml:space="preserve"> lower levels of pregnancy</w:t>
      </w:r>
      <w:r>
        <w:noBreakHyphen/>
      </w:r>
      <w:r w:rsidRPr="3C3B7F19" w:rsidR="338F7046">
        <w:rPr>
          <w:rFonts w:ascii="Arial" w:hAnsi="Arial" w:eastAsia="Arial" w:cs="Arial"/>
          <w:noProof w:val="0"/>
          <w:sz w:val="22"/>
          <w:szCs w:val="22"/>
          <w:lang w:val="en-US"/>
        </w:rPr>
        <w:t>related anxiety and higher overall satisfaction with maternity care (NHS England, 2022).</w:t>
      </w:r>
    </w:p>
    <w:p w:rsidR="3C3B7F19" w:rsidP="3C3B7F19" w:rsidRDefault="3C3B7F19" w14:paraId="5FD32EB8" w14:textId="49FDDFCB">
      <w:pPr>
        <w:spacing w:before="0" w:beforeAutospacing="off" w:after="0" w:afterAutospacing="off"/>
        <w:rPr>
          <w:rFonts w:ascii="Arial" w:hAnsi="Arial" w:eastAsia="Arial" w:cs="Arial"/>
          <w:sz w:val="22"/>
          <w:szCs w:val="22"/>
        </w:rPr>
      </w:pPr>
    </w:p>
    <w:p w:rsidR="338F7046" w:rsidP="3C3B7F19" w:rsidRDefault="338F7046" w14:paraId="6A85B16A" w14:textId="1036A63C">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Conclusion</w:t>
      </w:r>
    </w:p>
    <w:p w:rsidR="3C3B7F19" w:rsidP="3C3B7F19" w:rsidRDefault="3C3B7F19" w14:paraId="5AF1F3A2" w14:textId="0A5B092A">
      <w:pPr>
        <w:pStyle w:val="MarkdownCode"/>
      </w:pPr>
    </w:p>
    <w:p w:rsidR="338F7046" w:rsidP="3C3B7F19" w:rsidRDefault="338F7046" w14:paraId="3AAED8B8" w14:textId="1DD405C0">
      <w:pPr>
        <w:spacing w:before="0" w:beforeAutospacing="off" w:after="0" w:afterAutospacing="off"/>
        <w:rPr>
          <w:rFonts w:ascii="Arial" w:hAnsi="Arial" w:eastAsia="Arial" w:cs="Arial"/>
          <w:noProof w:val="0"/>
          <w:sz w:val="22"/>
          <w:szCs w:val="22"/>
          <w:lang w:val="en-US"/>
        </w:rPr>
      </w:pPr>
      <w:r w:rsidRPr="3C3B7F19" w:rsidR="338F7046">
        <w:rPr>
          <w:rFonts w:ascii="Arial" w:hAnsi="Arial" w:eastAsia="Arial" w:cs="Arial"/>
          <w:noProof w:val="0"/>
          <w:sz w:val="22"/>
          <w:szCs w:val="22"/>
          <w:lang w:val="en-US"/>
        </w:rPr>
        <w:t>Community antenatal midwifery has developed from unregulated informal home support into a core NHS community service, shaped by more than a century of legislative and policy change. While current delivery is challenged by workforce pressures and uneven access for vulnerable groups, available evidence shows that well</w:t>
      </w:r>
      <w:r w:rsidRPr="3C3B7F19" w:rsidR="1240CAAD">
        <w:rPr>
          <w:rFonts w:ascii="Arial" w:hAnsi="Arial" w:eastAsia="Arial" w:cs="Arial"/>
          <w:noProof w:val="0"/>
          <w:sz w:val="22"/>
          <w:szCs w:val="22"/>
          <w:lang w:val="en-US"/>
        </w:rPr>
        <w:t xml:space="preserve"> </w:t>
      </w:r>
      <w:r w:rsidRPr="3C3B7F19" w:rsidR="338F7046">
        <w:rPr>
          <w:rFonts w:ascii="Arial" w:hAnsi="Arial" w:eastAsia="Arial" w:cs="Arial"/>
          <w:noProof w:val="0"/>
          <w:sz w:val="22"/>
          <w:szCs w:val="22"/>
          <w:lang w:val="en-US"/>
        </w:rPr>
        <w:t xml:space="preserve">supported community antenatal midwifery improves safety, personal </w:t>
      </w:r>
      <w:r w:rsidRPr="3C3B7F19" w:rsidR="338F7046">
        <w:rPr>
          <w:rFonts w:ascii="Arial" w:hAnsi="Arial" w:eastAsia="Arial" w:cs="Arial"/>
          <w:noProof w:val="0"/>
          <w:sz w:val="22"/>
          <w:szCs w:val="22"/>
          <w:lang w:val="en-US"/>
        </w:rPr>
        <w:t>choice</w:t>
      </w:r>
      <w:r w:rsidRPr="3C3B7F19" w:rsidR="338F7046">
        <w:rPr>
          <w:rFonts w:ascii="Arial" w:hAnsi="Arial" w:eastAsia="Arial" w:cs="Arial"/>
          <w:noProof w:val="0"/>
          <w:sz w:val="22"/>
          <w:szCs w:val="22"/>
          <w:lang w:val="en-US"/>
        </w:rPr>
        <w:t xml:space="preserve"> and overall quality of life for pregnant people and their families. Sustained investment in community midwifery teams </w:t>
      </w:r>
      <w:r w:rsidRPr="3C3B7F19" w:rsidR="338F7046">
        <w:rPr>
          <w:rFonts w:ascii="Arial" w:hAnsi="Arial" w:eastAsia="Arial" w:cs="Arial"/>
          <w:noProof w:val="0"/>
          <w:sz w:val="22"/>
          <w:szCs w:val="22"/>
          <w:lang w:val="en-US"/>
        </w:rPr>
        <w:t>remains</w:t>
      </w:r>
      <w:r w:rsidRPr="3C3B7F19" w:rsidR="338F7046">
        <w:rPr>
          <w:rFonts w:ascii="Arial" w:hAnsi="Arial" w:eastAsia="Arial" w:cs="Arial"/>
          <w:noProof w:val="0"/>
          <w:sz w:val="22"/>
          <w:szCs w:val="22"/>
          <w:lang w:val="en-US"/>
        </w:rPr>
        <w:t xml:space="preserve"> essential to fully </w:t>
      </w:r>
      <w:r w:rsidRPr="3C3B7F19" w:rsidR="338F7046">
        <w:rPr>
          <w:rFonts w:ascii="Arial" w:hAnsi="Arial" w:eastAsia="Arial" w:cs="Arial"/>
          <w:noProof w:val="0"/>
          <w:sz w:val="22"/>
          <w:szCs w:val="22"/>
          <w:lang w:val="en-US"/>
        </w:rPr>
        <w:t>realise</w:t>
      </w:r>
      <w:r w:rsidRPr="3C3B7F19" w:rsidR="338F7046">
        <w:rPr>
          <w:rFonts w:ascii="Arial" w:hAnsi="Arial" w:eastAsia="Arial" w:cs="Arial"/>
          <w:noProof w:val="0"/>
          <w:sz w:val="22"/>
          <w:szCs w:val="22"/>
          <w:lang w:val="en-US"/>
        </w:rPr>
        <w:t xml:space="preserve"> the vision set out in the Better Births review.</w:t>
      </w:r>
    </w:p>
    <w:p w:rsidR="3C3B7F19" w:rsidP="3C3B7F19" w:rsidRDefault="3C3B7F19" w14:paraId="544E2B4D" w14:textId="7895FA96">
      <w:pPr>
        <w:rPr>
          <w:rFonts w:ascii="Arial" w:hAnsi="Arial" w:eastAsia="Arial" w:cs="Arial"/>
          <w:sz w:val="22"/>
          <w:szCs w:val="22"/>
        </w:rPr>
      </w:pPr>
    </w:p>
    <w:p w:rsidR="3C3B7F19" w:rsidP="3C3B7F19" w:rsidRDefault="3C3B7F19" w14:paraId="77A932E7" w14:textId="2B2653CC">
      <w:pPr>
        <w:rPr>
          <w:rFonts w:ascii="Arial" w:hAnsi="Arial" w:eastAsia="Arial" w:cs="Arial"/>
          <w:sz w:val="22"/>
          <w:szCs w:val="22"/>
        </w:rPr>
      </w:pPr>
    </w:p>
    <w:p w:rsidR="12D8A66B" w:rsidP="3C3B7F19" w:rsidRDefault="12D8A66B" w14:paraId="34B75108" w14:textId="2BBFF085">
      <w:pPr>
        <w:spacing w:before="0" w:beforeAutospacing="off" w:after="0" w:afterAutospacing="off"/>
      </w:pPr>
      <w:r w:rsidRPr="3C3B7F19" w:rsidR="12D8A66B">
        <w:rPr>
          <w:rFonts w:ascii="Arial" w:hAnsi="Arial" w:eastAsia="Arial" w:cs="Arial"/>
          <w:noProof w:val="0"/>
          <w:sz w:val="22"/>
          <w:szCs w:val="22"/>
          <w:lang w:val="en-US"/>
        </w:rPr>
        <w:t>References</w:t>
      </w:r>
    </w:p>
    <w:p w:rsidR="3C3B7F19" w:rsidP="3C3B7F19" w:rsidRDefault="3C3B7F19" w14:paraId="0166EDD9" w14:textId="7CF99822">
      <w:pPr>
        <w:spacing w:before="0" w:beforeAutospacing="off" w:after="0" w:afterAutospacing="off"/>
        <w:rPr>
          <w:rFonts w:ascii="Arial" w:hAnsi="Arial" w:eastAsia="Arial" w:cs="Arial"/>
          <w:noProof w:val="0"/>
          <w:sz w:val="22"/>
          <w:szCs w:val="22"/>
          <w:lang w:val="en-US"/>
        </w:rPr>
      </w:pPr>
    </w:p>
    <w:p w:rsidR="00AEAE8B" w:rsidP="3C3B7F19" w:rsidRDefault="00AEAE8B" w14:paraId="2218B910" w14:textId="3D34D734">
      <w:pPr>
        <w:spacing w:before="0" w:beforeAutospacing="off" w:after="0" w:afterAutospacing="off"/>
      </w:pPr>
      <w:r w:rsidRPr="3C3B7F19" w:rsidR="00AEAE8B">
        <w:rPr>
          <w:rFonts w:ascii="Arial" w:hAnsi="Arial" w:eastAsia="Arial" w:cs="Arial"/>
          <w:noProof w:val="0"/>
          <w:sz w:val="22"/>
          <w:szCs w:val="22"/>
          <w:lang w:val="en-US"/>
        </w:rPr>
        <w:t xml:space="preserve">1 </w:t>
      </w:r>
    </w:p>
    <w:p w:rsidR="00AEAE8B" w:rsidP="3C3B7F19" w:rsidRDefault="00AEAE8B" w14:paraId="3544E8D8" w14:textId="7A7E5D2C">
      <w:pPr>
        <w:spacing w:before="0" w:beforeAutospacing="off" w:after="0" w:afterAutospacing="off"/>
        <w:rPr>
          <w:rFonts w:ascii="Arial" w:hAnsi="Arial" w:eastAsia="Arial" w:cs="Arial"/>
          <w:noProof w:val="0"/>
          <w:sz w:val="22"/>
          <w:szCs w:val="22"/>
          <w:lang w:val="en-US"/>
        </w:rPr>
      </w:pPr>
      <w:r w:rsidRPr="3C3B7F19" w:rsidR="00AEAE8B">
        <w:rPr>
          <w:rFonts w:ascii="Arial" w:hAnsi="Arial" w:eastAsia="Arial" w:cs="Arial"/>
          <w:noProof w:val="0"/>
          <w:sz w:val="22"/>
          <w:szCs w:val="22"/>
          <w:lang w:val="en-US"/>
        </w:rPr>
        <w:t xml:space="preserve">Care Quality Commission (2024) </w:t>
      </w:r>
      <w:r w:rsidRPr="3C3B7F19" w:rsidR="00AEAE8B">
        <w:rPr>
          <w:rFonts w:ascii="Arial" w:hAnsi="Arial" w:eastAsia="Arial" w:cs="Arial"/>
          <w:i w:val="1"/>
          <w:iCs w:val="1"/>
          <w:noProof w:val="0"/>
          <w:sz w:val="22"/>
          <w:szCs w:val="22"/>
          <w:lang w:val="en-US"/>
        </w:rPr>
        <w:t>The state of health care and adult social care in England 2023/24</w:t>
      </w:r>
      <w:r w:rsidRPr="3C3B7F19" w:rsidR="00AEAE8B">
        <w:rPr>
          <w:rFonts w:ascii="Arial" w:hAnsi="Arial" w:eastAsia="Arial" w:cs="Arial"/>
          <w:noProof w:val="0"/>
          <w:sz w:val="22"/>
          <w:szCs w:val="22"/>
          <w:lang w:val="en-US"/>
        </w:rPr>
        <w:t xml:space="preserve">. Available at: </w:t>
      </w:r>
      <w:hyperlink r:id="Rc16080e6006d4531">
        <w:r w:rsidRPr="3C3B7F19" w:rsidR="00AEAE8B">
          <w:rPr>
            <w:rStyle w:val="Hyperlink"/>
            <w:rFonts w:ascii="Arial" w:hAnsi="Arial" w:eastAsia="Arial" w:cs="Arial"/>
            <w:noProof w:val="0"/>
            <w:color w:val="0000EE"/>
            <w:sz w:val="22"/>
            <w:szCs w:val="22"/>
            <w:lang w:val="en-US"/>
          </w:rPr>
          <w:t>https://www.cqc.org.uk/publications/major-report/state-care/2023-2024</w:t>
        </w:r>
      </w:hyperlink>
      <w:r w:rsidRPr="3C3B7F19" w:rsidR="00AEAE8B">
        <w:rPr>
          <w:rFonts w:ascii="Arial" w:hAnsi="Arial" w:eastAsia="Arial" w:cs="Arial"/>
          <w:noProof w:val="0"/>
          <w:sz w:val="22"/>
          <w:szCs w:val="22"/>
          <w:lang w:val="en-US"/>
        </w:rPr>
        <w:t>(Accessed: 14 October 2026).</w:t>
      </w:r>
    </w:p>
    <w:p w:rsidR="00AEAE8B" w:rsidP="3C3B7F19" w:rsidRDefault="00AEAE8B" w14:paraId="49EB4E4B" w14:textId="0F9BE5DA">
      <w:pPr>
        <w:spacing w:before="300" w:beforeAutospacing="off" w:after="180" w:afterAutospacing="off"/>
        <w:rPr>
          <w:rFonts w:ascii="Arial" w:hAnsi="Arial" w:eastAsia="Arial" w:cs="Arial"/>
          <w:noProof w:val="0"/>
          <w:sz w:val="22"/>
          <w:szCs w:val="22"/>
          <w:lang w:val="en-US"/>
        </w:rPr>
      </w:pPr>
      <w:r w:rsidRPr="3C3B7F19" w:rsidR="00AEAE8B">
        <w:rPr>
          <w:rFonts w:ascii="Arial" w:hAnsi="Arial" w:eastAsia="Arial" w:cs="Arial"/>
          <w:noProof w:val="0"/>
          <w:sz w:val="22"/>
          <w:szCs w:val="22"/>
          <w:lang w:val="en-US"/>
        </w:rPr>
        <w:t xml:space="preserve">Great Britain (2014) </w:t>
      </w:r>
      <w:r w:rsidRPr="3C3B7F19" w:rsidR="00AEAE8B">
        <w:rPr>
          <w:rFonts w:ascii="Arial" w:hAnsi="Arial" w:eastAsia="Arial" w:cs="Arial"/>
          <w:i w:val="1"/>
          <w:iCs w:val="1"/>
          <w:noProof w:val="0"/>
          <w:sz w:val="22"/>
          <w:szCs w:val="22"/>
          <w:lang w:val="en-US"/>
        </w:rPr>
        <w:t>Care Act 2014</w:t>
      </w:r>
      <w:r w:rsidRPr="3C3B7F19" w:rsidR="00AEAE8B">
        <w:rPr>
          <w:rFonts w:ascii="Arial" w:hAnsi="Arial" w:eastAsia="Arial" w:cs="Arial"/>
          <w:noProof w:val="0"/>
          <w:sz w:val="22"/>
          <w:szCs w:val="22"/>
          <w:lang w:val="en-US"/>
        </w:rPr>
        <w:t xml:space="preserve">, c. 23, Part 1, sections 1, 2, 5 and 10. Available at: </w:t>
      </w:r>
      <w:hyperlink r:id="Rb900127184f9462c">
        <w:r w:rsidRPr="3C3B7F19" w:rsidR="00AEAE8B">
          <w:rPr>
            <w:rStyle w:val="Hyperlink"/>
            <w:rFonts w:ascii="Arial" w:hAnsi="Arial" w:eastAsia="Arial" w:cs="Arial"/>
            <w:noProof w:val="0"/>
            <w:color w:val="0000EE"/>
            <w:sz w:val="22"/>
            <w:szCs w:val="22"/>
            <w:lang w:val="en-US"/>
          </w:rPr>
          <w:t>https://www.legislation.gov.uk/ukpga/2014/23/part/1/enacted</w:t>
        </w:r>
      </w:hyperlink>
      <w:r w:rsidRPr="3C3B7F19" w:rsidR="00AEAE8B">
        <w:rPr>
          <w:rFonts w:ascii="Arial" w:hAnsi="Arial" w:eastAsia="Arial" w:cs="Arial"/>
          <w:noProof w:val="0"/>
          <w:sz w:val="22"/>
          <w:szCs w:val="22"/>
          <w:lang w:val="en-US"/>
        </w:rPr>
        <w:t xml:space="preserve"> (Accessed: 14 October 2026).</w:t>
      </w:r>
    </w:p>
    <w:p w:rsidR="00AEAE8B" w:rsidP="3C3B7F19" w:rsidRDefault="00AEAE8B" w14:paraId="174073E1" w14:textId="6284A07D">
      <w:pPr>
        <w:spacing w:before="300" w:beforeAutospacing="off" w:after="180" w:afterAutospacing="off"/>
        <w:rPr>
          <w:rFonts w:ascii="Arial" w:hAnsi="Arial" w:eastAsia="Arial" w:cs="Arial"/>
          <w:noProof w:val="0"/>
          <w:color w:val="000000" w:themeColor="text1" w:themeTint="FF" w:themeShade="FF"/>
          <w:sz w:val="22"/>
          <w:szCs w:val="22"/>
          <w:lang w:val="en-US"/>
        </w:rPr>
      </w:pPr>
      <w:r w:rsidRPr="3C3B7F19" w:rsidR="00AEAE8B">
        <w:rPr>
          <w:rFonts w:ascii="Arial" w:hAnsi="Arial" w:eastAsia="Arial" w:cs="Arial"/>
          <w:noProof w:val="0"/>
          <w:color w:val="000000" w:themeColor="text1" w:themeTint="FF" w:themeShade="FF"/>
          <w:sz w:val="22"/>
          <w:szCs w:val="22"/>
          <w:lang w:val="en-US"/>
        </w:rPr>
        <w:t xml:space="preserve">Skills for Care (2025) </w:t>
      </w:r>
      <w:r w:rsidRPr="3C3B7F19" w:rsidR="00AEAE8B">
        <w:rPr>
          <w:rFonts w:ascii="Arial" w:hAnsi="Arial" w:eastAsia="Arial" w:cs="Arial"/>
          <w:i w:val="1"/>
          <w:iCs w:val="1"/>
          <w:noProof w:val="0"/>
          <w:color w:val="000000" w:themeColor="text1" w:themeTint="FF" w:themeShade="FF"/>
          <w:sz w:val="22"/>
          <w:szCs w:val="22"/>
          <w:lang w:val="en-US"/>
        </w:rPr>
        <w:t>The state of the adult social care sector and workforce in England, 2025</w:t>
      </w:r>
      <w:r w:rsidRPr="3C3B7F19" w:rsidR="00AEAE8B">
        <w:rPr>
          <w:rFonts w:ascii="Arial" w:hAnsi="Arial" w:eastAsia="Arial" w:cs="Arial"/>
          <w:noProof w:val="0"/>
          <w:color w:val="000000" w:themeColor="text1" w:themeTint="FF" w:themeShade="FF"/>
          <w:sz w:val="22"/>
          <w:szCs w:val="22"/>
          <w:lang w:val="en-US"/>
        </w:rPr>
        <w:t xml:space="preserve">. Available at: </w:t>
      </w:r>
      <w:hyperlink r:id="R569ceb35ecb04884">
        <w:r w:rsidRPr="3C3B7F19" w:rsidR="00AEAE8B">
          <w:rPr>
            <w:rStyle w:val="Hyperlink"/>
            <w:rFonts w:ascii="Arial" w:hAnsi="Arial" w:eastAsia="Arial" w:cs="Arial"/>
            <w:noProof w:val="0"/>
            <w:color w:val="196AD4"/>
            <w:sz w:val="22"/>
            <w:szCs w:val="22"/>
            <w:lang w:val="en-US"/>
          </w:rPr>
          <w:t>https://www.skillsforcare.org.uk/Adult-Social-Care-Workforce-Data/workforceintelligence/resources/Reports/National/The-state-of-the-adult-social-care-sector-and-workforce-in-England-2025.pdf</w:t>
        </w:r>
      </w:hyperlink>
      <w:r w:rsidRPr="3C3B7F19" w:rsidR="00AEAE8B">
        <w:rPr>
          <w:rFonts w:ascii="Arial" w:hAnsi="Arial" w:eastAsia="Arial" w:cs="Arial"/>
          <w:noProof w:val="0"/>
          <w:color w:val="000000" w:themeColor="text1" w:themeTint="FF" w:themeShade="FF"/>
          <w:sz w:val="22"/>
          <w:szCs w:val="22"/>
          <w:lang w:val="en-US"/>
        </w:rPr>
        <w:t xml:space="preserve"> (Accessed: 14 October 2026).</w:t>
      </w:r>
    </w:p>
    <w:p w:rsidR="00AEAE8B" w:rsidP="3C3B7F19" w:rsidRDefault="00AEAE8B" w14:paraId="589A5879" w14:textId="2423F88B">
      <w:pPr>
        <w:spacing w:before="300" w:beforeAutospacing="off" w:after="180" w:afterAutospacing="off"/>
        <w:rPr>
          <w:rFonts w:ascii="Arial" w:hAnsi="Arial" w:eastAsia="Arial" w:cs="Arial"/>
          <w:noProof w:val="0"/>
          <w:sz w:val="22"/>
          <w:szCs w:val="22"/>
          <w:lang w:val="en-US"/>
        </w:rPr>
      </w:pPr>
      <w:r w:rsidRPr="3C3B7F19" w:rsidR="00AEAE8B">
        <w:rPr>
          <w:rFonts w:ascii="Arial" w:hAnsi="Arial" w:eastAsia="Arial" w:cs="Arial"/>
          <w:noProof w:val="0"/>
          <w:sz w:val="22"/>
          <w:szCs w:val="22"/>
          <w:lang w:val="en-US"/>
        </w:rPr>
        <w:t xml:space="preserve">Telford &amp; Wrekin Council (2025) </w:t>
      </w:r>
      <w:r w:rsidRPr="3C3B7F19" w:rsidR="00AEAE8B">
        <w:rPr>
          <w:rFonts w:ascii="Arial" w:hAnsi="Arial" w:eastAsia="Arial" w:cs="Arial"/>
          <w:i w:val="1"/>
          <w:iCs w:val="1"/>
          <w:noProof w:val="0"/>
          <w:sz w:val="22"/>
          <w:szCs w:val="22"/>
          <w:lang w:val="en-US"/>
        </w:rPr>
        <w:t>Adult Social Care Market Position Statement 2025–2029</w:t>
      </w:r>
      <w:r w:rsidRPr="3C3B7F19" w:rsidR="00AEAE8B">
        <w:rPr>
          <w:rFonts w:ascii="Arial" w:hAnsi="Arial" w:eastAsia="Arial" w:cs="Arial"/>
          <w:noProof w:val="0"/>
          <w:sz w:val="22"/>
          <w:szCs w:val="22"/>
          <w:lang w:val="en-US"/>
        </w:rPr>
        <w:t xml:space="preserve">. Available at: </w:t>
      </w:r>
      <w:hyperlink r:id="Rc76ce501f31449df">
        <w:r w:rsidRPr="3C3B7F19" w:rsidR="00AEAE8B">
          <w:rPr>
            <w:rStyle w:val="Hyperlink"/>
            <w:rFonts w:ascii="Arial" w:hAnsi="Arial" w:eastAsia="Arial" w:cs="Arial"/>
            <w:noProof w:val="0"/>
            <w:color w:val="0000EE"/>
            <w:sz w:val="22"/>
            <w:szCs w:val="22"/>
            <w:lang w:val="en-US"/>
          </w:rPr>
          <w:t>https://www.telford.gov.uk/commissioning-for-vulnerable-people/market-position-statement/</w:t>
        </w:r>
      </w:hyperlink>
      <w:r w:rsidRPr="3C3B7F19" w:rsidR="00AEAE8B">
        <w:rPr>
          <w:rFonts w:ascii="Arial" w:hAnsi="Arial" w:eastAsia="Arial" w:cs="Arial"/>
          <w:noProof w:val="0"/>
          <w:sz w:val="22"/>
          <w:szCs w:val="22"/>
          <w:lang w:val="en-US"/>
        </w:rPr>
        <w:t xml:space="preserve"> (Accessed: 14 October 2026).</w:t>
      </w:r>
    </w:p>
    <w:p w:rsidR="3C3B7F19" w:rsidP="3C3B7F19" w:rsidRDefault="3C3B7F19" w14:paraId="7E3DAD1D" w14:textId="52FAF0D0">
      <w:pPr>
        <w:spacing w:before="0" w:beforeAutospacing="off" w:after="0" w:afterAutospacing="off"/>
        <w:rPr>
          <w:rFonts w:ascii="Arial" w:hAnsi="Arial" w:eastAsia="Arial" w:cs="Arial"/>
          <w:noProof w:val="0"/>
          <w:sz w:val="22"/>
          <w:szCs w:val="22"/>
          <w:lang w:val="en-US"/>
        </w:rPr>
      </w:pPr>
    </w:p>
    <w:p w:rsidR="3C3B7F19" w:rsidP="3C3B7F19" w:rsidRDefault="3C3B7F19" w14:paraId="78E64136" w14:textId="366CBB1C">
      <w:pPr>
        <w:spacing w:before="0" w:beforeAutospacing="off" w:after="0" w:afterAutospacing="off"/>
        <w:rPr>
          <w:rFonts w:ascii="Arial" w:hAnsi="Arial" w:eastAsia="Arial" w:cs="Arial"/>
          <w:noProof w:val="0"/>
          <w:sz w:val="22"/>
          <w:szCs w:val="22"/>
          <w:lang w:val="en-US"/>
        </w:rPr>
      </w:pPr>
    </w:p>
    <w:p w:rsidR="00AEAE8B" w:rsidP="3C3B7F19" w:rsidRDefault="00AEAE8B" w14:paraId="5B51E704" w14:textId="7DEA3BCE">
      <w:pPr>
        <w:spacing w:before="0" w:beforeAutospacing="off" w:after="0" w:afterAutospacing="off"/>
        <w:rPr>
          <w:rFonts w:ascii="Arial" w:hAnsi="Arial" w:eastAsia="Arial" w:cs="Arial"/>
          <w:sz w:val="22"/>
          <w:szCs w:val="22"/>
        </w:rPr>
      </w:pPr>
      <w:r w:rsidRPr="3C3B7F19" w:rsidR="00AEAE8B">
        <w:rPr>
          <w:rFonts w:ascii="Arial" w:hAnsi="Arial" w:eastAsia="Arial" w:cs="Arial"/>
          <w:sz w:val="22"/>
          <w:szCs w:val="22"/>
        </w:rPr>
        <w:t>2</w:t>
      </w:r>
    </w:p>
    <w:p w:rsidR="12D8A66B" w:rsidP="3C3B7F19" w:rsidRDefault="12D8A66B" w14:paraId="3AC6AA06" w14:textId="75BFAE06">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Association for Improvements in the Maternity Services (AIMS) (2022) A brief history of district midwifery. Available at: </w:t>
      </w:r>
      <w:hyperlink r:id="R260654157dd24ab7">
        <w:r w:rsidRPr="3C3B7F19" w:rsidR="12D8A66B">
          <w:rPr>
            <w:rStyle w:val="Hyperlink"/>
            <w:rFonts w:ascii="Arial" w:hAnsi="Arial" w:eastAsia="Arial" w:cs="Arial"/>
            <w:noProof w:val="0"/>
            <w:sz w:val="22"/>
            <w:szCs w:val="22"/>
            <w:lang w:val="en-US"/>
          </w:rPr>
          <w:t>https://www.aims.org.uk/journal/item/history-district-midwifery</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21AF6D0A" w14:textId="2AD215CA">
      <w:pPr>
        <w:spacing w:before="0" w:beforeAutospacing="off" w:after="0" w:afterAutospacing="off"/>
        <w:rPr>
          <w:rFonts w:ascii="Arial" w:hAnsi="Arial" w:eastAsia="Arial" w:cs="Arial"/>
          <w:sz w:val="22"/>
          <w:szCs w:val="22"/>
        </w:rPr>
      </w:pPr>
    </w:p>
    <w:p w:rsidR="12D8A66B" w:rsidP="3C3B7F19" w:rsidRDefault="12D8A66B" w14:paraId="423424AE" w14:textId="13DB6B06">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National Institute for Health and Care Excellence (NICE) (2021) Antenatal care: NICE guideline NG201. Available at: </w:t>
      </w:r>
      <w:hyperlink r:id="Rf5c92818713040a8">
        <w:r w:rsidRPr="3C3B7F19" w:rsidR="12D8A66B">
          <w:rPr>
            <w:rStyle w:val="Hyperlink"/>
            <w:rFonts w:ascii="Arial" w:hAnsi="Arial" w:eastAsia="Arial" w:cs="Arial"/>
            <w:noProof w:val="0"/>
            <w:sz w:val="22"/>
            <w:szCs w:val="22"/>
            <w:lang w:val="en-US"/>
          </w:rPr>
          <w:t>https://www.nice.org.uk/guidance/ng201</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4DE7E131" w14:textId="3B3F005A">
      <w:pPr>
        <w:spacing w:before="0" w:beforeAutospacing="off" w:after="0" w:afterAutospacing="off"/>
        <w:rPr>
          <w:rFonts w:ascii="Arial" w:hAnsi="Arial" w:eastAsia="Arial" w:cs="Arial"/>
          <w:sz w:val="22"/>
          <w:szCs w:val="22"/>
        </w:rPr>
      </w:pPr>
    </w:p>
    <w:p w:rsidR="12D8A66B" w:rsidP="3C3B7F19" w:rsidRDefault="12D8A66B" w14:paraId="47A2ACAA" w14:textId="7F16595C">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NHS (n.d.) Your antenatal care and appointments. Available at: </w:t>
      </w:r>
      <w:hyperlink r:id="R5850fc5802254007">
        <w:r w:rsidRPr="3C3B7F19" w:rsidR="12D8A66B">
          <w:rPr>
            <w:rStyle w:val="Hyperlink"/>
            <w:rFonts w:ascii="Arial" w:hAnsi="Arial" w:eastAsia="Arial" w:cs="Arial"/>
            <w:noProof w:val="0"/>
            <w:sz w:val="22"/>
            <w:szCs w:val="22"/>
            <w:lang w:val="en-US"/>
          </w:rPr>
          <w:t>https://www.nhs.uk/pregnancy/your-pregnancy-care/your-antenatal-care-and-appointments/</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64EB249A" w14:textId="702753CC">
      <w:pPr>
        <w:spacing w:before="0" w:beforeAutospacing="off" w:after="0" w:afterAutospacing="off"/>
        <w:rPr>
          <w:rFonts w:ascii="Arial" w:hAnsi="Arial" w:eastAsia="Arial" w:cs="Arial"/>
          <w:sz w:val="22"/>
          <w:szCs w:val="22"/>
        </w:rPr>
      </w:pPr>
    </w:p>
    <w:p w:rsidR="12D8A66B" w:rsidP="3C3B7F19" w:rsidRDefault="12D8A66B" w14:paraId="4737AEB4" w14:textId="4E136969">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NHS England (2016) National Maternity Review: Better Births. Available at: </w:t>
      </w:r>
      <w:hyperlink r:id="R5ff7540f91a24dc2">
        <w:r w:rsidRPr="3C3B7F19" w:rsidR="12D8A66B">
          <w:rPr>
            <w:rStyle w:val="Hyperlink"/>
            <w:rFonts w:ascii="Arial" w:hAnsi="Arial" w:eastAsia="Arial" w:cs="Arial"/>
            <w:noProof w:val="0"/>
            <w:sz w:val="22"/>
            <w:szCs w:val="22"/>
            <w:lang w:val="en-US"/>
          </w:rPr>
          <w:t>https://www.england.nhs.uk/mat-transformation/implementing-better-births/mat-review/</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6FD2A88B" w14:textId="4CEFBDD5">
      <w:pPr>
        <w:spacing w:before="0" w:beforeAutospacing="off" w:after="0" w:afterAutospacing="off"/>
        <w:rPr>
          <w:rFonts w:ascii="Arial" w:hAnsi="Arial" w:eastAsia="Arial" w:cs="Arial"/>
          <w:sz w:val="22"/>
          <w:szCs w:val="22"/>
        </w:rPr>
      </w:pPr>
    </w:p>
    <w:p w:rsidR="12D8A66B" w:rsidP="3C3B7F19" w:rsidRDefault="12D8A66B" w14:paraId="33EA95BB" w14:textId="1D660F76">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NHS England (2022) Midwifery continuity of carer. Available at: </w:t>
      </w:r>
      <w:hyperlink r:id="Ra4c8766e4c954b60">
        <w:r w:rsidRPr="3C3B7F19" w:rsidR="12D8A66B">
          <w:rPr>
            <w:rStyle w:val="Hyperlink"/>
            <w:rFonts w:ascii="Arial" w:hAnsi="Arial" w:eastAsia="Arial" w:cs="Arial"/>
            <w:noProof w:val="0"/>
            <w:sz w:val="22"/>
            <w:szCs w:val="22"/>
            <w:lang w:val="en-US"/>
          </w:rPr>
          <w:t>https://www.england.nhs.uk/publication/midwifery-continuity-of-carer/</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1E57090F" w14:textId="3D074862">
      <w:pPr>
        <w:spacing w:before="0" w:beforeAutospacing="off" w:after="0" w:afterAutospacing="off"/>
        <w:rPr>
          <w:rFonts w:ascii="Arial" w:hAnsi="Arial" w:eastAsia="Arial" w:cs="Arial"/>
          <w:sz w:val="22"/>
          <w:szCs w:val="22"/>
        </w:rPr>
      </w:pPr>
    </w:p>
    <w:p w:rsidR="12D8A66B" w:rsidP="3C3B7F19" w:rsidRDefault="12D8A66B" w14:paraId="7C887671" w14:textId="14275E3A">
      <w:pPr>
        <w:spacing w:before="0" w:beforeAutospacing="off" w:after="0" w:afterAutospacing="off"/>
        <w:rPr>
          <w:rFonts w:ascii="Arial" w:hAnsi="Arial" w:eastAsia="Arial" w:cs="Arial"/>
          <w:noProof w:val="0"/>
          <w:sz w:val="22"/>
          <w:szCs w:val="22"/>
          <w:lang w:val="en-US"/>
        </w:rPr>
      </w:pPr>
      <w:r w:rsidRPr="3C3B7F19" w:rsidR="12D8A66B">
        <w:rPr>
          <w:rFonts w:ascii="Arial" w:hAnsi="Arial" w:eastAsia="Arial" w:cs="Arial"/>
          <w:noProof w:val="0"/>
          <w:sz w:val="22"/>
          <w:szCs w:val="22"/>
          <w:lang w:val="en-US"/>
        </w:rPr>
        <w:t xml:space="preserve">Royal College of Midwives (2022) 120 years of the Midwives Act in England and Wales. Available at: </w:t>
      </w:r>
      <w:hyperlink r:id="R65e57219af814747">
        <w:r w:rsidRPr="3C3B7F19" w:rsidR="12D8A66B">
          <w:rPr>
            <w:rStyle w:val="Hyperlink"/>
            <w:rFonts w:ascii="Arial" w:hAnsi="Arial" w:eastAsia="Arial" w:cs="Arial"/>
            <w:noProof w:val="0"/>
            <w:sz w:val="22"/>
            <w:szCs w:val="22"/>
            <w:lang w:val="en-US"/>
          </w:rPr>
          <w:t>https://rcm.org.uk/blog/2022/07/120-years-of-the-midwives-act-in-england-and-wales/</w:t>
        </w:r>
      </w:hyperlink>
      <w:r w:rsidRPr="3C3B7F19" w:rsidR="12D8A66B">
        <w:rPr>
          <w:rFonts w:ascii="Arial" w:hAnsi="Arial" w:eastAsia="Arial" w:cs="Arial"/>
          <w:noProof w:val="0"/>
          <w:sz w:val="22"/>
          <w:szCs w:val="22"/>
          <w:lang w:val="en-US"/>
        </w:rPr>
        <w:t xml:space="preserve"> (Accessed: 14 October 2026).</w:t>
      </w:r>
    </w:p>
    <w:p w:rsidR="3C3B7F19" w:rsidP="3C3B7F19" w:rsidRDefault="3C3B7F19" w14:paraId="411FB263" w14:textId="612DAFF7">
      <w:pPr>
        <w:spacing w:before="240" w:beforeAutospacing="off" w:after="240" w:afterAutospacing="off"/>
        <w:rPr>
          <w:rFonts w:ascii="Arial" w:hAnsi="Arial" w:eastAsia="Arial" w:cs="Arial"/>
          <w:noProof w:val="0"/>
          <w:sz w:val="22"/>
          <w:szCs w:val="22"/>
          <w:lang w:val="en-US"/>
        </w:rPr>
      </w:pPr>
    </w:p>
    <w:p w:rsidR="1E9E53A8" w:rsidP="1E9E53A8" w:rsidRDefault="1E9E53A8" w14:paraId="021DFB32" w14:textId="0CACD9A8">
      <w:pPr>
        <w:spacing w:line="360" w:lineRule="auto"/>
        <w:rPr>
          <w:rFonts w:ascii="Arial" w:hAnsi="Arial" w:eastAsia="Arial" w:cs="Arial"/>
          <w:color w:val="000000" w:themeColor="text1"/>
          <w:sz w:val="22"/>
          <w:szCs w:val="22"/>
        </w:rPr>
      </w:pPr>
    </w:p>
    <w:sectPr w:rsidR="1E9E53A8">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0CDF" w:rsidRDefault="00F30CDF" w14:paraId="7CDE3629" w14:textId="77777777">
      <w:pPr>
        <w:spacing w:after="0" w:line="240" w:lineRule="auto"/>
        <w:rPr>
          <w:rFonts w:hint="eastAsia"/>
        </w:rPr>
      </w:pPr>
      <w:r>
        <w:separator/>
      </w:r>
    </w:p>
  </w:endnote>
  <w:endnote w:type="continuationSeparator" w:id="0">
    <w:p w:rsidR="00F30CDF" w:rsidRDefault="00F30CDF" w14:paraId="285B448A"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ptos&quot;,sans-serif">
    <w:altName w:val="Cambria"/>
    <w:panose1 w:val="00000000000000000000"/>
    <w:charset w:val="00"/>
    <w:family w:val="roman"/>
    <w:notTrueType/>
    <w:pitch w:val="default"/>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8140C4" w:rsidTr="418140C4" w14:paraId="74885190" w14:textId="77777777">
      <w:trPr>
        <w:trHeight w:val="300"/>
      </w:trPr>
      <w:tc>
        <w:tcPr>
          <w:tcW w:w="3120" w:type="dxa"/>
        </w:tcPr>
        <w:p w:rsidR="418140C4" w:rsidP="418140C4" w:rsidRDefault="418140C4" w14:paraId="07FC6E06" w14:textId="01813AE6">
          <w:pPr>
            <w:pStyle w:val="Header"/>
            <w:ind w:left="-115"/>
            <w:rPr>
              <w:rFonts w:hint="eastAsia"/>
            </w:rPr>
          </w:pPr>
        </w:p>
      </w:tc>
      <w:tc>
        <w:tcPr>
          <w:tcW w:w="3120" w:type="dxa"/>
        </w:tcPr>
        <w:p w:rsidR="418140C4" w:rsidP="418140C4" w:rsidRDefault="418140C4" w14:paraId="2F325604" w14:textId="5F1909DF">
          <w:pPr>
            <w:pStyle w:val="Header"/>
            <w:jc w:val="center"/>
            <w:rPr>
              <w:rFonts w:hint="eastAsia"/>
            </w:rPr>
          </w:pPr>
          <w:r>
            <w:fldChar w:fldCharType="begin"/>
          </w:r>
          <w:r>
            <w:instrText>PAGE</w:instrText>
          </w:r>
          <w:r>
            <w:rPr>
              <w:rFonts w:hint="eastAsia"/>
            </w:rPr>
            <w:fldChar w:fldCharType="separate"/>
          </w:r>
          <w:r>
            <w:fldChar w:fldCharType="end"/>
          </w:r>
        </w:p>
      </w:tc>
      <w:tc>
        <w:tcPr>
          <w:tcW w:w="3120" w:type="dxa"/>
        </w:tcPr>
        <w:p w:rsidR="418140C4" w:rsidP="418140C4" w:rsidRDefault="418140C4" w14:paraId="1593D00E" w14:textId="355CA62E">
          <w:pPr>
            <w:pStyle w:val="Header"/>
            <w:ind w:right="-115"/>
            <w:jc w:val="right"/>
            <w:rPr>
              <w:rFonts w:hint="eastAsia"/>
            </w:rPr>
          </w:pPr>
        </w:p>
      </w:tc>
    </w:tr>
  </w:tbl>
  <w:p w:rsidR="418140C4" w:rsidP="418140C4" w:rsidRDefault="418140C4" w14:paraId="25573B5D" w14:textId="5627D99A">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0CDF" w:rsidRDefault="00F30CDF" w14:paraId="78BCC814" w14:textId="77777777">
      <w:pPr>
        <w:spacing w:after="0" w:line="240" w:lineRule="auto"/>
        <w:rPr>
          <w:rFonts w:hint="eastAsia"/>
        </w:rPr>
      </w:pPr>
      <w:r>
        <w:separator/>
      </w:r>
    </w:p>
  </w:footnote>
  <w:footnote w:type="continuationSeparator" w:id="0">
    <w:p w:rsidR="00F30CDF" w:rsidRDefault="00F30CDF" w14:paraId="31173608" w14:textId="7777777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8140C4" w:rsidTr="418140C4" w14:paraId="585E2424" w14:textId="77777777">
      <w:trPr>
        <w:trHeight w:val="300"/>
      </w:trPr>
      <w:tc>
        <w:tcPr>
          <w:tcW w:w="3120" w:type="dxa"/>
        </w:tcPr>
        <w:p w:rsidR="418140C4" w:rsidP="418140C4" w:rsidRDefault="418140C4" w14:paraId="730D4AFE" w14:textId="537373F0">
          <w:pPr>
            <w:pStyle w:val="Header"/>
            <w:ind w:left="-115"/>
            <w:rPr>
              <w:rFonts w:hint="eastAsia"/>
            </w:rPr>
          </w:pPr>
        </w:p>
      </w:tc>
      <w:tc>
        <w:tcPr>
          <w:tcW w:w="3120" w:type="dxa"/>
        </w:tcPr>
        <w:p w:rsidR="418140C4" w:rsidP="418140C4" w:rsidRDefault="418140C4" w14:paraId="72A6F4C2" w14:textId="0D48EA7F">
          <w:pPr>
            <w:pStyle w:val="Header"/>
            <w:jc w:val="center"/>
            <w:rPr>
              <w:rFonts w:hint="eastAsia"/>
            </w:rPr>
          </w:pPr>
        </w:p>
      </w:tc>
      <w:tc>
        <w:tcPr>
          <w:tcW w:w="3120" w:type="dxa"/>
        </w:tcPr>
        <w:p w:rsidR="418140C4" w:rsidP="418140C4" w:rsidRDefault="418140C4" w14:paraId="7750C669" w14:textId="5CCDD1CA">
          <w:pPr>
            <w:pStyle w:val="Header"/>
            <w:ind w:right="-115"/>
            <w:jc w:val="right"/>
            <w:rPr>
              <w:rFonts w:hint="eastAsia"/>
            </w:rPr>
          </w:pPr>
        </w:p>
      </w:tc>
    </w:tr>
  </w:tbl>
  <w:p w:rsidR="418140C4" w:rsidP="418140C4" w:rsidRDefault="418140C4" w14:paraId="6E1F3B69" w14:textId="4D21884B">
    <w:pPr>
      <w:pStyle w:val="Header"/>
      <w:rPr>
        <w:rFonts w:hint="eastAsia"/>
      </w:rPr>
    </w:pPr>
  </w:p>
</w:hdr>
</file>

<file path=word/intelligence2.xml><?xml version="1.0" encoding="utf-8"?>
<int2:intelligence xmlns:int2="http://schemas.microsoft.com/office/intelligence/2020/intelligence">
  <int2:observations>
    <int2:textHash int2:hashCode="0ULwbkDCZF2lCW" int2:id="dIaWQw1b">
      <int2:state int2:type="spell" int2:value="Rejected"/>
    </int2:textHash>
    <int2:textHash int2:hashCode="aG+z44WpgrTp0l" int2:id="BCqns9WL">
      <int2:state int2:type="spell" int2:value="Rejected"/>
    </int2:textHash>
    <int2:textHash int2:hashCode="Dji+abMBs/wxDx" int2:id="QEeyDgjI">
      <int2:state int2:type="spell" int2:value="Rejected"/>
    </int2:textHash>
    <int2:textHash int2:hashCode="63rDgfzL/hb6ty" int2:id="gDC99dm6">
      <int2:state int2:type="spell" int2:value="Rejected"/>
    </int2:textHash>
    <int2:textHash int2:hashCode="gOigg3B4VG+1IR" int2:id="V9oIKfHY">
      <int2:state int2:type="spell" int2:value="Rejected"/>
    </int2:textHash>
    <int2:textHash int2:hashCode="bLNw5K/RtBTj6A" int2:id="6X8VmWDg">
      <int2:state int2:type="spell" int2:value="Rejected"/>
    </int2:textHash>
    <int2:textHash int2:hashCode="+wgP+42Ej9iscw" int2:id="bLwOp7fN">
      <int2:state int2:type="spell" int2:value="Rejected"/>
    </int2:textHash>
    <int2:textHash int2:hashCode="NT12h6See3qwhk" int2:id="1lqP528W">
      <int2:state int2:type="spell" int2:value="Rejected"/>
    </int2:textHash>
    <int2:textHash int2:hashCode="kByidkXaRxGvMx" int2:id="bWxlzJIA">
      <int2:state int2:type="spell" int2:value="Rejected"/>
    </int2:textHash>
    <int2:textHash int2:hashCode="xQy+KnIliT8rxm" int2:id="kWkNn9Id">
      <int2:state int2:type="spell" int2:value="Rejected"/>
    </int2:textHash>
    <int2:bookmark int2:bookmarkName="_Int_fJUFwf98" int2:invalidationBookmarkName="" int2:hashCode="g92davQ/jL7gis" int2:id="r7TnAQgU">
      <int2:state int2:type="gram" int2:value="Rejected"/>
    </int2:bookmark>
    <int2:bookmark int2:bookmarkName="_Int_WurkN9e9" int2:invalidationBookmarkName="" int2:hashCode="d4ocG1VWOCLspl" int2:id="JjQSxasK">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42c655b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5c8687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9111f4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9bff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AB5167C"/>
    <w:multiLevelType w:val="hybridMultilevel"/>
    <w:tmpl w:val="FFFFFFFF"/>
    <w:lvl w:ilvl="0" w:tplc="55C28096">
      <w:start w:val="1"/>
      <w:numFmt w:val="bullet"/>
      <w:lvlText w:val=""/>
      <w:lvlJc w:val="left"/>
      <w:pPr>
        <w:ind w:left="720" w:hanging="360"/>
      </w:pPr>
      <w:rPr>
        <w:rFonts w:hint="default" w:ascii="Symbol" w:hAnsi="Symbol"/>
      </w:rPr>
    </w:lvl>
    <w:lvl w:ilvl="1" w:tplc="A3883768">
      <w:start w:val="1"/>
      <w:numFmt w:val="bullet"/>
      <w:lvlText w:val="o"/>
      <w:lvlJc w:val="left"/>
      <w:pPr>
        <w:ind w:left="1440" w:hanging="360"/>
      </w:pPr>
      <w:rPr>
        <w:rFonts w:hint="default" w:ascii="Courier New" w:hAnsi="Courier New"/>
      </w:rPr>
    </w:lvl>
    <w:lvl w:ilvl="2" w:tplc="031A7160">
      <w:start w:val="1"/>
      <w:numFmt w:val="bullet"/>
      <w:lvlText w:val=""/>
      <w:lvlJc w:val="left"/>
      <w:pPr>
        <w:ind w:left="2160" w:hanging="360"/>
      </w:pPr>
      <w:rPr>
        <w:rFonts w:hint="default" w:ascii="Wingdings" w:hAnsi="Wingdings"/>
      </w:rPr>
    </w:lvl>
    <w:lvl w:ilvl="3" w:tplc="0DBE6DD2">
      <w:start w:val="1"/>
      <w:numFmt w:val="bullet"/>
      <w:lvlText w:val=""/>
      <w:lvlJc w:val="left"/>
      <w:pPr>
        <w:ind w:left="2880" w:hanging="360"/>
      </w:pPr>
      <w:rPr>
        <w:rFonts w:hint="default" w:ascii="Symbol" w:hAnsi="Symbol"/>
      </w:rPr>
    </w:lvl>
    <w:lvl w:ilvl="4" w:tplc="7FC06938">
      <w:start w:val="1"/>
      <w:numFmt w:val="bullet"/>
      <w:lvlText w:val="o"/>
      <w:lvlJc w:val="left"/>
      <w:pPr>
        <w:ind w:left="3600" w:hanging="360"/>
      </w:pPr>
      <w:rPr>
        <w:rFonts w:hint="default" w:ascii="Courier New" w:hAnsi="Courier New"/>
      </w:rPr>
    </w:lvl>
    <w:lvl w:ilvl="5" w:tplc="EE3631E8">
      <w:start w:val="1"/>
      <w:numFmt w:val="bullet"/>
      <w:lvlText w:val=""/>
      <w:lvlJc w:val="left"/>
      <w:pPr>
        <w:ind w:left="4320" w:hanging="360"/>
      </w:pPr>
      <w:rPr>
        <w:rFonts w:hint="default" w:ascii="Wingdings" w:hAnsi="Wingdings"/>
      </w:rPr>
    </w:lvl>
    <w:lvl w:ilvl="6" w:tplc="19F0776E">
      <w:start w:val="1"/>
      <w:numFmt w:val="bullet"/>
      <w:lvlText w:val=""/>
      <w:lvlJc w:val="left"/>
      <w:pPr>
        <w:ind w:left="5040" w:hanging="360"/>
      </w:pPr>
      <w:rPr>
        <w:rFonts w:hint="default" w:ascii="Symbol" w:hAnsi="Symbol"/>
      </w:rPr>
    </w:lvl>
    <w:lvl w:ilvl="7" w:tplc="52B20B3C">
      <w:start w:val="1"/>
      <w:numFmt w:val="bullet"/>
      <w:lvlText w:val="o"/>
      <w:lvlJc w:val="left"/>
      <w:pPr>
        <w:ind w:left="5760" w:hanging="360"/>
      </w:pPr>
      <w:rPr>
        <w:rFonts w:hint="default" w:ascii="Courier New" w:hAnsi="Courier New"/>
      </w:rPr>
    </w:lvl>
    <w:lvl w:ilvl="8" w:tplc="4734E2AC">
      <w:start w:val="1"/>
      <w:numFmt w:val="bullet"/>
      <w:lvlText w:val=""/>
      <w:lvlJc w:val="left"/>
      <w:pPr>
        <w:ind w:left="6480" w:hanging="360"/>
      </w:pPr>
      <w:rPr>
        <w:rFonts w:hint="default" w:ascii="Wingdings" w:hAnsi="Wingdings"/>
      </w:rPr>
    </w:lvl>
  </w:abstractNum>
  <w:abstractNum w:abstractNumId="1" w15:restartNumberingAfterBreak="0">
    <w:nsid w:val="429979DF"/>
    <w:multiLevelType w:val="hybridMultilevel"/>
    <w:tmpl w:val="FFFFFFFF"/>
    <w:lvl w:ilvl="0" w:tplc="01E614FE">
      <w:start w:val="5"/>
      <w:numFmt w:val="decimal"/>
      <w:lvlText w:val="%1."/>
      <w:lvlJc w:val="left"/>
      <w:pPr>
        <w:ind w:left="720" w:hanging="360"/>
      </w:pPr>
    </w:lvl>
    <w:lvl w:ilvl="1" w:tplc="AB184E7A">
      <w:start w:val="1"/>
      <w:numFmt w:val="lowerLetter"/>
      <w:lvlText w:val="%2."/>
      <w:lvlJc w:val="left"/>
      <w:pPr>
        <w:ind w:left="1440" w:hanging="360"/>
      </w:pPr>
    </w:lvl>
    <w:lvl w:ilvl="2" w:tplc="224AE328">
      <w:start w:val="1"/>
      <w:numFmt w:val="lowerRoman"/>
      <w:lvlText w:val="%3."/>
      <w:lvlJc w:val="right"/>
      <w:pPr>
        <w:ind w:left="2160" w:hanging="180"/>
      </w:pPr>
    </w:lvl>
    <w:lvl w:ilvl="3" w:tplc="295C17D2">
      <w:start w:val="1"/>
      <w:numFmt w:val="decimal"/>
      <w:lvlText w:val="%4."/>
      <w:lvlJc w:val="left"/>
      <w:pPr>
        <w:ind w:left="2880" w:hanging="360"/>
      </w:pPr>
    </w:lvl>
    <w:lvl w:ilvl="4" w:tplc="14461C90">
      <w:start w:val="1"/>
      <w:numFmt w:val="lowerLetter"/>
      <w:lvlText w:val="%5."/>
      <w:lvlJc w:val="left"/>
      <w:pPr>
        <w:ind w:left="3600" w:hanging="360"/>
      </w:pPr>
    </w:lvl>
    <w:lvl w:ilvl="5" w:tplc="4A4842CA">
      <w:start w:val="1"/>
      <w:numFmt w:val="lowerRoman"/>
      <w:lvlText w:val="%6."/>
      <w:lvlJc w:val="right"/>
      <w:pPr>
        <w:ind w:left="4320" w:hanging="180"/>
      </w:pPr>
    </w:lvl>
    <w:lvl w:ilvl="6" w:tplc="D5E09F1A">
      <w:start w:val="1"/>
      <w:numFmt w:val="decimal"/>
      <w:lvlText w:val="%7."/>
      <w:lvlJc w:val="left"/>
      <w:pPr>
        <w:ind w:left="5040" w:hanging="360"/>
      </w:pPr>
    </w:lvl>
    <w:lvl w:ilvl="7" w:tplc="173E2E14">
      <w:start w:val="1"/>
      <w:numFmt w:val="lowerLetter"/>
      <w:lvlText w:val="%8."/>
      <w:lvlJc w:val="left"/>
      <w:pPr>
        <w:ind w:left="5760" w:hanging="360"/>
      </w:pPr>
    </w:lvl>
    <w:lvl w:ilvl="8" w:tplc="35021E18">
      <w:start w:val="1"/>
      <w:numFmt w:val="lowerRoman"/>
      <w:lvlText w:val="%9."/>
      <w:lvlJc w:val="right"/>
      <w:pPr>
        <w:ind w:left="6480" w:hanging="180"/>
      </w:pPr>
    </w:lvl>
  </w:abstractNum>
  <w:abstractNum w:abstractNumId="2" w15:restartNumberingAfterBreak="0">
    <w:nsid w:val="42EB03AF"/>
    <w:multiLevelType w:val="hybridMultilevel"/>
    <w:tmpl w:val="FFFFFFFF"/>
    <w:lvl w:ilvl="0" w:tplc="0E761E38">
      <w:start w:val="4"/>
      <w:numFmt w:val="decimal"/>
      <w:lvlText w:val="%1."/>
      <w:lvlJc w:val="left"/>
      <w:pPr>
        <w:ind w:left="720" w:hanging="360"/>
      </w:pPr>
    </w:lvl>
    <w:lvl w:ilvl="1" w:tplc="AD02D24E">
      <w:start w:val="1"/>
      <w:numFmt w:val="lowerLetter"/>
      <w:lvlText w:val="%2."/>
      <w:lvlJc w:val="left"/>
      <w:pPr>
        <w:ind w:left="1440" w:hanging="360"/>
      </w:pPr>
    </w:lvl>
    <w:lvl w:ilvl="2" w:tplc="ACBC4F60">
      <w:start w:val="1"/>
      <w:numFmt w:val="lowerRoman"/>
      <w:lvlText w:val="%3."/>
      <w:lvlJc w:val="right"/>
      <w:pPr>
        <w:ind w:left="2160" w:hanging="180"/>
      </w:pPr>
    </w:lvl>
    <w:lvl w:ilvl="3" w:tplc="979A91DA">
      <w:start w:val="1"/>
      <w:numFmt w:val="decimal"/>
      <w:lvlText w:val="%4."/>
      <w:lvlJc w:val="left"/>
      <w:pPr>
        <w:ind w:left="2880" w:hanging="360"/>
      </w:pPr>
    </w:lvl>
    <w:lvl w:ilvl="4" w:tplc="CA2C8C74">
      <w:start w:val="1"/>
      <w:numFmt w:val="lowerLetter"/>
      <w:lvlText w:val="%5."/>
      <w:lvlJc w:val="left"/>
      <w:pPr>
        <w:ind w:left="3600" w:hanging="360"/>
      </w:pPr>
    </w:lvl>
    <w:lvl w:ilvl="5" w:tplc="E7D68E80">
      <w:start w:val="1"/>
      <w:numFmt w:val="lowerRoman"/>
      <w:lvlText w:val="%6."/>
      <w:lvlJc w:val="right"/>
      <w:pPr>
        <w:ind w:left="4320" w:hanging="180"/>
      </w:pPr>
    </w:lvl>
    <w:lvl w:ilvl="6" w:tplc="6BB21398">
      <w:start w:val="1"/>
      <w:numFmt w:val="decimal"/>
      <w:lvlText w:val="%7."/>
      <w:lvlJc w:val="left"/>
      <w:pPr>
        <w:ind w:left="5040" w:hanging="360"/>
      </w:pPr>
    </w:lvl>
    <w:lvl w:ilvl="7" w:tplc="1EEC9444">
      <w:start w:val="1"/>
      <w:numFmt w:val="lowerLetter"/>
      <w:lvlText w:val="%8."/>
      <w:lvlJc w:val="left"/>
      <w:pPr>
        <w:ind w:left="5760" w:hanging="360"/>
      </w:pPr>
    </w:lvl>
    <w:lvl w:ilvl="8" w:tplc="A3D0D02A">
      <w:start w:val="1"/>
      <w:numFmt w:val="lowerRoman"/>
      <w:lvlText w:val="%9."/>
      <w:lvlJc w:val="right"/>
      <w:pPr>
        <w:ind w:left="6480" w:hanging="180"/>
      </w:pPr>
    </w:lvl>
  </w:abstractNum>
  <w:abstractNum w:abstractNumId="3" w15:restartNumberingAfterBreak="0">
    <w:nsid w:val="49A771A6"/>
    <w:multiLevelType w:val="hybridMultilevel"/>
    <w:tmpl w:val="FFFFFFFF"/>
    <w:lvl w:ilvl="0" w:tplc="F4CA9960">
      <w:start w:val="1"/>
      <w:numFmt w:val="bullet"/>
      <w:lvlText w:val=""/>
      <w:lvlJc w:val="left"/>
      <w:pPr>
        <w:ind w:left="720" w:hanging="360"/>
      </w:pPr>
      <w:rPr>
        <w:rFonts w:hint="default" w:ascii="Symbol" w:hAnsi="Symbol"/>
      </w:rPr>
    </w:lvl>
    <w:lvl w:ilvl="1" w:tplc="7D5C9046">
      <w:start w:val="1"/>
      <w:numFmt w:val="bullet"/>
      <w:lvlText w:val="o"/>
      <w:lvlJc w:val="left"/>
      <w:pPr>
        <w:ind w:left="1440" w:hanging="360"/>
      </w:pPr>
      <w:rPr>
        <w:rFonts w:hint="default" w:ascii="Courier New" w:hAnsi="Courier New"/>
      </w:rPr>
    </w:lvl>
    <w:lvl w:ilvl="2" w:tplc="6D6AD754">
      <w:start w:val="1"/>
      <w:numFmt w:val="bullet"/>
      <w:lvlText w:val=""/>
      <w:lvlJc w:val="left"/>
      <w:pPr>
        <w:ind w:left="2160" w:hanging="360"/>
      </w:pPr>
      <w:rPr>
        <w:rFonts w:hint="default" w:ascii="Wingdings" w:hAnsi="Wingdings"/>
      </w:rPr>
    </w:lvl>
    <w:lvl w:ilvl="3" w:tplc="62582FC2">
      <w:start w:val="1"/>
      <w:numFmt w:val="bullet"/>
      <w:lvlText w:val=""/>
      <w:lvlJc w:val="left"/>
      <w:pPr>
        <w:ind w:left="2880" w:hanging="360"/>
      </w:pPr>
      <w:rPr>
        <w:rFonts w:hint="default" w:ascii="Symbol" w:hAnsi="Symbol"/>
      </w:rPr>
    </w:lvl>
    <w:lvl w:ilvl="4" w:tplc="9F144E34">
      <w:start w:val="1"/>
      <w:numFmt w:val="bullet"/>
      <w:lvlText w:val="o"/>
      <w:lvlJc w:val="left"/>
      <w:pPr>
        <w:ind w:left="3600" w:hanging="360"/>
      </w:pPr>
      <w:rPr>
        <w:rFonts w:hint="default" w:ascii="Courier New" w:hAnsi="Courier New"/>
      </w:rPr>
    </w:lvl>
    <w:lvl w:ilvl="5" w:tplc="B39CFF1A">
      <w:start w:val="1"/>
      <w:numFmt w:val="bullet"/>
      <w:lvlText w:val=""/>
      <w:lvlJc w:val="left"/>
      <w:pPr>
        <w:ind w:left="4320" w:hanging="360"/>
      </w:pPr>
      <w:rPr>
        <w:rFonts w:hint="default" w:ascii="Wingdings" w:hAnsi="Wingdings"/>
      </w:rPr>
    </w:lvl>
    <w:lvl w:ilvl="6" w:tplc="3B208C66">
      <w:start w:val="1"/>
      <w:numFmt w:val="bullet"/>
      <w:lvlText w:val=""/>
      <w:lvlJc w:val="left"/>
      <w:pPr>
        <w:ind w:left="5040" w:hanging="360"/>
      </w:pPr>
      <w:rPr>
        <w:rFonts w:hint="default" w:ascii="Symbol" w:hAnsi="Symbol"/>
      </w:rPr>
    </w:lvl>
    <w:lvl w:ilvl="7" w:tplc="9FC845A8">
      <w:start w:val="1"/>
      <w:numFmt w:val="bullet"/>
      <w:lvlText w:val="o"/>
      <w:lvlJc w:val="left"/>
      <w:pPr>
        <w:ind w:left="5760" w:hanging="360"/>
      </w:pPr>
      <w:rPr>
        <w:rFonts w:hint="default" w:ascii="Courier New" w:hAnsi="Courier New"/>
      </w:rPr>
    </w:lvl>
    <w:lvl w:ilvl="8" w:tplc="AA6A34FC">
      <w:start w:val="1"/>
      <w:numFmt w:val="bullet"/>
      <w:lvlText w:val=""/>
      <w:lvlJc w:val="left"/>
      <w:pPr>
        <w:ind w:left="6480" w:hanging="360"/>
      </w:pPr>
      <w:rPr>
        <w:rFonts w:hint="default" w:ascii="Wingdings" w:hAnsi="Wingdings"/>
      </w:rPr>
    </w:lvl>
  </w:abstractNum>
  <w:abstractNum w:abstractNumId="4" w15:restartNumberingAfterBreak="0">
    <w:nsid w:val="5113F8F4"/>
    <w:multiLevelType w:val="hybridMultilevel"/>
    <w:tmpl w:val="FFFFFFFF"/>
    <w:lvl w:ilvl="0" w:tplc="B33A3FE2">
      <w:start w:val="1"/>
      <w:numFmt w:val="bullet"/>
      <w:lvlText w:val="-"/>
      <w:lvlJc w:val="left"/>
      <w:pPr>
        <w:ind w:left="720" w:hanging="360"/>
      </w:pPr>
      <w:rPr>
        <w:rFonts w:hint="default" w:ascii="&quot;Aptos&quot;,sans-serif" w:hAnsi="&quot;Aptos&quot;,sans-serif"/>
      </w:rPr>
    </w:lvl>
    <w:lvl w:ilvl="1" w:tplc="45122D82">
      <w:start w:val="1"/>
      <w:numFmt w:val="bullet"/>
      <w:lvlText w:val="o"/>
      <w:lvlJc w:val="left"/>
      <w:pPr>
        <w:ind w:left="1440" w:hanging="360"/>
      </w:pPr>
      <w:rPr>
        <w:rFonts w:hint="default" w:ascii="Courier New" w:hAnsi="Courier New"/>
      </w:rPr>
    </w:lvl>
    <w:lvl w:ilvl="2" w:tplc="5CDA7D20">
      <w:start w:val="1"/>
      <w:numFmt w:val="bullet"/>
      <w:lvlText w:val=""/>
      <w:lvlJc w:val="left"/>
      <w:pPr>
        <w:ind w:left="2160" w:hanging="360"/>
      </w:pPr>
      <w:rPr>
        <w:rFonts w:hint="default" w:ascii="Wingdings" w:hAnsi="Wingdings"/>
      </w:rPr>
    </w:lvl>
    <w:lvl w:ilvl="3" w:tplc="C8922F06">
      <w:start w:val="1"/>
      <w:numFmt w:val="bullet"/>
      <w:lvlText w:val=""/>
      <w:lvlJc w:val="left"/>
      <w:pPr>
        <w:ind w:left="2880" w:hanging="360"/>
      </w:pPr>
      <w:rPr>
        <w:rFonts w:hint="default" w:ascii="Symbol" w:hAnsi="Symbol"/>
      </w:rPr>
    </w:lvl>
    <w:lvl w:ilvl="4" w:tplc="5AA4C15E">
      <w:start w:val="1"/>
      <w:numFmt w:val="bullet"/>
      <w:lvlText w:val="o"/>
      <w:lvlJc w:val="left"/>
      <w:pPr>
        <w:ind w:left="3600" w:hanging="360"/>
      </w:pPr>
      <w:rPr>
        <w:rFonts w:hint="default" w:ascii="Courier New" w:hAnsi="Courier New"/>
      </w:rPr>
    </w:lvl>
    <w:lvl w:ilvl="5" w:tplc="E786C712">
      <w:start w:val="1"/>
      <w:numFmt w:val="bullet"/>
      <w:lvlText w:val=""/>
      <w:lvlJc w:val="left"/>
      <w:pPr>
        <w:ind w:left="4320" w:hanging="360"/>
      </w:pPr>
      <w:rPr>
        <w:rFonts w:hint="default" w:ascii="Wingdings" w:hAnsi="Wingdings"/>
      </w:rPr>
    </w:lvl>
    <w:lvl w:ilvl="6" w:tplc="B69ABB10">
      <w:start w:val="1"/>
      <w:numFmt w:val="bullet"/>
      <w:lvlText w:val=""/>
      <w:lvlJc w:val="left"/>
      <w:pPr>
        <w:ind w:left="5040" w:hanging="360"/>
      </w:pPr>
      <w:rPr>
        <w:rFonts w:hint="default" w:ascii="Symbol" w:hAnsi="Symbol"/>
      </w:rPr>
    </w:lvl>
    <w:lvl w:ilvl="7" w:tplc="E20C70F6">
      <w:start w:val="1"/>
      <w:numFmt w:val="bullet"/>
      <w:lvlText w:val="o"/>
      <w:lvlJc w:val="left"/>
      <w:pPr>
        <w:ind w:left="5760" w:hanging="360"/>
      </w:pPr>
      <w:rPr>
        <w:rFonts w:hint="default" w:ascii="Courier New" w:hAnsi="Courier New"/>
      </w:rPr>
    </w:lvl>
    <w:lvl w:ilvl="8" w:tplc="F81AB51E">
      <w:start w:val="1"/>
      <w:numFmt w:val="bullet"/>
      <w:lvlText w:val=""/>
      <w:lvlJc w:val="left"/>
      <w:pPr>
        <w:ind w:left="6480" w:hanging="360"/>
      </w:pPr>
      <w:rPr>
        <w:rFonts w:hint="default" w:ascii="Wingdings" w:hAnsi="Wingdings"/>
      </w:rPr>
    </w:lvl>
  </w:abstractNum>
  <w:abstractNum w:abstractNumId="5" w15:restartNumberingAfterBreak="0">
    <w:nsid w:val="5220B3CE"/>
    <w:multiLevelType w:val="hybridMultilevel"/>
    <w:tmpl w:val="FFFFFFFF"/>
    <w:lvl w:ilvl="0" w:tplc="492ECB2A">
      <w:start w:val="4"/>
      <w:numFmt w:val="decimal"/>
      <w:lvlText w:val="%1."/>
      <w:lvlJc w:val="left"/>
      <w:pPr>
        <w:ind w:left="720" w:hanging="360"/>
      </w:pPr>
    </w:lvl>
    <w:lvl w:ilvl="1" w:tplc="8D742422">
      <w:start w:val="1"/>
      <w:numFmt w:val="lowerLetter"/>
      <w:lvlText w:val="%2."/>
      <w:lvlJc w:val="left"/>
      <w:pPr>
        <w:ind w:left="1440" w:hanging="360"/>
      </w:pPr>
    </w:lvl>
    <w:lvl w:ilvl="2" w:tplc="AF447298">
      <w:start w:val="1"/>
      <w:numFmt w:val="lowerRoman"/>
      <w:lvlText w:val="%3."/>
      <w:lvlJc w:val="right"/>
      <w:pPr>
        <w:ind w:left="2160" w:hanging="180"/>
      </w:pPr>
    </w:lvl>
    <w:lvl w:ilvl="3" w:tplc="B6B02456">
      <w:start w:val="1"/>
      <w:numFmt w:val="decimal"/>
      <w:lvlText w:val="%4."/>
      <w:lvlJc w:val="left"/>
      <w:pPr>
        <w:ind w:left="2880" w:hanging="360"/>
      </w:pPr>
    </w:lvl>
    <w:lvl w:ilvl="4" w:tplc="5978DFF2">
      <w:start w:val="1"/>
      <w:numFmt w:val="lowerLetter"/>
      <w:lvlText w:val="%5."/>
      <w:lvlJc w:val="left"/>
      <w:pPr>
        <w:ind w:left="3600" w:hanging="360"/>
      </w:pPr>
    </w:lvl>
    <w:lvl w:ilvl="5" w:tplc="07C2F7BA">
      <w:start w:val="1"/>
      <w:numFmt w:val="lowerRoman"/>
      <w:lvlText w:val="%6."/>
      <w:lvlJc w:val="right"/>
      <w:pPr>
        <w:ind w:left="4320" w:hanging="180"/>
      </w:pPr>
    </w:lvl>
    <w:lvl w:ilvl="6" w:tplc="2E8E72A2">
      <w:start w:val="1"/>
      <w:numFmt w:val="decimal"/>
      <w:lvlText w:val="%7."/>
      <w:lvlJc w:val="left"/>
      <w:pPr>
        <w:ind w:left="5040" w:hanging="360"/>
      </w:pPr>
    </w:lvl>
    <w:lvl w:ilvl="7" w:tplc="367C8DEE">
      <w:start w:val="1"/>
      <w:numFmt w:val="lowerLetter"/>
      <w:lvlText w:val="%8."/>
      <w:lvlJc w:val="left"/>
      <w:pPr>
        <w:ind w:left="5760" w:hanging="360"/>
      </w:pPr>
    </w:lvl>
    <w:lvl w:ilvl="8" w:tplc="5540FDAE">
      <w:start w:val="1"/>
      <w:numFmt w:val="lowerRoman"/>
      <w:lvlText w:val="%9."/>
      <w:lvlJc w:val="right"/>
      <w:pPr>
        <w:ind w:left="6480" w:hanging="180"/>
      </w:pPr>
    </w:lvl>
  </w:abstractNum>
  <w:abstractNum w:abstractNumId="6" w15:restartNumberingAfterBreak="0">
    <w:nsid w:val="68DE086B"/>
    <w:multiLevelType w:val="hybridMultilevel"/>
    <w:tmpl w:val="FFFFFFFF"/>
    <w:lvl w:ilvl="0" w:tplc="A020976A">
      <w:start w:val="1"/>
      <w:numFmt w:val="bullet"/>
      <w:lvlText w:val=""/>
      <w:lvlJc w:val="left"/>
      <w:pPr>
        <w:ind w:left="720" w:hanging="360"/>
      </w:pPr>
      <w:rPr>
        <w:rFonts w:hint="default" w:ascii="Symbol" w:hAnsi="Symbol"/>
      </w:rPr>
    </w:lvl>
    <w:lvl w:ilvl="1" w:tplc="6622AA8E">
      <w:start w:val="1"/>
      <w:numFmt w:val="bullet"/>
      <w:lvlText w:val="o"/>
      <w:lvlJc w:val="left"/>
      <w:pPr>
        <w:ind w:left="1440" w:hanging="360"/>
      </w:pPr>
      <w:rPr>
        <w:rFonts w:hint="default" w:ascii="Courier New" w:hAnsi="Courier New"/>
      </w:rPr>
    </w:lvl>
    <w:lvl w:ilvl="2" w:tplc="8BACDBBA">
      <w:start w:val="1"/>
      <w:numFmt w:val="bullet"/>
      <w:lvlText w:val=""/>
      <w:lvlJc w:val="left"/>
      <w:pPr>
        <w:ind w:left="2160" w:hanging="360"/>
      </w:pPr>
      <w:rPr>
        <w:rFonts w:hint="default" w:ascii="Wingdings" w:hAnsi="Wingdings"/>
      </w:rPr>
    </w:lvl>
    <w:lvl w:ilvl="3" w:tplc="24C2838E">
      <w:start w:val="1"/>
      <w:numFmt w:val="bullet"/>
      <w:lvlText w:val=""/>
      <w:lvlJc w:val="left"/>
      <w:pPr>
        <w:ind w:left="2880" w:hanging="360"/>
      </w:pPr>
      <w:rPr>
        <w:rFonts w:hint="default" w:ascii="Symbol" w:hAnsi="Symbol"/>
      </w:rPr>
    </w:lvl>
    <w:lvl w:ilvl="4" w:tplc="64B4E8EA">
      <w:start w:val="1"/>
      <w:numFmt w:val="bullet"/>
      <w:lvlText w:val="o"/>
      <w:lvlJc w:val="left"/>
      <w:pPr>
        <w:ind w:left="3600" w:hanging="360"/>
      </w:pPr>
      <w:rPr>
        <w:rFonts w:hint="default" w:ascii="Courier New" w:hAnsi="Courier New"/>
      </w:rPr>
    </w:lvl>
    <w:lvl w:ilvl="5" w:tplc="1A2202C0">
      <w:start w:val="1"/>
      <w:numFmt w:val="bullet"/>
      <w:lvlText w:val=""/>
      <w:lvlJc w:val="left"/>
      <w:pPr>
        <w:ind w:left="4320" w:hanging="360"/>
      </w:pPr>
      <w:rPr>
        <w:rFonts w:hint="default" w:ascii="Wingdings" w:hAnsi="Wingdings"/>
      </w:rPr>
    </w:lvl>
    <w:lvl w:ilvl="6" w:tplc="FBA45850">
      <w:start w:val="1"/>
      <w:numFmt w:val="bullet"/>
      <w:lvlText w:val=""/>
      <w:lvlJc w:val="left"/>
      <w:pPr>
        <w:ind w:left="5040" w:hanging="360"/>
      </w:pPr>
      <w:rPr>
        <w:rFonts w:hint="default" w:ascii="Symbol" w:hAnsi="Symbol"/>
      </w:rPr>
    </w:lvl>
    <w:lvl w:ilvl="7" w:tplc="664281D8">
      <w:start w:val="1"/>
      <w:numFmt w:val="bullet"/>
      <w:lvlText w:val="o"/>
      <w:lvlJc w:val="left"/>
      <w:pPr>
        <w:ind w:left="5760" w:hanging="360"/>
      </w:pPr>
      <w:rPr>
        <w:rFonts w:hint="default" w:ascii="Courier New" w:hAnsi="Courier New"/>
      </w:rPr>
    </w:lvl>
    <w:lvl w:ilvl="8" w:tplc="CAEEB8D0">
      <w:start w:val="1"/>
      <w:numFmt w:val="bullet"/>
      <w:lvlText w:val=""/>
      <w:lvlJc w:val="left"/>
      <w:pPr>
        <w:ind w:left="6480" w:hanging="360"/>
      </w:pPr>
      <w:rPr>
        <w:rFonts w:hint="default" w:ascii="Wingdings" w:hAnsi="Wingdings"/>
      </w:rPr>
    </w:lvl>
  </w:abstractNum>
  <w:abstractNum w:abstractNumId="7" w15:restartNumberingAfterBreak="0">
    <w:nsid w:val="6A82C569"/>
    <w:multiLevelType w:val="hybridMultilevel"/>
    <w:tmpl w:val="FFFFFFFF"/>
    <w:lvl w:ilvl="0" w:tplc="F92005C2">
      <w:start w:val="1"/>
      <w:numFmt w:val="decimal"/>
      <w:lvlText w:val="%1."/>
      <w:lvlJc w:val="left"/>
      <w:pPr>
        <w:ind w:left="720" w:hanging="360"/>
      </w:pPr>
    </w:lvl>
    <w:lvl w:ilvl="1" w:tplc="29646C92">
      <w:start w:val="1"/>
      <w:numFmt w:val="lowerLetter"/>
      <w:lvlText w:val="%2."/>
      <w:lvlJc w:val="left"/>
      <w:pPr>
        <w:ind w:left="1440" w:hanging="360"/>
      </w:pPr>
    </w:lvl>
    <w:lvl w:ilvl="2" w:tplc="8F366D2A">
      <w:start w:val="1"/>
      <w:numFmt w:val="lowerRoman"/>
      <w:lvlText w:val="%3."/>
      <w:lvlJc w:val="right"/>
      <w:pPr>
        <w:ind w:left="2160" w:hanging="180"/>
      </w:pPr>
    </w:lvl>
    <w:lvl w:ilvl="3" w:tplc="7EDA00A8">
      <w:start w:val="1"/>
      <w:numFmt w:val="decimal"/>
      <w:lvlText w:val="%4."/>
      <w:lvlJc w:val="left"/>
      <w:pPr>
        <w:ind w:left="2880" w:hanging="360"/>
      </w:pPr>
    </w:lvl>
    <w:lvl w:ilvl="4" w:tplc="9CA86628">
      <w:start w:val="1"/>
      <w:numFmt w:val="lowerLetter"/>
      <w:lvlText w:val="%5."/>
      <w:lvlJc w:val="left"/>
      <w:pPr>
        <w:ind w:left="3600" w:hanging="360"/>
      </w:pPr>
    </w:lvl>
    <w:lvl w:ilvl="5" w:tplc="6B08B348">
      <w:start w:val="1"/>
      <w:numFmt w:val="lowerRoman"/>
      <w:lvlText w:val="%6."/>
      <w:lvlJc w:val="right"/>
      <w:pPr>
        <w:ind w:left="4320" w:hanging="180"/>
      </w:pPr>
    </w:lvl>
    <w:lvl w:ilvl="6" w:tplc="6388E65E">
      <w:start w:val="1"/>
      <w:numFmt w:val="decimal"/>
      <w:lvlText w:val="%7."/>
      <w:lvlJc w:val="left"/>
      <w:pPr>
        <w:ind w:left="5040" w:hanging="360"/>
      </w:pPr>
    </w:lvl>
    <w:lvl w:ilvl="7" w:tplc="62DAC7BE">
      <w:start w:val="1"/>
      <w:numFmt w:val="lowerLetter"/>
      <w:lvlText w:val="%8."/>
      <w:lvlJc w:val="left"/>
      <w:pPr>
        <w:ind w:left="5760" w:hanging="360"/>
      </w:pPr>
    </w:lvl>
    <w:lvl w:ilvl="8" w:tplc="6C7AEE4C">
      <w:start w:val="1"/>
      <w:numFmt w:val="lowerRoman"/>
      <w:lvlText w:val="%9."/>
      <w:lvlJc w:val="right"/>
      <w:pPr>
        <w:ind w:left="6480" w:hanging="180"/>
      </w:pPr>
    </w:lvl>
  </w:abstractNum>
  <w:abstractNum w:abstractNumId="8" w15:restartNumberingAfterBreak="0">
    <w:nsid w:val="7A555029"/>
    <w:multiLevelType w:val="hybridMultilevel"/>
    <w:tmpl w:val="FFFFFFFF"/>
    <w:lvl w:ilvl="0" w:tplc="A6B6135A">
      <w:start w:val="1"/>
      <w:numFmt w:val="bullet"/>
      <w:lvlText w:val=""/>
      <w:lvlJc w:val="left"/>
      <w:pPr>
        <w:ind w:left="720" w:hanging="360"/>
      </w:pPr>
      <w:rPr>
        <w:rFonts w:hint="default" w:ascii="Symbol" w:hAnsi="Symbol"/>
      </w:rPr>
    </w:lvl>
    <w:lvl w:ilvl="1" w:tplc="BC14BEB2">
      <w:start w:val="1"/>
      <w:numFmt w:val="bullet"/>
      <w:lvlText w:val="o"/>
      <w:lvlJc w:val="left"/>
      <w:pPr>
        <w:ind w:left="1440" w:hanging="360"/>
      </w:pPr>
      <w:rPr>
        <w:rFonts w:hint="default" w:ascii="Courier New" w:hAnsi="Courier New"/>
      </w:rPr>
    </w:lvl>
    <w:lvl w:ilvl="2" w:tplc="441C7BC4">
      <w:start w:val="1"/>
      <w:numFmt w:val="bullet"/>
      <w:lvlText w:val=""/>
      <w:lvlJc w:val="left"/>
      <w:pPr>
        <w:ind w:left="2160" w:hanging="360"/>
      </w:pPr>
      <w:rPr>
        <w:rFonts w:hint="default" w:ascii="Wingdings" w:hAnsi="Wingdings"/>
      </w:rPr>
    </w:lvl>
    <w:lvl w:ilvl="3" w:tplc="6AD8825C">
      <w:start w:val="1"/>
      <w:numFmt w:val="bullet"/>
      <w:lvlText w:val=""/>
      <w:lvlJc w:val="left"/>
      <w:pPr>
        <w:ind w:left="2880" w:hanging="360"/>
      </w:pPr>
      <w:rPr>
        <w:rFonts w:hint="default" w:ascii="Symbol" w:hAnsi="Symbol"/>
      </w:rPr>
    </w:lvl>
    <w:lvl w:ilvl="4" w:tplc="8490EDC6">
      <w:start w:val="1"/>
      <w:numFmt w:val="bullet"/>
      <w:lvlText w:val="o"/>
      <w:lvlJc w:val="left"/>
      <w:pPr>
        <w:ind w:left="3600" w:hanging="360"/>
      </w:pPr>
      <w:rPr>
        <w:rFonts w:hint="default" w:ascii="Courier New" w:hAnsi="Courier New"/>
      </w:rPr>
    </w:lvl>
    <w:lvl w:ilvl="5" w:tplc="59F68E58">
      <w:start w:val="1"/>
      <w:numFmt w:val="bullet"/>
      <w:lvlText w:val=""/>
      <w:lvlJc w:val="left"/>
      <w:pPr>
        <w:ind w:left="4320" w:hanging="360"/>
      </w:pPr>
      <w:rPr>
        <w:rFonts w:hint="default" w:ascii="Wingdings" w:hAnsi="Wingdings"/>
      </w:rPr>
    </w:lvl>
    <w:lvl w:ilvl="6" w:tplc="3AC4F9EE">
      <w:start w:val="1"/>
      <w:numFmt w:val="bullet"/>
      <w:lvlText w:val=""/>
      <w:lvlJc w:val="left"/>
      <w:pPr>
        <w:ind w:left="5040" w:hanging="360"/>
      </w:pPr>
      <w:rPr>
        <w:rFonts w:hint="default" w:ascii="Symbol" w:hAnsi="Symbol"/>
      </w:rPr>
    </w:lvl>
    <w:lvl w:ilvl="7" w:tplc="DD164C90">
      <w:start w:val="1"/>
      <w:numFmt w:val="bullet"/>
      <w:lvlText w:val="o"/>
      <w:lvlJc w:val="left"/>
      <w:pPr>
        <w:ind w:left="5760" w:hanging="360"/>
      </w:pPr>
      <w:rPr>
        <w:rFonts w:hint="default" w:ascii="Courier New" w:hAnsi="Courier New"/>
      </w:rPr>
    </w:lvl>
    <w:lvl w:ilvl="8" w:tplc="9EC4539C">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1" w16cid:durableId="116486739">
    <w:abstractNumId w:val="3"/>
  </w:num>
  <w:num w:numId="2" w16cid:durableId="129326304">
    <w:abstractNumId w:val="5"/>
  </w:num>
  <w:num w:numId="3" w16cid:durableId="1517426769">
    <w:abstractNumId w:val="1"/>
  </w:num>
  <w:num w:numId="4" w16cid:durableId="1682471429">
    <w:abstractNumId w:val="6"/>
  </w:num>
  <w:num w:numId="5" w16cid:durableId="1705208866">
    <w:abstractNumId w:val="0"/>
  </w:num>
  <w:num w:numId="6" w16cid:durableId="1893540110">
    <w:abstractNumId w:val="4"/>
  </w:num>
  <w:num w:numId="7" w16cid:durableId="1901403385">
    <w:abstractNumId w:val="2"/>
  </w:num>
  <w:num w:numId="8" w16cid:durableId="2086417362">
    <w:abstractNumId w:val="7"/>
  </w:num>
  <w:num w:numId="9" w16cid:durableId="8437818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363"/>
    <w:rsid w:val="00005CB0"/>
    <w:rsid w:val="000603BB"/>
    <w:rsid w:val="00075F5B"/>
    <w:rsid w:val="000B7419"/>
    <w:rsid w:val="000F033D"/>
    <w:rsid w:val="001041BF"/>
    <w:rsid w:val="00142781"/>
    <w:rsid w:val="00150664"/>
    <w:rsid w:val="00180EA0"/>
    <w:rsid w:val="001B2786"/>
    <w:rsid w:val="001C2A5B"/>
    <w:rsid w:val="001F2D5A"/>
    <w:rsid w:val="0024311F"/>
    <w:rsid w:val="00245CDA"/>
    <w:rsid w:val="002A2131"/>
    <w:rsid w:val="002BF71D"/>
    <w:rsid w:val="002D4449"/>
    <w:rsid w:val="002D570B"/>
    <w:rsid w:val="003A03D2"/>
    <w:rsid w:val="00424276"/>
    <w:rsid w:val="004C52FE"/>
    <w:rsid w:val="004D150F"/>
    <w:rsid w:val="004D6A3D"/>
    <w:rsid w:val="00502798"/>
    <w:rsid w:val="00553A36"/>
    <w:rsid w:val="0059556D"/>
    <w:rsid w:val="005C781B"/>
    <w:rsid w:val="00637406"/>
    <w:rsid w:val="006A2C2A"/>
    <w:rsid w:val="006F364E"/>
    <w:rsid w:val="007819A3"/>
    <w:rsid w:val="007F6BD3"/>
    <w:rsid w:val="00801363"/>
    <w:rsid w:val="008039D7"/>
    <w:rsid w:val="008A5FC8"/>
    <w:rsid w:val="008B478E"/>
    <w:rsid w:val="00954C28"/>
    <w:rsid w:val="00987EAD"/>
    <w:rsid w:val="00997F1F"/>
    <w:rsid w:val="009A2746"/>
    <w:rsid w:val="009E56CF"/>
    <w:rsid w:val="00A07178"/>
    <w:rsid w:val="00A772FF"/>
    <w:rsid w:val="00AEAE8B"/>
    <w:rsid w:val="00B06CF5"/>
    <w:rsid w:val="00B1731E"/>
    <w:rsid w:val="00B43A68"/>
    <w:rsid w:val="00B700EA"/>
    <w:rsid w:val="00BB6D62"/>
    <w:rsid w:val="00BC524B"/>
    <w:rsid w:val="00C2A44F"/>
    <w:rsid w:val="00C7527C"/>
    <w:rsid w:val="00CD0C74"/>
    <w:rsid w:val="00CD26B5"/>
    <w:rsid w:val="00CF5A52"/>
    <w:rsid w:val="00D1609D"/>
    <w:rsid w:val="00DDECE6"/>
    <w:rsid w:val="00DF1BC6"/>
    <w:rsid w:val="00EA0DCA"/>
    <w:rsid w:val="00ED2F73"/>
    <w:rsid w:val="00EE09E7"/>
    <w:rsid w:val="00F2681B"/>
    <w:rsid w:val="00F30CDF"/>
    <w:rsid w:val="00F360EE"/>
    <w:rsid w:val="00F84175"/>
    <w:rsid w:val="01386372"/>
    <w:rsid w:val="01892A4D"/>
    <w:rsid w:val="0190A627"/>
    <w:rsid w:val="025DECD2"/>
    <w:rsid w:val="02940EF4"/>
    <w:rsid w:val="02D66C7F"/>
    <w:rsid w:val="03139BB0"/>
    <w:rsid w:val="033FB77A"/>
    <w:rsid w:val="0395C7B5"/>
    <w:rsid w:val="039FCA30"/>
    <w:rsid w:val="04264F94"/>
    <w:rsid w:val="04D2F183"/>
    <w:rsid w:val="0523F914"/>
    <w:rsid w:val="0572AC68"/>
    <w:rsid w:val="057D2402"/>
    <w:rsid w:val="05A5580B"/>
    <w:rsid w:val="05D0FD6E"/>
    <w:rsid w:val="05E15183"/>
    <w:rsid w:val="065A78BF"/>
    <w:rsid w:val="06695CFC"/>
    <w:rsid w:val="06B83F82"/>
    <w:rsid w:val="075CE711"/>
    <w:rsid w:val="079B5A1C"/>
    <w:rsid w:val="07B1B2AE"/>
    <w:rsid w:val="07B41E1B"/>
    <w:rsid w:val="07C3410A"/>
    <w:rsid w:val="082B80CD"/>
    <w:rsid w:val="08321F36"/>
    <w:rsid w:val="0891B4B9"/>
    <w:rsid w:val="08A47CD6"/>
    <w:rsid w:val="08DFF5A3"/>
    <w:rsid w:val="08FBFB29"/>
    <w:rsid w:val="0A08382F"/>
    <w:rsid w:val="0AA85096"/>
    <w:rsid w:val="0AC1B7D7"/>
    <w:rsid w:val="0AD9B283"/>
    <w:rsid w:val="0AD9B8DA"/>
    <w:rsid w:val="0AE863DA"/>
    <w:rsid w:val="0AF1BCBD"/>
    <w:rsid w:val="0B818244"/>
    <w:rsid w:val="0BE3130A"/>
    <w:rsid w:val="0C4ECAD9"/>
    <w:rsid w:val="0CEC8C48"/>
    <w:rsid w:val="0D32B0A8"/>
    <w:rsid w:val="0D448307"/>
    <w:rsid w:val="0D4E5BC0"/>
    <w:rsid w:val="0D6F2073"/>
    <w:rsid w:val="0DFF1AFA"/>
    <w:rsid w:val="0ED3C6EA"/>
    <w:rsid w:val="0EDAA552"/>
    <w:rsid w:val="0F026943"/>
    <w:rsid w:val="0FAB15BA"/>
    <w:rsid w:val="108FBFDF"/>
    <w:rsid w:val="10B5EAAE"/>
    <w:rsid w:val="113A555E"/>
    <w:rsid w:val="114349C4"/>
    <w:rsid w:val="117EAB40"/>
    <w:rsid w:val="1234B8E6"/>
    <w:rsid w:val="1240CAAD"/>
    <w:rsid w:val="126E9A3E"/>
    <w:rsid w:val="12D8A66B"/>
    <w:rsid w:val="130549DB"/>
    <w:rsid w:val="1310BD85"/>
    <w:rsid w:val="131722C7"/>
    <w:rsid w:val="1389C895"/>
    <w:rsid w:val="1390FFE3"/>
    <w:rsid w:val="13A4E674"/>
    <w:rsid w:val="13B783A0"/>
    <w:rsid w:val="144AB1A9"/>
    <w:rsid w:val="14524D7A"/>
    <w:rsid w:val="14747152"/>
    <w:rsid w:val="14C745F2"/>
    <w:rsid w:val="14FEAADF"/>
    <w:rsid w:val="1509DF0D"/>
    <w:rsid w:val="1521736D"/>
    <w:rsid w:val="158AAB42"/>
    <w:rsid w:val="15ACD736"/>
    <w:rsid w:val="1627B15C"/>
    <w:rsid w:val="16D26493"/>
    <w:rsid w:val="17167A4C"/>
    <w:rsid w:val="1781DE93"/>
    <w:rsid w:val="17F55266"/>
    <w:rsid w:val="180985B6"/>
    <w:rsid w:val="1892F9C7"/>
    <w:rsid w:val="18C300EA"/>
    <w:rsid w:val="192F09F4"/>
    <w:rsid w:val="195D00AE"/>
    <w:rsid w:val="19AD172A"/>
    <w:rsid w:val="19BA7B02"/>
    <w:rsid w:val="1A8364A8"/>
    <w:rsid w:val="1AC23B73"/>
    <w:rsid w:val="1B038EDB"/>
    <w:rsid w:val="1B517DA5"/>
    <w:rsid w:val="1B874BD5"/>
    <w:rsid w:val="1B991732"/>
    <w:rsid w:val="1C86493B"/>
    <w:rsid w:val="1CF30BB3"/>
    <w:rsid w:val="1D0774B5"/>
    <w:rsid w:val="1E216BBB"/>
    <w:rsid w:val="1E581184"/>
    <w:rsid w:val="1E7D37EF"/>
    <w:rsid w:val="1E9E53A8"/>
    <w:rsid w:val="1F0112A8"/>
    <w:rsid w:val="1F0A0D72"/>
    <w:rsid w:val="1F241541"/>
    <w:rsid w:val="2011A05E"/>
    <w:rsid w:val="2064DE44"/>
    <w:rsid w:val="2074FBC1"/>
    <w:rsid w:val="20CF64FE"/>
    <w:rsid w:val="211D68CC"/>
    <w:rsid w:val="212A2556"/>
    <w:rsid w:val="21848F85"/>
    <w:rsid w:val="21A7306B"/>
    <w:rsid w:val="21DAB4F9"/>
    <w:rsid w:val="22E994C8"/>
    <w:rsid w:val="236E7EB7"/>
    <w:rsid w:val="2376855F"/>
    <w:rsid w:val="249F37D6"/>
    <w:rsid w:val="24AC9865"/>
    <w:rsid w:val="25BF2766"/>
    <w:rsid w:val="25C5A1B9"/>
    <w:rsid w:val="26234F74"/>
    <w:rsid w:val="26316F4C"/>
    <w:rsid w:val="2681BD1E"/>
    <w:rsid w:val="270CF60D"/>
    <w:rsid w:val="277B26C7"/>
    <w:rsid w:val="2793D9D3"/>
    <w:rsid w:val="284AB013"/>
    <w:rsid w:val="287847D5"/>
    <w:rsid w:val="28E52FD0"/>
    <w:rsid w:val="28F96C67"/>
    <w:rsid w:val="290B54D7"/>
    <w:rsid w:val="29379C5E"/>
    <w:rsid w:val="293C7D54"/>
    <w:rsid w:val="298ED659"/>
    <w:rsid w:val="2A14AEC1"/>
    <w:rsid w:val="2A371057"/>
    <w:rsid w:val="2A64D1E8"/>
    <w:rsid w:val="2ACB4E3E"/>
    <w:rsid w:val="2B0FAFEB"/>
    <w:rsid w:val="2B3FB56B"/>
    <w:rsid w:val="2BA35E03"/>
    <w:rsid w:val="2BEEE658"/>
    <w:rsid w:val="2C0A1F99"/>
    <w:rsid w:val="2C2E2608"/>
    <w:rsid w:val="2CD281BD"/>
    <w:rsid w:val="2D1BAC17"/>
    <w:rsid w:val="2DFC8B22"/>
    <w:rsid w:val="2E00EFBC"/>
    <w:rsid w:val="2E7A6DD1"/>
    <w:rsid w:val="2F552A07"/>
    <w:rsid w:val="2F64D911"/>
    <w:rsid w:val="2FF44BB2"/>
    <w:rsid w:val="2FFA1367"/>
    <w:rsid w:val="30656462"/>
    <w:rsid w:val="30B29A05"/>
    <w:rsid w:val="30CD81D8"/>
    <w:rsid w:val="30D28DDC"/>
    <w:rsid w:val="30EB72EB"/>
    <w:rsid w:val="315C0B55"/>
    <w:rsid w:val="32399784"/>
    <w:rsid w:val="3256639F"/>
    <w:rsid w:val="32AB5F2D"/>
    <w:rsid w:val="332DFAC6"/>
    <w:rsid w:val="333412A3"/>
    <w:rsid w:val="3336F989"/>
    <w:rsid w:val="334B5026"/>
    <w:rsid w:val="338F7046"/>
    <w:rsid w:val="33B0A9A6"/>
    <w:rsid w:val="3437AE2B"/>
    <w:rsid w:val="343FD58D"/>
    <w:rsid w:val="346CB67E"/>
    <w:rsid w:val="347E842F"/>
    <w:rsid w:val="347E842F"/>
    <w:rsid w:val="34CDDAD1"/>
    <w:rsid w:val="35027FA0"/>
    <w:rsid w:val="356D0F01"/>
    <w:rsid w:val="35BCACFD"/>
    <w:rsid w:val="362803E6"/>
    <w:rsid w:val="36451FBF"/>
    <w:rsid w:val="3655B0DE"/>
    <w:rsid w:val="368BBC30"/>
    <w:rsid w:val="36AFD99E"/>
    <w:rsid w:val="36D96E20"/>
    <w:rsid w:val="36E2B318"/>
    <w:rsid w:val="373DE23F"/>
    <w:rsid w:val="37D43308"/>
    <w:rsid w:val="386A50DB"/>
    <w:rsid w:val="387B65B7"/>
    <w:rsid w:val="388C14C1"/>
    <w:rsid w:val="391AD845"/>
    <w:rsid w:val="3949802B"/>
    <w:rsid w:val="3958E2A5"/>
    <w:rsid w:val="397B61E6"/>
    <w:rsid w:val="398F5D34"/>
    <w:rsid w:val="3A431DD1"/>
    <w:rsid w:val="3A5D801C"/>
    <w:rsid w:val="3A6F6956"/>
    <w:rsid w:val="3AADA5BD"/>
    <w:rsid w:val="3B16EEE3"/>
    <w:rsid w:val="3C3906A3"/>
    <w:rsid w:val="3C3B7F19"/>
    <w:rsid w:val="3CDCF466"/>
    <w:rsid w:val="3D387326"/>
    <w:rsid w:val="3D5514B9"/>
    <w:rsid w:val="3D60E3C5"/>
    <w:rsid w:val="3D9C28E9"/>
    <w:rsid w:val="3D9D0562"/>
    <w:rsid w:val="3DBDD51D"/>
    <w:rsid w:val="3DCD05F5"/>
    <w:rsid w:val="3E21DFC8"/>
    <w:rsid w:val="3E31ACE2"/>
    <w:rsid w:val="3EA660C3"/>
    <w:rsid w:val="3F50018F"/>
    <w:rsid w:val="3F8A9FA2"/>
    <w:rsid w:val="3F9C4D35"/>
    <w:rsid w:val="3FB5B236"/>
    <w:rsid w:val="3FC80774"/>
    <w:rsid w:val="3FE258DC"/>
    <w:rsid w:val="403C6777"/>
    <w:rsid w:val="4062CA00"/>
    <w:rsid w:val="407F1445"/>
    <w:rsid w:val="40899AE2"/>
    <w:rsid w:val="40B5E475"/>
    <w:rsid w:val="418140C4"/>
    <w:rsid w:val="41E2998F"/>
    <w:rsid w:val="425BF2ED"/>
    <w:rsid w:val="42CC53EC"/>
    <w:rsid w:val="43001047"/>
    <w:rsid w:val="43A14F69"/>
    <w:rsid w:val="43B4A943"/>
    <w:rsid w:val="4448AD19"/>
    <w:rsid w:val="44E75592"/>
    <w:rsid w:val="450CC88E"/>
    <w:rsid w:val="452B1BDF"/>
    <w:rsid w:val="45540FB8"/>
    <w:rsid w:val="45DD33AF"/>
    <w:rsid w:val="4600FB04"/>
    <w:rsid w:val="4636D091"/>
    <w:rsid w:val="468708FD"/>
    <w:rsid w:val="4692012C"/>
    <w:rsid w:val="46E90374"/>
    <w:rsid w:val="472D94A3"/>
    <w:rsid w:val="475E4DFA"/>
    <w:rsid w:val="47AC662D"/>
    <w:rsid w:val="47C6F192"/>
    <w:rsid w:val="47F8A216"/>
    <w:rsid w:val="488545EB"/>
    <w:rsid w:val="48F6D06C"/>
    <w:rsid w:val="4A6EFE01"/>
    <w:rsid w:val="4B1B46FE"/>
    <w:rsid w:val="4B404DCC"/>
    <w:rsid w:val="4BE5D95D"/>
    <w:rsid w:val="4D9017CB"/>
    <w:rsid w:val="4E30D5EC"/>
    <w:rsid w:val="4EFD624D"/>
    <w:rsid w:val="4F50EA1F"/>
    <w:rsid w:val="4FEFE56E"/>
    <w:rsid w:val="504B7419"/>
    <w:rsid w:val="50DEA674"/>
    <w:rsid w:val="510A5673"/>
    <w:rsid w:val="516662F3"/>
    <w:rsid w:val="51EEEAA0"/>
    <w:rsid w:val="528BC2EF"/>
    <w:rsid w:val="52A549CD"/>
    <w:rsid w:val="52B46063"/>
    <w:rsid w:val="52E3938F"/>
    <w:rsid w:val="530B35A9"/>
    <w:rsid w:val="533B3103"/>
    <w:rsid w:val="5375C376"/>
    <w:rsid w:val="539BF4BB"/>
    <w:rsid w:val="539C4FAC"/>
    <w:rsid w:val="53F2D6A0"/>
    <w:rsid w:val="540AFF29"/>
    <w:rsid w:val="54402BBE"/>
    <w:rsid w:val="54408253"/>
    <w:rsid w:val="5446F5CC"/>
    <w:rsid w:val="544F3391"/>
    <w:rsid w:val="545EFC89"/>
    <w:rsid w:val="548E429D"/>
    <w:rsid w:val="551E0640"/>
    <w:rsid w:val="55485AFB"/>
    <w:rsid w:val="56B750C5"/>
    <w:rsid w:val="56F0BDB7"/>
    <w:rsid w:val="57085342"/>
    <w:rsid w:val="57D057B3"/>
    <w:rsid w:val="57F54E90"/>
    <w:rsid w:val="57FA6D5B"/>
    <w:rsid w:val="580B7A24"/>
    <w:rsid w:val="580F2C0D"/>
    <w:rsid w:val="5816601E"/>
    <w:rsid w:val="583FFAE0"/>
    <w:rsid w:val="5887D3EE"/>
    <w:rsid w:val="58BAA754"/>
    <w:rsid w:val="58CF5FA6"/>
    <w:rsid w:val="58ED1125"/>
    <w:rsid w:val="591C35D0"/>
    <w:rsid w:val="595B0F14"/>
    <w:rsid w:val="59727E7E"/>
    <w:rsid w:val="59B4BB7B"/>
    <w:rsid w:val="59E5FA2E"/>
    <w:rsid w:val="59F96C3F"/>
    <w:rsid w:val="5A53EE8F"/>
    <w:rsid w:val="5A8E91C9"/>
    <w:rsid w:val="5CBAE900"/>
    <w:rsid w:val="5CC39C91"/>
    <w:rsid w:val="5D3A863E"/>
    <w:rsid w:val="5E5CC8EA"/>
    <w:rsid w:val="5E641D91"/>
    <w:rsid w:val="5FA51A21"/>
    <w:rsid w:val="5FCD40FB"/>
    <w:rsid w:val="5FF6AC25"/>
    <w:rsid w:val="60749FAF"/>
    <w:rsid w:val="613E57C6"/>
    <w:rsid w:val="6181CE66"/>
    <w:rsid w:val="61A38DFE"/>
    <w:rsid w:val="62F4FF40"/>
    <w:rsid w:val="632B4168"/>
    <w:rsid w:val="6339359D"/>
    <w:rsid w:val="63453B39"/>
    <w:rsid w:val="6361C27B"/>
    <w:rsid w:val="63640E57"/>
    <w:rsid w:val="63859339"/>
    <w:rsid w:val="6394E4B4"/>
    <w:rsid w:val="63EA041C"/>
    <w:rsid w:val="640A0584"/>
    <w:rsid w:val="6456EA6F"/>
    <w:rsid w:val="64632318"/>
    <w:rsid w:val="64737C4F"/>
    <w:rsid w:val="647F1DC1"/>
    <w:rsid w:val="652F3845"/>
    <w:rsid w:val="6565EF90"/>
    <w:rsid w:val="6567A3BC"/>
    <w:rsid w:val="66D0B22F"/>
    <w:rsid w:val="6736068E"/>
    <w:rsid w:val="681F1BDE"/>
    <w:rsid w:val="68D0B5EE"/>
    <w:rsid w:val="68D64844"/>
    <w:rsid w:val="68EBF026"/>
    <w:rsid w:val="68F21A05"/>
    <w:rsid w:val="690D3E66"/>
    <w:rsid w:val="6926952B"/>
    <w:rsid w:val="69271FCB"/>
    <w:rsid w:val="69334444"/>
    <w:rsid w:val="6936C65B"/>
    <w:rsid w:val="69B0E8A2"/>
    <w:rsid w:val="6A15D260"/>
    <w:rsid w:val="6BBE2DC7"/>
    <w:rsid w:val="6BF7D475"/>
    <w:rsid w:val="6CCF97C8"/>
    <w:rsid w:val="6D2C84AF"/>
    <w:rsid w:val="6D4515A2"/>
    <w:rsid w:val="6D70D52C"/>
    <w:rsid w:val="6DC5995D"/>
    <w:rsid w:val="6DCDAA6D"/>
    <w:rsid w:val="6E2DCD06"/>
    <w:rsid w:val="6E34FC84"/>
    <w:rsid w:val="6EA14588"/>
    <w:rsid w:val="6EB3E9EA"/>
    <w:rsid w:val="6EBE69F7"/>
    <w:rsid w:val="6EC1758B"/>
    <w:rsid w:val="6F363811"/>
    <w:rsid w:val="6F66EFB6"/>
    <w:rsid w:val="7019D635"/>
    <w:rsid w:val="70446B5B"/>
    <w:rsid w:val="7069ED9A"/>
    <w:rsid w:val="7093F836"/>
    <w:rsid w:val="70FC9576"/>
    <w:rsid w:val="71027F2E"/>
    <w:rsid w:val="7163D5AF"/>
    <w:rsid w:val="722B4C9F"/>
    <w:rsid w:val="7238E2F3"/>
    <w:rsid w:val="725170DE"/>
    <w:rsid w:val="72764223"/>
    <w:rsid w:val="72A4C895"/>
    <w:rsid w:val="72E3D250"/>
    <w:rsid w:val="73198F51"/>
    <w:rsid w:val="7342AEE4"/>
    <w:rsid w:val="73BDB53A"/>
    <w:rsid w:val="73CD8DA2"/>
    <w:rsid w:val="73E05EEF"/>
    <w:rsid w:val="740801AB"/>
    <w:rsid w:val="7427C421"/>
    <w:rsid w:val="74520A63"/>
    <w:rsid w:val="745B9994"/>
    <w:rsid w:val="7498B870"/>
    <w:rsid w:val="7598AB21"/>
    <w:rsid w:val="75F40C15"/>
    <w:rsid w:val="765A97D6"/>
    <w:rsid w:val="766276BA"/>
    <w:rsid w:val="7681ED1A"/>
    <w:rsid w:val="76E3E212"/>
    <w:rsid w:val="76F62FB4"/>
    <w:rsid w:val="7742EA46"/>
    <w:rsid w:val="77716347"/>
    <w:rsid w:val="77927469"/>
    <w:rsid w:val="779F86AC"/>
    <w:rsid w:val="77B55AF3"/>
    <w:rsid w:val="7852FBEF"/>
    <w:rsid w:val="7948264C"/>
    <w:rsid w:val="79494B4B"/>
    <w:rsid w:val="794D4856"/>
    <w:rsid w:val="79D1BDDE"/>
    <w:rsid w:val="7A275C15"/>
    <w:rsid w:val="7A6B9639"/>
    <w:rsid w:val="7A8C5A92"/>
    <w:rsid w:val="7AAE9965"/>
    <w:rsid w:val="7AB3171E"/>
    <w:rsid w:val="7AF3EC7F"/>
    <w:rsid w:val="7B4427F1"/>
    <w:rsid w:val="7B67274B"/>
    <w:rsid w:val="7B96F033"/>
    <w:rsid w:val="7C7D5B08"/>
    <w:rsid w:val="7C7E01A7"/>
    <w:rsid w:val="7CB8102C"/>
    <w:rsid w:val="7CC50F45"/>
    <w:rsid w:val="7CD88A9D"/>
    <w:rsid w:val="7D59B091"/>
    <w:rsid w:val="7DB1F591"/>
    <w:rsid w:val="7DD463D1"/>
    <w:rsid w:val="7E303992"/>
    <w:rsid w:val="7E3269FB"/>
    <w:rsid w:val="7EC24DF3"/>
    <w:rsid w:val="7F424157"/>
    <w:rsid w:val="7F49124F"/>
    <w:rsid w:val="7F74A576"/>
    <w:rsid w:val="7F7BF063"/>
    <w:rsid w:val="7F85C747"/>
    <w:rsid w:val="7F9EC1F4"/>
    <w:rsid w:val="7FA20321"/>
    <w:rsid w:val="7FB002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E0FB00"/>
  <w15:chartTrackingRefBased/>
  <w15:docId w15:val="{12180D89-AAEB-4DE0-9837-F3A08640A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E9E53A8"/>
    <w:pPr>
      <w:ind w:left="720"/>
      <w:contextualSpacing/>
    </w:pPr>
  </w:style>
  <w:style w:type="character" w:styleId="Hyperlink">
    <w:name w:val="Hyperlink"/>
    <w:basedOn w:val="DefaultParagraphFont"/>
    <w:uiPriority w:val="99"/>
    <w:unhideWhenUsed/>
    <w:rsid w:val="1E9E53A8"/>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uiPriority w:val="99"/>
    <w:unhideWhenUsed/>
    <w:rsid w:val="418140C4"/>
    <w:pPr>
      <w:tabs>
        <w:tab w:val="center" w:pos="4680"/>
        <w:tab w:val="right" w:pos="9360"/>
      </w:tabs>
      <w:spacing w:after="0" w:line="240" w:lineRule="auto"/>
    </w:pPr>
  </w:style>
  <w:style w:type="paragraph" w:styleId="Footer">
    <w:name w:val="footer"/>
    <w:basedOn w:val="Normal"/>
    <w:uiPriority w:val="99"/>
    <w:unhideWhenUsed/>
    <w:rsid w:val="418140C4"/>
    <w:pPr>
      <w:tabs>
        <w:tab w:val="center" w:pos="4680"/>
        <w:tab w:val="right" w:pos="9360"/>
      </w:tabs>
      <w:spacing w:after="0" w:line="240" w:lineRule="auto"/>
    </w:pPr>
  </w:style>
  <w:style w:type="paragraph" w:styleId="MarkdownCode" w:customStyle="true">
    <w:uiPriority w:val="1"/>
    <w:name w:val="Markdown Code"/>
    <w:basedOn w:val="Normal"/>
    <w:next w:val="Normal"/>
    <w:link w:val="MarkdownCodeChar"/>
    <w:qFormat/>
    <w:rsid w:val="3C3B7F19"/>
    <w:rPr>
      <w:rFonts w:ascii="Courier New" w:hAnsi="Courier New"/>
      <w:noProof/>
    </w:rPr>
  </w:style>
  <w:style w:type="character" w:styleId="MarkdownCodeChar" w:customStyle="true">
    <w:name w:val="Markdown Code Char"/>
    <w:basedOn w:val="DefaultParagraphFont"/>
    <w:link w:val="MarkdownCode"/>
    <w:rsid w:val="3C3B7F19"/>
    <w:rPr>
      <w:rFonts w:ascii="Courier New" w:hAnsi="Courier New"/>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cqc.org.uk/publications/major-report/state-care/2023-2024" TargetMode="External" Id="Rc16080e6006d4531" /><Relationship Type="http://schemas.openxmlformats.org/officeDocument/2006/relationships/hyperlink" Target="https://www.legislation.gov.uk/ukpga/2014/23/part/1/enacted" TargetMode="External" Id="Rb900127184f9462c" /><Relationship Type="http://schemas.openxmlformats.org/officeDocument/2006/relationships/hyperlink" Target="https://www.skillsforcare.org.uk/Adult-Social-Care-Workforce-Data/workforceintelligence/resources/Reports/National/The-state-of-the-adult-social-care-sector-and-workforce-in-England-2025.pdf" TargetMode="External" Id="R569ceb35ecb04884" /><Relationship Type="http://schemas.openxmlformats.org/officeDocument/2006/relationships/hyperlink" Target="https://www.telford.gov.uk/commissioning-for-vulnerable-people/market-position-statement/" TargetMode="External" Id="Rc76ce501f31449df" /><Relationship Type="http://schemas.openxmlformats.org/officeDocument/2006/relationships/hyperlink" Target="https://www.aims.org.uk/journal/item/history-district-midwifery" TargetMode="External" Id="R260654157dd24ab7" /><Relationship Type="http://schemas.openxmlformats.org/officeDocument/2006/relationships/hyperlink" Target="https://www.nice.org.uk/guidance/ng201" TargetMode="External" Id="Rf5c92818713040a8" /><Relationship Type="http://schemas.openxmlformats.org/officeDocument/2006/relationships/hyperlink" Target="https://www.nhs.uk/pregnancy/your-pregnancy-care/your-antenatal-care-and-appointments/" TargetMode="External" Id="R5850fc5802254007" /><Relationship Type="http://schemas.openxmlformats.org/officeDocument/2006/relationships/hyperlink" Target="https://www.england.nhs.uk/mat-transformation/implementing-better-births/mat-review/" TargetMode="External" Id="R5ff7540f91a24dc2" /><Relationship Type="http://schemas.openxmlformats.org/officeDocument/2006/relationships/hyperlink" Target="https://www.england.nhs.uk/publication/midwifery-continuity-of-carer/" TargetMode="External" Id="Ra4c8766e4c954b60" /><Relationship Type="http://schemas.openxmlformats.org/officeDocument/2006/relationships/hyperlink" Target="https://rcm.org.uk/blog/2022/07/120-years-of-the-midwives-act-in-england-and-wales/" TargetMode="External" Id="R65e57219af814747" /><Relationship Type="http://schemas.microsoft.com/office/2020/10/relationships/intelligence" Target="intelligence2.xml" Id="R3055fed59eaa4fb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Zarina Begum (2542797)</dc:creator>
  <keywords/>
  <dc:description/>
  <lastModifiedBy>Zarina Begum (2542797)</lastModifiedBy>
  <revision>2</revision>
  <dcterms:created xsi:type="dcterms:W3CDTF">2026-10-08T08:57:00.0000000Z</dcterms:created>
  <dcterms:modified xsi:type="dcterms:W3CDTF">2026-10-14T22:45:23.5458962Z</dcterms:modified>
</coreProperties>
</file>