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F906A1" w14:textId="77777777" w:rsidR="00646982" w:rsidRPr="00646982" w:rsidRDefault="00646982" w:rsidP="00646982">
      <w:pPr>
        <w:spacing w:before="100" w:beforeAutospacing="1" w:after="100" w:afterAutospacing="1" w:line="360" w:lineRule="auto"/>
        <w:jc w:val="center"/>
        <w:rPr>
          <w:rFonts w:ascii="Times New Roman" w:hAnsi="Times New Roman" w:cs="Times New Roman"/>
          <w:b/>
          <w:sz w:val="32"/>
          <w:szCs w:val="32"/>
          <w:lang w:val="en-GB"/>
        </w:rPr>
      </w:pPr>
    </w:p>
    <w:p w14:paraId="09802F60" w14:textId="77777777" w:rsidR="00646982" w:rsidRPr="00646982" w:rsidRDefault="00646982" w:rsidP="00646982">
      <w:pPr>
        <w:spacing w:before="100" w:beforeAutospacing="1" w:after="100" w:afterAutospacing="1" w:line="360" w:lineRule="auto"/>
        <w:jc w:val="center"/>
        <w:rPr>
          <w:rFonts w:ascii="Times New Roman" w:hAnsi="Times New Roman" w:cs="Times New Roman"/>
          <w:b/>
          <w:sz w:val="32"/>
          <w:szCs w:val="32"/>
          <w:lang w:val="en-GB"/>
        </w:rPr>
      </w:pPr>
    </w:p>
    <w:p w14:paraId="15A62409" w14:textId="77777777" w:rsidR="00646982" w:rsidRPr="00646982" w:rsidRDefault="00646982" w:rsidP="00646982">
      <w:pPr>
        <w:spacing w:before="100" w:beforeAutospacing="1" w:after="100" w:afterAutospacing="1" w:line="360" w:lineRule="auto"/>
        <w:jc w:val="center"/>
        <w:rPr>
          <w:rFonts w:ascii="Times New Roman" w:hAnsi="Times New Roman" w:cs="Times New Roman"/>
          <w:b/>
          <w:sz w:val="32"/>
          <w:szCs w:val="32"/>
          <w:lang w:val="en-GB"/>
        </w:rPr>
      </w:pPr>
    </w:p>
    <w:p w14:paraId="21C11C8D" w14:textId="77777777" w:rsidR="00646982" w:rsidRPr="00646982" w:rsidRDefault="00646982" w:rsidP="00646982">
      <w:pPr>
        <w:spacing w:before="100" w:beforeAutospacing="1" w:after="100" w:afterAutospacing="1" w:line="360" w:lineRule="auto"/>
        <w:jc w:val="center"/>
        <w:rPr>
          <w:rFonts w:ascii="Times New Roman" w:hAnsi="Times New Roman" w:cs="Times New Roman"/>
          <w:b/>
          <w:sz w:val="32"/>
          <w:szCs w:val="32"/>
          <w:lang w:val="en-GB"/>
        </w:rPr>
      </w:pPr>
    </w:p>
    <w:p w14:paraId="0871184E" w14:textId="77777777" w:rsidR="00646982" w:rsidRPr="00646982" w:rsidRDefault="00646982" w:rsidP="00646982">
      <w:pPr>
        <w:spacing w:before="100" w:beforeAutospacing="1" w:after="100" w:afterAutospacing="1" w:line="360" w:lineRule="auto"/>
        <w:jc w:val="center"/>
        <w:rPr>
          <w:rFonts w:ascii="Times New Roman" w:hAnsi="Times New Roman" w:cs="Times New Roman"/>
          <w:b/>
          <w:sz w:val="32"/>
          <w:szCs w:val="32"/>
          <w:lang w:val="en-GB"/>
        </w:rPr>
      </w:pPr>
    </w:p>
    <w:p w14:paraId="00000001" w14:textId="607D4CD2" w:rsidR="00414A9C" w:rsidRPr="00646982" w:rsidRDefault="00646982" w:rsidP="00646982">
      <w:pPr>
        <w:spacing w:before="100" w:beforeAutospacing="1" w:after="100" w:afterAutospacing="1" w:line="360" w:lineRule="auto"/>
        <w:jc w:val="center"/>
        <w:rPr>
          <w:rFonts w:ascii="Times New Roman" w:hAnsi="Times New Roman" w:cs="Times New Roman"/>
          <w:b/>
          <w:sz w:val="32"/>
          <w:szCs w:val="32"/>
          <w:lang w:val="en-GB"/>
        </w:rPr>
      </w:pPr>
      <w:r w:rsidRPr="00646982">
        <w:rPr>
          <w:rFonts w:ascii="Times New Roman" w:hAnsi="Times New Roman" w:cs="Times New Roman"/>
          <w:b/>
          <w:sz w:val="32"/>
          <w:szCs w:val="32"/>
          <w:lang w:val="en-GB"/>
        </w:rPr>
        <w:t>INTERNATIONAL FINANCIAL MANAGEMENT THEORIES AND MODELS TO MULTINATIONAL CORPORATIONS</w:t>
      </w:r>
    </w:p>
    <w:p w14:paraId="64B51521" w14:textId="77777777" w:rsidR="00646982" w:rsidRPr="00D46E2F" w:rsidRDefault="00646982" w:rsidP="00646982">
      <w:pPr>
        <w:spacing w:before="100" w:beforeAutospacing="1" w:after="100" w:afterAutospacing="1" w:line="360" w:lineRule="auto"/>
        <w:jc w:val="center"/>
        <w:rPr>
          <w:rFonts w:ascii="Times New Roman" w:hAnsi="Times New Roman" w:cs="Times New Roman"/>
          <w:b/>
          <w:sz w:val="24"/>
          <w:szCs w:val="24"/>
          <w:lang w:val="fr-FR"/>
        </w:rPr>
      </w:pPr>
      <w:r w:rsidRPr="00D46E2F">
        <w:rPr>
          <w:rFonts w:ascii="Times New Roman" w:hAnsi="Times New Roman" w:cs="Times New Roman"/>
          <w:b/>
          <w:sz w:val="24"/>
          <w:szCs w:val="24"/>
          <w:lang w:val="fr-FR"/>
        </w:rPr>
        <w:t>Module: International Financial Management</w:t>
      </w:r>
    </w:p>
    <w:p w14:paraId="536C86F6" w14:textId="11F87D51" w:rsidR="00646982" w:rsidRPr="00D46E2F" w:rsidRDefault="00646982" w:rsidP="00646982">
      <w:pPr>
        <w:spacing w:before="100" w:beforeAutospacing="1" w:after="100" w:afterAutospacing="1" w:line="360" w:lineRule="auto"/>
        <w:jc w:val="center"/>
        <w:rPr>
          <w:rFonts w:ascii="Times New Roman" w:hAnsi="Times New Roman" w:cs="Times New Roman"/>
          <w:b/>
          <w:sz w:val="24"/>
          <w:szCs w:val="24"/>
          <w:lang w:val="fr-FR"/>
        </w:rPr>
      </w:pPr>
      <w:r w:rsidRPr="00D46E2F">
        <w:rPr>
          <w:rFonts w:ascii="Times New Roman" w:hAnsi="Times New Roman" w:cs="Times New Roman"/>
          <w:b/>
          <w:sz w:val="24"/>
          <w:szCs w:val="24"/>
          <w:lang w:val="fr-FR"/>
        </w:rPr>
        <w:t>Module code: LCBB6002</w:t>
      </w:r>
    </w:p>
    <w:p w14:paraId="04EC363D" w14:textId="4639C43A" w:rsidR="00646982" w:rsidRPr="00D46E2F" w:rsidRDefault="00646982" w:rsidP="00646982">
      <w:pPr>
        <w:spacing w:before="100" w:beforeAutospacing="1" w:after="100" w:afterAutospacing="1" w:line="360" w:lineRule="auto"/>
        <w:jc w:val="center"/>
        <w:rPr>
          <w:rFonts w:ascii="Times New Roman" w:hAnsi="Times New Roman" w:cs="Times New Roman"/>
          <w:b/>
          <w:sz w:val="24"/>
          <w:szCs w:val="24"/>
          <w:lang w:val="nl-NL"/>
        </w:rPr>
      </w:pPr>
      <w:r w:rsidRPr="00D46E2F">
        <w:rPr>
          <w:rFonts w:ascii="Times New Roman" w:hAnsi="Times New Roman" w:cs="Times New Roman"/>
          <w:b/>
          <w:sz w:val="24"/>
          <w:szCs w:val="24"/>
          <w:lang w:val="nl-NL"/>
        </w:rPr>
        <w:t>Student ID:</w:t>
      </w:r>
      <w:r w:rsidR="00D46E2F">
        <w:rPr>
          <w:rFonts w:ascii="Times New Roman" w:hAnsi="Times New Roman" w:cs="Times New Roman"/>
          <w:b/>
          <w:sz w:val="24"/>
          <w:szCs w:val="24"/>
          <w:lang w:val="nl-NL"/>
        </w:rPr>
        <w:t xml:space="preserve"> 2030171</w:t>
      </w:r>
    </w:p>
    <w:p w14:paraId="06896AAF" w14:textId="2339145D" w:rsidR="00D46E2F" w:rsidRPr="00D46E2F" w:rsidRDefault="00D46E2F" w:rsidP="00646982">
      <w:pPr>
        <w:spacing w:before="100" w:beforeAutospacing="1" w:after="100" w:afterAutospacing="1" w:line="360" w:lineRule="auto"/>
        <w:jc w:val="center"/>
        <w:rPr>
          <w:rFonts w:ascii="Times New Roman" w:hAnsi="Times New Roman" w:cs="Times New Roman"/>
          <w:b/>
          <w:sz w:val="24"/>
          <w:szCs w:val="24"/>
          <w:lang w:val="nl-NL"/>
        </w:rPr>
      </w:pPr>
      <w:r w:rsidRPr="00D46E2F">
        <w:rPr>
          <w:rFonts w:ascii="Times New Roman" w:hAnsi="Times New Roman" w:cs="Times New Roman"/>
          <w:b/>
          <w:sz w:val="24"/>
          <w:szCs w:val="24"/>
          <w:lang w:val="nl-NL"/>
        </w:rPr>
        <w:t>Student Name: Andra-Maria Daniliuc</w:t>
      </w:r>
    </w:p>
    <w:p w14:paraId="00000002" w14:textId="77777777" w:rsidR="00414A9C" w:rsidRPr="00D46E2F" w:rsidRDefault="00414A9C" w:rsidP="00646982">
      <w:pPr>
        <w:spacing w:before="100" w:beforeAutospacing="1" w:after="100" w:afterAutospacing="1" w:line="360" w:lineRule="auto"/>
        <w:jc w:val="both"/>
        <w:rPr>
          <w:rFonts w:ascii="Times New Roman" w:hAnsi="Times New Roman" w:cs="Times New Roman"/>
          <w:b/>
          <w:bCs/>
          <w:sz w:val="24"/>
          <w:szCs w:val="24"/>
          <w:lang w:val="nl-NL"/>
        </w:rPr>
      </w:pPr>
    </w:p>
    <w:p w14:paraId="72FF99E7" w14:textId="75BE1BF5" w:rsidR="00646982" w:rsidRPr="00D46E2F" w:rsidRDefault="00646982">
      <w:pPr>
        <w:rPr>
          <w:rFonts w:ascii="Times New Roman" w:hAnsi="Times New Roman" w:cs="Times New Roman"/>
          <w:b/>
          <w:bCs/>
          <w:sz w:val="24"/>
          <w:szCs w:val="24"/>
          <w:lang w:val="nl-NL"/>
        </w:rPr>
      </w:pPr>
      <w:r w:rsidRPr="00D46E2F">
        <w:rPr>
          <w:rFonts w:ascii="Times New Roman" w:hAnsi="Times New Roman" w:cs="Times New Roman"/>
          <w:b/>
          <w:bCs/>
          <w:sz w:val="24"/>
          <w:szCs w:val="24"/>
          <w:lang w:val="nl-NL"/>
        </w:rPr>
        <w:br w:type="page"/>
      </w:r>
    </w:p>
    <w:sdt>
      <w:sdtPr>
        <w:rPr>
          <w:rFonts w:ascii="Arial" w:eastAsia="Arial" w:hAnsi="Arial" w:cs="Arial"/>
          <w:b/>
          <w:bCs/>
          <w:color w:val="auto"/>
          <w:sz w:val="22"/>
          <w:szCs w:val="22"/>
          <w:lang w:val="en" w:eastAsia="en-IN"/>
        </w:rPr>
        <w:id w:val="470951526"/>
        <w:docPartObj>
          <w:docPartGallery w:val="Table of Contents"/>
          <w:docPartUnique/>
        </w:docPartObj>
      </w:sdtPr>
      <w:sdtEndPr>
        <w:rPr>
          <w:noProof/>
        </w:rPr>
      </w:sdtEndPr>
      <w:sdtContent>
        <w:p w14:paraId="17D1D386" w14:textId="1AC14DE4" w:rsidR="00646982" w:rsidRPr="00646982" w:rsidRDefault="00646982" w:rsidP="00646982">
          <w:pPr>
            <w:pStyle w:val="TOCHeading"/>
            <w:spacing w:before="100" w:beforeAutospacing="1" w:after="100" w:afterAutospacing="1" w:line="360" w:lineRule="auto"/>
            <w:jc w:val="both"/>
            <w:rPr>
              <w:rFonts w:ascii="Times New Roman" w:hAnsi="Times New Roman" w:cs="Times New Roman"/>
              <w:b/>
              <w:bCs/>
              <w:color w:val="auto"/>
              <w:sz w:val="24"/>
              <w:szCs w:val="24"/>
            </w:rPr>
          </w:pPr>
          <w:r w:rsidRPr="00646982">
            <w:rPr>
              <w:rFonts w:ascii="Times New Roman" w:hAnsi="Times New Roman" w:cs="Times New Roman"/>
              <w:b/>
              <w:bCs/>
              <w:color w:val="auto"/>
              <w:sz w:val="24"/>
              <w:szCs w:val="24"/>
            </w:rPr>
            <w:t>Table of Contents</w:t>
          </w:r>
        </w:p>
        <w:p w14:paraId="532D0004" w14:textId="77777777" w:rsidR="00646982" w:rsidRPr="00646982" w:rsidRDefault="00646982" w:rsidP="00646982">
          <w:pPr>
            <w:pStyle w:val="TOC1"/>
            <w:tabs>
              <w:tab w:val="right" w:leader="dot" w:pos="9350"/>
            </w:tabs>
            <w:spacing w:before="100" w:beforeAutospacing="1" w:afterAutospacing="1" w:line="360" w:lineRule="auto"/>
            <w:jc w:val="both"/>
            <w:rPr>
              <w:rFonts w:ascii="Times New Roman" w:hAnsi="Times New Roman" w:cs="Times New Roman"/>
              <w:noProof/>
              <w:sz w:val="24"/>
              <w:szCs w:val="24"/>
            </w:rPr>
          </w:pPr>
          <w:r w:rsidRPr="00646982">
            <w:rPr>
              <w:rFonts w:ascii="Times New Roman" w:hAnsi="Times New Roman" w:cs="Times New Roman"/>
              <w:sz w:val="24"/>
              <w:szCs w:val="24"/>
            </w:rPr>
            <w:fldChar w:fldCharType="begin"/>
          </w:r>
          <w:r w:rsidRPr="00646982">
            <w:rPr>
              <w:rFonts w:ascii="Times New Roman" w:hAnsi="Times New Roman" w:cs="Times New Roman"/>
              <w:sz w:val="24"/>
              <w:szCs w:val="24"/>
            </w:rPr>
            <w:instrText xml:space="preserve"> TOC \o "1-3" \h \z \u </w:instrText>
          </w:r>
          <w:r w:rsidRPr="00646982">
            <w:rPr>
              <w:rFonts w:ascii="Times New Roman" w:hAnsi="Times New Roman" w:cs="Times New Roman"/>
              <w:sz w:val="24"/>
              <w:szCs w:val="24"/>
            </w:rPr>
            <w:fldChar w:fldCharType="separate"/>
          </w:r>
          <w:hyperlink w:anchor="_Toc171383519" w:history="1">
            <w:r w:rsidRPr="00646982">
              <w:rPr>
                <w:rStyle w:val="Hyperlink"/>
                <w:rFonts w:ascii="Times New Roman" w:hAnsi="Times New Roman" w:cs="Times New Roman"/>
                <w:noProof/>
                <w:color w:val="auto"/>
                <w:sz w:val="24"/>
                <w:szCs w:val="24"/>
                <w:lang w:val="en-GB"/>
              </w:rPr>
              <w:t>Introduction</w:t>
            </w:r>
            <w:r w:rsidRPr="00646982">
              <w:rPr>
                <w:rFonts w:ascii="Times New Roman" w:hAnsi="Times New Roman" w:cs="Times New Roman"/>
                <w:noProof/>
                <w:webHidden/>
                <w:sz w:val="24"/>
                <w:szCs w:val="24"/>
              </w:rPr>
              <w:tab/>
            </w:r>
            <w:r w:rsidRPr="00646982">
              <w:rPr>
                <w:rFonts w:ascii="Times New Roman" w:hAnsi="Times New Roman" w:cs="Times New Roman"/>
                <w:noProof/>
                <w:webHidden/>
                <w:sz w:val="24"/>
                <w:szCs w:val="24"/>
              </w:rPr>
              <w:fldChar w:fldCharType="begin"/>
            </w:r>
            <w:r w:rsidRPr="00646982">
              <w:rPr>
                <w:rFonts w:ascii="Times New Roman" w:hAnsi="Times New Roman" w:cs="Times New Roman"/>
                <w:noProof/>
                <w:webHidden/>
                <w:sz w:val="24"/>
                <w:szCs w:val="24"/>
              </w:rPr>
              <w:instrText xml:space="preserve"> PAGEREF _Toc171383519 \h </w:instrText>
            </w:r>
            <w:r w:rsidRPr="00646982">
              <w:rPr>
                <w:rFonts w:ascii="Times New Roman" w:hAnsi="Times New Roman" w:cs="Times New Roman"/>
                <w:noProof/>
                <w:webHidden/>
                <w:sz w:val="24"/>
                <w:szCs w:val="24"/>
              </w:rPr>
            </w:r>
            <w:r w:rsidRPr="00646982">
              <w:rPr>
                <w:rFonts w:ascii="Times New Roman" w:hAnsi="Times New Roman" w:cs="Times New Roman"/>
                <w:noProof/>
                <w:webHidden/>
                <w:sz w:val="24"/>
                <w:szCs w:val="24"/>
              </w:rPr>
              <w:fldChar w:fldCharType="separate"/>
            </w:r>
            <w:r w:rsidRPr="00646982">
              <w:rPr>
                <w:rFonts w:ascii="Times New Roman" w:hAnsi="Times New Roman" w:cs="Times New Roman"/>
                <w:noProof/>
                <w:webHidden/>
                <w:sz w:val="24"/>
                <w:szCs w:val="24"/>
              </w:rPr>
              <w:t>3</w:t>
            </w:r>
            <w:r w:rsidRPr="00646982">
              <w:rPr>
                <w:rFonts w:ascii="Times New Roman" w:hAnsi="Times New Roman" w:cs="Times New Roman"/>
                <w:noProof/>
                <w:webHidden/>
                <w:sz w:val="24"/>
                <w:szCs w:val="24"/>
              </w:rPr>
              <w:fldChar w:fldCharType="end"/>
            </w:r>
          </w:hyperlink>
        </w:p>
        <w:p w14:paraId="006680EF" w14:textId="77777777" w:rsidR="00646982" w:rsidRPr="00646982" w:rsidRDefault="00D46E2F" w:rsidP="00646982">
          <w:pPr>
            <w:pStyle w:val="TOC1"/>
            <w:tabs>
              <w:tab w:val="right" w:leader="dot" w:pos="9350"/>
            </w:tabs>
            <w:spacing w:before="100" w:beforeAutospacing="1" w:afterAutospacing="1" w:line="360" w:lineRule="auto"/>
            <w:jc w:val="both"/>
            <w:rPr>
              <w:rFonts w:ascii="Times New Roman" w:hAnsi="Times New Roman" w:cs="Times New Roman"/>
              <w:noProof/>
              <w:sz w:val="24"/>
              <w:szCs w:val="24"/>
            </w:rPr>
          </w:pPr>
          <w:hyperlink w:anchor="_Toc171383520" w:history="1">
            <w:r w:rsidR="00646982" w:rsidRPr="00646982">
              <w:rPr>
                <w:rStyle w:val="Hyperlink"/>
                <w:rFonts w:ascii="Times New Roman" w:hAnsi="Times New Roman" w:cs="Times New Roman"/>
                <w:noProof/>
                <w:color w:val="auto"/>
                <w:sz w:val="24"/>
                <w:szCs w:val="24"/>
                <w:lang w:val="en-GB"/>
              </w:rPr>
              <w:t>Applying and Evaluating IFM Theories and Models</w:t>
            </w:r>
            <w:r w:rsidR="00646982" w:rsidRPr="00646982">
              <w:rPr>
                <w:rFonts w:ascii="Times New Roman" w:hAnsi="Times New Roman" w:cs="Times New Roman"/>
                <w:noProof/>
                <w:webHidden/>
                <w:sz w:val="24"/>
                <w:szCs w:val="24"/>
              </w:rPr>
              <w:tab/>
            </w:r>
            <w:r w:rsidR="00646982" w:rsidRPr="00646982">
              <w:rPr>
                <w:rFonts w:ascii="Times New Roman" w:hAnsi="Times New Roman" w:cs="Times New Roman"/>
                <w:noProof/>
                <w:webHidden/>
                <w:sz w:val="24"/>
                <w:szCs w:val="24"/>
              </w:rPr>
              <w:fldChar w:fldCharType="begin"/>
            </w:r>
            <w:r w:rsidR="00646982" w:rsidRPr="00646982">
              <w:rPr>
                <w:rFonts w:ascii="Times New Roman" w:hAnsi="Times New Roman" w:cs="Times New Roman"/>
                <w:noProof/>
                <w:webHidden/>
                <w:sz w:val="24"/>
                <w:szCs w:val="24"/>
              </w:rPr>
              <w:instrText xml:space="preserve"> PAGEREF _Toc171383520 \h </w:instrText>
            </w:r>
            <w:r w:rsidR="00646982" w:rsidRPr="00646982">
              <w:rPr>
                <w:rFonts w:ascii="Times New Roman" w:hAnsi="Times New Roman" w:cs="Times New Roman"/>
                <w:noProof/>
                <w:webHidden/>
                <w:sz w:val="24"/>
                <w:szCs w:val="24"/>
              </w:rPr>
            </w:r>
            <w:r w:rsidR="00646982" w:rsidRPr="00646982">
              <w:rPr>
                <w:rFonts w:ascii="Times New Roman" w:hAnsi="Times New Roman" w:cs="Times New Roman"/>
                <w:noProof/>
                <w:webHidden/>
                <w:sz w:val="24"/>
                <w:szCs w:val="24"/>
              </w:rPr>
              <w:fldChar w:fldCharType="separate"/>
            </w:r>
            <w:r w:rsidR="00646982" w:rsidRPr="00646982">
              <w:rPr>
                <w:rFonts w:ascii="Times New Roman" w:hAnsi="Times New Roman" w:cs="Times New Roman"/>
                <w:noProof/>
                <w:webHidden/>
                <w:sz w:val="24"/>
                <w:szCs w:val="24"/>
              </w:rPr>
              <w:t>3</w:t>
            </w:r>
            <w:r w:rsidR="00646982" w:rsidRPr="00646982">
              <w:rPr>
                <w:rFonts w:ascii="Times New Roman" w:hAnsi="Times New Roman" w:cs="Times New Roman"/>
                <w:noProof/>
                <w:webHidden/>
                <w:sz w:val="24"/>
                <w:szCs w:val="24"/>
              </w:rPr>
              <w:fldChar w:fldCharType="end"/>
            </w:r>
          </w:hyperlink>
        </w:p>
        <w:p w14:paraId="776CFE61" w14:textId="77777777" w:rsidR="00646982" w:rsidRPr="00646982" w:rsidRDefault="00D46E2F" w:rsidP="00646982">
          <w:pPr>
            <w:pStyle w:val="TOC1"/>
            <w:tabs>
              <w:tab w:val="right" w:leader="dot" w:pos="9350"/>
            </w:tabs>
            <w:spacing w:before="100" w:beforeAutospacing="1" w:afterAutospacing="1" w:line="360" w:lineRule="auto"/>
            <w:jc w:val="both"/>
            <w:rPr>
              <w:rFonts w:ascii="Times New Roman" w:hAnsi="Times New Roman" w:cs="Times New Roman"/>
              <w:noProof/>
              <w:sz w:val="24"/>
              <w:szCs w:val="24"/>
            </w:rPr>
          </w:pPr>
          <w:hyperlink w:anchor="_Toc171383521" w:history="1">
            <w:r w:rsidR="00646982" w:rsidRPr="00646982">
              <w:rPr>
                <w:rStyle w:val="Hyperlink"/>
                <w:rFonts w:ascii="Times New Roman" w:hAnsi="Times New Roman" w:cs="Times New Roman"/>
                <w:noProof/>
                <w:color w:val="auto"/>
                <w:sz w:val="24"/>
                <w:szCs w:val="24"/>
                <w:lang w:val="en-GB"/>
              </w:rPr>
              <w:t>Financing Strategies for International Businesses</w:t>
            </w:r>
            <w:r w:rsidR="00646982" w:rsidRPr="00646982">
              <w:rPr>
                <w:rFonts w:ascii="Times New Roman" w:hAnsi="Times New Roman" w:cs="Times New Roman"/>
                <w:noProof/>
                <w:webHidden/>
                <w:sz w:val="24"/>
                <w:szCs w:val="24"/>
              </w:rPr>
              <w:tab/>
            </w:r>
            <w:r w:rsidR="00646982" w:rsidRPr="00646982">
              <w:rPr>
                <w:rFonts w:ascii="Times New Roman" w:hAnsi="Times New Roman" w:cs="Times New Roman"/>
                <w:noProof/>
                <w:webHidden/>
                <w:sz w:val="24"/>
                <w:szCs w:val="24"/>
              </w:rPr>
              <w:fldChar w:fldCharType="begin"/>
            </w:r>
            <w:r w:rsidR="00646982" w:rsidRPr="00646982">
              <w:rPr>
                <w:rFonts w:ascii="Times New Roman" w:hAnsi="Times New Roman" w:cs="Times New Roman"/>
                <w:noProof/>
                <w:webHidden/>
                <w:sz w:val="24"/>
                <w:szCs w:val="24"/>
              </w:rPr>
              <w:instrText xml:space="preserve"> PAGEREF _Toc171383521 \h </w:instrText>
            </w:r>
            <w:r w:rsidR="00646982" w:rsidRPr="00646982">
              <w:rPr>
                <w:rFonts w:ascii="Times New Roman" w:hAnsi="Times New Roman" w:cs="Times New Roman"/>
                <w:noProof/>
                <w:webHidden/>
                <w:sz w:val="24"/>
                <w:szCs w:val="24"/>
              </w:rPr>
            </w:r>
            <w:r w:rsidR="00646982" w:rsidRPr="00646982">
              <w:rPr>
                <w:rFonts w:ascii="Times New Roman" w:hAnsi="Times New Roman" w:cs="Times New Roman"/>
                <w:noProof/>
                <w:webHidden/>
                <w:sz w:val="24"/>
                <w:szCs w:val="24"/>
              </w:rPr>
              <w:fldChar w:fldCharType="separate"/>
            </w:r>
            <w:r w:rsidR="00646982" w:rsidRPr="00646982">
              <w:rPr>
                <w:rFonts w:ascii="Times New Roman" w:hAnsi="Times New Roman" w:cs="Times New Roman"/>
                <w:noProof/>
                <w:webHidden/>
                <w:sz w:val="24"/>
                <w:szCs w:val="24"/>
              </w:rPr>
              <w:t>4</w:t>
            </w:r>
            <w:r w:rsidR="00646982" w:rsidRPr="00646982">
              <w:rPr>
                <w:rFonts w:ascii="Times New Roman" w:hAnsi="Times New Roman" w:cs="Times New Roman"/>
                <w:noProof/>
                <w:webHidden/>
                <w:sz w:val="24"/>
                <w:szCs w:val="24"/>
              </w:rPr>
              <w:fldChar w:fldCharType="end"/>
            </w:r>
          </w:hyperlink>
        </w:p>
        <w:p w14:paraId="2B67B9DD" w14:textId="77777777" w:rsidR="00646982" w:rsidRPr="00646982" w:rsidRDefault="00D46E2F" w:rsidP="00646982">
          <w:pPr>
            <w:pStyle w:val="TOC1"/>
            <w:tabs>
              <w:tab w:val="right" w:leader="dot" w:pos="9350"/>
            </w:tabs>
            <w:spacing w:before="100" w:beforeAutospacing="1" w:afterAutospacing="1" w:line="360" w:lineRule="auto"/>
            <w:jc w:val="both"/>
            <w:rPr>
              <w:rFonts w:ascii="Times New Roman" w:hAnsi="Times New Roman" w:cs="Times New Roman"/>
              <w:noProof/>
              <w:sz w:val="24"/>
              <w:szCs w:val="24"/>
            </w:rPr>
          </w:pPr>
          <w:hyperlink w:anchor="_Toc171383522" w:history="1">
            <w:r w:rsidR="00646982" w:rsidRPr="00646982">
              <w:rPr>
                <w:rStyle w:val="Hyperlink"/>
                <w:rFonts w:ascii="Times New Roman" w:hAnsi="Times New Roman" w:cs="Times New Roman"/>
                <w:noProof/>
                <w:color w:val="auto"/>
                <w:sz w:val="24"/>
                <w:szCs w:val="24"/>
                <w:lang w:val="en-GB"/>
              </w:rPr>
              <w:t>Evaluating Theoretical Models of Corporate Value, International Cost of Capital, and Financial Structure</w:t>
            </w:r>
            <w:r w:rsidR="00646982" w:rsidRPr="00646982">
              <w:rPr>
                <w:rFonts w:ascii="Times New Roman" w:hAnsi="Times New Roman" w:cs="Times New Roman"/>
                <w:noProof/>
                <w:webHidden/>
                <w:sz w:val="24"/>
                <w:szCs w:val="24"/>
              </w:rPr>
              <w:tab/>
            </w:r>
            <w:r w:rsidR="00646982" w:rsidRPr="00646982">
              <w:rPr>
                <w:rFonts w:ascii="Times New Roman" w:hAnsi="Times New Roman" w:cs="Times New Roman"/>
                <w:noProof/>
                <w:webHidden/>
                <w:sz w:val="24"/>
                <w:szCs w:val="24"/>
              </w:rPr>
              <w:fldChar w:fldCharType="begin"/>
            </w:r>
            <w:r w:rsidR="00646982" w:rsidRPr="00646982">
              <w:rPr>
                <w:rFonts w:ascii="Times New Roman" w:hAnsi="Times New Roman" w:cs="Times New Roman"/>
                <w:noProof/>
                <w:webHidden/>
                <w:sz w:val="24"/>
                <w:szCs w:val="24"/>
              </w:rPr>
              <w:instrText xml:space="preserve"> PAGEREF _Toc171383522 \h </w:instrText>
            </w:r>
            <w:r w:rsidR="00646982" w:rsidRPr="00646982">
              <w:rPr>
                <w:rFonts w:ascii="Times New Roman" w:hAnsi="Times New Roman" w:cs="Times New Roman"/>
                <w:noProof/>
                <w:webHidden/>
                <w:sz w:val="24"/>
                <w:szCs w:val="24"/>
              </w:rPr>
            </w:r>
            <w:r w:rsidR="00646982" w:rsidRPr="00646982">
              <w:rPr>
                <w:rFonts w:ascii="Times New Roman" w:hAnsi="Times New Roman" w:cs="Times New Roman"/>
                <w:noProof/>
                <w:webHidden/>
                <w:sz w:val="24"/>
                <w:szCs w:val="24"/>
              </w:rPr>
              <w:fldChar w:fldCharType="separate"/>
            </w:r>
            <w:r w:rsidR="00646982" w:rsidRPr="00646982">
              <w:rPr>
                <w:rFonts w:ascii="Times New Roman" w:hAnsi="Times New Roman" w:cs="Times New Roman"/>
                <w:noProof/>
                <w:webHidden/>
                <w:sz w:val="24"/>
                <w:szCs w:val="24"/>
              </w:rPr>
              <w:t>5</w:t>
            </w:r>
            <w:r w:rsidR="00646982" w:rsidRPr="00646982">
              <w:rPr>
                <w:rFonts w:ascii="Times New Roman" w:hAnsi="Times New Roman" w:cs="Times New Roman"/>
                <w:noProof/>
                <w:webHidden/>
                <w:sz w:val="24"/>
                <w:szCs w:val="24"/>
              </w:rPr>
              <w:fldChar w:fldCharType="end"/>
            </w:r>
          </w:hyperlink>
        </w:p>
        <w:p w14:paraId="4552276E" w14:textId="77777777" w:rsidR="00646982" w:rsidRPr="00646982" w:rsidRDefault="00D46E2F" w:rsidP="00646982">
          <w:pPr>
            <w:pStyle w:val="TOC1"/>
            <w:tabs>
              <w:tab w:val="right" w:leader="dot" w:pos="9350"/>
            </w:tabs>
            <w:spacing w:before="100" w:beforeAutospacing="1" w:afterAutospacing="1" w:line="360" w:lineRule="auto"/>
            <w:jc w:val="both"/>
            <w:rPr>
              <w:rFonts w:ascii="Times New Roman" w:hAnsi="Times New Roman" w:cs="Times New Roman"/>
              <w:noProof/>
              <w:sz w:val="24"/>
              <w:szCs w:val="24"/>
            </w:rPr>
          </w:pPr>
          <w:hyperlink w:anchor="_Toc171383523" w:history="1">
            <w:r w:rsidR="00646982" w:rsidRPr="00646982">
              <w:rPr>
                <w:rStyle w:val="Hyperlink"/>
                <w:rFonts w:ascii="Times New Roman" w:hAnsi="Times New Roman" w:cs="Times New Roman"/>
                <w:noProof/>
                <w:color w:val="auto"/>
                <w:sz w:val="24"/>
                <w:szCs w:val="24"/>
                <w:lang w:val="en-GB"/>
              </w:rPr>
              <w:t>Conclusion</w:t>
            </w:r>
            <w:r w:rsidR="00646982" w:rsidRPr="00646982">
              <w:rPr>
                <w:rFonts w:ascii="Times New Roman" w:hAnsi="Times New Roman" w:cs="Times New Roman"/>
                <w:noProof/>
                <w:webHidden/>
                <w:sz w:val="24"/>
                <w:szCs w:val="24"/>
              </w:rPr>
              <w:tab/>
            </w:r>
            <w:r w:rsidR="00646982" w:rsidRPr="00646982">
              <w:rPr>
                <w:rFonts w:ascii="Times New Roman" w:hAnsi="Times New Roman" w:cs="Times New Roman"/>
                <w:noProof/>
                <w:webHidden/>
                <w:sz w:val="24"/>
                <w:szCs w:val="24"/>
              </w:rPr>
              <w:fldChar w:fldCharType="begin"/>
            </w:r>
            <w:r w:rsidR="00646982" w:rsidRPr="00646982">
              <w:rPr>
                <w:rFonts w:ascii="Times New Roman" w:hAnsi="Times New Roman" w:cs="Times New Roman"/>
                <w:noProof/>
                <w:webHidden/>
                <w:sz w:val="24"/>
                <w:szCs w:val="24"/>
              </w:rPr>
              <w:instrText xml:space="preserve"> PAGEREF _Toc171383523 \h </w:instrText>
            </w:r>
            <w:r w:rsidR="00646982" w:rsidRPr="00646982">
              <w:rPr>
                <w:rFonts w:ascii="Times New Roman" w:hAnsi="Times New Roman" w:cs="Times New Roman"/>
                <w:noProof/>
                <w:webHidden/>
                <w:sz w:val="24"/>
                <w:szCs w:val="24"/>
              </w:rPr>
            </w:r>
            <w:r w:rsidR="00646982" w:rsidRPr="00646982">
              <w:rPr>
                <w:rFonts w:ascii="Times New Roman" w:hAnsi="Times New Roman" w:cs="Times New Roman"/>
                <w:noProof/>
                <w:webHidden/>
                <w:sz w:val="24"/>
                <w:szCs w:val="24"/>
              </w:rPr>
              <w:fldChar w:fldCharType="separate"/>
            </w:r>
            <w:r w:rsidR="00646982" w:rsidRPr="00646982">
              <w:rPr>
                <w:rFonts w:ascii="Times New Roman" w:hAnsi="Times New Roman" w:cs="Times New Roman"/>
                <w:noProof/>
                <w:webHidden/>
                <w:sz w:val="24"/>
                <w:szCs w:val="24"/>
              </w:rPr>
              <w:t>6</w:t>
            </w:r>
            <w:r w:rsidR="00646982" w:rsidRPr="00646982">
              <w:rPr>
                <w:rFonts w:ascii="Times New Roman" w:hAnsi="Times New Roman" w:cs="Times New Roman"/>
                <w:noProof/>
                <w:webHidden/>
                <w:sz w:val="24"/>
                <w:szCs w:val="24"/>
              </w:rPr>
              <w:fldChar w:fldCharType="end"/>
            </w:r>
          </w:hyperlink>
        </w:p>
        <w:p w14:paraId="67AC7825" w14:textId="379FA89E" w:rsidR="00646982" w:rsidRDefault="00D46E2F" w:rsidP="00646982">
          <w:pPr>
            <w:pStyle w:val="TOC1"/>
            <w:tabs>
              <w:tab w:val="right" w:leader="dot" w:pos="9350"/>
            </w:tabs>
            <w:spacing w:before="100" w:beforeAutospacing="1" w:afterAutospacing="1" w:line="360" w:lineRule="auto"/>
            <w:jc w:val="both"/>
          </w:pPr>
          <w:hyperlink w:anchor="_Toc171383524" w:history="1">
            <w:r w:rsidR="00646982" w:rsidRPr="00646982">
              <w:rPr>
                <w:rStyle w:val="Hyperlink"/>
                <w:rFonts w:ascii="Times New Roman" w:hAnsi="Times New Roman" w:cs="Times New Roman"/>
                <w:noProof/>
                <w:color w:val="auto"/>
                <w:sz w:val="24"/>
                <w:szCs w:val="24"/>
                <w:lang w:val="en-GB"/>
              </w:rPr>
              <w:t>Reference List</w:t>
            </w:r>
            <w:r w:rsidR="00646982" w:rsidRPr="00646982">
              <w:rPr>
                <w:rFonts w:ascii="Times New Roman" w:hAnsi="Times New Roman" w:cs="Times New Roman"/>
                <w:noProof/>
                <w:webHidden/>
                <w:sz w:val="24"/>
                <w:szCs w:val="24"/>
              </w:rPr>
              <w:tab/>
            </w:r>
            <w:r w:rsidR="00646982" w:rsidRPr="00646982">
              <w:rPr>
                <w:rFonts w:ascii="Times New Roman" w:hAnsi="Times New Roman" w:cs="Times New Roman"/>
                <w:noProof/>
                <w:webHidden/>
                <w:sz w:val="24"/>
                <w:szCs w:val="24"/>
              </w:rPr>
              <w:fldChar w:fldCharType="begin"/>
            </w:r>
            <w:r w:rsidR="00646982" w:rsidRPr="00646982">
              <w:rPr>
                <w:rFonts w:ascii="Times New Roman" w:hAnsi="Times New Roman" w:cs="Times New Roman"/>
                <w:noProof/>
                <w:webHidden/>
                <w:sz w:val="24"/>
                <w:szCs w:val="24"/>
              </w:rPr>
              <w:instrText xml:space="preserve"> PAGEREF _Toc171383524 \h </w:instrText>
            </w:r>
            <w:r w:rsidR="00646982" w:rsidRPr="00646982">
              <w:rPr>
                <w:rFonts w:ascii="Times New Roman" w:hAnsi="Times New Roman" w:cs="Times New Roman"/>
                <w:noProof/>
                <w:webHidden/>
                <w:sz w:val="24"/>
                <w:szCs w:val="24"/>
              </w:rPr>
            </w:r>
            <w:r w:rsidR="00646982" w:rsidRPr="00646982">
              <w:rPr>
                <w:rFonts w:ascii="Times New Roman" w:hAnsi="Times New Roman" w:cs="Times New Roman"/>
                <w:noProof/>
                <w:webHidden/>
                <w:sz w:val="24"/>
                <w:szCs w:val="24"/>
              </w:rPr>
              <w:fldChar w:fldCharType="separate"/>
            </w:r>
            <w:r w:rsidR="00646982" w:rsidRPr="00646982">
              <w:rPr>
                <w:rFonts w:ascii="Times New Roman" w:hAnsi="Times New Roman" w:cs="Times New Roman"/>
                <w:noProof/>
                <w:webHidden/>
                <w:sz w:val="24"/>
                <w:szCs w:val="24"/>
              </w:rPr>
              <w:t>8</w:t>
            </w:r>
            <w:r w:rsidR="00646982" w:rsidRPr="00646982">
              <w:rPr>
                <w:rFonts w:ascii="Times New Roman" w:hAnsi="Times New Roman" w:cs="Times New Roman"/>
                <w:noProof/>
                <w:webHidden/>
                <w:sz w:val="24"/>
                <w:szCs w:val="24"/>
              </w:rPr>
              <w:fldChar w:fldCharType="end"/>
            </w:r>
          </w:hyperlink>
          <w:r w:rsidR="00646982" w:rsidRPr="00646982">
            <w:rPr>
              <w:rFonts w:ascii="Times New Roman" w:hAnsi="Times New Roman" w:cs="Times New Roman"/>
              <w:b/>
              <w:bCs/>
              <w:noProof/>
              <w:sz w:val="24"/>
              <w:szCs w:val="24"/>
            </w:rPr>
            <w:fldChar w:fldCharType="end"/>
          </w:r>
        </w:p>
      </w:sdtContent>
    </w:sdt>
    <w:p w14:paraId="5BA6E711" w14:textId="77777777" w:rsidR="00646982" w:rsidRPr="00646982" w:rsidRDefault="00646982">
      <w:pPr>
        <w:rPr>
          <w:rFonts w:ascii="Times New Roman" w:hAnsi="Times New Roman" w:cs="Times New Roman"/>
          <w:b/>
          <w:bCs/>
          <w:sz w:val="24"/>
          <w:szCs w:val="24"/>
          <w:lang w:val="en-GB"/>
        </w:rPr>
      </w:pPr>
      <w:r w:rsidRPr="00646982">
        <w:rPr>
          <w:rFonts w:ascii="Times New Roman" w:hAnsi="Times New Roman" w:cs="Times New Roman"/>
          <w:b/>
          <w:bCs/>
          <w:sz w:val="24"/>
          <w:szCs w:val="24"/>
          <w:lang w:val="en-GB"/>
        </w:rPr>
        <w:br w:type="page"/>
      </w:r>
    </w:p>
    <w:p w14:paraId="00000003" w14:textId="4F5DC6F8" w:rsidR="00414A9C" w:rsidRPr="00646982" w:rsidRDefault="00FC5FA8" w:rsidP="00646982">
      <w:pPr>
        <w:pStyle w:val="Heading1"/>
        <w:rPr>
          <w:lang w:val="en-GB"/>
        </w:rPr>
      </w:pPr>
      <w:bookmarkStart w:id="0" w:name="_Toc171383519"/>
      <w:r w:rsidRPr="00646982">
        <w:rPr>
          <w:lang w:val="en-GB"/>
        </w:rPr>
        <w:lastRenderedPageBreak/>
        <w:t>Introduction</w:t>
      </w:r>
      <w:bookmarkEnd w:id="0"/>
      <w:r w:rsidRPr="00646982">
        <w:rPr>
          <w:lang w:val="en-GB"/>
        </w:rPr>
        <w:t xml:space="preserve"> </w:t>
      </w:r>
    </w:p>
    <w:p w14:paraId="2C1B7A00" w14:textId="0CFC420E" w:rsidR="00A8575D" w:rsidRPr="00646982" w:rsidRDefault="00A8575D"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t xml:space="preserve">Foreign exchange risks remain quite evident in the operations of MNCs given the investments made </w:t>
      </w:r>
      <w:r w:rsidR="003C4FF1" w:rsidRPr="00646982">
        <w:rPr>
          <w:rFonts w:ascii="Times New Roman" w:hAnsi="Times New Roman" w:cs="Times New Roman"/>
          <w:sz w:val="24"/>
          <w:szCs w:val="24"/>
          <w:lang w:val="en-GB"/>
        </w:rPr>
        <w:t>cross-nationally</w:t>
      </w:r>
      <w:r w:rsidRPr="00646982">
        <w:rPr>
          <w:rFonts w:ascii="Times New Roman" w:hAnsi="Times New Roman" w:cs="Times New Roman"/>
          <w:sz w:val="24"/>
          <w:szCs w:val="24"/>
          <w:lang w:val="en-GB"/>
        </w:rPr>
        <w:t xml:space="preserve">. </w:t>
      </w:r>
      <w:r w:rsidR="003C4FF1" w:rsidRPr="00646982">
        <w:rPr>
          <w:rFonts w:ascii="Times New Roman" w:hAnsi="Times New Roman" w:cs="Times New Roman"/>
          <w:sz w:val="24"/>
          <w:szCs w:val="24"/>
          <w:lang w:val="en-GB"/>
        </w:rPr>
        <w:t>To</w:t>
      </w:r>
      <w:r w:rsidRPr="00646982">
        <w:rPr>
          <w:rFonts w:ascii="Times New Roman" w:hAnsi="Times New Roman" w:cs="Times New Roman"/>
          <w:sz w:val="24"/>
          <w:szCs w:val="24"/>
          <w:lang w:val="en-GB"/>
        </w:rPr>
        <w:t xml:space="preserve"> manage these risks here under, MNCs put into practice several strategies consistent with IFM theories. One such important technique is Foreign Exchange Derivatives like forwards, </w:t>
      </w:r>
      <w:r w:rsidR="003C4FF1" w:rsidRPr="00646982">
        <w:rPr>
          <w:rFonts w:ascii="Times New Roman" w:hAnsi="Times New Roman" w:cs="Times New Roman"/>
          <w:sz w:val="24"/>
          <w:szCs w:val="24"/>
          <w:lang w:val="en-GB"/>
        </w:rPr>
        <w:t>futures</w:t>
      </w:r>
      <w:r w:rsidRPr="00646982">
        <w:rPr>
          <w:rFonts w:ascii="Times New Roman" w:hAnsi="Times New Roman" w:cs="Times New Roman"/>
          <w:sz w:val="24"/>
          <w:szCs w:val="24"/>
          <w:lang w:val="en-GB"/>
        </w:rPr>
        <w:t>, options</w:t>
      </w:r>
      <w:r w:rsidR="003C4FF1" w:rsidRPr="00646982">
        <w:rPr>
          <w:rFonts w:ascii="Times New Roman" w:hAnsi="Times New Roman" w:cs="Times New Roman"/>
          <w:sz w:val="24"/>
          <w:szCs w:val="24"/>
          <w:lang w:val="en-GB"/>
        </w:rPr>
        <w:t>,</w:t>
      </w:r>
      <w:r w:rsidRPr="00646982">
        <w:rPr>
          <w:rFonts w:ascii="Times New Roman" w:hAnsi="Times New Roman" w:cs="Times New Roman"/>
          <w:sz w:val="24"/>
          <w:szCs w:val="24"/>
          <w:lang w:val="en-GB"/>
        </w:rPr>
        <w:t xml:space="preserve"> and swaps. These instruments allow MNCs to have </w:t>
      </w:r>
      <w:r w:rsidR="003C4FF1" w:rsidRPr="00646982">
        <w:rPr>
          <w:rFonts w:ascii="Times New Roman" w:hAnsi="Times New Roman" w:cs="Times New Roman"/>
          <w:sz w:val="24"/>
          <w:szCs w:val="24"/>
          <w:lang w:val="en-GB"/>
        </w:rPr>
        <w:t>a</w:t>
      </w:r>
      <w:r w:rsidRPr="00646982">
        <w:rPr>
          <w:rFonts w:ascii="Times New Roman" w:hAnsi="Times New Roman" w:cs="Times New Roman"/>
          <w:sz w:val="24"/>
          <w:szCs w:val="24"/>
          <w:lang w:val="en-GB"/>
        </w:rPr>
        <w:t xml:space="preserve"> budget in a particular foreign currency </w:t>
      </w:r>
      <w:r w:rsidR="003C4FF1" w:rsidRPr="00646982">
        <w:rPr>
          <w:rFonts w:ascii="Times New Roman" w:hAnsi="Times New Roman" w:cs="Times New Roman"/>
          <w:sz w:val="24"/>
          <w:szCs w:val="24"/>
          <w:lang w:val="en-GB"/>
        </w:rPr>
        <w:t>to</w:t>
      </w:r>
      <w:r w:rsidRPr="00646982">
        <w:rPr>
          <w:rFonts w:ascii="Times New Roman" w:hAnsi="Times New Roman" w:cs="Times New Roman"/>
          <w:sz w:val="24"/>
          <w:szCs w:val="24"/>
          <w:lang w:val="en-GB"/>
        </w:rPr>
        <w:t xml:space="preserve"> </w:t>
      </w:r>
      <w:r w:rsidR="00646982">
        <w:rPr>
          <w:rFonts w:ascii="Times New Roman" w:hAnsi="Times New Roman" w:cs="Times New Roman"/>
          <w:sz w:val="24"/>
          <w:szCs w:val="24"/>
          <w:lang w:val="en-GB"/>
        </w:rPr>
        <w:t>minimis</w:t>
      </w:r>
      <w:r w:rsidR="003C4FF1" w:rsidRPr="00646982">
        <w:rPr>
          <w:rFonts w:ascii="Times New Roman" w:hAnsi="Times New Roman" w:cs="Times New Roman"/>
          <w:sz w:val="24"/>
          <w:szCs w:val="24"/>
          <w:lang w:val="en-GB"/>
        </w:rPr>
        <w:t>e</w:t>
      </w:r>
      <w:r w:rsidRPr="00646982">
        <w:rPr>
          <w:rFonts w:ascii="Times New Roman" w:hAnsi="Times New Roman" w:cs="Times New Roman"/>
          <w:sz w:val="24"/>
          <w:szCs w:val="24"/>
          <w:lang w:val="en-GB"/>
        </w:rPr>
        <w:t xml:space="preserve"> transaction exposure by locking the exchange rate</w:t>
      </w:r>
      <w:r w:rsidR="004A64E4" w:rsidRPr="00646982">
        <w:rPr>
          <w:rFonts w:ascii="Times New Roman" w:hAnsi="Times New Roman" w:cs="Times New Roman"/>
          <w:sz w:val="24"/>
          <w:szCs w:val="24"/>
          <w:lang w:val="en-GB"/>
        </w:rPr>
        <w:t xml:space="preserve"> (</w:t>
      </w:r>
      <w:r w:rsidR="004A64E4" w:rsidRPr="00646982">
        <w:rPr>
          <w:rFonts w:ascii="Times New Roman" w:hAnsi="Times New Roman" w:cs="Times New Roman"/>
          <w:color w:val="222222"/>
          <w:sz w:val="24"/>
          <w:szCs w:val="24"/>
          <w:shd w:val="clear" w:color="auto" w:fill="FFFFFF"/>
          <w:lang w:val="en-GB"/>
        </w:rPr>
        <w:t>Eun, Resnick and Chuluun, 2021)</w:t>
      </w:r>
      <w:r w:rsidRPr="00646982">
        <w:rPr>
          <w:rFonts w:ascii="Times New Roman" w:hAnsi="Times New Roman" w:cs="Times New Roman"/>
          <w:sz w:val="24"/>
          <w:szCs w:val="24"/>
          <w:lang w:val="en-GB"/>
        </w:rPr>
        <w:t xml:space="preserve">. The last one is using of natural hedging which means that assets and corresponding liabilities are in the same foreign currency Removing economic exposure decreases the overall foreign exchange risk. </w:t>
      </w:r>
    </w:p>
    <w:p w14:paraId="00000009" w14:textId="51715301" w:rsidR="00414A9C" w:rsidRPr="00646982" w:rsidRDefault="00A8575D"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t>MNCs also invest and operate, sell goods and services</w:t>
      </w:r>
      <w:r w:rsidR="003C4FF1" w:rsidRPr="00646982">
        <w:rPr>
          <w:rFonts w:ascii="Times New Roman" w:hAnsi="Times New Roman" w:cs="Times New Roman"/>
          <w:sz w:val="24"/>
          <w:szCs w:val="24"/>
          <w:lang w:val="en-GB"/>
        </w:rPr>
        <w:t>,</w:t>
      </w:r>
      <w:r w:rsidRPr="00646982">
        <w:rPr>
          <w:rFonts w:ascii="Times New Roman" w:hAnsi="Times New Roman" w:cs="Times New Roman"/>
          <w:sz w:val="24"/>
          <w:szCs w:val="24"/>
          <w:lang w:val="en-GB"/>
        </w:rPr>
        <w:t xml:space="preserve"> and finance in </w:t>
      </w:r>
      <w:r w:rsidR="003C4FF1" w:rsidRPr="00646982">
        <w:rPr>
          <w:rFonts w:ascii="Times New Roman" w:hAnsi="Times New Roman" w:cs="Times New Roman"/>
          <w:sz w:val="24"/>
          <w:szCs w:val="24"/>
          <w:lang w:val="en-GB"/>
        </w:rPr>
        <w:t>several</w:t>
      </w:r>
      <w:r w:rsidRPr="00646982">
        <w:rPr>
          <w:rFonts w:ascii="Times New Roman" w:hAnsi="Times New Roman" w:cs="Times New Roman"/>
          <w:sz w:val="24"/>
          <w:szCs w:val="24"/>
          <w:lang w:val="en-GB"/>
        </w:rPr>
        <w:t xml:space="preserve"> countries to distribute the variation in foreign exchange risks. It acts to decrease the effects of an adverse currency movement in any of the global markets. Moreover, to cope with transaction exposure, the MNCs use the leading and lagging techniques by synchroni</w:t>
      </w:r>
      <w:r w:rsidR="00646982">
        <w:rPr>
          <w:rFonts w:ascii="Times New Roman" w:hAnsi="Times New Roman" w:cs="Times New Roman"/>
          <w:sz w:val="24"/>
          <w:szCs w:val="24"/>
          <w:lang w:val="en-GB"/>
        </w:rPr>
        <w:t>s</w:t>
      </w:r>
      <w:r w:rsidRPr="00646982">
        <w:rPr>
          <w:rFonts w:ascii="Times New Roman" w:hAnsi="Times New Roman" w:cs="Times New Roman"/>
          <w:sz w:val="24"/>
          <w:szCs w:val="24"/>
          <w:lang w:val="en-GB"/>
        </w:rPr>
        <w:t>ing the conversion of current receivables and payables with the fluctuating exchange rate movements. Some MNCs also practice the use of interest rate differential between countries as supported by the Interest Rate Parity theory. This can produce other benefits that will help in coping with such risks for instance foreign exchange risks. MNCs rely on these strategies based on the key theories of IFM like PPP, Fisher Effect</w:t>
      </w:r>
      <w:r w:rsidR="003C4FF1" w:rsidRPr="00646982">
        <w:rPr>
          <w:rFonts w:ascii="Times New Roman" w:hAnsi="Times New Roman" w:cs="Times New Roman"/>
          <w:sz w:val="24"/>
          <w:szCs w:val="24"/>
          <w:lang w:val="en-GB"/>
        </w:rPr>
        <w:t>,</w:t>
      </w:r>
      <w:r w:rsidRPr="00646982">
        <w:rPr>
          <w:rFonts w:ascii="Times New Roman" w:hAnsi="Times New Roman" w:cs="Times New Roman"/>
          <w:sz w:val="24"/>
          <w:szCs w:val="24"/>
          <w:lang w:val="en-GB"/>
        </w:rPr>
        <w:t xml:space="preserve"> and IFE for mitigating their foreign exchange risks. </w:t>
      </w:r>
      <w:r w:rsidR="004A64E4" w:rsidRPr="00646982">
        <w:rPr>
          <w:rFonts w:ascii="Times New Roman" w:hAnsi="Times New Roman" w:cs="Times New Roman"/>
          <w:sz w:val="24"/>
          <w:szCs w:val="24"/>
          <w:lang w:val="en-GB"/>
        </w:rPr>
        <w:t xml:space="preserve">As per </w:t>
      </w:r>
      <w:r w:rsidR="004A64E4" w:rsidRPr="00646982">
        <w:rPr>
          <w:rFonts w:ascii="Times New Roman" w:hAnsi="Times New Roman" w:cs="Times New Roman"/>
          <w:color w:val="222222"/>
          <w:sz w:val="24"/>
          <w:szCs w:val="24"/>
          <w:shd w:val="clear" w:color="auto" w:fill="FFFFFF"/>
          <w:lang w:val="en-GB"/>
        </w:rPr>
        <w:t xml:space="preserve">Moffett, Stonehill and Eiteman (2021), </w:t>
      </w:r>
      <w:r w:rsidR="004A64E4" w:rsidRPr="00646982">
        <w:rPr>
          <w:rFonts w:ascii="Times New Roman" w:hAnsi="Times New Roman" w:cs="Times New Roman"/>
          <w:sz w:val="24"/>
          <w:szCs w:val="24"/>
          <w:lang w:val="en-GB"/>
        </w:rPr>
        <w:t>t</w:t>
      </w:r>
      <w:r w:rsidRPr="00646982">
        <w:rPr>
          <w:rFonts w:ascii="Times New Roman" w:hAnsi="Times New Roman" w:cs="Times New Roman"/>
          <w:sz w:val="24"/>
          <w:szCs w:val="24"/>
          <w:lang w:val="en-GB"/>
        </w:rPr>
        <w:t xml:space="preserve">hrough </w:t>
      </w:r>
      <w:r w:rsidR="003C4FF1" w:rsidRPr="00646982">
        <w:rPr>
          <w:rFonts w:ascii="Times New Roman" w:hAnsi="Times New Roman" w:cs="Times New Roman"/>
          <w:sz w:val="24"/>
          <w:szCs w:val="24"/>
          <w:lang w:val="en-GB"/>
        </w:rPr>
        <w:t xml:space="preserve">the </w:t>
      </w:r>
      <w:r w:rsidRPr="00646982">
        <w:rPr>
          <w:rFonts w:ascii="Times New Roman" w:hAnsi="Times New Roman" w:cs="Times New Roman"/>
          <w:sz w:val="24"/>
          <w:szCs w:val="24"/>
          <w:lang w:val="en-GB"/>
        </w:rPr>
        <w:t xml:space="preserve">application of the </w:t>
      </w:r>
      <w:r w:rsidR="003C4FF1" w:rsidRPr="00646982">
        <w:rPr>
          <w:rFonts w:ascii="Times New Roman" w:hAnsi="Times New Roman" w:cs="Times New Roman"/>
          <w:sz w:val="24"/>
          <w:szCs w:val="24"/>
          <w:lang w:val="en-GB"/>
        </w:rPr>
        <w:t>above-presented</w:t>
      </w:r>
      <w:r w:rsidRPr="00646982">
        <w:rPr>
          <w:rFonts w:ascii="Times New Roman" w:hAnsi="Times New Roman" w:cs="Times New Roman"/>
          <w:sz w:val="24"/>
          <w:szCs w:val="24"/>
          <w:lang w:val="en-GB"/>
        </w:rPr>
        <w:t xml:space="preserve"> strategy, MNCs will be in a position to offset the </w:t>
      </w:r>
      <w:r w:rsidR="003C4FF1" w:rsidRPr="00646982">
        <w:rPr>
          <w:rFonts w:ascii="Times New Roman" w:hAnsi="Times New Roman" w:cs="Times New Roman"/>
          <w:sz w:val="24"/>
          <w:szCs w:val="24"/>
          <w:lang w:val="en-GB"/>
        </w:rPr>
        <w:t>effects</w:t>
      </w:r>
      <w:r w:rsidRPr="00646982">
        <w:rPr>
          <w:rFonts w:ascii="Times New Roman" w:hAnsi="Times New Roman" w:cs="Times New Roman"/>
          <w:sz w:val="24"/>
          <w:szCs w:val="24"/>
          <w:lang w:val="en-GB"/>
        </w:rPr>
        <w:t xml:space="preserve"> of fluctuation in foreign exchange and sustain competitiveness in the global market.</w:t>
      </w:r>
    </w:p>
    <w:p w14:paraId="33F93FFD" w14:textId="77777777" w:rsidR="00A8575D" w:rsidRPr="00646982" w:rsidRDefault="00FC5FA8" w:rsidP="00646982">
      <w:pPr>
        <w:pStyle w:val="Heading1"/>
        <w:rPr>
          <w:lang w:val="en-GB"/>
        </w:rPr>
      </w:pPr>
      <w:bookmarkStart w:id="1" w:name="_Toc171383520"/>
      <w:r w:rsidRPr="00646982">
        <w:rPr>
          <w:lang w:val="en-GB"/>
        </w:rPr>
        <w:t>Applying and Evaluating IFM Theories and Models</w:t>
      </w:r>
      <w:bookmarkEnd w:id="1"/>
    </w:p>
    <w:p w14:paraId="186F645D" w14:textId="1947B6B6" w:rsidR="00A8575D" w:rsidRPr="00646982" w:rsidRDefault="003C4FF1"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t>At</w:t>
      </w:r>
      <w:r w:rsidR="00A8575D" w:rsidRPr="00646982">
        <w:rPr>
          <w:rFonts w:ascii="Times New Roman" w:hAnsi="Times New Roman" w:cs="Times New Roman"/>
          <w:sz w:val="24"/>
          <w:szCs w:val="24"/>
          <w:lang w:val="en-GB"/>
        </w:rPr>
        <w:t xml:space="preserve"> the end of this module, the students should be able to: Among them, theoretical knowledge of IFM theories such as Purchasing Power Parity, Fisher Effect, and International Fisher Effect. The knowledge of IFM instruments that are conducive to MNCs shall be shown. The PPP theory claims that the exchange rate should be in such a manner that would make the spending power of the different currencies to be similar</w:t>
      </w:r>
      <w:r w:rsidR="004A64E4" w:rsidRPr="00646982">
        <w:rPr>
          <w:rFonts w:ascii="Times New Roman" w:hAnsi="Times New Roman" w:cs="Times New Roman"/>
          <w:sz w:val="24"/>
          <w:szCs w:val="24"/>
          <w:lang w:val="en-GB"/>
        </w:rPr>
        <w:t xml:space="preserve"> (</w:t>
      </w:r>
      <w:r w:rsidR="004A64E4" w:rsidRPr="00646982">
        <w:rPr>
          <w:rFonts w:ascii="Times New Roman" w:eastAsia="Times New Roman" w:hAnsi="Times New Roman" w:cs="Times New Roman"/>
          <w:color w:val="222222"/>
          <w:sz w:val="24"/>
          <w:szCs w:val="24"/>
          <w:lang w:val="en-GB"/>
        </w:rPr>
        <w:t>Shenkar, Luo and Chi, 2021)</w:t>
      </w:r>
      <w:r w:rsidR="00A8575D" w:rsidRPr="00646982">
        <w:rPr>
          <w:rFonts w:ascii="Times New Roman" w:hAnsi="Times New Roman" w:cs="Times New Roman"/>
          <w:sz w:val="24"/>
          <w:szCs w:val="24"/>
          <w:lang w:val="en-GB"/>
        </w:rPr>
        <w:t xml:space="preserve">. The students should be capable of making use of this theory to predict rates of exchange as well, as to examine overseas investment. </w:t>
      </w:r>
      <w:r w:rsidR="00A8575D" w:rsidRPr="00646982">
        <w:rPr>
          <w:rFonts w:ascii="Times New Roman" w:hAnsi="Times New Roman" w:cs="Times New Roman"/>
          <w:sz w:val="24"/>
          <w:szCs w:val="24"/>
          <w:lang w:val="en-GB"/>
        </w:rPr>
        <w:lastRenderedPageBreak/>
        <w:t xml:space="preserve">For instance, if inflations in a given country are higher than those in another country, according to the theory, the former shall gradually decline in value. </w:t>
      </w:r>
    </w:p>
    <w:p w14:paraId="00000016" w14:textId="41EEE15B" w:rsidR="00414A9C" w:rsidRPr="00646982" w:rsidRDefault="00A8575D"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t>According to the Fisher Effect theory</w:t>
      </w:r>
      <w:r w:rsidR="004A64E4" w:rsidRPr="00646982">
        <w:rPr>
          <w:rFonts w:ascii="Times New Roman" w:hAnsi="Times New Roman" w:cs="Times New Roman"/>
          <w:sz w:val="24"/>
          <w:szCs w:val="24"/>
          <w:lang w:val="en-GB"/>
        </w:rPr>
        <w:t>,</w:t>
      </w:r>
      <w:r w:rsidRPr="00646982">
        <w:rPr>
          <w:rFonts w:ascii="Times New Roman" w:hAnsi="Times New Roman" w:cs="Times New Roman"/>
          <w:sz w:val="24"/>
          <w:szCs w:val="24"/>
          <w:lang w:val="en-GB"/>
        </w:rPr>
        <w:t xml:space="preserve"> nominal interest rate is equal to the real interest rate plus the inflation rate that is expected to occur in the future. In the global scenario, the International Fisher Effect theory further builds up this idea with a proposition that differences in nominal interest rates of different countries are adjusted by the expected change in exchange rates. Students should also be able to use these theories to calculate the cost of capital for the MNCs that are operating across boundaries and thereby the MNCs can carry out International arbitrage taking advantage of the International rate differentials.</w:t>
      </w:r>
      <w:r w:rsidR="003C4FF1" w:rsidRPr="00646982">
        <w:rPr>
          <w:rFonts w:ascii="Times New Roman" w:hAnsi="Times New Roman" w:cs="Times New Roman"/>
          <w:sz w:val="24"/>
          <w:szCs w:val="24"/>
          <w:lang w:val="en-GB"/>
        </w:rPr>
        <w:t xml:space="preserve"> </w:t>
      </w:r>
      <w:r w:rsidRPr="00646982">
        <w:rPr>
          <w:rFonts w:ascii="Times New Roman" w:hAnsi="Times New Roman" w:cs="Times New Roman"/>
          <w:sz w:val="24"/>
          <w:szCs w:val="24"/>
          <w:lang w:val="en-GB"/>
        </w:rPr>
        <w:t xml:space="preserve"> In addition, students should be able to identify and incorporate country risk and appropriate discount rates in the MNC capital budgeting decisions. What this suggests is that in projecting operating cash flows, there is a need to modify the discount rate to take into consideration factors like the PEF risks of the country. At the end of his learning, the student should be able to apply and to </w:t>
      </w:r>
      <w:r w:rsidR="00646982">
        <w:rPr>
          <w:rFonts w:ascii="Times New Roman" w:hAnsi="Times New Roman" w:cs="Times New Roman"/>
          <w:sz w:val="24"/>
          <w:szCs w:val="24"/>
          <w:lang w:val="en-GB"/>
        </w:rPr>
        <w:t>critically analys</w:t>
      </w:r>
      <w:r w:rsidRPr="00646982">
        <w:rPr>
          <w:rFonts w:ascii="Times New Roman" w:hAnsi="Times New Roman" w:cs="Times New Roman"/>
          <w:sz w:val="24"/>
          <w:szCs w:val="24"/>
          <w:lang w:val="en-GB"/>
        </w:rPr>
        <w:t>e the IFM theories and models relevant to the management of foreign exchange risks and financial strategies</w:t>
      </w:r>
      <w:r w:rsidR="004A64E4" w:rsidRPr="00646982">
        <w:rPr>
          <w:rFonts w:ascii="Times New Roman" w:hAnsi="Times New Roman" w:cs="Times New Roman"/>
          <w:sz w:val="24"/>
          <w:szCs w:val="24"/>
          <w:lang w:val="en-GB"/>
        </w:rPr>
        <w:t xml:space="preserve">. As per </w:t>
      </w:r>
      <w:r w:rsidR="004A64E4" w:rsidRPr="00646982">
        <w:rPr>
          <w:rFonts w:ascii="Times New Roman" w:hAnsi="Times New Roman" w:cs="Times New Roman"/>
          <w:color w:val="222222"/>
          <w:sz w:val="24"/>
          <w:szCs w:val="24"/>
          <w:shd w:val="clear" w:color="auto" w:fill="FFFFFF"/>
          <w:lang w:val="en-GB"/>
        </w:rPr>
        <w:t xml:space="preserve">Ferraris, Santoro and Scuotto (2020), </w:t>
      </w:r>
      <w:r w:rsidR="004A64E4" w:rsidRPr="00646982">
        <w:rPr>
          <w:rFonts w:ascii="Times New Roman" w:hAnsi="Times New Roman" w:cs="Times New Roman"/>
          <w:sz w:val="24"/>
          <w:szCs w:val="24"/>
          <w:lang w:val="en-GB"/>
        </w:rPr>
        <w:t xml:space="preserve">this is </w:t>
      </w:r>
      <w:r w:rsidRPr="00646982">
        <w:rPr>
          <w:rFonts w:ascii="Times New Roman" w:hAnsi="Times New Roman" w:cs="Times New Roman"/>
          <w:sz w:val="24"/>
          <w:szCs w:val="24"/>
          <w:lang w:val="en-GB"/>
        </w:rPr>
        <w:t>thrown to them by today’s competitive international environment in the context of their roles in Multinational Companies.</w:t>
      </w:r>
    </w:p>
    <w:p w14:paraId="00000017" w14:textId="55320EA8" w:rsidR="00414A9C" w:rsidRPr="00646982" w:rsidRDefault="00FC5FA8" w:rsidP="00646982">
      <w:pPr>
        <w:pStyle w:val="Heading1"/>
        <w:rPr>
          <w:lang w:val="en-GB"/>
        </w:rPr>
      </w:pPr>
      <w:bookmarkStart w:id="2" w:name="_Toc171383521"/>
      <w:r w:rsidRPr="00646982">
        <w:rPr>
          <w:lang w:val="en-GB"/>
        </w:rPr>
        <w:t>Financing Strategies for International Businesses</w:t>
      </w:r>
      <w:bookmarkEnd w:id="2"/>
    </w:p>
    <w:p w14:paraId="41D443F7" w14:textId="2CC31477" w:rsidR="00A8575D" w:rsidRPr="00646982" w:rsidRDefault="00A8575D"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t>The global operation of business orga</w:t>
      </w:r>
      <w:r w:rsidR="00646982">
        <w:rPr>
          <w:rFonts w:ascii="Times New Roman" w:hAnsi="Times New Roman" w:cs="Times New Roman"/>
          <w:sz w:val="24"/>
          <w:szCs w:val="24"/>
          <w:lang w:val="en-GB"/>
        </w:rPr>
        <w:t>nisa</w:t>
      </w:r>
      <w:r w:rsidRPr="00646982">
        <w:rPr>
          <w:rFonts w:ascii="Times New Roman" w:hAnsi="Times New Roman" w:cs="Times New Roman"/>
          <w:sz w:val="24"/>
          <w:szCs w:val="24"/>
          <w:lang w:val="en-GB"/>
        </w:rPr>
        <w:t xml:space="preserve">tions entails some specific financial issues for MNCs regarding the financing of their activities. Since the operations of MNCs </w:t>
      </w:r>
      <w:r w:rsidR="003C4FF1" w:rsidRPr="00646982">
        <w:rPr>
          <w:rFonts w:ascii="Times New Roman" w:hAnsi="Times New Roman" w:cs="Times New Roman"/>
          <w:sz w:val="24"/>
          <w:szCs w:val="24"/>
          <w:lang w:val="en-GB"/>
        </w:rPr>
        <w:t>involve</w:t>
      </w:r>
      <w:r w:rsidRPr="00646982">
        <w:rPr>
          <w:rFonts w:ascii="Times New Roman" w:hAnsi="Times New Roman" w:cs="Times New Roman"/>
          <w:sz w:val="24"/>
          <w:szCs w:val="24"/>
          <w:lang w:val="en-GB"/>
        </w:rPr>
        <w:t xml:space="preserve"> international business, the proper management requires that the officials not only consider and adopt policies regarding the financing of their operations but also critically </w:t>
      </w:r>
      <w:r w:rsidR="00646982">
        <w:rPr>
          <w:rFonts w:ascii="Times New Roman" w:hAnsi="Times New Roman" w:cs="Times New Roman"/>
          <w:sz w:val="24"/>
          <w:szCs w:val="24"/>
          <w:lang w:val="en-GB"/>
        </w:rPr>
        <w:t>analys</w:t>
      </w:r>
      <w:r w:rsidR="003C4FF1" w:rsidRPr="00646982">
        <w:rPr>
          <w:rFonts w:ascii="Times New Roman" w:hAnsi="Times New Roman" w:cs="Times New Roman"/>
          <w:sz w:val="24"/>
          <w:szCs w:val="24"/>
          <w:lang w:val="en-GB"/>
        </w:rPr>
        <w:t>e</w:t>
      </w:r>
      <w:r w:rsidRPr="00646982">
        <w:rPr>
          <w:rFonts w:ascii="Times New Roman" w:hAnsi="Times New Roman" w:cs="Times New Roman"/>
          <w:sz w:val="24"/>
          <w:szCs w:val="24"/>
          <w:lang w:val="en-GB"/>
        </w:rPr>
        <w:t xml:space="preserve"> this or that method or technique used in financing. The other important avenue of financing, especially by international businesses is through the use of forex derivatives like forward contracts, futures, </w:t>
      </w:r>
      <w:r w:rsidR="003C4FF1" w:rsidRPr="00646982">
        <w:rPr>
          <w:rFonts w:ascii="Times New Roman" w:hAnsi="Times New Roman" w:cs="Times New Roman"/>
          <w:sz w:val="24"/>
          <w:szCs w:val="24"/>
          <w:lang w:val="en-GB"/>
        </w:rPr>
        <w:t>options,</w:t>
      </w:r>
      <w:r w:rsidRPr="00646982">
        <w:rPr>
          <w:rFonts w:ascii="Times New Roman" w:hAnsi="Times New Roman" w:cs="Times New Roman"/>
          <w:sz w:val="24"/>
          <w:szCs w:val="24"/>
          <w:lang w:val="en-GB"/>
        </w:rPr>
        <w:t xml:space="preserve"> and swaps. These instru</w:t>
      </w:r>
      <w:r w:rsidR="00646982">
        <w:rPr>
          <w:rFonts w:ascii="Times New Roman" w:hAnsi="Times New Roman" w:cs="Times New Roman"/>
          <w:sz w:val="24"/>
          <w:szCs w:val="24"/>
          <w:lang w:val="en-GB"/>
        </w:rPr>
        <w:t>ments enable the MNCs to minimis</w:t>
      </w:r>
      <w:r w:rsidRPr="00646982">
        <w:rPr>
          <w:rFonts w:ascii="Times New Roman" w:hAnsi="Times New Roman" w:cs="Times New Roman"/>
          <w:sz w:val="24"/>
          <w:szCs w:val="24"/>
          <w:lang w:val="en-GB"/>
        </w:rPr>
        <w:t xml:space="preserve">e their transaction and economic risks </w:t>
      </w:r>
      <w:r w:rsidR="003C4FF1" w:rsidRPr="00646982">
        <w:rPr>
          <w:rFonts w:ascii="Times New Roman" w:hAnsi="Times New Roman" w:cs="Times New Roman"/>
          <w:sz w:val="24"/>
          <w:szCs w:val="24"/>
          <w:lang w:val="en-GB"/>
        </w:rPr>
        <w:t>by</w:t>
      </w:r>
      <w:r w:rsidRPr="00646982">
        <w:rPr>
          <w:rFonts w:ascii="Times New Roman" w:hAnsi="Times New Roman" w:cs="Times New Roman"/>
          <w:sz w:val="24"/>
          <w:szCs w:val="24"/>
          <w:lang w:val="en-GB"/>
        </w:rPr>
        <w:t xml:space="preserve"> having some form of hedge against fluctuations in the foreign currency. In doing so, MNCs </w:t>
      </w:r>
      <w:r w:rsidR="003C4FF1" w:rsidRPr="00646982">
        <w:rPr>
          <w:rFonts w:ascii="Times New Roman" w:hAnsi="Times New Roman" w:cs="Times New Roman"/>
          <w:sz w:val="24"/>
          <w:szCs w:val="24"/>
          <w:lang w:val="en-GB"/>
        </w:rPr>
        <w:t>can</w:t>
      </w:r>
      <w:r w:rsidRPr="00646982">
        <w:rPr>
          <w:rFonts w:ascii="Times New Roman" w:hAnsi="Times New Roman" w:cs="Times New Roman"/>
          <w:sz w:val="24"/>
          <w:szCs w:val="24"/>
          <w:lang w:val="en-GB"/>
        </w:rPr>
        <w:t xml:space="preserve"> avoid loss due to adverse movements in the currency exchange rates in that they lock such exchange rates</w:t>
      </w:r>
      <w:r w:rsidR="004A64E4" w:rsidRPr="00646982">
        <w:rPr>
          <w:rFonts w:ascii="Times New Roman" w:hAnsi="Times New Roman" w:cs="Times New Roman"/>
          <w:sz w:val="24"/>
          <w:szCs w:val="24"/>
          <w:lang w:val="en-GB"/>
        </w:rPr>
        <w:t xml:space="preserve"> (</w:t>
      </w:r>
      <w:r w:rsidR="004A64E4" w:rsidRPr="00646982">
        <w:rPr>
          <w:rFonts w:ascii="Times New Roman" w:hAnsi="Times New Roman" w:cs="Times New Roman"/>
          <w:color w:val="222222"/>
          <w:sz w:val="24"/>
          <w:szCs w:val="24"/>
          <w:shd w:val="clear" w:color="auto" w:fill="FFFFFF"/>
          <w:lang w:val="en-GB"/>
        </w:rPr>
        <w:t>Nguyen and Canh, 2021)</w:t>
      </w:r>
      <w:r w:rsidRPr="00646982">
        <w:rPr>
          <w:rFonts w:ascii="Times New Roman" w:hAnsi="Times New Roman" w:cs="Times New Roman"/>
          <w:sz w:val="24"/>
          <w:szCs w:val="24"/>
          <w:lang w:val="en-GB"/>
        </w:rPr>
        <w:t xml:space="preserve">. </w:t>
      </w:r>
    </w:p>
    <w:p w14:paraId="1B3046A4" w14:textId="24D8A8EE" w:rsidR="00A8575D" w:rsidRPr="00646982" w:rsidRDefault="00A8575D"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lastRenderedPageBreak/>
        <w:t xml:space="preserve">Another technique is known as natural hedging this is where MNCs cover their assets and liabilities in a particular currency. This in </w:t>
      </w:r>
      <w:r w:rsidR="003C4FF1" w:rsidRPr="00646982">
        <w:rPr>
          <w:rFonts w:ascii="Times New Roman" w:hAnsi="Times New Roman" w:cs="Times New Roman"/>
          <w:sz w:val="24"/>
          <w:szCs w:val="24"/>
          <w:lang w:val="en-GB"/>
        </w:rPr>
        <w:t>turn</w:t>
      </w:r>
      <w:r w:rsidRPr="00646982">
        <w:rPr>
          <w:rFonts w:ascii="Times New Roman" w:hAnsi="Times New Roman" w:cs="Times New Roman"/>
          <w:sz w:val="24"/>
          <w:szCs w:val="24"/>
          <w:lang w:val="en-GB"/>
        </w:rPr>
        <w:t xml:space="preserve"> </w:t>
      </w:r>
      <w:r w:rsidR="003C4FF1" w:rsidRPr="00646982">
        <w:rPr>
          <w:rFonts w:ascii="Times New Roman" w:hAnsi="Times New Roman" w:cs="Times New Roman"/>
          <w:sz w:val="24"/>
          <w:szCs w:val="24"/>
          <w:lang w:val="en-GB"/>
        </w:rPr>
        <w:t>helps</w:t>
      </w:r>
      <w:r w:rsidR="00646982">
        <w:rPr>
          <w:rFonts w:ascii="Times New Roman" w:hAnsi="Times New Roman" w:cs="Times New Roman"/>
          <w:sz w:val="24"/>
          <w:szCs w:val="24"/>
          <w:lang w:val="en-GB"/>
        </w:rPr>
        <w:t xml:space="preserve"> in minimis</w:t>
      </w:r>
      <w:r w:rsidRPr="00646982">
        <w:rPr>
          <w:rFonts w:ascii="Times New Roman" w:hAnsi="Times New Roman" w:cs="Times New Roman"/>
          <w:sz w:val="24"/>
          <w:szCs w:val="24"/>
          <w:lang w:val="en-GB"/>
        </w:rPr>
        <w:t xml:space="preserve">ing the economic exposure and </w:t>
      </w:r>
      <w:r w:rsidR="003C4FF1" w:rsidRPr="00646982">
        <w:rPr>
          <w:rFonts w:ascii="Times New Roman" w:hAnsi="Times New Roman" w:cs="Times New Roman"/>
          <w:sz w:val="24"/>
          <w:szCs w:val="24"/>
          <w:lang w:val="en-GB"/>
        </w:rPr>
        <w:t>overall</w:t>
      </w:r>
      <w:r w:rsidRPr="00646982">
        <w:rPr>
          <w:rFonts w:ascii="Times New Roman" w:hAnsi="Times New Roman" w:cs="Times New Roman"/>
          <w:sz w:val="24"/>
          <w:szCs w:val="24"/>
          <w:lang w:val="en-GB"/>
        </w:rPr>
        <w:t xml:space="preserve"> foreign exchange risks. Moreover, MNCs can make a geographical distribution of production, sales plan and financing activities </w:t>
      </w:r>
      <w:r w:rsidR="003C4FF1" w:rsidRPr="00646982">
        <w:rPr>
          <w:rFonts w:ascii="Times New Roman" w:hAnsi="Times New Roman" w:cs="Times New Roman"/>
          <w:sz w:val="24"/>
          <w:szCs w:val="24"/>
          <w:lang w:val="en-GB"/>
        </w:rPr>
        <w:t>to</w:t>
      </w:r>
      <w:r w:rsidRPr="00646982">
        <w:rPr>
          <w:rFonts w:ascii="Times New Roman" w:hAnsi="Times New Roman" w:cs="Times New Roman"/>
          <w:sz w:val="24"/>
          <w:szCs w:val="24"/>
          <w:lang w:val="en-GB"/>
        </w:rPr>
        <w:t xml:space="preserve"> men and </w:t>
      </w:r>
      <w:r w:rsidR="003C4FF1" w:rsidRPr="00646982">
        <w:rPr>
          <w:rFonts w:ascii="Times New Roman" w:hAnsi="Times New Roman" w:cs="Times New Roman"/>
          <w:sz w:val="24"/>
          <w:szCs w:val="24"/>
          <w:lang w:val="en-GB"/>
        </w:rPr>
        <w:t>offset</w:t>
      </w:r>
      <w:r w:rsidRPr="00646982">
        <w:rPr>
          <w:rFonts w:ascii="Times New Roman" w:hAnsi="Times New Roman" w:cs="Times New Roman"/>
          <w:sz w:val="24"/>
          <w:szCs w:val="24"/>
          <w:lang w:val="en-GB"/>
        </w:rPr>
        <w:t xml:space="preserve"> the effects of fluctuation in currency values of the respective host countries. MNCs can also use leading and lagging techniques to time the conversion of receivables &amp; payables thus helping to timing the transaction exposure using the right exchange rate. Certain MNCs actively partake in interest rate risk overseas, which is detailed in the Interest Rate Parity theory. </w:t>
      </w:r>
      <w:r w:rsidR="00805911" w:rsidRPr="00646982">
        <w:rPr>
          <w:rFonts w:ascii="Times New Roman" w:hAnsi="Times New Roman" w:cs="Times New Roman"/>
          <w:sz w:val="24"/>
          <w:szCs w:val="24"/>
          <w:lang w:val="en-GB"/>
        </w:rPr>
        <w:t xml:space="preserve">As per </w:t>
      </w:r>
      <w:r w:rsidR="00805911" w:rsidRPr="00646982">
        <w:rPr>
          <w:rFonts w:ascii="Times New Roman" w:hAnsi="Times New Roman" w:cs="Times New Roman"/>
          <w:color w:val="222222"/>
          <w:sz w:val="24"/>
          <w:szCs w:val="24"/>
          <w:shd w:val="clear" w:color="auto" w:fill="FFFFFF"/>
          <w:lang w:val="en-GB"/>
        </w:rPr>
        <w:t xml:space="preserve">Vitolla </w:t>
      </w:r>
      <w:r w:rsidR="00805911" w:rsidRPr="00646982">
        <w:rPr>
          <w:rFonts w:ascii="Times New Roman" w:hAnsi="Times New Roman" w:cs="Times New Roman"/>
          <w:i/>
          <w:iCs/>
          <w:color w:val="222222"/>
          <w:sz w:val="24"/>
          <w:szCs w:val="24"/>
          <w:shd w:val="clear" w:color="auto" w:fill="FFFFFF"/>
          <w:lang w:val="en-GB"/>
        </w:rPr>
        <w:t>et al.</w:t>
      </w:r>
      <w:r w:rsidR="00805911" w:rsidRPr="00646982">
        <w:rPr>
          <w:rFonts w:ascii="Times New Roman" w:hAnsi="Times New Roman" w:cs="Times New Roman"/>
          <w:color w:val="222222"/>
          <w:sz w:val="24"/>
          <w:szCs w:val="24"/>
          <w:shd w:val="clear" w:color="auto" w:fill="FFFFFF"/>
          <w:lang w:val="en-GB"/>
        </w:rPr>
        <w:t xml:space="preserve"> (2020), </w:t>
      </w:r>
      <w:r w:rsidR="00805911" w:rsidRPr="00646982">
        <w:rPr>
          <w:rFonts w:ascii="Times New Roman" w:hAnsi="Times New Roman" w:cs="Times New Roman"/>
          <w:sz w:val="24"/>
          <w:szCs w:val="24"/>
          <w:lang w:val="en-GB"/>
        </w:rPr>
        <w:t>t</w:t>
      </w:r>
      <w:r w:rsidRPr="00646982">
        <w:rPr>
          <w:rFonts w:ascii="Times New Roman" w:hAnsi="Times New Roman" w:cs="Times New Roman"/>
          <w:sz w:val="24"/>
          <w:szCs w:val="24"/>
          <w:lang w:val="en-GB"/>
        </w:rPr>
        <w:t>his can produce other revenues to counterbalance exchange rate hazards.</w:t>
      </w:r>
      <w:r w:rsidR="003C4FF1" w:rsidRPr="00646982">
        <w:rPr>
          <w:rFonts w:ascii="Times New Roman" w:hAnsi="Times New Roman" w:cs="Times New Roman"/>
          <w:sz w:val="24"/>
          <w:szCs w:val="24"/>
          <w:lang w:val="en-GB"/>
        </w:rPr>
        <w:t xml:space="preserve"> </w:t>
      </w:r>
      <w:r w:rsidRPr="00646982">
        <w:rPr>
          <w:rFonts w:ascii="Times New Roman" w:hAnsi="Times New Roman" w:cs="Times New Roman"/>
          <w:sz w:val="24"/>
          <w:szCs w:val="24"/>
          <w:lang w:val="en-GB"/>
        </w:rPr>
        <w:t>In addition to the above-mentioned foreign exchange risk management tools, the financing structure of MNCs has other significant determinations. Among these, it is necessary to assess their possibilities to apply equity financing, debt financing, venture capital, government grants and incent</w:t>
      </w:r>
      <w:r w:rsidR="00646982">
        <w:rPr>
          <w:rFonts w:ascii="Times New Roman" w:hAnsi="Times New Roman" w:cs="Times New Roman"/>
          <w:sz w:val="24"/>
          <w:szCs w:val="24"/>
          <w:lang w:val="en-GB"/>
        </w:rPr>
        <w:t>ives for further internationalis</w:t>
      </w:r>
      <w:r w:rsidRPr="00646982">
        <w:rPr>
          <w:rFonts w:ascii="Times New Roman" w:hAnsi="Times New Roman" w:cs="Times New Roman"/>
          <w:sz w:val="24"/>
          <w:szCs w:val="24"/>
          <w:lang w:val="en-GB"/>
        </w:rPr>
        <w:t>ation. Every financing method has its pros and cons, and these cons and pros make up the pros and cons of the total system of financing</w:t>
      </w:r>
      <w:r w:rsidR="003C4FF1" w:rsidRPr="00646982">
        <w:rPr>
          <w:rFonts w:ascii="Times New Roman" w:hAnsi="Times New Roman" w:cs="Times New Roman"/>
          <w:sz w:val="24"/>
          <w:szCs w:val="24"/>
          <w:lang w:val="en-GB"/>
        </w:rPr>
        <w:t xml:space="preserve">. </w:t>
      </w:r>
    </w:p>
    <w:p w14:paraId="00000022" w14:textId="111426F7" w:rsidR="00414A9C" w:rsidRPr="00646982" w:rsidRDefault="00FC5FA8" w:rsidP="00646982">
      <w:pPr>
        <w:pStyle w:val="Heading1"/>
        <w:rPr>
          <w:lang w:val="en-GB"/>
        </w:rPr>
      </w:pPr>
      <w:bookmarkStart w:id="3" w:name="_Toc171383522"/>
      <w:r w:rsidRPr="00646982">
        <w:rPr>
          <w:lang w:val="en-GB"/>
        </w:rPr>
        <w:t>Evaluating Theoretical Models of Corporate Value, International Cost of Capital, and Financial Structure</w:t>
      </w:r>
      <w:bookmarkEnd w:id="3"/>
    </w:p>
    <w:p w14:paraId="3E99371F" w14:textId="51C74A9D" w:rsidR="00A46537" w:rsidRPr="00646982" w:rsidRDefault="00A46537"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t>It is equally important to establish that while conducting business in the global market, MNCs can apply any of the theoretical models to evaluate their corporate value, estimate the correct international cost of capital, as well as, manage their capital structure (</w:t>
      </w:r>
      <w:r w:rsidRPr="00646982">
        <w:rPr>
          <w:rFonts w:ascii="Times New Roman" w:hAnsi="Times New Roman" w:cs="Times New Roman"/>
          <w:color w:val="222222"/>
          <w:sz w:val="24"/>
          <w:szCs w:val="24"/>
          <w:shd w:val="clear" w:color="auto" w:fill="FFFFFF"/>
          <w:lang w:val="en-GB"/>
        </w:rPr>
        <w:t xml:space="preserve">Rjiba </w:t>
      </w:r>
      <w:r w:rsidRPr="00646982">
        <w:rPr>
          <w:rFonts w:ascii="Times New Roman" w:hAnsi="Times New Roman" w:cs="Times New Roman"/>
          <w:i/>
          <w:iCs/>
          <w:color w:val="222222"/>
          <w:sz w:val="24"/>
          <w:szCs w:val="24"/>
          <w:shd w:val="clear" w:color="auto" w:fill="FFFFFF"/>
          <w:lang w:val="en-GB"/>
        </w:rPr>
        <w:t>et al.,</w:t>
      </w:r>
      <w:r w:rsidRPr="00646982">
        <w:rPr>
          <w:rFonts w:ascii="Times New Roman" w:hAnsi="Times New Roman" w:cs="Times New Roman"/>
          <w:color w:val="222222"/>
          <w:sz w:val="24"/>
          <w:szCs w:val="24"/>
          <w:shd w:val="clear" w:color="auto" w:fill="FFFFFF"/>
          <w:lang w:val="en-GB"/>
        </w:rPr>
        <w:t xml:space="preserve"> 2021)</w:t>
      </w:r>
      <w:r w:rsidRPr="00646982">
        <w:rPr>
          <w:rFonts w:ascii="Times New Roman" w:hAnsi="Times New Roman" w:cs="Times New Roman"/>
          <w:sz w:val="24"/>
          <w:szCs w:val="24"/>
          <w:lang w:val="en-GB"/>
        </w:rPr>
        <w:t xml:space="preserve">. </w:t>
      </w:r>
    </w:p>
    <w:p w14:paraId="1CDD4DB4" w14:textId="46FE1DDE" w:rsidR="00A46537" w:rsidRPr="00646982" w:rsidRDefault="00A46537"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t xml:space="preserve">Several theories have been formulated, commonly used one of them is the Purchasing Power Parity (PPP) theory. To PPP, exchange rates should fluctuate in such </w:t>
      </w:r>
      <w:r w:rsidR="00646982" w:rsidRPr="00646982">
        <w:rPr>
          <w:rFonts w:ascii="Times New Roman" w:hAnsi="Times New Roman" w:cs="Times New Roman"/>
          <w:sz w:val="24"/>
          <w:szCs w:val="24"/>
          <w:lang w:val="en-GB"/>
        </w:rPr>
        <w:t>a</w:t>
      </w:r>
      <w:r w:rsidRPr="00646982">
        <w:rPr>
          <w:rFonts w:ascii="Times New Roman" w:hAnsi="Times New Roman" w:cs="Times New Roman"/>
          <w:sz w:val="24"/>
          <w:szCs w:val="24"/>
          <w:lang w:val="en-GB"/>
        </w:rPr>
        <w:t xml:space="preserve"> manner that the value of one currency can buy some quantity of another currency at a certain period. PP provides MNCs with knowledge on the operations of the foreign exchange and the behavior of exchange rates, which enable them to evaluate the possibilities of the value of assets to be acquired in various foreign lands. This knowledge helps MNCs predict how exchange rates are anticipated to change based on variations in the inflation rate and assess the implications of international projects on the orga</w:t>
      </w:r>
      <w:r w:rsidR="00646982">
        <w:rPr>
          <w:rFonts w:ascii="Times New Roman" w:hAnsi="Times New Roman" w:cs="Times New Roman"/>
          <w:sz w:val="24"/>
          <w:szCs w:val="24"/>
          <w:lang w:val="en-GB"/>
        </w:rPr>
        <w:t>nisa</w:t>
      </w:r>
      <w:r w:rsidRPr="00646982">
        <w:rPr>
          <w:rFonts w:ascii="Times New Roman" w:hAnsi="Times New Roman" w:cs="Times New Roman"/>
          <w:sz w:val="24"/>
          <w:szCs w:val="24"/>
          <w:lang w:val="en-GB"/>
        </w:rPr>
        <w:t>tions’ worth.  Another model that is of paramount importance is the Fisher Effect and this model has it that nominal interest rates are made of the real interest rate plus the expected rate of inflation (</w:t>
      </w:r>
      <w:r w:rsidRPr="00646982">
        <w:rPr>
          <w:rFonts w:ascii="Times New Roman" w:hAnsi="Times New Roman" w:cs="Times New Roman"/>
          <w:color w:val="222222"/>
          <w:sz w:val="24"/>
          <w:szCs w:val="24"/>
          <w:shd w:val="clear" w:color="auto" w:fill="FFFFFF"/>
          <w:lang w:val="en-GB"/>
        </w:rPr>
        <w:t xml:space="preserve">Kling </w:t>
      </w:r>
      <w:r w:rsidRPr="00646982">
        <w:rPr>
          <w:rFonts w:ascii="Times New Roman" w:hAnsi="Times New Roman" w:cs="Times New Roman"/>
          <w:i/>
          <w:iCs/>
          <w:color w:val="222222"/>
          <w:sz w:val="24"/>
          <w:szCs w:val="24"/>
          <w:shd w:val="clear" w:color="auto" w:fill="FFFFFF"/>
          <w:lang w:val="en-GB"/>
        </w:rPr>
        <w:t>et al.,</w:t>
      </w:r>
      <w:r w:rsidRPr="00646982">
        <w:rPr>
          <w:rFonts w:ascii="Times New Roman" w:hAnsi="Times New Roman" w:cs="Times New Roman"/>
          <w:color w:val="222222"/>
          <w:sz w:val="24"/>
          <w:szCs w:val="24"/>
          <w:shd w:val="clear" w:color="auto" w:fill="FFFFFF"/>
          <w:lang w:val="en-GB"/>
        </w:rPr>
        <w:t xml:space="preserve"> 2021)</w:t>
      </w:r>
      <w:r w:rsidRPr="00646982">
        <w:rPr>
          <w:rFonts w:ascii="Times New Roman" w:hAnsi="Times New Roman" w:cs="Times New Roman"/>
          <w:sz w:val="24"/>
          <w:szCs w:val="24"/>
          <w:lang w:val="en-GB"/>
        </w:rPr>
        <w:t xml:space="preserve">. The IFE theory does this, asserting that the difference in a country’s </w:t>
      </w:r>
      <w:r w:rsidRPr="00646982">
        <w:rPr>
          <w:rFonts w:ascii="Times New Roman" w:hAnsi="Times New Roman" w:cs="Times New Roman"/>
          <w:sz w:val="24"/>
          <w:szCs w:val="24"/>
          <w:lang w:val="en-GB"/>
        </w:rPr>
        <w:lastRenderedPageBreak/>
        <w:t xml:space="preserve">nominal interest rates is adjusted by the expected change in the exchange rate. As applied to IFE, MNCs can choose the correct discount rate for evaluating the foreign investments and decide on the cost of capital for the operations internationally. </w:t>
      </w:r>
    </w:p>
    <w:p w14:paraId="0000002E" w14:textId="0CDDDFB9" w:rsidR="00414A9C" w:rsidRPr="00646982" w:rsidRDefault="00A46537"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t xml:space="preserve">In terms of MNCs financial structure MNCs meets the advantages and disadvantages of using more of debt or equity financing at the international level. Cost of capital also affects the leverage policy or the proportion of debt in the companies’ financing mix. According to the Modigliani-Miller theorem, a company’s value does not depend on its capital structure under some conditions and thus, such theories can be applied to study the impact of leverage.  Thus, by using these theoretical concepts, MNCs can make better decisions about its global activities, investments, and funding to enhance its worldwide corporate value and some aspects of capital structure in the global context. </w:t>
      </w:r>
      <w:r w:rsidR="00A8575D" w:rsidRPr="00646982">
        <w:rPr>
          <w:rFonts w:ascii="Times New Roman" w:hAnsi="Times New Roman" w:cs="Times New Roman"/>
          <w:sz w:val="24"/>
          <w:szCs w:val="24"/>
          <w:lang w:val="en-GB"/>
        </w:rPr>
        <w:t xml:space="preserve">Based on the IFE theory, MNCs can identify a right discount rate </w:t>
      </w:r>
      <w:r w:rsidR="00805911" w:rsidRPr="00646982">
        <w:rPr>
          <w:rFonts w:ascii="Times New Roman" w:hAnsi="Times New Roman" w:cs="Times New Roman"/>
          <w:sz w:val="24"/>
          <w:szCs w:val="24"/>
          <w:lang w:val="en-GB"/>
        </w:rPr>
        <w:t>to</w:t>
      </w:r>
      <w:r w:rsidR="00A8575D" w:rsidRPr="00646982">
        <w:rPr>
          <w:rFonts w:ascii="Times New Roman" w:hAnsi="Times New Roman" w:cs="Times New Roman"/>
          <w:sz w:val="24"/>
          <w:szCs w:val="24"/>
          <w:lang w:val="en-GB"/>
        </w:rPr>
        <w:t xml:space="preserve"> assess foreign investments, as well as identify the cost of capital for the global operations of the company. Concerning financia</w:t>
      </w:r>
      <w:r w:rsidR="00646982">
        <w:rPr>
          <w:rFonts w:ascii="Times New Roman" w:hAnsi="Times New Roman" w:cs="Times New Roman"/>
          <w:sz w:val="24"/>
          <w:szCs w:val="24"/>
          <w:lang w:val="en-GB"/>
        </w:rPr>
        <w:t>l structure, MNCs have to analys</w:t>
      </w:r>
      <w:r w:rsidR="00A8575D" w:rsidRPr="00646982">
        <w:rPr>
          <w:rFonts w:ascii="Times New Roman" w:hAnsi="Times New Roman" w:cs="Times New Roman"/>
          <w:sz w:val="24"/>
          <w:szCs w:val="24"/>
          <w:lang w:val="en-GB"/>
        </w:rPr>
        <w:t>e the pros and cons of using more debt or more equity financing at the global level</w:t>
      </w:r>
      <w:r w:rsidRPr="00646982">
        <w:rPr>
          <w:rFonts w:ascii="Times New Roman" w:hAnsi="Times New Roman" w:cs="Times New Roman"/>
          <w:sz w:val="24"/>
          <w:szCs w:val="24"/>
          <w:lang w:val="en-GB"/>
        </w:rPr>
        <w:t xml:space="preserve"> (</w:t>
      </w:r>
      <w:r w:rsidRPr="00646982">
        <w:rPr>
          <w:rFonts w:ascii="Times New Roman" w:hAnsi="Times New Roman" w:cs="Times New Roman"/>
          <w:color w:val="222222"/>
          <w:sz w:val="24"/>
          <w:szCs w:val="24"/>
          <w:shd w:val="clear" w:color="auto" w:fill="FFFFFF"/>
          <w:lang w:val="en-GB"/>
        </w:rPr>
        <w:t xml:space="preserve">Qadir </w:t>
      </w:r>
      <w:r w:rsidRPr="00646982">
        <w:rPr>
          <w:rFonts w:ascii="Times New Roman" w:hAnsi="Times New Roman" w:cs="Times New Roman"/>
          <w:i/>
          <w:iCs/>
          <w:color w:val="222222"/>
          <w:sz w:val="24"/>
          <w:szCs w:val="24"/>
          <w:shd w:val="clear" w:color="auto" w:fill="FFFFFF"/>
          <w:lang w:val="en-GB"/>
        </w:rPr>
        <w:t>et al.,</w:t>
      </w:r>
      <w:r w:rsidRPr="00646982">
        <w:rPr>
          <w:rFonts w:ascii="Times New Roman" w:hAnsi="Times New Roman" w:cs="Times New Roman"/>
          <w:color w:val="222222"/>
          <w:sz w:val="24"/>
          <w:szCs w:val="24"/>
          <w:shd w:val="clear" w:color="auto" w:fill="FFFFFF"/>
          <w:lang w:val="en-GB"/>
        </w:rPr>
        <w:t xml:space="preserve"> 2021)</w:t>
      </w:r>
      <w:r w:rsidR="00A8575D" w:rsidRPr="00646982">
        <w:rPr>
          <w:rFonts w:ascii="Times New Roman" w:hAnsi="Times New Roman" w:cs="Times New Roman"/>
          <w:sz w:val="24"/>
          <w:szCs w:val="24"/>
          <w:lang w:val="en-GB"/>
        </w:rPr>
        <w:t xml:space="preserve">. The Cost of capital also determines the proportion of debt in the </w:t>
      </w:r>
      <w:r w:rsidR="003C4FF1" w:rsidRPr="00646982">
        <w:rPr>
          <w:rFonts w:ascii="Times New Roman" w:hAnsi="Times New Roman" w:cs="Times New Roman"/>
          <w:sz w:val="24"/>
          <w:szCs w:val="24"/>
          <w:lang w:val="en-GB"/>
        </w:rPr>
        <w:t>firm's</w:t>
      </w:r>
      <w:r w:rsidR="00A8575D" w:rsidRPr="00646982">
        <w:rPr>
          <w:rFonts w:ascii="Times New Roman" w:hAnsi="Times New Roman" w:cs="Times New Roman"/>
          <w:sz w:val="24"/>
          <w:szCs w:val="24"/>
          <w:lang w:val="en-GB"/>
        </w:rPr>
        <w:t xml:space="preserve"> funding structure Leverage. There is a concept likely the Modigliani-Miller theorem which states that under certain conditions, the value of a firm is not affected by its capital structure, therefore theories </w:t>
      </w:r>
      <w:r w:rsidR="00646982">
        <w:rPr>
          <w:rFonts w:ascii="Times New Roman" w:hAnsi="Times New Roman" w:cs="Times New Roman"/>
          <w:sz w:val="24"/>
          <w:szCs w:val="24"/>
          <w:lang w:val="en-GB"/>
        </w:rPr>
        <w:t>such as these can used to analys</w:t>
      </w:r>
      <w:r w:rsidR="00A8575D" w:rsidRPr="00646982">
        <w:rPr>
          <w:rFonts w:ascii="Times New Roman" w:hAnsi="Times New Roman" w:cs="Times New Roman"/>
          <w:sz w:val="24"/>
          <w:szCs w:val="24"/>
          <w:lang w:val="en-GB"/>
        </w:rPr>
        <w:t xml:space="preserve">e the effects of leverage. </w:t>
      </w:r>
    </w:p>
    <w:p w14:paraId="0000002F" w14:textId="77777777" w:rsidR="00414A9C" w:rsidRPr="00646982" w:rsidRDefault="00FC5FA8" w:rsidP="00646982">
      <w:pPr>
        <w:pStyle w:val="Heading1"/>
        <w:rPr>
          <w:lang w:val="en-GB"/>
        </w:rPr>
      </w:pPr>
      <w:bookmarkStart w:id="4" w:name="_Toc171383523"/>
      <w:r w:rsidRPr="00646982">
        <w:rPr>
          <w:lang w:val="en-GB"/>
        </w:rPr>
        <w:t>Conclusion</w:t>
      </w:r>
      <w:bookmarkEnd w:id="4"/>
    </w:p>
    <w:p w14:paraId="566954B2" w14:textId="29D1A81D" w:rsidR="00A8575D" w:rsidRPr="00646982" w:rsidRDefault="00A8575D"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t xml:space="preserve">Foreign exchange risk and financing management represent a puzzle for MNCs due to several factors which are discussed in this paper. Still, as long as MNCs understand the theory and models of IFM, they can escalate the risks and have sound strategies </w:t>
      </w:r>
      <w:r w:rsidR="003C4FF1" w:rsidRPr="00646982">
        <w:rPr>
          <w:rFonts w:ascii="Times New Roman" w:hAnsi="Times New Roman" w:cs="Times New Roman"/>
          <w:sz w:val="24"/>
          <w:szCs w:val="24"/>
          <w:lang w:val="en-GB"/>
        </w:rPr>
        <w:t>for</w:t>
      </w:r>
      <w:r w:rsidRPr="00646982">
        <w:rPr>
          <w:rFonts w:ascii="Times New Roman" w:hAnsi="Times New Roman" w:cs="Times New Roman"/>
          <w:sz w:val="24"/>
          <w:szCs w:val="24"/>
          <w:lang w:val="en-GB"/>
        </w:rPr>
        <w:t xml:space="preserve"> handling their monetary affairs. </w:t>
      </w:r>
    </w:p>
    <w:p w14:paraId="00000039" w14:textId="1565866A" w:rsidR="00414A9C" w:rsidRPr="00646982" w:rsidRDefault="00A8575D" w:rsidP="00646982">
      <w:pPr>
        <w:spacing w:before="100" w:beforeAutospacing="1" w:after="100" w:afterAutospacing="1" w:line="360" w:lineRule="auto"/>
        <w:jc w:val="both"/>
        <w:rPr>
          <w:rFonts w:ascii="Times New Roman" w:hAnsi="Times New Roman" w:cs="Times New Roman"/>
          <w:sz w:val="24"/>
          <w:szCs w:val="24"/>
          <w:lang w:val="en-GB"/>
        </w:rPr>
      </w:pPr>
      <w:r w:rsidRPr="00646982">
        <w:rPr>
          <w:rFonts w:ascii="Times New Roman" w:hAnsi="Times New Roman" w:cs="Times New Roman"/>
          <w:sz w:val="24"/>
          <w:szCs w:val="24"/>
          <w:lang w:val="en-GB"/>
        </w:rPr>
        <w:t xml:space="preserve">Some of the IFM theories and models; </w:t>
      </w:r>
      <w:r w:rsidR="003C4FF1" w:rsidRPr="00646982">
        <w:rPr>
          <w:rFonts w:ascii="Times New Roman" w:hAnsi="Times New Roman" w:cs="Times New Roman"/>
          <w:sz w:val="24"/>
          <w:szCs w:val="24"/>
          <w:lang w:val="en-GB"/>
        </w:rPr>
        <w:t>including</w:t>
      </w:r>
      <w:r w:rsidRPr="00646982">
        <w:rPr>
          <w:rFonts w:ascii="Times New Roman" w:hAnsi="Times New Roman" w:cs="Times New Roman"/>
          <w:sz w:val="24"/>
          <w:szCs w:val="24"/>
          <w:lang w:val="en-GB"/>
        </w:rPr>
        <w:t>; Purchasing Power Parity, Fisher Effect</w:t>
      </w:r>
      <w:r w:rsidR="003C4FF1" w:rsidRPr="00646982">
        <w:rPr>
          <w:rFonts w:ascii="Times New Roman" w:hAnsi="Times New Roman" w:cs="Times New Roman"/>
          <w:sz w:val="24"/>
          <w:szCs w:val="24"/>
          <w:lang w:val="en-GB"/>
        </w:rPr>
        <w:t>,</w:t>
      </w:r>
      <w:r w:rsidRPr="00646982">
        <w:rPr>
          <w:rFonts w:ascii="Times New Roman" w:hAnsi="Times New Roman" w:cs="Times New Roman"/>
          <w:sz w:val="24"/>
          <w:szCs w:val="24"/>
          <w:lang w:val="en-GB"/>
        </w:rPr>
        <w:t xml:space="preserve"> and the International Fisher Effect act as a base on which MNCs can presume on exchange rate forecasting, overseas investment appraisal</w:t>
      </w:r>
      <w:r w:rsidR="003C4FF1" w:rsidRPr="00646982">
        <w:rPr>
          <w:rFonts w:ascii="Times New Roman" w:hAnsi="Times New Roman" w:cs="Times New Roman"/>
          <w:sz w:val="24"/>
          <w:szCs w:val="24"/>
          <w:lang w:val="en-GB"/>
        </w:rPr>
        <w:t>,</w:t>
      </w:r>
      <w:r w:rsidRPr="00646982">
        <w:rPr>
          <w:rFonts w:ascii="Times New Roman" w:hAnsi="Times New Roman" w:cs="Times New Roman"/>
          <w:sz w:val="24"/>
          <w:szCs w:val="24"/>
          <w:lang w:val="en-GB"/>
        </w:rPr>
        <w:t xml:space="preserve"> and the correct cost of capital for their international operations. Through the application of these theories, MNCs can be in a position to make better decisions on the corporate value, the structure of </w:t>
      </w:r>
      <w:r w:rsidR="003C4FF1" w:rsidRPr="00646982">
        <w:rPr>
          <w:rFonts w:ascii="Times New Roman" w:hAnsi="Times New Roman" w:cs="Times New Roman"/>
          <w:sz w:val="24"/>
          <w:szCs w:val="24"/>
          <w:lang w:val="en-GB"/>
        </w:rPr>
        <w:t xml:space="preserve">the </w:t>
      </w:r>
      <w:r w:rsidRPr="00646982">
        <w:rPr>
          <w:rFonts w:ascii="Times New Roman" w:hAnsi="Times New Roman" w:cs="Times New Roman"/>
          <w:sz w:val="24"/>
          <w:szCs w:val="24"/>
          <w:lang w:val="en-GB"/>
        </w:rPr>
        <w:t>balance sheet</w:t>
      </w:r>
      <w:r w:rsidR="003C4FF1" w:rsidRPr="00646982">
        <w:rPr>
          <w:rFonts w:ascii="Times New Roman" w:hAnsi="Times New Roman" w:cs="Times New Roman"/>
          <w:sz w:val="24"/>
          <w:szCs w:val="24"/>
          <w:lang w:val="en-GB"/>
        </w:rPr>
        <w:t>,</w:t>
      </w:r>
      <w:r w:rsidRPr="00646982">
        <w:rPr>
          <w:rFonts w:ascii="Times New Roman" w:hAnsi="Times New Roman" w:cs="Times New Roman"/>
          <w:sz w:val="24"/>
          <w:szCs w:val="24"/>
          <w:lang w:val="en-GB"/>
        </w:rPr>
        <w:t xml:space="preserve"> and the general strategy of the firm internationally</w:t>
      </w:r>
      <w:r w:rsidR="00805911" w:rsidRPr="00646982">
        <w:rPr>
          <w:rFonts w:ascii="Times New Roman" w:hAnsi="Times New Roman" w:cs="Times New Roman"/>
          <w:sz w:val="24"/>
          <w:szCs w:val="24"/>
          <w:lang w:val="en-GB"/>
        </w:rPr>
        <w:t xml:space="preserve"> (</w:t>
      </w:r>
      <w:r w:rsidR="00805911" w:rsidRPr="00646982">
        <w:rPr>
          <w:rFonts w:ascii="Times New Roman" w:hAnsi="Times New Roman" w:cs="Times New Roman"/>
          <w:color w:val="222222"/>
          <w:sz w:val="24"/>
          <w:szCs w:val="24"/>
          <w:shd w:val="clear" w:color="auto" w:fill="FFFFFF"/>
          <w:lang w:val="en-GB"/>
        </w:rPr>
        <w:t xml:space="preserve">Qadir </w:t>
      </w:r>
      <w:r w:rsidR="00805911" w:rsidRPr="00646982">
        <w:rPr>
          <w:rFonts w:ascii="Times New Roman" w:hAnsi="Times New Roman" w:cs="Times New Roman"/>
          <w:i/>
          <w:iCs/>
          <w:color w:val="222222"/>
          <w:sz w:val="24"/>
          <w:szCs w:val="24"/>
          <w:shd w:val="clear" w:color="auto" w:fill="FFFFFF"/>
          <w:lang w:val="en-GB"/>
        </w:rPr>
        <w:t>et al.,</w:t>
      </w:r>
      <w:r w:rsidR="00805911" w:rsidRPr="00646982">
        <w:rPr>
          <w:rFonts w:ascii="Times New Roman" w:hAnsi="Times New Roman" w:cs="Times New Roman"/>
          <w:color w:val="222222"/>
          <w:sz w:val="24"/>
          <w:szCs w:val="24"/>
          <w:shd w:val="clear" w:color="auto" w:fill="FFFFFF"/>
          <w:lang w:val="en-GB"/>
        </w:rPr>
        <w:t xml:space="preserve"> 2021)</w:t>
      </w:r>
      <w:r w:rsidRPr="00646982">
        <w:rPr>
          <w:rFonts w:ascii="Times New Roman" w:hAnsi="Times New Roman" w:cs="Times New Roman"/>
          <w:sz w:val="24"/>
          <w:szCs w:val="24"/>
          <w:lang w:val="en-GB"/>
        </w:rPr>
        <w:t xml:space="preserve">. In managing the technical risk relating to foreign exchange </w:t>
      </w:r>
      <w:r w:rsidRPr="00646982">
        <w:rPr>
          <w:rFonts w:ascii="Times New Roman" w:hAnsi="Times New Roman" w:cs="Times New Roman"/>
          <w:sz w:val="24"/>
          <w:szCs w:val="24"/>
          <w:lang w:val="en-GB"/>
        </w:rPr>
        <w:lastRenderedPageBreak/>
        <w:t xml:space="preserve">risk, here </w:t>
      </w:r>
      <w:r w:rsidR="003C4FF1" w:rsidRPr="00646982">
        <w:rPr>
          <w:rFonts w:ascii="Times New Roman" w:hAnsi="Times New Roman" w:cs="Times New Roman"/>
          <w:sz w:val="24"/>
          <w:szCs w:val="24"/>
          <w:lang w:val="en-GB"/>
        </w:rPr>
        <w:t xml:space="preserve">are </w:t>
      </w:r>
      <w:r w:rsidRPr="00646982">
        <w:rPr>
          <w:rFonts w:ascii="Times New Roman" w:hAnsi="Times New Roman" w:cs="Times New Roman"/>
          <w:sz w:val="24"/>
          <w:szCs w:val="24"/>
          <w:lang w:val="en-GB"/>
        </w:rPr>
        <w:t xml:space="preserve">some </w:t>
      </w:r>
      <w:r w:rsidR="003C4FF1" w:rsidRPr="00646982">
        <w:rPr>
          <w:rFonts w:ascii="Times New Roman" w:hAnsi="Times New Roman" w:cs="Times New Roman"/>
          <w:sz w:val="24"/>
          <w:szCs w:val="24"/>
          <w:lang w:val="en-GB"/>
        </w:rPr>
        <w:t>techniques</w:t>
      </w:r>
      <w:r w:rsidRPr="00646982">
        <w:rPr>
          <w:rFonts w:ascii="Times New Roman" w:hAnsi="Times New Roman" w:cs="Times New Roman"/>
          <w:sz w:val="24"/>
          <w:szCs w:val="24"/>
          <w:lang w:val="en-GB"/>
        </w:rPr>
        <w:t xml:space="preserve"> that MNCs can </w:t>
      </w:r>
      <w:r w:rsidR="003C4FF1" w:rsidRPr="00646982">
        <w:rPr>
          <w:rFonts w:ascii="Times New Roman" w:hAnsi="Times New Roman" w:cs="Times New Roman"/>
          <w:sz w:val="24"/>
          <w:szCs w:val="24"/>
          <w:lang w:val="en-GB"/>
        </w:rPr>
        <w:t>adopt. This includes many things</w:t>
      </w:r>
      <w:r w:rsidRPr="00646982">
        <w:rPr>
          <w:rFonts w:ascii="Times New Roman" w:hAnsi="Times New Roman" w:cs="Times New Roman"/>
          <w:sz w:val="24"/>
          <w:szCs w:val="24"/>
          <w:lang w:val="en-GB"/>
        </w:rPr>
        <w:t xml:space="preserve"> such as</w:t>
      </w:r>
      <w:r w:rsidR="003C4FF1" w:rsidRPr="00646982">
        <w:rPr>
          <w:rFonts w:ascii="Times New Roman" w:hAnsi="Times New Roman" w:cs="Times New Roman"/>
          <w:sz w:val="24"/>
          <w:szCs w:val="24"/>
          <w:lang w:val="en-GB"/>
        </w:rPr>
        <w:t xml:space="preserve"> Derivatives</w:t>
      </w:r>
      <w:r w:rsidRPr="00646982">
        <w:rPr>
          <w:rFonts w:ascii="Times New Roman" w:hAnsi="Times New Roman" w:cs="Times New Roman"/>
          <w:sz w:val="24"/>
          <w:szCs w:val="24"/>
          <w:lang w:val="en-GB"/>
        </w:rPr>
        <w:t xml:space="preserve">, Natural hedging, Diversification, and International arbitrage. All these strategies are related to IFM and help MNCs to reduce the possible effects of </w:t>
      </w:r>
      <w:r w:rsidR="003C4FF1" w:rsidRPr="00646982">
        <w:rPr>
          <w:rFonts w:ascii="Times New Roman" w:hAnsi="Times New Roman" w:cs="Times New Roman"/>
          <w:sz w:val="24"/>
          <w:szCs w:val="24"/>
          <w:lang w:val="en-GB"/>
        </w:rPr>
        <w:t xml:space="preserve">the </w:t>
      </w:r>
      <w:r w:rsidRPr="00646982">
        <w:rPr>
          <w:rFonts w:ascii="Times New Roman" w:hAnsi="Times New Roman" w:cs="Times New Roman"/>
          <w:sz w:val="24"/>
          <w:szCs w:val="24"/>
          <w:lang w:val="en-GB"/>
        </w:rPr>
        <w:t xml:space="preserve">fluctuation of currencies and remain loyal competitors in the global economy. In addition, MNCs can </w:t>
      </w:r>
      <w:r w:rsidR="00646982">
        <w:rPr>
          <w:rFonts w:ascii="Times New Roman" w:hAnsi="Times New Roman" w:cs="Times New Roman"/>
          <w:sz w:val="24"/>
          <w:szCs w:val="24"/>
          <w:lang w:val="en-GB"/>
        </w:rPr>
        <w:t>analys</w:t>
      </w:r>
      <w:r w:rsidR="003C4FF1" w:rsidRPr="00646982">
        <w:rPr>
          <w:rFonts w:ascii="Times New Roman" w:hAnsi="Times New Roman" w:cs="Times New Roman"/>
          <w:sz w:val="24"/>
          <w:szCs w:val="24"/>
          <w:lang w:val="en-GB"/>
        </w:rPr>
        <w:t>e</w:t>
      </w:r>
      <w:r w:rsidRPr="00646982">
        <w:rPr>
          <w:rFonts w:ascii="Times New Roman" w:hAnsi="Times New Roman" w:cs="Times New Roman"/>
          <w:sz w:val="24"/>
          <w:szCs w:val="24"/>
          <w:lang w:val="en-GB"/>
        </w:rPr>
        <w:t xml:space="preserve"> critically a variety of forms of financing and methods of financing, including equity financing, debt financing, venture capital, and governmental programs, for carrying out their expansion outside their domestic countries. </w:t>
      </w:r>
    </w:p>
    <w:p w14:paraId="284137C3" w14:textId="6897ADA0" w:rsidR="00646982" w:rsidRPr="00646982" w:rsidRDefault="00646982">
      <w:pPr>
        <w:rPr>
          <w:rFonts w:ascii="Times New Roman" w:hAnsi="Times New Roman" w:cs="Times New Roman"/>
          <w:sz w:val="24"/>
          <w:szCs w:val="24"/>
          <w:lang w:val="en-GB"/>
        </w:rPr>
      </w:pPr>
      <w:r w:rsidRPr="00646982">
        <w:rPr>
          <w:rFonts w:ascii="Times New Roman" w:hAnsi="Times New Roman" w:cs="Times New Roman"/>
          <w:sz w:val="24"/>
          <w:szCs w:val="24"/>
          <w:lang w:val="en-GB"/>
        </w:rPr>
        <w:br w:type="page"/>
      </w:r>
    </w:p>
    <w:p w14:paraId="7DAEEEA3" w14:textId="1ED83AFD" w:rsidR="004A64E4" w:rsidRPr="00646982" w:rsidRDefault="00646982" w:rsidP="00646982">
      <w:pPr>
        <w:pStyle w:val="Heading1"/>
        <w:rPr>
          <w:lang w:val="en-GB"/>
        </w:rPr>
      </w:pPr>
      <w:bookmarkStart w:id="5" w:name="_Toc171383524"/>
      <w:r w:rsidRPr="00646982">
        <w:rPr>
          <w:lang w:val="en-GB"/>
        </w:rPr>
        <w:lastRenderedPageBreak/>
        <w:t>Reference List</w:t>
      </w:r>
      <w:bookmarkEnd w:id="5"/>
    </w:p>
    <w:p w14:paraId="120CFF4C" w14:textId="77777777" w:rsidR="00646982" w:rsidRPr="00646982" w:rsidRDefault="00646982" w:rsidP="00646982">
      <w:pPr>
        <w:spacing w:before="100" w:beforeAutospacing="1" w:after="100" w:afterAutospacing="1" w:line="360" w:lineRule="auto"/>
        <w:jc w:val="both"/>
        <w:rPr>
          <w:rFonts w:ascii="Times New Roman" w:hAnsi="Times New Roman" w:cs="Times New Roman"/>
          <w:b/>
          <w:bCs/>
          <w:sz w:val="24"/>
          <w:szCs w:val="24"/>
          <w:lang w:val="en-GB"/>
        </w:rPr>
      </w:pPr>
      <w:r w:rsidRPr="00646982">
        <w:rPr>
          <w:rFonts w:ascii="Times New Roman" w:hAnsi="Times New Roman" w:cs="Times New Roman"/>
          <w:color w:val="222222"/>
          <w:sz w:val="24"/>
          <w:szCs w:val="24"/>
          <w:shd w:val="clear" w:color="auto" w:fill="FFFFFF"/>
          <w:lang w:val="en-GB"/>
        </w:rPr>
        <w:t>Eun, C.S., Resnick, B.G. and Chuluun, T., 2021. </w:t>
      </w:r>
      <w:r w:rsidRPr="00646982">
        <w:rPr>
          <w:rFonts w:ascii="Times New Roman" w:hAnsi="Times New Roman" w:cs="Times New Roman"/>
          <w:i/>
          <w:iCs/>
          <w:color w:val="222222"/>
          <w:sz w:val="24"/>
          <w:szCs w:val="24"/>
          <w:shd w:val="clear" w:color="auto" w:fill="FFFFFF"/>
          <w:lang w:val="en-GB"/>
        </w:rPr>
        <w:t>International financial management</w:t>
      </w:r>
      <w:r w:rsidRPr="00646982">
        <w:rPr>
          <w:rFonts w:ascii="Times New Roman" w:hAnsi="Times New Roman" w:cs="Times New Roman"/>
          <w:color w:val="222222"/>
          <w:sz w:val="24"/>
          <w:szCs w:val="24"/>
          <w:shd w:val="clear" w:color="auto" w:fill="FFFFFF"/>
          <w:lang w:val="en-GB"/>
        </w:rPr>
        <w:t>. McGraw-Hill.</w:t>
      </w:r>
    </w:p>
    <w:p w14:paraId="17AAB944" w14:textId="77777777" w:rsidR="00646982" w:rsidRPr="00646982" w:rsidRDefault="00646982" w:rsidP="00646982">
      <w:pPr>
        <w:spacing w:before="100" w:beforeAutospacing="1" w:after="100" w:afterAutospacing="1" w:line="360" w:lineRule="auto"/>
        <w:jc w:val="both"/>
        <w:rPr>
          <w:rFonts w:ascii="Times New Roman" w:hAnsi="Times New Roman" w:cs="Times New Roman"/>
          <w:b/>
          <w:bCs/>
          <w:sz w:val="24"/>
          <w:szCs w:val="24"/>
          <w:lang w:val="en-GB"/>
        </w:rPr>
      </w:pPr>
      <w:r w:rsidRPr="00646982">
        <w:rPr>
          <w:rFonts w:ascii="Times New Roman" w:hAnsi="Times New Roman" w:cs="Times New Roman"/>
          <w:color w:val="222222"/>
          <w:sz w:val="24"/>
          <w:szCs w:val="24"/>
          <w:shd w:val="clear" w:color="auto" w:fill="FFFFFF"/>
          <w:lang w:val="en-GB"/>
        </w:rPr>
        <w:t>Ferraris, A., Santoro, G. and Scuotto, V., 2020. Dual relational embeddedness and knowledge transfer in European multinational corporations and subsidiaries. </w:t>
      </w:r>
      <w:r w:rsidRPr="00646982">
        <w:rPr>
          <w:rFonts w:ascii="Times New Roman" w:hAnsi="Times New Roman" w:cs="Times New Roman"/>
          <w:i/>
          <w:iCs/>
          <w:color w:val="222222"/>
          <w:sz w:val="24"/>
          <w:szCs w:val="24"/>
          <w:shd w:val="clear" w:color="auto" w:fill="FFFFFF"/>
          <w:lang w:val="en-GB"/>
        </w:rPr>
        <w:t>Journal of Knowledge management</w:t>
      </w:r>
      <w:r w:rsidRPr="00646982">
        <w:rPr>
          <w:rFonts w:ascii="Times New Roman" w:hAnsi="Times New Roman" w:cs="Times New Roman"/>
          <w:color w:val="222222"/>
          <w:sz w:val="24"/>
          <w:szCs w:val="24"/>
          <w:shd w:val="clear" w:color="auto" w:fill="FFFFFF"/>
          <w:lang w:val="en-GB"/>
        </w:rPr>
        <w:t>, </w:t>
      </w:r>
      <w:r w:rsidRPr="00646982">
        <w:rPr>
          <w:rFonts w:ascii="Times New Roman" w:hAnsi="Times New Roman" w:cs="Times New Roman"/>
          <w:i/>
          <w:iCs/>
          <w:color w:val="222222"/>
          <w:sz w:val="24"/>
          <w:szCs w:val="24"/>
          <w:shd w:val="clear" w:color="auto" w:fill="FFFFFF"/>
          <w:lang w:val="en-GB"/>
        </w:rPr>
        <w:t>24</w:t>
      </w:r>
      <w:r w:rsidRPr="00646982">
        <w:rPr>
          <w:rFonts w:ascii="Times New Roman" w:hAnsi="Times New Roman" w:cs="Times New Roman"/>
          <w:color w:val="222222"/>
          <w:sz w:val="24"/>
          <w:szCs w:val="24"/>
          <w:shd w:val="clear" w:color="auto" w:fill="FFFFFF"/>
          <w:lang w:val="en-GB"/>
        </w:rPr>
        <w:t>(3), pp.519-533.</w:t>
      </w:r>
    </w:p>
    <w:p w14:paraId="0B921C97" w14:textId="77777777" w:rsidR="00646982" w:rsidRPr="00646982" w:rsidRDefault="00646982" w:rsidP="00646982">
      <w:pPr>
        <w:spacing w:before="100" w:beforeAutospacing="1" w:after="100" w:afterAutospacing="1" w:line="360" w:lineRule="auto"/>
        <w:jc w:val="both"/>
        <w:rPr>
          <w:rFonts w:ascii="Times New Roman" w:hAnsi="Times New Roman" w:cs="Times New Roman"/>
          <w:b/>
          <w:bCs/>
          <w:sz w:val="24"/>
          <w:szCs w:val="24"/>
          <w:lang w:val="en-GB"/>
        </w:rPr>
      </w:pPr>
      <w:r w:rsidRPr="00646982">
        <w:rPr>
          <w:rFonts w:ascii="Times New Roman" w:hAnsi="Times New Roman" w:cs="Times New Roman"/>
          <w:color w:val="222222"/>
          <w:sz w:val="24"/>
          <w:szCs w:val="24"/>
          <w:shd w:val="clear" w:color="auto" w:fill="FFFFFF"/>
          <w:lang w:val="en-GB"/>
        </w:rPr>
        <w:t>Kling, G., Volz, U., Murinde, V. and Ayas, S., 2021. The impact of climate vulnerability on firms’ cost of capital and access to finance. </w:t>
      </w:r>
      <w:r w:rsidRPr="00646982">
        <w:rPr>
          <w:rFonts w:ascii="Times New Roman" w:hAnsi="Times New Roman" w:cs="Times New Roman"/>
          <w:i/>
          <w:iCs/>
          <w:color w:val="222222"/>
          <w:sz w:val="24"/>
          <w:szCs w:val="24"/>
          <w:shd w:val="clear" w:color="auto" w:fill="FFFFFF"/>
          <w:lang w:val="en-GB"/>
        </w:rPr>
        <w:t>World Development</w:t>
      </w:r>
      <w:r w:rsidRPr="00646982">
        <w:rPr>
          <w:rFonts w:ascii="Times New Roman" w:hAnsi="Times New Roman" w:cs="Times New Roman"/>
          <w:color w:val="222222"/>
          <w:sz w:val="24"/>
          <w:szCs w:val="24"/>
          <w:shd w:val="clear" w:color="auto" w:fill="FFFFFF"/>
          <w:lang w:val="en-GB"/>
        </w:rPr>
        <w:t>, </w:t>
      </w:r>
      <w:r w:rsidRPr="00646982">
        <w:rPr>
          <w:rFonts w:ascii="Times New Roman" w:hAnsi="Times New Roman" w:cs="Times New Roman"/>
          <w:i/>
          <w:iCs/>
          <w:color w:val="222222"/>
          <w:sz w:val="24"/>
          <w:szCs w:val="24"/>
          <w:shd w:val="clear" w:color="auto" w:fill="FFFFFF"/>
          <w:lang w:val="en-GB"/>
        </w:rPr>
        <w:t>137</w:t>
      </w:r>
      <w:r w:rsidRPr="00646982">
        <w:rPr>
          <w:rFonts w:ascii="Times New Roman" w:hAnsi="Times New Roman" w:cs="Times New Roman"/>
          <w:color w:val="222222"/>
          <w:sz w:val="24"/>
          <w:szCs w:val="24"/>
          <w:shd w:val="clear" w:color="auto" w:fill="FFFFFF"/>
          <w:lang w:val="en-GB"/>
        </w:rPr>
        <w:t>, p.105131.</w:t>
      </w:r>
    </w:p>
    <w:p w14:paraId="7F5F957F" w14:textId="77777777" w:rsidR="00646982" w:rsidRPr="00646982" w:rsidRDefault="00646982" w:rsidP="00646982">
      <w:pPr>
        <w:spacing w:before="100" w:beforeAutospacing="1" w:after="100" w:afterAutospacing="1" w:line="360" w:lineRule="auto"/>
        <w:jc w:val="both"/>
        <w:rPr>
          <w:rFonts w:ascii="Times New Roman" w:hAnsi="Times New Roman" w:cs="Times New Roman"/>
          <w:b/>
          <w:bCs/>
          <w:sz w:val="24"/>
          <w:szCs w:val="24"/>
          <w:lang w:val="en-GB"/>
        </w:rPr>
      </w:pPr>
      <w:r w:rsidRPr="00646982">
        <w:rPr>
          <w:rFonts w:ascii="Times New Roman" w:hAnsi="Times New Roman" w:cs="Times New Roman"/>
          <w:color w:val="222222"/>
          <w:sz w:val="24"/>
          <w:szCs w:val="24"/>
          <w:shd w:val="clear" w:color="auto" w:fill="FFFFFF"/>
          <w:lang w:val="en-GB"/>
        </w:rPr>
        <w:t>Moffett, M.H., Stonehill, A.I. and Eiteman, D.K., 2021. </w:t>
      </w:r>
      <w:r w:rsidRPr="00646982">
        <w:rPr>
          <w:rFonts w:ascii="Times New Roman" w:hAnsi="Times New Roman" w:cs="Times New Roman"/>
          <w:i/>
          <w:iCs/>
          <w:color w:val="222222"/>
          <w:sz w:val="24"/>
          <w:szCs w:val="24"/>
          <w:shd w:val="clear" w:color="auto" w:fill="FFFFFF"/>
          <w:lang w:val="en-GB"/>
        </w:rPr>
        <w:t>Fundamentals of multinational finance</w:t>
      </w:r>
      <w:r w:rsidRPr="00646982">
        <w:rPr>
          <w:rFonts w:ascii="Times New Roman" w:hAnsi="Times New Roman" w:cs="Times New Roman"/>
          <w:color w:val="222222"/>
          <w:sz w:val="24"/>
          <w:szCs w:val="24"/>
          <w:shd w:val="clear" w:color="auto" w:fill="FFFFFF"/>
          <w:lang w:val="en-GB"/>
        </w:rPr>
        <w:t>. Pearson.</w:t>
      </w:r>
    </w:p>
    <w:p w14:paraId="10F71A05" w14:textId="77777777" w:rsidR="00646982" w:rsidRPr="00646982" w:rsidRDefault="00646982" w:rsidP="00646982">
      <w:pPr>
        <w:spacing w:before="100" w:beforeAutospacing="1" w:after="100" w:afterAutospacing="1" w:line="360" w:lineRule="auto"/>
        <w:jc w:val="both"/>
        <w:rPr>
          <w:rFonts w:ascii="Times New Roman" w:hAnsi="Times New Roman" w:cs="Times New Roman"/>
          <w:b/>
          <w:bCs/>
          <w:sz w:val="24"/>
          <w:szCs w:val="24"/>
          <w:lang w:val="en-GB"/>
        </w:rPr>
      </w:pPr>
      <w:r w:rsidRPr="00646982">
        <w:rPr>
          <w:rFonts w:ascii="Times New Roman" w:hAnsi="Times New Roman" w:cs="Times New Roman"/>
          <w:color w:val="222222"/>
          <w:sz w:val="24"/>
          <w:szCs w:val="24"/>
          <w:shd w:val="clear" w:color="auto" w:fill="FFFFFF"/>
          <w:lang w:val="en-GB"/>
        </w:rPr>
        <w:t>Nguyen, B. and Canh, N.P., 2021. Formal and informal financing decisions of small businesses. </w:t>
      </w:r>
      <w:r w:rsidRPr="00646982">
        <w:rPr>
          <w:rFonts w:ascii="Times New Roman" w:hAnsi="Times New Roman" w:cs="Times New Roman"/>
          <w:i/>
          <w:iCs/>
          <w:color w:val="222222"/>
          <w:sz w:val="24"/>
          <w:szCs w:val="24"/>
          <w:shd w:val="clear" w:color="auto" w:fill="FFFFFF"/>
          <w:lang w:val="en-GB"/>
        </w:rPr>
        <w:t>Small Business Economics</w:t>
      </w:r>
      <w:r w:rsidRPr="00646982">
        <w:rPr>
          <w:rFonts w:ascii="Times New Roman" w:hAnsi="Times New Roman" w:cs="Times New Roman"/>
          <w:color w:val="222222"/>
          <w:sz w:val="24"/>
          <w:szCs w:val="24"/>
          <w:shd w:val="clear" w:color="auto" w:fill="FFFFFF"/>
          <w:lang w:val="en-GB"/>
        </w:rPr>
        <w:t>, </w:t>
      </w:r>
      <w:r w:rsidRPr="00646982">
        <w:rPr>
          <w:rFonts w:ascii="Times New Roman" w:hAnsi="Times New Roman" w:cs="Times New Roman"/>
          <w:i/>
          <w:iCs/>
          <w:color w:val="222222"/>
          <w:sz w:val="24"/>
          <w:szCs w:val="24"/>
          <w:shd w:val="clear" w:color="auto" w:fill="FFFFFF"/>
          <w:lang w:val="en-GB"/>
        </w:rPr>
        <w:t>57</w:t>
      </w:r>
      <w:r w:rsidRPr="00646982">
        <w:rPr>
          <w:rFonts w:ascii="Times New Roman" w:hAnsi="Times New Roman" w:cs="Times New Roman"/>
          <w:color w:val="222222"/>
          <w:sz w:val="24"/>
          <w:szCs w:val="24"/>
          <w:shd w:val="clear" w:color="auto" w:fill="FFFFFF"/>
          <w:lang w:val="en-GB"/>
        </w:rPr>
        <w:t>(3), pp.1545-1567.</w:t>
      </w:r>
    </w:p>
    <w:p w14:paraId="72ADEAD6" w14:textId="77777777" w:rsidR="00646982" w:rsidRPr="00646982" w:rsidRDefault="00646982" w:rsidP="00646982">
      <w:pPr>
        <w:spacing w:before="100" w:beforeAutospacing="1" w:after="100" w:afterAutospacing="1" w:line="360" w:lineRule="auto"/>
        <w:jc w:val="both"/>
        <w:rPr>
          <w:rFonts w:ascii="Times New Roman" w:hAnsi="Times New Roman" w:cs="Times New Roman"/>
          <w:b/>
          <w:bCs/>
          <w:sz w:val="24"/>
          <w:szCs w:val="24"/>
          <w:lang w:val="en-GB"/>
        </w:rPr>
      </w:pPr>
      <w:r w:rsidRPr="00646982">
        <w:rPr>
          <w:rFonts w:ascii="Times New Roman" w:hAnsi="Times New Roman" w:cs="Times New Roman"/>
          <w:color w:val="222222"/>
          <w:sz w:val="24"/>
          <w:szCs w:val="24"/>
          <w:shd w:val="clear" w:color="auto" w:fill="FFFFFF"/>
          <w:lang w:val="en-GB"/>
        </w:rPr>
        <w:t>Qadir, S.A., Al-Motairi, H., Tahir, F. and Al-Fagih, L., 2021. Incentives and strategies for financing the renewable energy transition: A review. </w:t>
      </w:r>
      <w:r w:rsidRPr="00646982">
        <w:rPr>
          <w:rFonts w:ascii="Times New Roman" w:hAnsi="Times New Roman" w:cs="Times New Roman"/>
          <w:i/>
          <w:iCs/>
          <w:color w:val="222222"/>
          <w:sz w:val="24"/>
          <w:szCs w:val="24"/>
          <w:shd w:val="clear" w:color="auto" w:fill="FFFFFF"/>
          <w:lang w:val="en-GB"/>
        </w:rPr>
        <w:t>Energy Reports</w:t>
      </w:r>
      <w:r w:rsidRPr="00646982">
        <w:rPr>
          <w:rFonts w:ascii="Times New Roman" w:hAnsi="Times New Roman" w:cs="Times New Roman"/>
          <w:color w:val="222222"/>
          <w:sz w:val="24"/>
          <w:szCs w:val="24"/>
          <w:shd w:val="clear" w:color="auto" w:fill="FFFFFF"/>
          <w:lang w:val="en-GB"/>
        </w:rPr>
        <w:t>, </w:t>
      </w:r>
      <w:r w:rsidRPr="00646982">
        <w:rPr>
          <w:rFonts w:ascii="Times New Roman" w:hAnsi="Times New Roman" w:cs="Times New Roman"/>
          <w:i/>
          <w:iCs/>
          <w:color w:val="222222"/>
          <w:sz w:val="24"/>
          <w:szCs w:val="24"/>
          <w:shd w:val="clear" w:color="auto" w:fill="FFFFFF"/>
          <w:lang w:val="en-GB"/>
        </w:rPr>
        <w:t>7</w:t>
      </w:r>
      <w:r w:rsidRPr="00646982">
        <w:rPr>
          <w:rFonts w:ascii="Times New Roman" w:hAnsi="Times New Roman" w:cs="Times New Roman"/>
          <w:color w:val="222222"/>
          <w:sz w:val="24"/>
          <w:szCs w:val="24"/>
          <w:shd w:val="clear" w:color="auto" w:fill="FFFFFF"/>
          <w:lang w:val="en-GB"/>
        </w:rPr>
        <w:t>, pp.3590-3606.</w:t>
      </w:r>
    </w:p>
    <w:p w14:paraId="1516F65A" w14:textId="77777777" w:rsidR="00646982" w:rsidRPr="00646982" w:rsidRDefault="00646982" w:rsidP="00646982">
      <w:pPr>
        <w:spacing w:before="100" w:beforeAutospacing="1" w:after="100" w:afterAutospacing="1" w:line="360" w:lineRule="auto"/>
        <w:jc w:val="both"/>
        <w:rPr>
          <w:rFonts w:ascii="Times New Roman" w:hAnsi="Times New Roman" w:cs="Times New Roman"/>
          <w:b/>
          <w:bCs/>
          <w:sz w:val="24"/>
          <w:szCs w:val="24"/>
          <w:lang w:val="en-GB"/>
        </w:rPr>
      </w:pPr>
      <w:r w:rsidRPr="00646982">
        <w:rPr>
          <w:rFonts w:ascii="Times New Roman" w:hAnsi="Times New Roman" w:cs="Times New Roman"/>
          <w:color w:val="222222"/>
          <w:sz w:val="24"/>
          <w:szCs w:val="24"/>
          <w:shd w:val="clear" w:color="auto" w:fill="FFFFFF"/>
          <w:lang w:val="en-GB"/>
        </w:rPr>
        <w:t>Rjiba, H., Saadi, S., Boubaker, S. and Ding, X.S., 2021. Annual report readability and the cost of equity capital. </w:t>
      </w:r>
      <w:r w:rsidRPr="00646982">
        <w:rPr>
          <w:rFonts w:ascii="Times New Roman" w:hAnsi="Times New Roman" w:cs="Times New Roman"/>
          <w:i/>
          <w:iCs/>
          <w:color w:val="222222"/>
          <w:sz w:val="24"/>
          <w:szCs w:val="24"/>
          <w:shd w:val="clear" w:color="auto" w:fill="FFFFFF"/>
          <w:lang w:val="en-GB"/>
        </w:rPr>
        <w:t>Journal of Corporate Finance</w:t>
      </w:r>
      <w:r w:rsidRPr="00646982">
        <w:rPr>
          <w:rFonts w:ascii="Times New Roman" w:hAnsi="Times New Roman" w:cs="Times New Roman"/>
          <w:color w:val="222222"/>
          <w:sz w:val="24"/>
          <w:szCs w:val="24"/>
          <w:shd w:val="clear" w:color="auto" w:fill="FFFFFF"/>
          <w:lang w:val="en-GB"/>
        </w:rPr>
        <w:t>, </w:t>
      </w:r>
      <w:r w:rsidRPr="00646982">
        <w:rPr>
          <w:rFonts w:ascii="Times New Roman" w:hAnsi="Times New Roman" w:cs="Times New Roman"/>
          <w:i/>
          <w:iCs/>
          <w:color w:val="222222"/>
          <w:sz w:val="24"/>
          <w:szCs w:val="24"/>
          <w:shd w:val="clear" w:color="auto" w:fill="FFFFFF"/>
          <w:lang w:val="en-GB"/>
        </w:rPr>
        <w:t>67</w:t>
      </w:r>
      <w:r w:rsidRPr="00646982">
        <w:rPr>
          <w:rFonts w:ascii="Times New Roman" w:hAnsi="Times New Roman" w:cs="Times New Roman"/>
          <w:color w:val="222222"/>
          <w:sz w:val="24"/>
          <w:szCs w:val="24"/>
          <w:shd w:val="clear" w:color="auto" w:fill="FFFFFF"/>
          <w:lang w:val="en-GB"/>
        </w:rPr>
        <w:t>, p.101902.</w:t>
      </w:r>
    </w:p>
    <w:p w14:paraId="2CF58FAC" w14:textId="77777777" w:rsidR="00646982" w:rsidRPr="00646982" w:rsidRDefault="00646982" w:rsidP="00646982">
      <w:pPr>
        <w:spacing w:before="100" w:beforeAutospacing="1" w:after="100" w:afterAutospacing="1" w:line="360" w:lineRule="auto"/>
        <w:jc w:val="both"/>
        <w:rPr>
          <w:rFonts w:ascii="Times New Roman" w:hAnsi="Times New Roman" w:cs="Times New Roman"/>
          <w:b/>
          <w:bCs/>
          <w:sz w:val="24"/>
          <w:szCs w:val="24"/>
          <w:lang w:val="en-GB"/>
        </w:rPr>
      </w:pPr>
      <w:r w:rsidRPr="00646982">
        <w:rPr>
          <w:rFonts w:ascii="Times New Roman" w:eastAsia="Times New Roman" w:hAnsi="Times New Roman" w:cs="Times New Roman"/>
          <w:color w:val="222222"/>
          <w:sz w:val="24"/>
          <w:szCs w:val="24"/>
          <w:lang w:val="en-GB"/>
        </w:rPr>
        <w:t>Shenkar, O., Luo, Y. and Chi, T., 2021. </w:t>
      </w:r>
      <w:r w:rsidRPr="00646982">
        <w:rPr>
          <w:rFonts w:ascii="Times New Roman" w:eastAsia="Times New Roman" w:hAnsi="Times New Roman" w:cs="Times New Roman"/>
          <w:i/>
          <w:iCs/>
          <w:color w:val="222222"/>
          <w:sz w:val="24"/>
          <w:szCs w:val="24"/>
          <w:lang w:val="en-GB"/>
        </w:rPr>
        <w:t>International business</w:t>
      </w:r>
      <w:r w:rsidRPr="00646982">
        <w:rPr>
          <w:rFonts w:ascii="Times New Roman" w:eastAsia="Times New Roman" w:hAnsi="Times New Roman" w:cs="Times New Roman"/>
          <w:color w:val="222222"/>
          <w:sz w:val="24"/>
          <w:szCs w:val="24"/>
          <w:lang w:val="en-GB"/>
        </w:rPr>
        <w:t>. Routledge.</w:t>
      </w:r>
    </w:p>
    <w:p w14:paraId="63957D11" w14:textId="77777777" w:rsidR="00646982" w:rsidRPr="00646982" w:rsidRDefault="00646982" w:rsidP="00646982">
      <w:pPr>
        <w:spacing w:before="100" w:beforeAutospacing="1" w:after="100" w:afterAutospacing="1" w:line="360" w:lineRule="auto"/>
        <w:jc w:val="both"/>
        <w:rPr>
          <w:rFonts w:ascii="Times New Roman" w:hAnsi="Times New Roman" w:cs="Times New Roman"/>
          <w:b/>
          <w:bCs/>
          <w:sz w:val="24"/>
          <w:szCs w:val="24"/>
          <w:lang w:val="en-GB"/>
        </w:rPr>
      </w:pPr>
      <w:r w:rsidRPr="00646982">
        <w:rPr>
          <w:rFonts w:ascii="Times New Roman" w:hAnsi="Times New Roman" w:cs="Times New Roman"/>
          <w:color w:val="222222"/>
          <w:sz w:val="24"/>
          <w:szCs w:val="24"/>
          <w:shd w:val="clear" w:color="auto" w:fill="FFFFFF"/>
          <w:lang w:val="en-GB"/>
        </w:rPr>
        <w:t>Vitolla, F., Salvi, A., Raimo, N., Petruzzella, F. and Rubino, M., 2020. The impact on the cost of equity capital in the effects of integrated reporting quality. </w:t>
      </w:r>
      <w:r w:rsidRPr="00646982">
        <w:rPr>
          <w:rFonts w:ascii="Times New Roman" w:hAnsi="Times New Roman" w:cs="Times New Roman"/>
          <w:i/>
          <w:iCs/>
          <w:color w:val="222222"/>
          <w:sz w:val="24"/>
          <w:szCs w:val="24"/>
          <w:shd w:val="clear" w:color="auto" w:fill="FFFFFF"/>
          <w:lang w:val="en-GB"/>
        </w:rPr>
        <w:t>Business Strategy and the Environment</w:t>
      </w:r>
      <w:r w:rsidRPr="00646982">
        <w:rPr>
          <w:rFonts w:ascii="Times New Roman" w:hAnsi="Times New Roman" w:cs="Times New Roman"/>
          <w:color w:val="222222"/>
          <w:sz w:val="24"/>
          <w:szCs w:val="24"/>
          <w:shd w:val="clear" w:color="auto" w:fill="FFFFFF"/>
          <w:lang w:val="en-GB"/>
        </w:rPr>
        <w:t>, </w:t>
      </w:r>
      <w:r w:rsidRPr="00646982">
        <w:rPr>
          <w:rFonts w:ascii="Times New Roman" w:hAnsi="Times New Roman" w:cs="Times New Roman"/>
          <w:i/>
          <w:iCs/>
          <w:color w:val="222222"/>
          <w:sz w:val="24"/>
          <w:szCs w:val="24"/>
          <w:shd w:val="clear" w:color="auto" w:fill="FFFFFF"/>
          <w:lang w:val="en-GB"/>
        </w:rPr>
        <w:t>29</w:t>
      </w:r>
      <w:r w:rsidRPr="00646982">
        <w:rPr>
          <w:rFonts w:ascii="Times New Roman" w:hAnsi="Times New Roman" w:cs="Times New Roman"/>
          <w:color w:val="222222"/>
          <w:sz w:val="24"/>
          <w:szCs w:val="24"/>
          <w:shd w:val="clear" w:color="auto" w:fill="FFFFFF"/>
          <w:lang w:val="en-GB"/>
        </w:rPr>
        <w:t>(2), pp.519-529.</w:t>
      </w:r>
    </w:p>
    <w:p w14:paraId="3ED4554C" w14:textId="77777777" w:rsidR="004A64E4" w:rsidRPr="00646982" w:rsidRDefault="004A64E4" w:rsidP="00646982">
      <w:pPr>
        <w:spacing w:before="100" w:beforeAutospacing="1" w:after="100" w:afterAutospacing="1" w:line="360" w:lineRule="auto"/>
        <w:jc w:val="both"/>
        <w:rPr>
          <w:rFonts w:ascii="Times New Roman" w:hAnsi="Times New Roman" w:cs="Times New Roman"/>
          <w:sz w:val="24"/>
          <w:szCs w:val="24"/>
          <w:lang w:val="en-GB"/>
        </w:rPr>
      </w:pPr>
    </w:p>
    <w:p w14:paraId="4AD58012" w14:textId="77777777" w:rsidR="003C4FF1" w:rsidRPr="00646982" w:rsidRDefault="003C4FF1" w:rsidP="00646982">
      <w:pPr>
        <w:spacing w:before="100" w:beforeAutospacing="1" w:after="100" w:afterAutospacing="1" w:line="360" w:lineRule="auto"/>
        <w:jc w:val="both"/>
        <w:rPr>
          <w:rFonts w:ascii="Times New Roman" w:hAnsi="Times New Roman" w:cs="Times New Roman"/>
          <w:sz w:val="24"/>
          <w:szCs w:val="24"/>
          <w:lang w:val="en-GB"/>
        </w:rPr>
      </w:pPr>
    </w:p>
    <w:sectPr w:rsidR="003C4FF1" w:rsidRPr="00646982" w:rsidSect="0064698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2FCC91" w14:textId="77777777" w:rsidR="00FC5FA8" w:rsidRDefault="00FC5FA8" w:rsidP="00646982">
      <w:pPr>
        <w:spacing w:line="240" w:lineRule="auto"/>
      </w:pPr>
      <w:r>
        <w:separator/>
      </w:r>
    </w:p>
  </w:endnote>
  <w:endnote w:type="continuationSeparator" w:id="0">
    <w:p w14:paraId="320A18BE" w14:textId="77777777" w:rsidR="00FC5FA8" w:rsidRDefault="00FC5FA8" w:rsidP="006469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icrosoft Himalaya">
    <w:panose1 w:val="01010100010101010101"/>
    <w:charset w:val="00"/>
    <w:family w:val="auto"/>
    <w:pitch w:val="variable"/>
    <w:sig w:usb0="80000003" w:usb1="00010000" w:usb2="0000004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55BA80" w14:textId="77777777" w:rsidR="00646982" w:rsidRDefault="006469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1080263"/>
      <w:docPartObj>
        <w:docPartGallery w:val="Page Numbers (Bottom of Page)"/>
        <w:docPartUnique/>
      </w:docPartObj>
    </w:sdtPr>
    <w:sdtEndPr>
      <w:rPr>
        <w:noProof/>
      </w:rPr>
    </w:sdtEndPr>
    <w:sdtContent>
      <w:p w14:paraId="0A81E0C7" w14:textId="0CE43A88" w:rsidR="00646982" w:rsidRDefault="006469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CEE53E" w14:textId="77777777" w:rsidR="00646982" w:rsidRDefault="006469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444E6F" w14:textId="77777777" w:rsidR="00646982" w:rsidRDefault="006469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A9EDCE" w14:textId="77777777" w:rsidR="00FC5FA8" w:rsidRDefault="00FC5FA8" w:rsidP="00646982">
      <w:pPr>
        <w:spacing w:line="240" w:lineRule="auto"/>
      </w:pPr>
      <w:r>
        <w:separator/>
      </w:r>
    </w:p>
  </w:footnote>
  <w:footnote w:type="continuationSeparator" w:id="0">
    <w:p w14:paraId="4C17CDD5" w14:textId="77777777" w:rsidR="00FC5FA8" w:rsidRDefault="00FC5FA8" w:rsidP="006469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522D04" w14:textId="77777777" w:rsidR="00646982" w:rsidRDefault="006469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159088" w14:textId="77777777" w:rsidR="00646982" w:rsidRDefault="006469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E3B83E" w14:textId="77777777" w:rsidR="00646982" w:rsidRDefault="006469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54E4C43"/>
    <w:multiLevelType w:val="hybridMultilevel"/>
    <w:tmpl w:val="F1140F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49541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A9C"/>
    <w:rsid w:val="003C4FF1"/>
    <w:rsid w:val="00414A9C"/>
    <w:rsid w:val="004A64E4"/>
    <w:rsid w:val="005F147F"/>
    <w:rsid w:val="00646982"/>
    <w:rsid w:val="00805911"/>
    <w:rsid w:val="00A46537"/>
    <w:rsid w:val="00A8575D"/>
    <w:rsid w:val="00C976F8"/>
    <w:rsid w:val="00CE4D37"/>
    <w:rsid w:val="00D46E2F"/>
    <w:rsid w:val="00FC5FA8"/>
  </w:rsids>
  <m:mathPr>
    <m:mathFont m:val="Cambria Math"/>
    <m:brkBin m:val="before"/>
    <m:brkBinSub m:val="--"/>
    <m:smallFrac m:val="0"/>
    <m:dispDef/>
    <m:lMargin m:val="0"/>
    <m:rMargin m:val="0"/>
    <m:defJc m:val="centerGroup"/>
    <m:wrapIndent m:val="1440"/>
    <m:intLim m:val="subSup"/>
    <m:naryLim m:val="undOvr"/>
  </m:mathPr>
  <w:themeFontLang w:val="en-IN" w:bidi="dz-B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A8D34E"/>
  <w15:docId w15:val="{E26FF353-C870-4D9D-8E97-A82842C8B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46982"/>
    <w:pPr>
      <w:spacing w:before="100" w:beforeAutospacing="1" w:after="100" w:afterAutospacing="1" w:line="360" w:lineRule="auto"/>
      <w:jc w:val="both"/>
      <w:outlineLvl w:val="0"/>
    </w:pPr>
    <w:rPr>
      <w:rFonts w:ascii="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4A64E4"/>
    <w:pPr>
      <w:ind w:left="720"/>
      <w:contextualSpacing/>
    </w:pPr>
  </w:style>
  <w:style w:type="paragraph" w:styleId="TOCHeading">
    <w:name w:val="TOC Heading"/>
    <w:basedOn w:val="Heading1"/>
    <w:next w:val="Normal"/>
    <w:uiPriority w:val="39"/>
    <w:unhideWhenUsed/>
    <w:qFormat/>
    <w:rsid w:val="0064698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46982"/>
    <w:pPr>
      <w:spacing w:after="100"/>
    </w:pPr>
  </w:style>
  <w:style w:type="character" w:styleId="Hyperlink">
    <w:name w:val="Hyperlink"/>
    <w:basedOn w:val="DefaultParagraphFont"/>
    <w:uiPriority w:val="99"/>
    <w:unhideWhenUsed/>
    <w:rsid w:val="00646982"/>
    <w:rPr>
      <w:color w:val="0000FF" w:themeColor="hyperlink"/>
      <w:u w:val="single"/>
    </w:rPr>
  </w:style>
  <w:style w:type="paragraph" w:styleId="Header">
    <w:name w:val="header"/>
    <w:basedOn w:val="Normal"/>
    <w:link w:val="HeaderChar"/>
    <w:uiPriority w:val="99"/>
    <w:unhideWhenUsed/>
    <w:rsid w:val="00646982"/>
    <w:pPr>
      <w:tabs>
        <w:tab w:val="center" w:pos="4513"/>
        <w:tab w:val="right" w:pos="9026"/>
      </w:tabs>
      <w:spacing w:line="240" w:lineRule="auto"/>
    </w:pPr>
  </w:style>
  <w:style w:type="character" w:customStyle="1" w:styleId="HeaderChar">
    <w:name w:val="Header Char"/>
    <w:basedOn w:val="DefaultParagraphFont"/>
    <w:link w:val="Header"/>
    <w:uiPriority w:val="99"/>
    <w:rsid w:val="00646982"/>
  </w:style>
  <w:style w:type="paragraph" w:styleId="Footer">
    <w:name w:val="footer"/>
    <w:basedOn w:val="Normal"/>
    <w:link w:val="FooterChar"/>
    <w:uiPriority w:val="99"/>
    <w:unhideWhenUsed/>
    <w:rsid w:val="00646982"/>
    <w:pPr>
      <w:tabs>
        <w:tab w:val="center" w:pos="4513"/>
        <w:tab w:val="right" w:pos="9026"/>
      </w:tabs>
      <w:spacing w:line="240" w:lineRule="auto"/>
    </w:pPr>
  </w:style>
  <w:style w:type="character" w:customStyle="1" w:styleId="FooterChar">
    <w:name w:val="Footer Char"/>
    <w:basedOn w:val="DefaultParagraphFont"/>
    <w:link w:val="Footer"/>
    <w:uiPriority w:val="99"/>
    <w:rsid w:val="00646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1245752">
      <w:bodyDiv w:val="1"/>
      <w:marLeft w:val="0"/>
      <w:marRight w:val="0"/>
      <w:marTop w:val="0"/>
      <w:marBottom w:val="0"/>
      <w:divBdr>
        <w:top w:val="none" w:sz="0" w:space="0" w:color="auto"/>
        <w:left w:val="none" w:sz="0" w:space="0" w:color="auto"/>
        <w:bottom w:val="none" w:sz="0" w:space="0" w:color="auto"/>
        <w:right w:val="none" w:sz="0" w:space="0" w:color="auto"/>
      </w:divBdr>
      <w:divsChild>
        <w:div w:id="39605275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EC271-F54C-4A15-BA65-70491ABA6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1906</Words>
  <Characters>10930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Raul Trif</cp:lastModifiedBy>
  <cp:revision>2</cp:revision>
  <dcterms:created xsi:type="dcterms:W3CDTF">2024-07-08T16:19:00Z</dcterms:created>
  <dcterms:modified xsi:type="dcterms:W3CDTF">2024-08-19T14:36:00Z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6dfe7b53936e452b6f004273863a58910d5b9405993be79de6905603e182b015</vt:lpwstr>
  </property>
</Properties>
</file>