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B0ACF3" w14:textId="77777777" w:rsidR="00745A0B" w:rsidRPr="000D53B5" w:rsidRDefault="00745A0B" w:rsidP="000D53B5">
      <w:pPr>
        <w:spacing w:line="480" w:lineRule="auto"/>
        <w:rPr>
          <w:rFonts w:ascii="Times New Roman" w:hAnsi="Times New Roman" w:cs="Times New Roman"/>
          <w:b/>
          <w:sz w:val="24"/>
          <w:szCs w:val="24"/>
        </w:rPr>
      </w:pPr>
    </w:p>
    <w:p w14:paraId="6FE79DA6" w14:textId="77777777" w:rsidR="00745A0B" w:rsidRPr="000D53B5" w:rsidRDefault="00745A0B" w:rsidP="00142CD8">
      <w:pPr>
        <w:spacing w:line="480" w:lineRule="auto"/>
        <w:jc w:val="center"/>
        <w:rPr>
          <w:rFonts w:ascii="Times New Roman" w:hAnsi="Times New Roman" w:cs="Times New Roman"/>
          <w:b/>
          <w:sz w:val="24"/>
          <w:szCs w:val="24"/>
          <w:lang w:val="en-US"/>
        </w:rPr>
      </w:pPr>
      <w:r w:rsidRPr="000D53B5">
        <w:rPr>
          <w:rFonts w:ascii="Times New Roman" w:hAnsi="Times New Roman" w:cs="Times New Roman"/>
          <w:b/>
          <w:bCs/>
          <w:sz w:val="24"/>
          <w:szCs w:val="24"/>
          <w:lang w:val="en-US"/>
        </w:rPr>
        <w:t>BA (Hons) Business Management</w:t>
      </w:r>
      <w:r w:rsidRPr="000D53B5">
        <w:rPr>
          <w:rFonts w:ascii="Times New Roman" w:hAnsi="Times New Roman" w:cs="Times New Roman"/>
          <w:b/>
          <w:sz w:val="24"/>
          <w:szCs w:val="24"/>
          <w:lang w:val="en-US"/>
        </w:rPr>
        <w:br/>
      </w:r>
      <w:r w:rsidRPr="000D53B5">
        <w:rPr>
          <w:rFonts w:ascii="Times New Roman" w:hAnsi="Times New Roman" w:cs="Times New Roman"/>
          <w:b/>
          <w:bCs/>
          <w:sz w:val="24"/>
          <w:szCs w:val="24"/>
          <w:lang w:val="en-US"/>
        </w:rPr>
        <w:t>LCBB6006 Project Management</w:t>
      </w:r>
    </w:p>
    <w:p w14:paraId="2397CC10" w14:textId="77777777" w:rsidR="00745A0B" w:rsidRPr="000D53B5" w:rsidRDefault="00745A0B" w:rsidP="00142CD8">
      <w:pPr>
        <w:spacing w:line="480" w:lineRule="auto"/>
        <w:jc w:val="center"/>
        <w:rPr>
          <w:rFonts w:ascii="Times New Roman" w:hAnsi="Times New Roman" w:cs="Times New Roman"/>
          <w:b/>
          <w:bCs/>
          <w:sz w:val="24"/>
          <w:szCs w:val="24"/>
          <w:lang w:val="en-US"/>
        </w:rPr>
      </w:pPr>
      <w:r w:rsidRPr="000D53B5">
        <w:rPr>
          <w:rFonts w:ascii="Times New Roman" w:hAnsi="Times New Roman" w:cs="Times New Roman"/>
          <w:b/>
          <w:bCs/>
          <w:sz w:val="24"/>
          <w:szCs w:val="24"/>
          <w:lang w:val="en-US"/>
        </w:rPr>
        <w:t>Component 2: Coursework Essay</w:t>
      </w:r>
    </w:p>
    <w:p w14:paraId="117C44E0" w14:textId="77777777" w:rsidR="00745A0B" w:rsidRPr="000D53B5" w:rsidRDefault="00745A0B" w:rsidP="00142CD8">
      <w:pPr>
        <w:spacing w:line="480" w:lineRule="auto"/>
        <w:jc w:val="center"/>
        <w:rPr>
          <w:rFonts w:ascii="Times New Roman" w:hAnsi="Times New Roman" w:cs="Times New Roman"/>
          <w:b/>
          <w:bCs/>
          <w:sz w:val="24"/>
          <w:szCs w:val="24"/>
          <w:lang w:val="en-US"/>
        </w:rPr>
      </w:pPr>
      <w:r w:rsidRPr="000D53B5">
        <w:rPr>
          <w:rFonts w:ascii="Times New Roman" w:hAnsi="Times New Roman" w:cs="Times New Roman"/>
          <w:b/>
          <w:bCs/>
          <w:sz w:val="24"/>
          <w:szCs w:val="24"/>
          <w:lang w:val="en-US"/>
        </w:rPr>
        <w:t>A Critical Evaluation of Four Contracting Methods in Project Management</w:t>
      </w:r>
    </w:p>
    <w:p w14:paraId="676B0EA7" w14:textId="1B5B5791" w:rsidR="00745A0B" w:rsidRPr="000D53B5" w:rsidRDefault="00745A0B" w:rsidP="00142CD8">
      <w:pPr>
        <w:spacing w:line="480" w:lineRule="auto"/>
        <w:jc w:val="center"/>
        <w:rPr>
          <w:rFonts w:ascii="Times New Roman" w:hAnsi="Times New Roman" w:cs="Times New Roman"/>
          <w:b/>
          <w:sz w:val="24"/>
          <w:szCs w:val="24"/>
          <w:lang w:val="en-US"/>
        </w:rPr>
      </w:pPr>
      <w:r w:rsidRPr="000D53B5">
        <w:rPr>
          <w:rFonts w:ascii="Times New Roman" w:hAnsi="Times New Roman" w:cs="Times New Roman"/>
          <w:b/>
          <w:bCs/>
          <w:sz w:val="24"/>
          <w:szCs w:val="24"/>
          <w:lang w:val="en-US"/>
        </w:rPr>
        <w:t>Student Name:</w:t>
      </w:r>
      <w:r w:rsidRPr="000D53B5">
        <w:rPr>
          <w:rFonts w:ascii="Times New Roman" w:hAnsi="Times New Roman" w:cs="Times New Roman"/>
          <w:b/>
          <w:sz w:val="24"/>
          <w:szCs w:val="24"/>
          <w:lang w:val="en-US"/>
        </w:rPr>
        <w:t xml:space="preserve"> </w:t>
      </w:r>
      <w:r w:rsidR="00E82134">
        <w:rPr>
          <w:rFonts w:ascii="Times New Roman" w:hAnsi="Times New Roman" w:cs="Times New Roman"/>
          <w:b/>
          <w:sz w:val="24"/>
          <w:szCs w:val="24"/>
          <w:lang w:val="en-US"/>
        </w:rPr>
        <w:t>Dorina Mihaela Enache</w:t>
      </w:r>
      <w:r w:rsidRPr="000D53B5">
        <w:rPr>
          <w:rFonts w:ascii="Times New Roman" w:hAnsi="Times New Roman" w:cs="Times New Roman"/>
          <w:b/>
          <w:sz w:val="24"/>
          <w:szCs w:val="24"/>
          <w:lang w:val="en-US"/>
        </w:rPr>
        <w:br/>
      </w:r>
      <w:r w:rsidRPr="000D53B5">
        <w:rPr>
          <w:rFonts w:ascii="Times New Roman" w:hAnsi="Times New Roman" w:cs="Times New Roman"/>
          <w:b/>
          <w:bCs/>
          <w:sz w:val="24"/>
          <w:szCs w:val="24"/>
          <w:lang w:val="en-US"/>
        </w:rPr>
        <w:t>Student ID:</w:t>
      </w:r>
      <w:r w:rsidRPr="000D53B5">
        <w:rPr>
          <w:rFonts w:ascii="Times New Roman" w:hAnsi="Times New Roman" w:cs="Times New Roman"/>
          <w:b/>
          <w:sz w:val="24"/>
          <w:szCs w:val="24"/>
          <w:lang w:val="en-US"/>
        </w:rPr>
        <w:t xml:space="preserve"> </w:t>
      </w:r>
      <w:r w:rsidR="00E82134">
        <w:rPr>
          <w:rFonts w:ascii="Times New Roman" w:hAnsi="Times New Roman" w:cs="Times New Roman"/>
          <w:b/>
          <w:sz w:val="24"/>
          <w:szCs w:val="24"/>
          <w:lang w:val="en-US"/>
        </w:rPr>
        <w:t>2327908</w:t>
      </w:r>
      <w:r w:rsidRPr="000D53B5">
        <w:rPr>
          <w:rFonts w:ascii="Times New Roman" w:hAnsi="Times New Roman" w:cs="Times New Roman"/>
          <w:b/>
          <w:sz w:val="24"/>
          <w:szCs w:val="24"/>
          <w:lang w:val="en-US"/>
        </w:rPr>
        <w:br/>
      </w:r>
      <w:r w:rsidRPr="000D53B5">
        <w:rPr>
          <w:rFonts w:ascii="Times New Roman" w:hAnsi="Times New Roman" w:cs="Times New Roman"/>
          <w:b/>
          <w:bCs/>
          <w:sz w:val="24"/>
          <w:szCs w:val="24"/>
          <w:lang w:val="en-US"/>
        </w:rPr>
        <w:t>Lecturer:</w:t>
      </w:r>
      <w:r w:rsidRPr="000D53B5">
        <w:rPr>
          <w:rFonts w:ascii="Times New Roman" w:hAnsi="Times New Roman" w:cs="Times New Roman"/>
          <w:b/>
          <w:sz w:val="24"/>
          <w:szCs w:val="24"/>
          <w:lang w:val="en-US"/>
        </w:rPr>
        <w:t xml:space="preserve"> Dr Said Usman</w:t>
      </w:r>
      <w:r w:rsidRPr="000D53B5">
        <w:rPr>
          <w:rFonts w:ascii="Times New Roman" w:hAnsi="Times New Roman" w:cs="Times New Roman"/>
          <w:b/>
          <w:sz w:val="24"/>
          <w:szCs w:val="24"/>
          <w:lang w:val="en-US"/>
        </w:rPr>
        <w:br/>
      </w:r>
      <w:r w:rsidRPr="000D53B5">
        <w:rPr>
          <w:rFonts w:ascii="Times New Roman" w:hAnsi="Times New Roman" w:cs="Times New Roman"/>
          <w:b/>
          <w:bCs/>
          <w:sz w:val="24"/>
          <w:szCs w:val="24"/>
          <w:lang w:val="en-US"/>
        </w:rPr>
        <w:t>Module Leader:</w:t>
      </w:r>
      <w:r w:rsidRPr="000D53B5">
        <w:rPr>
          <w:rFonts w:ascii="Times New Roman" w:hAnsi="Times New Roman" w:cs="Times New Roman"/>
          <w:b/>
          <w:sz w:val="24"/>
          <w:szCs w:val="24"/>
          <w:lang w:val="en-US"/>
        </w:rPr>
        <w:t xml:space="preserve"> Zainab Atta</w:t>
      </w:r>
      <w:r w:rsidRPr="000D53B5">
        <w:rPr>
          <w:rFonts w:ascii="Times New Roman" w:hAnsi="Times New Roman" w:cs="Times New Roman"/>
          <w:b/>
          <w:sz w:val="24"/>
          <w:szCs w:val="24"/>
          <w:lang w:val="en-US"/>
        </w:rPr>
        <w:br/>
      </w:r>
    </w:p>
    <w:p w14:paraId="111E0F3D" w14:textId="77777777" w:rsidR="00745A0B" w:rsidRPr="000D53B5" w:rsidRDefault="00745A0B" w:rsidP="000D53B5">
      <w:pPr>
        <w:spacing w:line="480" w:lineRule="auto"/>
        <w:rPr>
          <w:rFonts w:ascii="Times New Roman" w:hAnsi="Times New Roman" w:cs="Times New Roman"/>
          <w:b/>
          <w:sz w:val="24"/>
          <w:szCs w:val="24"/>
        </w:rPr>
      </w:pPr>
      <w:r w:rsidRPr="000D53B5">
        <w:rPr>
          <w:rFonts w:ascii="Times New Roman" w:hAnsi="Times New Roman" w:cs="Times New Roman"/>
          <w:b/>
          <w:sz w:val="24"/>
          <w:szCs w:val="24"/>
        </w:rPr>
        <w:br w:type="page"/>
      </w:r>
    </w:p>
    <w:sdt>
      <w:sdtPr>
        <w:rPr>
          <w:rFonts w:ascii="Times New Roman" w:eastAsiaTheme="minorHAnsi" w:hAnsi="Times New Roman" w:cs="Times New Roman"/>
          <w:color w:val="auto"/>
          <w:sz w:val="24"/>
          <w:szCs w:val="24"/>
          <w:lang w:val="en-GB"/>
        </w:rPr>
        <w:id w:val="195363573"/>
        <w:docPartObj>
          <w:docPartGallery w:val="Table of Contents"/>
          <w:docPartUnique/>
        </w:docPartObj>
      </w:sdtPr>
      <w:sdtEndPr>
        <w:rPr>
          <w:b/>
          <w:bCs/>
          <w:noProof/>
        </w:rPr>
      </w:sdtEndPr>
      <w:sdtContent>
        <w:p w14:paraId="493B4038" w14:textId="77777777" w:rsidR="000D53B5" w:rsidRPr="000D53B5" w:rsidRDefault="000D53B5" w:rsidP="000D53B5">
          <w:pPr>
            <w:pStyle w:val="TOCHeading"/>
            <w:spacing w:line="480" w:lineRule="auto"/>
            <w:rPr>
              <w:rFonts w:ascii="Times New Roman" w:hAnsi="Times New Roman" w:cs="Times New Roman"/>
              <w:sz w:val="24"/>
              <w:szCs w:val="24"/>
            </w:rPr>
          </w:pPr>
          <w:r w:rsidRPr="000D53B5">
            <w:rPr>
              <w:rFonts w:ascii="Times New Roman" w:hAnsi="Times New Roman" w:cs="Times New Roman"/>
              <w:sz w:val="24"/>
              <w:szCs w:val="24"/>
            </w:rPr>
            <w:t>Contents</w:t>
          </w:r>
        </w:p>
        <w:p w14:paraId="011B92DE" w14:textId="77777777" w:rsidR="000D53B5" w:rsidRPr="000D53B5" w:rsidRDefault="000D53B5" w:rsidP="000D53B5">
          <w:pPr>
            <w:pStyle w:val="TOC1"/>
            <w:tabs>
              <w:tab w:val="right" w:leader="dot" w:pos="9350"/>
            </w:tabs>
            <w:spacing w:line="480" w:lineRule="auto"/>
            <w:rPr>
              <w:rFonts w:ascii="Times New Roman" w:eastAsiaTheme="minorEastAsia" w:hAnsi="Times New Roman" w:cs="Times New Roman"/>
              <w:noProof/>
              <w:sz w:val="24"/>
              <w:szCs w:val="24"/>
              <w:lang w:val="en-US"/>
            </w:rPr>
          </w:pPr>
          <w:r w:rsidRPr="000D53B5">
            <w:rPr>
              <w:rFonts w:ascii="Times New Roman" w:hAnsi="Times New Roman" w:cs="Times New Roman"/>
              <w:sz w:val="24"/>
              <w:szCs w:val="24"/>
            </w:rPr>
            <w:fldChar w:fldCharType="begin"/>
          </w:r>
          <w:r w:rsidRPr="000D53B5">
            <w:rPr>
              <w:rFonts w:ascii="Times New Roman" w:hAnsi="Times New Roman" w:cs="Times New Roman"/>
              <w:sz w:val="24"/>
              <w:szCs w:val="24"/>
            </w:rPr>
            <w:instrText xml:space="preserve"> TOC \o "1-3" \h \z \u </w:instrText>
          </w:r>
          <w:r w:rsidRPr="000D53B5">
            <w:rPr>
              <w:rFonts w:ascii="Times New Roman" w:hAnsi="Times New Roman" w:cs="Times New Roman"/>
              <w:sz w:val="24"/>
              <w:szCs w:val="24"/>
            </w:rPr>
            <w:fldChar w:fldCharType="separate"/>
          </w:r>
          <w:hyperlink w:anchor="_Toc226753600" w:history="1">
            <w:r w:rsidRPr="000D53B5">
              <w:rPr>
                <w:rStyle w:val="Hyperlink"/>
                <w:rFonts w:ascii="Times New Roman" w:hAnsi="Times New Roman" w:cs="Times New Roman"/>
                <w:noProof/>
                <w:sz w:val="24"/>
                <w:szCs w:val="24"/>
              </w:rPr>
              <w:t>1.0 Introduction</w:t>
            </w:r>
            <w:r w:rsidRPr="000D53B5">
              <w:rPr>
                <w:rFonts w:ascii="Times New Roman" w:hAnsi="Times New Roman" w:cs="Times New Roman"/>
                <w:noProof/>
                <w:webHidden/>
                <w:sz w:val="24"/>
                <w:szCs w:val="24"/>
              </w:rPr>
              <w:tab/>
            </w:r>
            <w:r w:rsidRPr="000D53B5">
              <w:rPr>
                <w:rFonts w:ascii="Times New Roman" w:hAnsi="Times New Roman" w:cs="Times New Roman"/>
                <w:noProof/>
                <w:webHidden/>
                <w:sz w:val="24"/>
                <w:szCs w:val="24"/>
              </w:rPr>
              <w:fldChar w:fldCharType="begin"/>
            </w:r>
            <w:r w:rsidRPr="000D53B5">
              <w:rPr>
                <w:rFonts w:ascii="Times New Roman" w:hAnsi="Times New Roman" w:cs="Times New Roman"/>
                <w:noProof/>
                <w:webHidden/>
                <w:sz w:val="24"/>
                <w:szCs w:val="24"/>
              </w:rPr>
              <w:instrText xml:space="preserve"> PAGEREF _Toc226753600 \h </w:instrText>
            </w:r>
            <w:r w:rsidRPr="000D53B5">
              <w:rPr>
                <w:rFonts w:ascii="Times New Roman" w:hAnsi="Times New Roman" w:cs="Times New Roman"/>
                <w:noProof/>
                <w:webHidden/>
                <w:sz w:val="24"/>
                <w:szCs w:val="24"/>
              </w:rPr>
            </w:r>
            <w:r w:rsidRPr="000D53B5">
              <w:rPr>
                <w:rFonts w:ascii="Times New Roman" w:hAnsi="Times New Roman" w:cs="Times New Roman"/>
                <w:noProof/>
                <w:webHidden/>
                <w:sz w:val="24"/>
                <w:szCs w:val="24"/>
              </w:rPr>
              <w:fldChar w:fldCharType="separate"/>
            </w:r>
            <w:r w:rsidRPr="000D53B5">
              <w:rPr>
                <w:rFonts w:ascii="Times New Roman" w:hAnsi="Times New Roman" w:cs="Times New Roman"/>
                <w:noProof/>
                <w:webHidden/>
                <w:sz w:val="24"/>
                <w:szCs w:val="24"/>
              </w:rPr>
              <w:t>3</w:t>
            </w:r>
            <w:r w:rsidRPr="000D53B5">
              <w:rPr>
                <w:rFonts w:ascii="Times New Roman" w:hAnsi="Times New Roman" w:cs="Times New Roman"/>
                <w:noProof/>
                <w:webHidden/>
                <w:sz w:val="24"/>
                <w:szCs w:val="24"/>
              </w:rPr>
              <w:fldChar w:fldCharType="end"/>
            </w:r>
          </w:hyperlink>
        </w:p>
        <w:p w14:paraId="19DDFF0E" w14:textId="77777777" w:rsidR="000D53B5" w:rsidRPr="000D53B5" w:rsidRDefault="000D53B5" w:rsidP="000D53B5">
          <w:pPr>
            <w:pStyle w:val="TOC1"/>
            <w:tabs>
              <w:tab w:val="right" w:leader="dot" w:pos="9350"/>
            </w:tabs>
            <w:spacing w:line="480" w:lineRule="auto"/>
            <w:rPr>
              <w:rFonts w:ascii="Times New Roman" w:eastAsiaTheme="minorEastAsia" w:hAnsi="Times New Roman" w:cs="Times New Roman"/>
              <w:noProof/>
              <w:sz w:val="24"/>
              <w:szCs w:val="24"/>
              <w:lang w:val="en-US"/>
            </w:rPr>
          </w:pPr>
          <w:hyperlink w:anchor="_Toc226753601" w:history="1">
            <w:r w:rsidRPr="000D53B5">
              <w:rPr>
                <w:rStyle w:val="Hyperlink"/>
                <w:rFonts w:ascii="Times New Roman" w:hAnsi="Times New Roman" w:cs="Times New Roman"/>
                <w:noProof/>
                <w:sz w:val="24"/>
                <w:szCs w:val="24"/>
                <w:lang w:val="en-US"/>
              </w:rPr>
              <w:t>2.0 Turnkey Contracting</w:t>
            </w:r>
            <w:r w:rsidRPr="000D53B5">
              <w:rPr>
                <w:rFonts w:ascii="Times New Roman" w:hAnsi="Times New Roman" w:cs="Times New Roman"/>
                <w:noProof/>
                <w:webHidden/>
                <w:sz w:val="24"/>
                <w:szCs w:val="24"/>
              </w:rPr>
              <w:tab/>
            </w:r>
            <w:r w:rsidRPr="000D53B5">
              <w:rPr>
                <w:rFonts w:ascii="Times New Roman" w:hAnsi="Times New Roman" w:cs="Times New Roman"/>
                <w:noProof/>
                <w:webHidden/>
                <w:sz w:val="24"/>
                <w:szCs w:val="24"/>
              </w:rPr>
              <w:fldChar w:fldCharType="begin"/>
            </w:r>
            <w:r w:rsidRPr="000D53B5">
              <w:rPr>
                <w:rFonts w:ascii="Times New Roman" w:hAnsi="Times New Roman" w:cs="Times New Roman"/>
                <w:noProof/>
                <w:webHidden/>
                <w:sz w:val="24"/>
                <w:szCs w:val="24"/>
              </w:rPr>
              <w:instrText xml:space="preserve"> PAGEREF _Toc226753601 \h </w:instrText>
            </w:r>
            <w:r w:rsidRPr="000D53B5">
              <w:rPr>
                <w:rFonts w:ascii="Times New Roman" w:hAnsi="Times New Roman" w:cs="Times New Roman"/>
                <w:noProof/>
                <w:webHidden/>
                <w:sz w:val="24"/>
                <w:szCs w:val="24"/>
              </w:rPr>
            </w:r>
            <w:r w:rsidRPr="000D53B5">
              <w:rPr>
                <w:rFonts w:ascii="Times New Roman" w:hAnsi="Times New Roman" w:cs="Times New Roman"/>
                <w:noProof/>
                <w:webHidden/>
                <w:sz w:val="24"/>
                <w:szCs w:val="24"/>
              </w:rPr>
              <w:fldChar w:fldCharType="separate"/>
            </w:r>
            <w:r w:rsidRPr="000D53B5">
              <w:rPr>
                <w:rFonts w:ascii="Times New Roman" w:hAnsi="Times New Roman" w:cs="Times New Roman"/>
                <w:noProof/>
                <w:webHidden/>
                <w:sz w:val="24"/>
                <w:szCs w:val="24"/>
              </w:rPr>
              <w:t>4</w:t>
            </w:r>
            <w:r w:rsidRPr="000D53B5">
              <w:rPr>
                <w:rFonts w:ascii="Times New Roman" w:hAnsi="Times New Roman" w:cs="Times New Roman"/>
                <w:noProof/>
                <w:webHidden/>
                <w:sz w:val="24"/>
                <w:szCs w:val="24"/>
              </w:rPr>
              <w:fldChar w:fldCharType="end"/>
            </w:r>
          </w:hyperlink>
        </w:p>
        <w:p w14:paraId="748E7C99" w14:textId="77777777" w:rsidR="000D53B5" w:rsidRPr="000D53B5" w:rsidRDefault="000D53B5" w:rsidP="000D53B5">
          <w:pPr>
            <w:pStyle w:val="TOC1"/>
            <w:tabs>
              <w:tab w:val="right" w:leader="dot" w:pos="9350"/>
            </w:tabs>
            <w:spacing w:line="480" w:lineRule="auto"/>
            <w:rPr>
              <w:rFonts w:ascii="Times New Roman" w:eastAsiaTheme="minorEastAsia" w:hAnsi="Times New Roman" w:cs="Times New Roman"/>
              <w:noProof/>
              <w:sz w:val="24"/>
              <w:szCs w:val="24"/>
              <w:lang w:val="en-US"/>
            </w:rPr>
          </w:pPr>
          <w:hyperlink w:anchor="_Toc226753602" w:history="1">
            <w:r w:rsidRPr="000D53B5">
              <w:rPr>
                <w:rStyle w:val="Hyperlink"/>
                <w:rFonts w:ascii="Times New Roman" w:hAnsi="Times New Roman" w:cs="Times New Roman"/>
                <w:noProof/>
                <w:sz w:val="24"/>
                <w:szCs w:val="24"/>
                <w:lang w:val="en-US"/>
              </w:rPr>
              <w:t>3.0 Multicontract</w:t>
            </w:r>
            <w:r w:rsidRPr="000D53B5">
              <w:rPr>
                <w:rFonts w:ascii="Times New Roman" w:hAnsi="Times New Roman" w:cs="Times New Roman"/>
                <w:noProof/>
                <w:webHidden/>
                <w:sz w:val="24"/>
                <w:szCs w:val="24"/>
              </w:rPr>
              <w:tab/>
            </w:r>
            <w:r w:rsidRPr="000D53B5">
              <w:rPr>
                <w:rFonts w:ascii="Times New Roman" w:hAnsi="Times New Roman" w:cs="Times New Roman"/>
                <w:noProof/>
                <w:webHidden/>
                <w:sz w:val="24"/>
                <w:szCs w:val="24"/>
              </w:rPr>
              <w:fldChar w:fldCharType="begin"/>
            </w:r>
            <w:r w:rsidRPr="000D53B5">
              <w:rPr>
                <w:rFonts w:ascii="Times New Roman" w:hAnsi="Times New Roman" w:cs="Times New Roman"/>
                <w:noProof/>
                <w:webHidden/>
                <w:sz w:val="24"/>
                <w:szCs w:val="24"/>
              </w:rPr>
              <w:instrText xml:space="preserve"> PAGEREF _Toc226753602 \h </w:instrText>
            </w:r>
            <w:r w:rsidRPr="000D53B5">
              <w:rPr>
                <w:rFonts w:ascii="Times New Roman" w:hAnsi="Times New Roman" w:cs="Times New Roman"/>
                <w:noProof/>
                <w:webHidden/>
                <w:sz w:val="24"/>
                <w:szCs w:val="24"/>
              </w:rPr>
            </w:r>
            <w:r w:rsidRPr="000D53B5">
              <w:rPr>
                <w:rFonts w:ascii="Times New Roman" w:hAnsi="Times New Roman" w:cs="Times New Roman"/>
                <w:noProof/>
                <w:webHidden/>
                <w:sz w:val="24"/>
                <w:szCs w:val="24"/>
              </w:rPr>
              <w:fldChar w:fldCharType="separate"/>
            </w:r>
            <w:r w:rsidRPr="000D53B5">
              <w:rPr>
                <w:rFonts w:ascii="Times New Roman" w:hAnsi="Times New Roman" w:cs="Times New Roman"/>
                <w:noProof/>
                <w:webHidden/>
                <w:sz w:val="24"/>
                <w:szCs w:val="24"/>
              </w:rPr>
              <w:t>5</w:t>
            </w:r>
            <w:r w:rsidRPr="000D53B5">
              <w:rPr>
                <w:rFonts w:ascii="Times New Roman" w:hAnsi="Times New Roman" w:cs="Times New Roman"/>
                <w:noProof/>
                <w:webHidden/>
                <w:sz w:val="24"/>
                <w:szCs w:val="24"/>
              </w:rPr>
              <w:fldChar w:fldCharType="end"/>
            </w:r>
          </w:hyperlink>
        </w:p>
        <w:p w14:paraId="194EEDFC" w14:textId="77777777" w:rsidR="000D53B5" w:rsidRPr="000D53B5" w:rsidRDefault="000D53B5" w:rsidP="000D53B5">
          <w:pPr>
            <w:pStyle w:val="TOC2"/>
            <w:tabs>
              <w:tab w:val="right" w:leader="dot" w:pos="9350"/>
            </w:tabs>
            <w:spacing w:line="480" w:lineRule="auto"/>
            <w:ind w:left="0"/>
            <w:rPr>
              <w:rFonts w:ascii="Times New Roman" w:eastAsiaTheme="minorEastAsia" w:hAnsi="Times New Roman" w:cs="Times New Roman"/>
              <w:noProof/>
              <w:sz w:val="24"/>
              <w:szCs w:val="24"/>
              <w:lang w:val="en-US"/>
            </w:rPr>
          </w:pPr>
          <w:hyperlink w:anchor="_Toc226753603" w:history="1">
            <w:r w:rsidRPr="000D53B5">
              <w:rPr>
                <w:rStyle w:val="Hyperlink"/>
                <w:rFonts w:ascii="Times New Roman" w:hAnsi="Times New Roman" w:cs="Times New Roman"/>
                <w:noProof/>
                <w:sz w:val="24"/>
                <w:szCs w:val="24"/>
                <w:lang w:val="en-US"/>
              </w:rPr>
              <w:t>4.0 Do-It-Yourself (DIY)</w:t>
            </w:r>
            <w:r w:rsidRPr="000D53B5">
              <w:rPr>
                <w:rFonts w:ascii="Times New Roman" w:hAnsi="Times New Roman" w:cs="Times New Roman"/>
                <w:noProof/>
                <w:webHidden/>
                <w:sz w:val="24"/>
                <w:szCs w:val="24"/>
              </w:rPr>
              <w:tab/>
            </w:r>
            <w:r w:rsidRPr="000D53B5">
              <w:rPr>
                <w:rFonts w:ascii="Times New Roman" w:hAnsi="Times New Roman" w:cs="Times New Roman"/>
                <w:noProof/>
                <w:webHidden/>
                <w:sz w:val="24"/>
                <w:szCs w:val="24"/>
              </w:rPr>
              <w:fldChar w:fldCharType="begin"/>
            </w:r>
            <w:r w:rsidRPr="000D53B5">
              <w:rPr>
                <w:rFonts w:ascii="Times New Roman" w:hAnsi="Times New Roman" w:cs="Times New Roman"/>
                <w:noProof/>
                <w:webHidden/>
                <w:sz w:val="24"/>
                <w:szCs w:val="24"/>
              </w:rPr>
              <w:instrText xml:space="preserve"> PAGEREF _Toc226753603 \h </w:instrText>
            </w:r>
            <w:r w:rsidRPr="000D53B5">
              <w:rPr>
                <w:rFonts w:ascii="Times New Roman" w:hAnsi="Times New Roman" w:cs="Times New Roman"/>
                <w:noProof/>
                <w:webHidden/>
                <w:sz w:val="24"/>
                <w:szCs w:val="24"/>
              </w:rPr>
            </w:r>
            <w:r w:rsidRPr="000D53B5">
              <w:rPr>
                <w:rFonts w:ascii="Times New Roman" w:hAnsi="Times New Roman" w:cs="Times New Roman"/>
                <w:noProof/>
                <w:webHidden/>
                <w:sz w:val="24"/>
                <w:szCs w:val="24"/>
              </w:rPr>
              <w:fldChar w:fldCharType="separate"/>
            </w:r>
            <w:r w:rsidRPr="000D53B5">
              <w:rPr>
                <w:rFonts w:ascii="Times New Roman" w:hAnsi="Times New Roman" w:cs="Times New Roman"/>
                <w:noProof/>
                <w:webHidden/>
                <w:sz w:val="24"/>
                <w:szCs w:val="24"/>
              </w:rPr>
              <w:t>6</w:t>
            </w:r>
            <w:r w:rsidRPr="000D53B5">
              <w:rPr>
                <w:rFonts w:ascii="Times New Roman" w:hAnsi="Times New Roman" w:cs="Times New Roman"/>
                <w:noProof/>
                <w:webHidden/>
                <w:sz w:val="24"/>
                <w:szCs w:val="24"/>
              </w:rPr>
              <w:fldChar w:fldCharType="end"/>
            </w:r>
          </w:hyperlink>
        </w:p>
        <w:p w14:paraId="040CAA1A" w14:textId="77777777" w:rsidR="000D53B5" w:rsidRPr="000D53B5" w:rsidRDefault="000D53B5" w:rsidP="000D53B5">
          <w:pPr>
            <w:pStyle w:val="TOC1"/>
            <w:tabs>
              <w:tab w:val="right" w:leader="dot" w:pos="9350"/>
            </w:tabs>
            <w:spacing w:line="480" w:lineRule="auto"/>
            <w:rPr>
              <w:rFonts w:ascii="Times New Roman" w:eastAsiaTheme="minorEastAsia" w:hAnsi="Times New Roman" w:cs="Times New Roman"/>
              <w:noProof/>
              <w:sz w:val="24"/>
              <w:szCs w:val="24"/>
              <w:lang w:val="en-US"/>
            </w:rPr>
          </w:pPr>
          <w:hyperlink w:anchor="_Toc226753604" w:history="1">
            <w:r w:rsidRPr="000D53B5">
              <w:rPr>
                <w:rStyle w:val="Hyperlink"/>
                <w:rFonts w:ascii="Times New Roman" w:hAnsi="Times New Roman" w:cs="Times New Roman"/>
                <w:noProof/>
                <w:sz w:val="24"/>
                <w:szCs w:val="24"/>
                <w:lang w:val="en-US"/>
              </w:rPr>
              <w:t>5.0 Multicontract + DIY</w:t>
            </w:r>
            <w:r w:rsidRPr="000D53B5">
              <w:rPr>
                <w:rFonts w:ascii="Times New Roman" w:hAnsi="Times New Roman" w:cs="Times New Roman"/>
                <w:noProof/>
                <w:webHidden/>
                <w:sz w:val="24"/>
                <w:szCs w:val="24"/>
              </w:rPr>
              <w:tab/>
            </w:r>
            <w:r w:rsidRPr="000D53B5">
              <w:rPr>
                <w:rFonts w:ascii="Times New Roman" w:hAnsi="Times New Roman" w:cs="Times New Roman"/>
                <w:noProof/>
                <w:webHidden/>
                <w:sz w:val="24"/>
                <w:szCs w:val="24"/>
              </w:rPr>
              <w:fldChar w:fldCharType="begin"/>
            </w:r>
            <w:r w:rsidRPr="000D53B5">
              <w:rPr>
                <w:rFonts w:ascii="Times New Roman" w:hAnsi="Times New Roman" w:cs="Times New Roman"/>
                <w:noProof/>
                <w:webHidden/>
                <w:sz w:val="24"/>
                <w:szCs w:val="24"/>
              </w:rPr>
              <w:instrText xml:space="preserve"> PAGEREF _Toc226753604 \h </w:instrText>
            </w:r>
            <w:r w:rsidRPr="000D53B5">
              <w:rPr>
                <w:rFonts w:ascii="Times New Roman" w:hAnsi="Times New Roman" w:cs="Times New Roman"/>
                <w:noProof/>
                <w:webHidden/>
                <w:sz w:val="24"/>
                <w:szCs w:val="24"/>
              </w:rPr>
            </w:r>
            <w:r w:rsidRPr="000D53B5">
              <w:rPr>
                <w:rFonts w:ascii="Times New Roman" w:hAnsi="Times New Roman" w:cs="Times New Roman"/>
                <w:noProof/>
                <w:webHidden/>
                <w:sz w:val="24"/>
                <w:szCs w:val="24"/>
              </w:rPr>
              <w:fldChar w:fldCharType="separate"/>
            </w:r>
            <w:r w:rsidRPr="000D53B5">
              <w:rPr>
                <w:rFonts w:ascii="Times New Roman" w:hAnsi="Times New Roman" w:cs="Times New Roman"/>
                <w:noProof/>
                <w:webHidden/>
                <w:sz w:val="24"/>
                <w:szCs w:val="24"/>
              </w:rPr>
              <w:t>7</w:t>
            </w:r>
            <w:r w:rsidRPr="000D53B5">
              <w:rPr>
                <w:rFonts w:ascii="Times New Roman" w:hAnsi="Times New Roman" w:cs="Times New Roman"/>
                <w:noProof/>
                <w:webHidden/>
                <w:sz w:val="24"/>
                <w:szCs w:val="24"/>
              </w:rPr>
              <w:fldChar w:fldCharType="end"/>
            </w:r>
          </w:hyperlink>
        </w:p>
        <w:p w14:paraId="74E65AD8" w14:textId="77777777" w:rsidR="000D53B5" w:rsidRPr="000D53B5" w:rsidRDefault="000D53B5" w:rsidP="000D53B5">
          <w:pPr>
            <w:pStyle w:val="TOC1"/>
            <w:tabs>
              <w:tab w:val="right" w:leader="dot" w:pos="9350"/>
            </w:tabs>
            <w:spacing w:line="480" w:lineRule="auto"/>
            <w:rPr>
              <w:rFonts w:ascii="Times New Roman" w:eastAsiaTheme="minorEastAsia" w:hAnsi="Times New Roman" w:cs="Times New Roman"/>
              <w:noProof/>
              <w:sz w:val="24"/>
              <w:szCs w:val="24"/>
              <w:lang w:val="en-US"/>
            </w:rPr>
          </w:pPr>
          <w:hyperlink w:anchor="_Toc226753605" w:history="1">
            <w:r w:rsidRPr="000D53B5">
              <w:rPr>
                <w:rStyle w:val="Hyperlink"/>
                <w:rFonts w:ascii="Times New Roman" w:hAnsi="Times New Roman" w:cs="Times New Roman"/>
                <w:noProof/>
                <w:sz w:val="24"/>
                <w:szCs w:val="24"/>
                <w:lang w:val="en-US"/>
              </w:rPr>
              <w:t>6.0 Comparative Evaluation</w:t>
            </w:r>
            <w:r w:rsidRPr="000D53B5">
              <w:rPr>
                <w:rFonts w:ascii="Times New Roman" w:hAnsi="Times New Roman" w:cs="Times New Roman"/>
                <w:noProof/>
                <w:webHidden/>
                <w:sz w:val="24"/>
                <w:szCs w:val="24"/>
              </w:rPr>
              <w:tab/>
            </w:r>
            <w:r w:rsidRPr="000D53B5">
              <w:rPr>
                <w:rFonts w:ascii="Times New Roman" w:hAnsi="Times New Roman" w:cs="Times New Roman"/>
                <w:noProof/>
                <w:webHidden/>
                <w:sz w:val="24"/>
                <w:szCs w:val="24"/>
              </w:rPr>
              <w:fldChar w:fldCharType="begin"/>
            </w:r>
            <w:r w:rsidRPr="000D53B5">
              <w:rPr>
                <w:rFonts w:ascii="Times New Roman" w:hAnsi="Times New Roman" w:cs="Times New Roman"/>
                <w:noProof/>
                <w:webHidden/>
                <w:sz w:val="24"/>
                <w:szCs w:val="24"/>
              </w:rPr>
              <w:instrText xml:space="preserve"> PAGEREF _Toc226753605 \h </w:instrText>
            </w:r>
            <w:r w:rsidRPr="000D53B5">
              <w:rPr>
                <w:rFonts w:ascii="Times New Roman" w:hAnsi="Times New Roman" w:cs="Times New Roman"/>
                <w:noProof/>
                <w:webHidden/>
                <w:sz w:val="24"/>
                <w:szCs w:val="24"/>
              </w:rPr>
            </w:r>
            <w:r w:rsidRPr="000D53B5">
              <w:rPr>
                <w:rFonts w:ascii="Times New Roman" w:hAnsi="Times New Roman" w:cs="Times New Roman"/>
                <w:noProof/>
                <w:webHidden/>
                <w:sz w:val="24"/>
                <w:szCs w:val="24"/>
              </w:rPr>
              <w:fldChar w:fldCharType="separate"/>
            </w:r>
            <w:r w:rsidRPr="000D53B5">
              <w:rPr>
                <w:rFonts w:ascii="Times New Roman" w:hAnsi="Times New Roman" w:cs="Times New Roman"/>
                <w:noProof/>
                <w:webHidden/>
                <w:sz w:val="24"/>
                <w:szCs w:val="24"/>
              </w:rPr>
              <w:t>8</w:t>
            </w:r>
            <w:r w:rsidRPr="000D53B5">
              <w:rPr>
                <w:rFonts w:ascii="Times New Roman" w:hAnsi="Times New Roman" w:cs="Times New Roman"/>
                <w:noProof/>
                <w:webHidden/>
                <w:sz w:val="24"/>
                <w:szCs w:val="24"/>
              </w:rPr>
              <w:fldChar w:fldCharType="end"/>
            </w:r>
          </w:hyperlink>
        </w:p>
        <w:p w14:paraId="44380189" w14:textId="77777777" w:rsidR="000D53B5" w:rsidRPr="000D53B5" w:rsidRDefault="000D53B5" w:rsidP="000D53B5">
          <w:pPr>
            <w:pStyle w:val="TOC1"/>
            <w:tabs>
              <w:tab w:val="right" w:leader="dot" w:pos="9350"/>
            </w:tabs>
            <w:spacing w:line="480" w:lineRule="auto"/>
            <w:rPr>
              <w:rFonts w:ascii="Times New Roman" w:eastAsiaTheme="minorEastAsia" w:hAnsi="Times New Roman" w:cs="Times New Roman"/>
              <w:noProof/>
              <w:sz w:val="24"/>
              <w:szCs w:val="24"/>
              <w:lang w:val="en-US"/>
            </w:rPr>
          </w:pPr>
          <w:hyperlink w:anchor="_Toc226753606" w:history="1">
            <w:r w:rsidRPr="000D53B5">
              <w:rPr>
                <w:rStyle w:val="Hyperlink"/>
                <w:rFonts w:ascii="Times New Roman" w:hAnsi="Times New Roman" w:cs="Times New Roman"/>
                <w:noProof/>
                <w:sz w:val="24"/>
                <w:szCs w:val="24"/>
                <w:lang w:val="en-US"/>
              </w:rPr>
              <w:t>7.0 Conclusion</w:t>
            </w:r>
            <w:r w:rsidRPr="000D53B5">
              <w:rPr>
                <w:rFonts w:ascii="Times New Roman" w:hAnsi="Times New Roman" w:cs="Times New Roman"/>
                <w:noProof/>
                <w:webHidden/>
                <w:sz w:val="24"/>
                <w:szCs w:val="24"/>
              </w:rPr>
              <w:tab/>
            </w:r>
            <w:r w:rsidRPr="000D53B5">
              <w:rPr>
                <w:rFonts w:ascii="Times New Roman" w:hAnsi="Times New Roman" w:cs="Times New Roman"/>
                <w:noProof/>
                <w:webHidden/>
                <w:sz w:val="24"/>
                <w:szCs w:val="24"/>
              </w:rPr>
              <w:fldChar w:fldCharType="begin"/>
            </w:r>
            <w:r w:rsidRPr="000D53B5">
              <w:rPr>
                <w:rFonts w:ascii="Times New Roman" w:hAnsi="Times New Roman" w:cs="Times New Roman"/>
                <w:noProof/>
                <w:webHidden/>
                <w:sz w:val="24"/>
                <w:szCs w:val="24"/>
              </w:rPr>
              <w:instrText xml:space="preserve"> PAGEREF _Toc226753606 \h </w:instrText>
            </w:r>
            <w:r w:rsidRPr="000D53B5">
              <w:rPr>
                <w:rFonts w:ascii="Times New Roman" w:hAnsi="Times New Roman" w:cs="Times New Roman"/>
                <w:noProof/>
                <w:webHidden/>
                <w:sz w:val="24"/>
                <w:szCs w:val="24"/>
              </w:rPr>
            </w:r>
            <w:r w:rsidRPr="000D53B5">
              <w:rPr>
                <w:rFonts w:ascii="Times New Roman" w:hAnsi="Times New Roman" w:cs="Times New Roman"/>
                <w:noProof/>
                <w:webHidden/>
                <w:sz w:val="24"/>
                <w:szCs w:val="24"/>
              </w:rPr>
              <w:fldChar w:fldCharType="separate"/>
            </w:r>
            <w:r w:rsidRPr="000D53B5">
              <w:rPr>
                <w:rFonts w:ascii="Times New Roman" w:hAnsi="Times New Roman" w:cs="Times New Roman"/>
                <w:noProof/>
                <w:webHidden/>
                <w:sz w:val="24"/>
                <w:szCs w:val="24"/>
              </w:rPr>
              <w:t>9</w:t>
            </w:r>
            <w:r w:rsidRPr="000D53B5">
              <w:rPr>
                <w:rFonts w:ascii="Times New Roman" w:hAnsi="Times New Roman" w:cs="Times New Roman"/>
                <w:noProof/>
                <w:webHidden/>
                <w:sz w:val="24"/>
                <w:szCs w:val="24"/>
              </w:rPr>
              <w:fldChar w:fldCharType="end"/>
            </w:r>
          </w:hyperlink>
        </w:p>
        <w:p w14:paraId="339FC25B" w14:textId="77777777" w:rsidR="000D53B5" w:rsidRPr="000D53B5" w:rsidRDefault="000D53B5" w:rsidP="000D53B5">
          <w:pPr>
            <w:pStyle w:val="TOC1"/>
            <w:tabs>
              <w:tab w:val="right" w:leader="dot" w:pos="9350"/>
            </w:tabs>
            <w:spacing w:line="480" w:lineRule="auto"/>
            <w:rPr>
              <w:rFonts w:ascii="Times New Roman" w:eastAsiaTheme="minorEastAsia" w:hAnsi="Times New Roman" w:cs="Times New Roman"/>
              <w:noProof/>
              <w:sz w:val="24"/>
              <w:szCs w:val="24"/>
              <w:lang w:val="en-US"/>
            </w:rPr>
          </w:pPr>
          <w:hyperlink w:anchor="_Toc226753607" w:history="1">
            <w:r w:rsidRPr="000D53B5">
              <w:rPr>
                <w:rStyle w:val="Hyperlink"/>
                <w:rFonts w:ascii="Times New Roman" w:hAnsi="Times New Roman" w:cs="Times New Roman"/>
                <w:noProof/>
                <w:sz w:val="24"/>
                <w:szCs w:val="24"/>
                <w:lang w:val="en-US"/>
              </w:rPr>
              <w:t>References list</w:t>
            </w:r>
            <w:r w:rsidRPr="000D53B5">
              <w:rPr>
                <w:rFonts w:ascii="Times New Roman" w:hAnsi="Times New Roman" w:cs="Times New Roman"/>
                <w:noProof/>
                <w:webHidden/>
                <w:sz w:val="24"/>
                <w:szCs w:val="24"/>
              </w:rPr>
              <w:tab/>
            </w:r>
            <w:r w:rsidRPr="000D53B5">
              <w:rPr>
                <w:rFonts w:ascii="Times New Roman" w:hAnsi="Times New Roman" w:cs="Times New Roman"/>
                <w:noProof/>
                <w:webHidden/>
                <w:sz w:val="24"/>
                <w:szCs w:val="24"/>
              </w:rPr>
              <w:fldChar w:fldCharType="begin"/>
            </w:r>
            <w:r w:rsidRPr="000D53B5">
              <w:rPr>
                <w:rFonts w:ascii="Times New Roman" w:hAnsi="Times New Roman" w:cs="Times New Roman"/>
                <w:noProof/>
                <w:webHidden/>
                <w:sz w:val="24"/>
                <w:szCs w:val="24"/>
              </w:rPr>
              <w:instrText xml:space="preserve"> PAGEREF _Toc226753607 \h </w:instrText>
            </w:r>
            <w:r w:rsidRPr="000D53B5">
              <w:rPr>
                <w:rFonts w:ascii="Times New Roman" w:hAnsi="Times New Roman" w:cs="Times New Roman"/>
                <w:noProof/>
                <w:webHidden/>
                <w:sz w:val="24"/>
                <w:szCs w:val="24"/>
              </w:rPr>
            </w:r>
            <w:r w:rsidRPr="000D53B5">
              <w:rPr>
                <w:rFonts w:ascii="Times New Roman" w:hAnsi="Times New Roman" w:cs="Times New Roman"/>
                <w:noProof/>
                <w:webHidden/>
                <w:sz w:val="24"/>
                <w:szCs w:val="24"/>
              </w:rPr>
              <w:fldChar w:fldCharType="separate"/>
            </w:r>
            <w:r w:rsidRPr="000D53B5">
              <w:rPr>
                <w:rFonts w:ascii="Times New Roman" w:hAnsi="Times New Roman" w:cs="Times New Roman"/>
                <w:noProof/>
                <w:webHidden/>
                <w:sz w:val="24"/>
                <w:szCs w:val="24"/>
              </w:rPr>
              <w:t>10</w:t>
            </w:r>
            <w:r w:rsidRPr="000D53B5">
              <w:rPr>
                <w:rFonts w:ascii="Times New Roman" w:hAnsi="Times New Roman" w:cs="Times New Roman"/>
                <w:noProof/>
                <w:webHidden/>
                <w:sz w:val="24"/>
                <w:szCs w:val="24"/>
              </w:rPr>
              <w:fldChar w:fldCharType="end"/>
            </w:r>
          </w:hyperlink>
        </w:p>
        <w:p w14:paraId="12EFF1E1" w14:textId="77777777" w:rsidR="000D53B5" w:rsidRPr="000D53B5" w:rsidRDefault="000D53B5" w:rsidP="000D53B5">
          <w:pPr>
            <w:spacing w:line="480" w:lineRule="auto"/>
            <w:rPr>
              <w:rFonts w:ascii="Times New Roman" w:hAnsi="Times New Roman" w:cs="Times New Roman"/>
              <w:sz w:val="24"/>
              <w:szCs w:val="24"/>
            </w:rPr>
          </w:pPr>
          <w:r w:rsidRPr="000D53B5">
            <w:rPr>
              <w:rFonts w:ascii="Times New Roman" w:hAnsi="Times New Roman" w:cs="Times New Roman"/>
              <w:b/>
              <w:bCs/>
              <w:noProof/>
              <w:sz w:val="24"/>
              <w:szCs w:val="24"/>
            </w:rPr>
            <w:fldChar w:fldCharType="end"/>
          </w:r>
        </w:p>
      </w:sdtContent>
    </w:sdt>
    <w:p w14:paraId="1A1F0FE5" w14:textId="77777777" w:rsidR="000D53B5" w:rsidRPr="000D53B5" w:rsidRDefault="000D53B5" w:rsidP="000D53B5">
      <w:pPr>
        <w:spacing w:line="480" w:lineRule="auto"/>
        <w:rPr>
          <w:rFonts w:ascii="Times New Roman" w:eastAsiaTheme="majorEastAsia" w:hAnsi="Times New Roman" w:cs="Times New Roman"/>
          <w:color w:val="2E74B5" w:themeColor="accent1" w:themeShade="BF"/>
          <w:sz w:val="24"/>
          <w:szCs w:val="24"/>
        </w:rPr>
      </w:pPr>
      <w:r w:rsidRPr="000D53B5">
        <w:rPr>
          <w:rFonts w:ascii="Times New Roman" w:hAnsi="Times New Roman" w:cs="Times New Roman"/>
          <w:sz w:val="24"/>
          <w:szCs w:val="24"/>
        </w:rPr>
        <w:br w:type="page"/>
      </w:r>
    </w:p>
    <w:p w14:paraId="34B17EC9" w14:textId="77777777" w:rsidR="00255BFA" w:rsidRPr="0097017E" w:rsidRDefault="00255BFA" w:rsidP="0097017E">
      <w:pPr>
        <w:pStyle w:val="Heading1"/>
      </w:pPr>
      <w:bookmarkStart w:id="0" w:name="_Toc226753600"/>
      <w:r w:rsidRPr="0097017E">
        <w:lastRenderedPageBreak/>
        <w:t>1.0 Introduction</w:t>
      </w:r>
      <w:bookmarkEnd w:id="0"/>
    </w:p>
    <w:p w14:paraId="1859C082" w14:textId="77777777" w:rsidR="00701629" w:rsidRPr="000D53B5" w:rsidRDefault="00701629" w:rsidP="000D53B5">
      <w:pPr>
        <w:spacing w:line="480" w:lineRule="auto"/>
        <w:rPr>
          <w:rFonts w:ascii="Times New Roman" w:hAnsi="Times New Roman" w:cs="Times New Roman"/>
          <w:b/>
          <w:sz w:val="24"/>
          <w:szCs w:val="24"/>
        </w:rPr>
      </w:pPr>
      <w:r w:rsidRPr="000D53B5">
        <w:rPr>
          <w:rFonts w:ascii="Times New Roman" w:hAnsi="Times New Roman" w:cs="Times New Roman"/>
          <w:sz w:val="24"/>
          <w:szCs w:val="24"/>
          <w:lang w:val="en-US"/>
        </w:rPr>
        <w:t>Project management may be perceived as a systematic planning, coordination and control o</w:t>
      </w:r>
      <w:r w:rsidR="008D78F0">
        <w:rPr>
          <w:rFonts w:ascii="Times New Roman" w:hAnsi="Times New Roman" w:cs="Times New Roman"/>
          <w:sz w:val="24"/>
          <w:szCs w:val="24"/>
          <w:lang w:val="en-US"/>
        </w:rPr>
        <w:t xml:space="preserve">f resources in order to achieve </w:t>
      </w:r>
      <w:r w:rsidRPr="000D53B5">
        <w:rPr>
          <w:rFonts w:ascii="Times New Roman" w:hAnsi="Times New Roman" w:cs="Times New Roman"/>
          <w:sz w:val="24"/>
          <w:szCs w:val="24"/>
          <w:lang w:val="en-US"/>
        </w:rPr>
        <w:t xml:space="preserve">set goals within agreed time, cost and quality limits (PMI, 2026). Contracting is particularly relevant in this wider field since it defines the allocation of responsibilities, risks and obligations between the client and external or internal delivery parties (Nicholas and Steyn, 2025). A choice of a contracting approach may set reporting relationships, determine the extent of cost certainty, and the level of managerial control that the project owner retains, implying that it is often a strategic, as opposed to an administrative, choice (Kerzner, 2026). Contracting and procurement decisions remain dynamic in construction and the broader business context depending on the complexity of the project, </w:t>
      </w:r>
      <w:r w:rsidRPr="000D53B5">
        <w:rPr>
          <w:rFonts w:ascii="Times New Roman" w:hAnsi="Times New Roman" w:cs="Times New Roman"/>
          <w:sz w:val="24"/>
          <w:szCs w:val="24"/>
        </w:rPr>
        <w:t>specialisation</w:t>
      </w:r>
      <w:r w:rsidRPr="000D53B5">
        <w:rPr>
          <w:rFonts w:ascii="Times New Roman" w:hAnsi="Times New Roman" w:cs="Times New Roman"/>
          <w:sz w:val="24"/>
          <w:szCs w:val="24"/>
          <w:lang w:val="en-US"/>
        </w:rPr>
        <w:t xml:space="preserve"> and the increased expectations of project performance and accountability (Jayasinghe et al., 2025).</w:t>
      </w:r>
    </w:p>
    <w:p w14:paraId="463B0CC0" w14:textId="77777777" w:rsidR="00255BFA" w:rsidRPr="000D53B5" w:rsidRDefault="00701629" w:rsidP="000D53B5">
      <w:pPr>
        <w:spacing w:line="480" w:lineRule="auto"/>
        <w:rPr>
          <w:rFonts w:ascii="Times New Roman" w:hAnsi="Times New Roman" w:cs="Times New Roman"/>
          <w:sz w:val="24"/>
          <w:szCs w:val="24"/>
          <w:lang w:val="en-US"/>
        </w:rPr>
      </w:pPr>
      <w:r w:rsidRPr="000D53B5">
        <w:rPr>
          <w:rFonts w:ascii="Times New Roman" w:hAnsi="Times New Roman" w:cs="Times New Roman"/>
          <w:sz w:val="24"/>
          <w:szCs w:val="24"/>
          <w:lang w:val="en-US"/>
        </w:rPr>
        <w:t xml:space="preserve">There are a number of viable reasons why </w:t>
      </w:r>
      <w:r w:rsidRPr="000D53B5">
        <w:rPr>
          <w:rFonts w:ascii="Times New Roman" w:hAnsi="Times New Roman" w:cs="Times New Roman"/>
          <w:sz w:val="24"/>
          <w:szCs w:val="24"/>
        </w:rPr>
        <w:t>organisations</w:t>
      </w:r>
      <w:r w:rsidRPr="000D53B5">
        <w:rPr>
          <w:rFonts w:ascii="Times New Roman" w:hAnsi="Times New Roman" w:cs="Times New Roman"/>
          <w:sz w:val="24"/>
          <w:szCs w:val="24"/>
          <w:lang w:val="en-US"/>
        </w:rPr>
        <w:t xml:space="preserve"> opt to outsource project tasks such as the availability of specialist skills, an enhanced ability to schedule tasks, and risk sharing, as well as the necessity to alleviate the pressure on the internal resources (Kamoche and Wanyona, 2024). Sustainability concerns, governance requirements, and the competencies of the client </w:t>
      </w:r>
      <w:r w:rsidRPr="000D53B5">
        <w:rPr>
          <w:rFonts w:ascii="Times New Roman" w:hAnsi="Times New Roman" w:cs="Times New Roman"/>
          <w:sz w:val="24"/>
          <w:szCs w:val="24"/>
        </w:rPr>
        <w:t>organisation</w:t>
      </w:r>
      <w:r w:rsidRPr="000D53B5">
        <w:rPr>
          <w:rFonts w:ascii="Times New Roman" w:hAnsi="Times New Roman" w:cs="Times New Roman"/>
          <w:sz w:val="24"/>
          <w:szCs w:val="24"/>
          <w:lang w:val="en-US"/>
        </w:rPr>
        <w:t xml:space="preserve"> itself also affect procurement strategy in some contexts as to whether delivery is outsourced in full, in part, or in-house (Juma, 2026). The present essay is a critical assessment of the four approaches to contracting in project management, including Turnkey, Multicontract, Do-it-yourself (DIY) and Multicontract plus DIY. Their comparative merits and demerits are discussed and the kinds of projects where each method might be most applicabl</w:t>
      </w:r>
      <w:r w:rsidR="00255BFA" w:rsidRPr="000D53B5">
        <w:rPr>
          <w:rFonts w:ascii="Times New Roman" w:hAnsi="Times New Roman" w:cs="Times New Roman"/>
          <w:sz w:val="24"/>
          <w:szCs w:val="24"/>
          <w:lang w:val="en-US"/>
        </w:rPr>
        <w:t>e are taken into consideration.</w:t>
      </w:r>
      <w:r w:rsidR="00E209A9" w:rsidRPr="00E209A9">
        <w:t xml:space="preserve"> </w:t>
      </w:r>
      <w:r w:rsidR="00E209A9" w:rsidRPr="00E209A9">
        <w:rPr>
          <w:rFonts w:ascii="Times New Roman" w:hAnsi="Times New Roman" w:cs="Times New Roman"/>
          <w:sz w:val="24"/>
          <w:szCs w:val="24"/>
          <w:lang w:val="en-US"/>
        </w:rPr>
        <w:t xml:space="preserve">To enhance practical comparison, the discussion uses each of the four approaches to the delivery of a large-scale data centre project, in which the technical infrastructure, </w:t>
      </w:r>
      <w:r w:rsidR="00E209A9" w:rsidRPr="00E209A9">
        <w:rPr>
          <w:rFonts w:ascii="Times New Roman" w:hAnsi="Times New Roman" w:cs="Times New Roman"/>
          <w:sz w:val="24"/>
          <w:szCs w:val="24"/>
          <w:lang w:val="en-US"/>
        </w:rPr>
        <w:lastRenderedPageBreak/>
        <w:t>scheduling accuracy, and coordination of specialists are key success factors in the project (Microsoft Local, 2022).</w:t>
      </w:r>
    </w:p>
    <w:p w14:paraId="6264ED33" w14:textId="77777777" w:rsidR="00BC78A3" w:rsidRPr="0097017E" w:rsidRDefault="00BC78A3" w:rsidP="0097017E">
      <w:pPr>
        <w:pStyle w:val="Heading1"/>
        <w:rPr>
          <w:lang w:val="en-US"/>
        </w:rPr>
      </w:pPr>
      <w:r w:rsidRPr="0097017E">
        <w:rPr>
          <w:lang w:val="en-US"/>
        </w:rPr>
        <w:t>2.0 Turnkey Contracting</w:t>
      </w:r>
    </w:p>
    <w:p w14:paraId="54ECBA5B" w14:textId="77777777" w:rsidR="00001ECE" w:rsidRPr="00001ECE" w:rsidRDefault="00C16B71" w:rsidP="00001ECE">
      <w:pPr>
        <w:spacing w:line="480" w:lineRule="auto"/>
        <w:rPr>
          <w:rFonts w:ascii="Times New Roman" w:hAnsi="Times New Roman" w:cs="Times New Roman"/>
          <w:bCs/>
          <w:sz w:val="24"/>
          <w:szCs w:val="24"/>
          <w:lang w:val="en-US"/>
        </w:rPr>
      </w:pPr>
      <w:r>
        <w:rPr>
          <w:rFonts w:ascii="Times New Roman" w:hAnsi="Times New Roman" w:cs="Times New Roman"/>
          <w:bCs/>
          <w:sz w:val="24"/>
          <w:szCs w:val="24"/>
          <w:lang w:val="en-US"/>
        </w:rPr>
        <w:t xml:space="preserve">Turnkey contracting for a </w:t>
      </w:r>
      <w:r w:rsidR="00001ECE" w:rsidRPr="00001ECE">
        <w:rPr>
          <w:rFonts w:ascii="Times New Roman" w:hAnsi="Times New Roman" w:cs="Times New Roman"/>
          <w:bCs/>
          <w:sz w:val="24"/>
          <w:szCs w:val="24"/>
          <w:lang w:val="en-US"/>
        </w:rPr>
        <w:t xml:space="preserve">large data </w:t>
      </w:r>
      <w:proofErr w:type="spellStart"/>
      <w:r w:rsidR="00001ECE" w:rsidRPr="00001ECE">
        <w:rPr>
          <w:rFonts w:ascii="Times New Roman" w:hAnsi="Times New Roman" w:cs="Times New Roman"/>
          <w:bCs/>
          <w:sz w:val="24"/>
          <w:szCs w:val="24"/>
          <w:lang w:val="en-US"/>
        </w:rPr>
        <w:t>centre</w:t>
      </w:r>
      <w:proofErr w:type="spellEnd"/>
      <w:r w:rsidR="00001ECE" w:rsidRPr="00001ECE">
        <w:rPr>
          <w:rFonts w:ascii="Times New Roman" w:hAnsi="Times New Roman" w:cs="Times New Roman"/>
          <w:bCs/>
          <w:sz w:val="24"/>
          <w:szCs w:val="24"/>
          <w:lang w:val="en-US"/>
        </w:rPr>
        <w:t xml:space="preserve"> project implies that a single prime contractor completes the entire delivery of the facility, including civil works, power systems, cooling and fibre routing, server hall fit-out, testing and commissioning (Nicholas and Steyn, 2025). Under this route, the client assigns a considerable proportion of design, coordination, and construction risk to one delivery organisation, which proves handy, where speed and single-point responsibility are of importance (PMI, 2026). This can be especially efficient in the case of a data centre since the project consists of multiple interdependent technical systems, which need to be introduced in the right order, in particular, cooling, electrical resilience, and digital infrastructure (Microsoft Local, 2022).</w:t>
      </w:r>
    </w:p>
    <w:p w14:paraId="18B6266E" w14:textId="77777777" w:rsidR="00001ECE" w:rsidRPr="00001ECE" w:rsidRDefault="00001ECE" w:rsidP="00001ECE">
      <w:pPr>
        <w:spacing w:line="480" w:lineRule="auto"/>
        <w:rPr>
          <w:rFonts w:ascii="Times New Roman" w:hAnsi="Times New Roman" w:cs="Times New Roman"/>
          <w:bCs/>
          <w:sz w:val="24"/>
          <w:szCs w:val="24"/>
          <w:lang w:val="en-US"/>
        </w:rPr>
      </w:pPr>
      <w:r w:rsidRPr="00001ECE">
        <w:rPr>
          <w:rFonts w:ascii="Times New Roman" w:hAnsi="Times New Roman" w:cs="Times New Roman"/>
          <w:bCs/>
          <w:sz w:val="24"/>
          <w:szCs w:val="24"/>
          <w:lang w:val="en-US"/>
        </w:rPr>
        <w:t>Practically, regarding project management, it is easier to work with the work breakdown structure on the client side since the majority of packages fall under a single contractor-driven hierarchy (PMI, 2026). There is also reduced management of the risk register since significant design, integration and scheduling risks are significantly passed to the contractor (Kerzner, 2026). Similarly, the client-side Gantt chart is also simplified, as package sequencing is primarily managed via a single master contractor programme, not multiple independent schedules (Nicholas and Steyn, 2025).</w:t>
      </w:r>
    </w:p>
    <w:p w14:paraId="1EECF69F" w14:textId="77777777" w:rsidR="00001ECE" w:rsidRPr="00001ECE" w:rsidRDefault="00001ECE" w:rsidP="00001ECE">
      <w:pPr>
        <w:spacing w:line="480" w:lineRule="auto"/>
        <w:rPr>
          <w:rFonts w:ascii="Times New Roman" w:hAnsi="Times New Roman" w:cs="Times New Roman"/>
          <w:bCs/>
          <w:sz w:val="24"/>
          <w:szCs w:val="24"/>
          <w:lang w:val="en-US"/>
        </w:rPr>
      </w:pPr>
      <w:r w:rsidRPr="00001ECE">
        <w:rPr>
          <w:rFonts w:ascii="Times New Roman" w:hAnsi="Times New Roman" w:cs="Times New Roman"/>
          <w:bCs/>
          <w:sz w:val="24"/>
          <w:szCs w:val="24"/>
          <w:lang w:val="en-US"/>
        </w:rPr>
        <w:t xml:space="preserve">However, this approach is less robust where the client desires continuous design flexibility particularly when the digital systems or server requirements are probable to alter in the process of delivery (Jayasinghe et al., 2025). Any late modifications of cooling loads, data security layouts or backup power needs are likely to be costly since most interfaces are under the control </w:t>
      </w:r>
      <w:r w:rsidRPr="00001ECE">
        <w:rPr>
          <w:rFonts w:ascii="Times New Roman" w:hAnsi="Times New Roman" w:cs="Times New Roman"/>
          <w:bCs/>
          <w:sz w:val="24"/>
          <w:szCs w:val="24"/>
          <w:lang w:val="en-US"/>
        </w:rPr>
        <w:lastRenderedPageBreak/>
        <w:t>of the contractor. In the case of a data centre, turnkey is thus most effective in a situation where the client is interested in speed, ease of governance and less burden of coordination but not where innovativeness and incremental use of the system is paramount.</w:t>
      </w:r>
    </w:p>
    <w:p w14:paraId="03BDEF22" w14:textId="77777777" w:rsidR="00BC78A3" w:rsidRDefault="00BC78A3" w:rsidP="0097017E">
      <w:pPr>
        <w:pStyle w:val="Heading1"/>
        <w:rPr>
          <w:lang w:val="en-US"/>
        </w:rPr>
      </w:pPr>
      <w:r w:rsidRPr="00BC78A3">
        <w:rPr>
          <w:lang w:val="en-US"/>
        </w:rPr>
        <w:t>3.0 Multicontract</w:t>
      </w:r>
    </w:p>
    <w:p w14:paraId="288B95C3" w14:textId="77777777" w:rsidR="00001ECE" w:rsidRPr="00001ECE" w:rsidRDefault="00001ECE" w:rsidP="00001ECE">
      <w:pPr>
        <w:spacing w:line="480" w:lineRule="auto"/>
        <w:rPr>
          <w:rFonts w:ascii="Times New Roman" w:hAnsi="Times New Roman" w:cs="Times New Roman"/>
          <w:sz w:val="24"/>
          <w:szCs w:val="24"/>
          <w:lang w:val="en-US"/>
        </w:rPr>
      </w:pPr>
      <w:r w:rsidRPr="00001ECE">
        <w:rPr>
          <w:rFonts w:ascii="Times New Roman" w:hAnsi="Times New Roman" w:cs="Times New Roman"/>
          <w:sz w:val="24"/>
          <w:szCs w:val="24"/>
          <w:lang w:val="en-US"/>
        </w:rPr>
        <w:t>Multicontracting in the context of the same project of the data centre implies that the client acquires separate specialist packages namely structural works, cooling, backup power, installation of network fibre, fire suppression, and control of server environments (Nich</w:t>
      </w:r>
      <w:r w:rsidR="00C235C5">
        <w:rPr>
          <w:rFonts w:ascii="Times New Roman" w:hAnsi="Times New Roman" w:cs="Times New Roman"/>
          <w:sz w:val="24"/>
          <w:szCs w:val="24"/>
          <w:lang w:val="en-US"/>
        </w:rPr>
        <w:t>olas and Steyn, 2025). This route</w:t>
      </w:r>
      <w:r w:rsidRPr="00001ECE">
        <w:rPr>
          <w:rFonts w:ascii="Times New Roman" w:hAnsi="Times New Roman" w:cs="Times New Roman"/>
          <w:sz w:val="24"/>
          <w:szCs w:val="24"/>
          <w:lang w:val="en-US"/>
        </w:rPr>
        <w:t xml:space="preserve"> will also provide the client with direct package choice and sequencing which can enhance quality in areas where the performance of specialists is paramount (Jayasinghe et al., 2025). This can be advantageous in the data centres since every technical system needs exceptionally specialised skills and high performance requirements (Microsoft Local, 2022).</w:t>
      </w:r>
    </w:p>
    <w:p w14:paraId="0DFD2C57" w14:textId="77777777" w:rsidR="00001ECE" w:rsidRPr="00001ECE" w:rsidRDefault="00001ECE" w:rsidP="00001ECE">
      <w:pPr>
        <w:spacing w:line="480" w:lineRule="auto"/>
        <w:rPr>
          <w:rFonts w:ascii="Times New Roman" w:hAnsi="Times New Roman" w:cs="Times New Roman"/>
          <w:sz w:val="24"/>
          <w:szCs w:val="24"/>
          <w:lang w:val="en-US"/>
        </w:rPr>
      </w:pPr>
      <w:r w:rsidRPr="00001ECE">
        <w:rPr>
          <w:rFonts w:ascii="Times New Roman" w:hAnsi="Times New Roman" w:cs="Times New Roman"/>
          <w:sz w:val="24"/>
          <w:szCs w:val="24"/>
          <w:lang w:val="en-US"/>
        </w:rPr>
        <w:t>This route makes the work breakdown structure much more detailed as every package has its own deliverables, milestones, and reporting controls (PMI, 2026). The interface risks also make the risk register even more complicated, as interface risks are left with the client, especially between cooling and the electrical redundancy and the systems commissioning (Alon et al., 2025). The Gantt chart is more difficult to control since the delay in the package of one contractor can easily impact several downstream workstreams, particularly in the process of final systems integration (Mwaipungu et al., 2025).</w:t>
      </w:r>
    </w:p>
    <w:p w14:paraId="449AB88F" w14:textId="77777777" w:rsidR="00001ECE" w:rsidRPr="00BC78A3" w:rsidRDefault="00001ECE" w:rsidP="00001ECE">
      <w:pPr>
        <w:spacing w:line="480" w:lineRule="auto"/>
        <w:rPr>
          <w:rFonts w:ascii="Times New Roman" w:hAnsi="Times New Roman" w:cs="Times New Roman"/>
          <w:sz w:val="24"/>
          <w:szCs w:val="24"/>
          <w:lang w:val="en-US"/>
        </w:rPr>
      </w:pPr>
      <w:r w:rsidRPr="00001ECE">
        <w:rPr>
          <w:rFonts w:ascii="Times New Roman" w:hAnsi="Times New Roman" w:cs="Times New Roman"/>
          <w:sz w:val="24"/>
          <w:szCs w:val="24"/>
          <w:lang w:val="en-US"/>
        </w:rPr>
        <w:t xml:space="preserve">The primary benefit lies in being able to have greater control over the quality of specialists and visibility of costs at package level (Kamoche and Wanyona, 2024). This path however imposes a lot more coordination strain on the client than turnkey. In the case of a data centre, multicontracting is preferable when the client is well equipped internally in project management </w:t>
      </w:r>
      <w:r w:rsidRPr="00001ECE">
        <w:rPr>
          <w:rFonts w:ascii="Times New Roman" w:hAnsi="Times New Roman" w:cs="Times New Roman"/>
          <w:sz w:val="24"/>
          <w:szCs w:val="24"/>
          <w:lang w:val="en-US"/>
        </w:rPr>
        <w:lastRenderedPageBreak/>
        <w:t>and desires to have direct control over mission critical technical packages. It is weaker in those cases when interface risk and programme pressure are expected to predominate the advantages of package-level optimisation.</w:t>
      </w:r>
    </w:p>
    <w:p w14:paraId="7EA70D34" w14:textId="77777777" w:rsidR="00BC78A3" w:rsidRPr="00BC78A3" w:rsidRDefault="00BC78A3" w:rsidP="0097017E">
      <w:pPr>
        <w:pStyle w:val="Heading1"/>
        <w:rPr>
          <w:lang w:val="en-US"/>
        </w:rPr>
      </w:pPr>
      <w:r w:rsidRPr="00BC78A3">
        <w:rPr>
          <w:lang w:val="en-US"/>
        </w:rPr>
        <w:t>4.0 Do-It-Yourself (DIY)</w:t>
      </w:r>
    </w:p>
    <w:p w14:paraId="69B27A20" w14:textId="77777777" w:rsidR="00001ECE" w:rsidRPr="00001ECE" w:rsidRDefault="00001ECE" w:rsidP="00001ECE">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AA677B">
        <w:rPr>
          <w:rFonts w:ascii="Times New Roman" w:hAnsi="Times New Roman" w:cs="Times New Roman"/>
          <w:sz w:val="24"/>
          <w:szCs w:val="24"/>
          <w:lang w:val="en-US"/>
        </w:rPr>
        <w:t xml:space="preserve">Applying </w:t>
      </w:r>
      <w:r w:rsidRPr="00001ECE">
        <w:rPr>
          <w:rFonts w:ascii="Times New Roman" w:hAnsi="Times New Roman" w:cs="Times New Roman"/>
          <w:sz w:val="24"/>
          <w:szCs w:val="24"/>
          <w:lang w:val="en-US"/>
        </w:rPr>
        <w:t>DIY to the data centre project implies that the client will have most of the planning, coordination, systems integration, and delivery control in-house, not depending on the services of external contractors extensively (Nicholas and Steyn, 2025). It might include the internal engineering teams that will take control over the infrastructure sequencing, integration of digital systems, cyber-security architecture, and operational readiness (</w:t>
      </w:r>
      <w:r w:rsidR="005D0149">
        <w:rPr>
          <w:rFonts w:ascii="Times New Roman" w:hAnsi="Times New Roman" w:cs="Times New Roman"/>
          <w:sz w:val="24"/>
          <w:szCs w:val="24"/>
          <w:lang w:val="en-US"/>
        </w:rPr>
        <w:t>Microsoft Local, 2022). The route</w:t>
      </w:r>
      <w:r w:rsidRPr="00001ECE">
        <w:rPr>
          <w:rFonts w:ascii="Times New Roman" w:hAnsi="Times New Roman" w:cs="Times New Roman"/>
          <w:sz w:val="24"/>
          <w:szCs w:val="24"/>
          <w:lang w:val="en-US"/>
        </w:rPr>
        <w:t xml:space="preserve"> provides the greatest degree of direct customer management, possibly appealing in the place of proprietary systems and data security criteria centrality (Kerzner, 2026).</w:t>
      </w:r>
    </w:p>
    <w:p w14:paraId="7F040FBD" w14:textId="77777777" w:rsidR="00001ECE" w:rsidRPr="00001ECE" w:rsidRDefault="00001ECE" w:rsidP="00001ECE">
      <w:pPr>
        <w:spacing w:line="480" w:lineRule="auto"/>
        <w:rPr>
          <w:rFonts w:ascii="Times New Roman" w:hAnsi="Times New Roman" w:cs="Times New Roman"/>
          <w:sz w:val="24"/>
          <w:szCs w:val="24"/>
          <w:lang w:val="en-US"/>
        </w:rPr>
      </w:pPr>
      <w:r w:rsidRPr="00001ECE">
        <w:rPr>
          <w:rFonts w:ascii="Times New Roman" w:hAnsi="Times New Roman" w:cs="Times New Roman"/>
          <w:sz w:val="24"/>
          <w:szCs w:val="24"/>
          <w:lang w:val="en-US"/>
        </w:rPr>
        <w:t>The work breakdown structure is a client-owned structure (complete ownership) that offers the greatest visibility to the technical deliverables and system dependencies (PMI, 2026). The risk register is also client-intensive since the design risk, interface risk, and scheduling risk are mostly found in the internal teams (Nicholas and Steyn, 2025). It can be quite burdensome as internal teams have to align the infrastructure works with complicated IT commissioning milestones and have no lead contractor buffer in the Gantt chart (Kerzner, 2026).</w:t>
      </w:r>
    </w:p>
    <w:p w14:paraId="59DCB800" w14:textId="77777777" w:rsidR="00BC78A3" w:rsidRDefault="00001ECE" w:rsidP="00001ECE">
      <w:pPr>
        <w:spacing w:line="480" w:lineRule="auto"/>
        <w:rPr>
          <w:rFonts w:ascii="Times New Roman" w:hAnsi="Times New Roman" w:cs="Times New Roman"/>
          <w:sz w:val="24"/>
          <w:szCs w:val="24"/>
          <w:lang w:val="en-US"/>
        </w:rPr>
      </w:pPr>
      <w:r w:rsidRPr="00001ECE">
        <w:rPr>
          <w:rFonts w:ascii="Times New Roman" w:hAnsi="Times New Roman" w:cs="Times New Roman"/>
          <w:sz w:val="24"/>
          <w:szCs w:val="24"/>
          <w:lang w:val="en-US"/>
        </w:rPr>
        <w:t>In the case of a large data centre, this approach tends to be weaker in comparison with multicontracting since the technical and scheduling load is very high (Jayasing</w:t>
      </w:r>
      <w:r w:rsidR="00A84ECC">
        <w:rPr>
          <w:rFonts w:ascii="Times New Roman" w:hAnsi="Times New Roman" w:cs="Times New Roman"/>
          <w:sz w:val="24"/>
          <w:szCs w:val="24"/>
          <w:lang w:val="en-US"/>
        </w:rPr>
        <w:t>he et al., 2025). DIY can increase</w:t>
      </w:r>
      <w:r w:rsidRPr="00001ECE">
        <w:rPr>
          <w:rFonts w:ascii="Times New Roman" w:hAnsi="Times New Roman" w:cs="Times New Roman"/>
          <w:sz w:val="24"/>
          <w:szCs w:val="24"/>
          <w:lang w:val="en-US"/>
        </w:rPr>
        <w:t xml:space="preserve"> the delay risk and lessen expert flexibility unless the engineering leadership and proven programme controls are highly mature within the organisation. It is thus best applied in situations where the client has already large internal infrastructure delivery teams and desires to enjoy the greatest strategic assurance over vital digital assets.</w:t>
      </w:r>
    </w:p>
    <w:p w14:paraId="038BB909" w14:textId="77777777" w:rsidR="00BC78A3" w:rsidRDefault="00BC78A3" w:rsidP="0097017E">
      <w:pPr>
        <w:pStyle w:val="Heading1"/>
        <w:rPr>
          <w:lang w:val="en-US"/>
        </w:rPr>
      </w:pPr>
      <w:r w:rsidRPr="00BC78A3">
        <w:rPr>
          <w:lang w:val="en-US"/>
        </w:rPr>
        <w:lastRenderedPageBreak/>
        <w:t>5.0 Multicontract + DIY</w:t>
      </w:r>
    </w:p>
    <w:p w14:paraId="22464A5D" w14:textId="77777777" w:rsidR="00BC78A3" w:rsidRPr="00BC78A3" w:rsidRDefault="00BC78A3" w:rsidP="00BC78A3">
      <w:pPr>
        <w:spacing w:line="480" w:lineRule="auto"/>
        <w:rPr>
          <w:rFonts w:ascii="Times New Roman" w:hAnsi="Times New Roman" w:cs="Times New Roman"/>
          <w:sz w:val="24"/>
          <w:szCs w:val="24"/>
          <w:lang w:val="en-US"/>
        </w:rPr>
      </w:pPr>
      <w:r w:rsidRPr="00BC78A3">
        <w:rPr>
          <w:rFonts w:ascii="Times New Roman" w:hAnsi="Times New Roman" w:cs="Times New Roman"/>
          <w:sz w:val="24"/>
          <w:szCs w:val="24"/>
          <w:lang w:val="en-US"/>
        </w:rPr>
        <w:t xml:space="preserve">In the case of a data </w:t>
      </w:r>
      <w:proofErr w:type="spellStart"/>
      <w:r w:rsidRPr="00BC78A3">
        <w:rPr>
          <w:rFonts w:ascii="Times New Roman" w:hAnsi="Times New Roman" w:cs="Times New Roman"/>
          <w:sz w:val="24"/>
          <w:szCs w:val="24"/>
          <w:lang w:val="en-US"/>
        </w:rPr>
        <w:t>centre</w:t>
      </w:r>
      <w:proofErr w:type="spellEnd"/>
      <w:r w:rsidRPr="00BC78A3">
        <w:rPr>
          <w:rFonts w:ascii="Times New Roman" w:hAnsi="Times New Roman" w:cs="Times New Roman"/>
          <w:sz w:val="24"/>
          <w:szCs w:val="24"/>
          <w:lang w:val="en-US"/>
        </w:rPr>
        <w:t xml:space="preserve">, </w:t>
      </w:r>
      <w:proofErr w:type="spellStart"/>
      <w:r w:rsidRPr="00BC78A3">
        <w:rPr>
          <w:rFonts w:ascii="Times New Roman" w:hAnsi="Times New Roman" w:cs="Times New Roman"/>
          <w:sz w:val="24"/>
          <w:szCs w:val="24"/>
          <w:lang w:val="en-US"/>
        </w:rPr>
        <w:t>multicontract</w:t>
      </w:r>
      <w:proofErr w:type="spellEnd"/>
      <w:r w:rsidRPr="00BC78A3">
        <w:rPr>
          <w:rFonts w:ascii="Times New Roman" w:hAnsi="Times New Roman" w:cs="Times New Roman"/>
          <w:sz w:val="24"/>
          <w:szCs w:val="24"/>
          <w:lang w:val="en-US"/>
        </w:rPr>
        <w:t xml:space="preserve"> and DIY can be the most balanced path since the internal control of strategic digital systems is balanced with outsourced specialist construction packages</w:t>
      </w:r>
      <w:r w:rsidR="00A84ECC" w:rsidRPr="00A84ECC">
        <w:t xml:space="preserve"> </w:t>
      </w:r>
      <w:r w:rsidR="00A84ECC" w:rsidRPr="00A84ECC">
        <w:rPr>
          <w:rFonts w:ascii="Times New Roman" w:hAnsi="Times New Roman" w:cs="Times New Roman"/>
          <w:sz w:val="24"/>
          <w:szCs w:val="24"/>
        </w:rPr>
        <w:t>(</w:t>
      </w:r>
      <w:proofErr w:type="spellStart"/>
      <w:r w:rsidR="00A84ECC" w:rsidRPr="00A84ECC">
        <w:rPr>
          <w:rFonts w:ascii="Times New Roman" w:hAnsi="Times New Roman" w:cs="Times New Roman"/>
          <w:sz w:val="24"/>
          <w:szCs w:val="24"/>
        </w:rPr>
        <w:t>Ngereja</w:t>
      </w:r>
      <w:proofErr w:type="spellEnd"/>
      <w:r w:rsidR="00A84ECC" w:rsidRPr="00A84ECC">
        <w:rPr>
          <w:rFonts w:ascii="Times New Roman" w:hAnsi="Times New Roman" w:cs="Times New Roman"/>
          <w:sz w:val="24"/>
          <w:szCs w:val="24"/>
        </w:rPr>
        <w:t xml:space="preserve"> and Jørgensen, 2025)</w:t>
      </w:r>
      <w:r w:rsidRPr="00BC78A3">
        <w:rPr>
          <w:rFonts w:ascii="Times New Roman" w:hAnsi="Times New Roman" w:cs="Times New Roman"/>
          <w:sz w:val="24"/>
          <w:szCs w:val="24"/>
          <w:lang w:val="en-US"/>
        </w:rPr>
        <w:t xml:space="preserve"> Under this model, a client can maintain ownership of server architecture, cyber-security design, software-bound infrastructure, and systems testing, and outsource structural works, cooling, electrical resiliency and </w:t>
      </w:r>
      <w:proofErr w:type="spellStart"/>
      <w:r w:rsidRPr="00BC78A3">
        <w:rPr>
          <w:rFonts w:ascii="Times New Roman" w:hAnsi="Times New Roman" w:cs="Times New Roman"/>
          <w:sz w:val="24"/>
          <w:szCs w:val="24"/>
          <w:lang w:val="en-US"/>
        </w:rPr>
        <w:t>fibre</w:t>
      </w:r>
      <w:proofErr w:type="spellEnd"/>
      <w:r w:rsidRPr="00BC78A3">
        <w:rPr>
          <w:rFonts w:ascii="Times New Roman" w:hAnsi="Times New Roman" w:cs="Times New Roman"/>
          <w:sz w:val="24"/>
          <w:szCs w:val="24"/>
          <w:lang w:val="en-US"/>
        </w:rPr>
        <w:t xml:space="preserve"> installation (Microsoft Local, 2022). This enables the organisation to shield mission-important systems and yet still gain access to proficient delivery capacity where it is necessary (Nicholas and Steyn, 2025).</w:t>
      </w:r>
    </w:p>
    <w:p w14:paraId="7D9F9F2F" w14:textId="77777777" w:rsidR="00BC78A3" w:rsidRPr="00BC78A3" w:rsidRDefault="00BC78A3" w:rsidP="00BC78A3">
      <w:pPr>
        <w:spacing w:line="480" w:lineRule="auto"/>
        <w:rPr>
          <w:rFonts w:ascii="Times New Roman" w:hAnsi="Times New Roman" w:cs="Times New Roman"/>
          <w:sz w:val="24"/>
          <w:szCs w:val="24"/>
          <w:lang w:val="en-US"/>
        </w:rPr>
      </w:pPr>
      <w:r w:rsidRPr="00BC78A3">
        <w:rPr>
          <w:rFonts w:ascii="Times New Roman" w:hAnsi="Times New Roman" w:cs="Times New Roman"/>
          <w:sz w:val="24"/>
          <w:szCs w:val="24"/>
          <w:lang w:val="en-US"/>
        </w:rPr>
        <w:t>This breaks down the work breakdown structure into a strategic division between internal and external streams, and this enhances visibility as opposed to what should be directly controlled by the clients (PMI, 2026). The risk register is less pure DIY than balanced due to the common risk of building and installation with the specialist contractors, still, coordination and integration risks are left to the client (Alon et al., 2025). The Gantt chart is dynamic, yet more adaptable than pure multicontracting since digital workstreams within the company may also change with outsourced infrastructure bundles (Kerzner, 2026).</w:t>
      </w:r>
    </w:p>
    <w:p w14:paraId="6FAAC043" w14:textId="77777777" w:rsidR="00BC78A3" w:rsidRPr="00BC78A3" w:rsidRDefault="00BC78A3" w:rsidP="00BC78A3">
      <w:pPr>
        <w:spacing w:line="480" w:lineRule="auto"/>
        <w:rPr>
          <w:rFonts w:ascii="Times New Roman" w:hAnsi="Times New Roman" w:cs="Times New Roman"/>
          <w:sz w:val="24"/>
          <w:szCs w:val="24"/>
          <w:lang w:val="en-US"/>
        </w:rPr>
      </w:pPr>
      <w:r w:rsidRPr="00BC78A3">
        <w:rPr>
          <w:rFonts w:ascii="Times New Roman" w:hAnsi="Times New Roman" w:cs="Times New Roman"/>
          <w:sz w:val="24"/>
          <w:szCs w:val="24"/>
          <w:lang w:val="en-US"/>
        </w:rPr>
        <w:t>This route provides better strategic control as compared to turnkey. It decreases the strain on internal resources as compared to DIY. In a case of a large data centre, this tends to be the most robust approach as it facilitates flexibility, proprietary protection, specialist optimisation and a gradual commissioning approach. Its core weakness is that the governance roles should be explicitly stipulated, in case duplication of internal staffs and contractors may lead to lack of accountability.</w:t>
      </w:r>
    </w:p>
    <w:p w14:paraId="049EC3A7" w14:textId="77777777" w:rsidR="00BC78A3" w:rsidRDefault="00BC78A3" w:rsidP="0097017E">
      <w:pPr>
        <w:pStyle w:val="Heading1"/>
        <w:rPr>
          <w:lang w:val="en-US"/>
        </w:rPr>
      </w:pPr>
      <w:r w:rsidRPr="00BC78A3">
        <w:rPr>
          <w:lang w:val="en-US"/>
        </w:rPr>
        <w:lastRenderedPageBreak/>
        <w:t>6.0 Comparative Evaluation</w:t>
      </w:r>
    </w:p>
    <w:p w14:paraId="59C49424" w14:textId="77777777" w:rsidR="00BC78A3" w:rsidRPr="00BC78A3" w:rsidRDefault="00BC78A3" w:rsidP="00BC78A3">
      <w:pPr>
        <w:spacing w:line="480" w:lineRule="auto"/>
        <w:rPr>
          <w:rFonts w:ascii="Times New Roman" w:hAnsi="Times New Roman" w:cs="Times New Roman"/>
          <w:sz w:val="24"/>
          <w:szCs w:val="24"/>
          <w:lang w:val="en-US"/>
        </w:rPr>
      </w:pPr>
      <w:r w:rsidRPr="00BC78A3">
        <w:rPr>
          <w:rFonts w:ascii="Times New Roman" w:hAnsi="Times New Roman" w:cs="Times New Roman"/>
          <w:sz w:val="24"/>
          <w:szCs w:val="24"/>
          <w:lang w:val="en-US"/>
        </w:rPr>
        <w:t>An immediate comparison of the four approaches in the same data centre project reveals the obvious trade-offs of control, risk, cost visibility, flexibility and project tools complexity (Nicholas and Steyn, 2025). Concerning control, DIY has the greatest client ownership since the work breakdown structure, risk decisions and scheduling controls are all internal (PMI, 2026). The hybrid multicontract and DIY pathway comes right behind since the strategic digital systems are controlled by the client, and the technical infrastructure is selectively outsourced (Ngereja and Jorgensen, 2025). In contrast, turnkey is the poorest client-side control since most package decisions are taken by a single principle contractor.</w:t>
      </w:r>
    </w:p>
    <w:p w14:paraId="657404F0" w14:textId="77777777" w:rsidR="00BC78A3" w:rsidRPr="00BC78A3" w:rsidRDefault="00BC78A3" w:rsidP="00BC78A3">
      <w:pPr>
        <w:spacing w:line="480" w:lineRule="auto"/>
        <w:rPr>
          <w:rFonts w:ascii="Times New Roman" w:hAnsi="Times New Roman" w:cs="Times New Roman"/>
          <w:sz w:val="24"/>
          <w:szCs w:val="24"/>
          <w:lang w:val="en-US"/>
        </w:rPr>
      </w:pPr>
      <w:r w:rsidRPr="00BC78A3">
        <w:rPr>
          <w:rFonts w:ascii="Times New Roman" w:hAnsi="Times New Roman" w:cs="Times New Roman"/>
          <w:sz w:val="24"/>
          <w:szCs w:val="24"/>
          <w:lang w:val="en-US"/>
        </w:rPr>
        <w:t>Risk-wise, turnkey will shift the highest percentage of design and interface risk to a third party, resulting in a risk register that is simpler and easier to manage (Kerzner, 2026). Multicontracting poses the greatest interface risk due to the dependence between cooling, power, fibre and commissioning being directly with the client (Alon et al., 2025). The total delivery risk that is retained by DIY can be inappropriate in a massive data centre, unless the internal ability is very mature (Jayasinghe et al., 2025). The hybrid path develops the most moderate risk position since the strategic risks are internal whereas the construction risks are external.</w:t>
      </w:r>
    </w:p>
    <w:p w14:paraId="2EEE5F8D" w14:textId="77777777" w:rsidR="00BC78A3" w:rsidRPr="00BC78A3" w:rsidRDefault="00BC78A3" w:rsidP="00BC78A3">
      <w:pPr>
        <w:spacing w:line="480" w:lineRule="auto"/>
        <w:rPr>
          <w:rFonts w:ascii="Times New Roman" w:hAnsi="Times New Roman" w:cs="Times New Roman"/>
          <w:sz w:val="24"/>
          <w:szCs w:val="24"/>
          <w:lang w:val="en-US"/>
        </w:rPr>
      </w:pPr>
      <w:r w:rsidRPr="00BC78A3">
        <w:rPr>
          <w:rFonts w:ascii="Times New Roman" w:hAnsi="Times New Roman" w:cs="Times New Roman"/>
          <w:sz w:val="24"/>
          <w:szCs w:val="24"/>
          <w:lang w:val="en-US"/>
        </w:rPr>
        <w:t>Multicontracting is the best in terms of cost visibility since prices of packages are visible individually, which promotes direct cost management and benchmarking contracts with contractors (Kamoche and Wanyona, 2024). Nevertheless, this benefit can be diminished due to the presence of hidden coordination expenses and schedule overruns that can be caused by the package conflicts (Mwaipungu et al., 2025). Turnkey provides greater determinism of cost but less transparency at discrete package level. DIY can save contractor margin costs but this will be reliant on internal efficiency.</w:t>
      </w:r>
    </w:p>
    <w:p w14:paraId="09D48170" w14:textId="77777777" w:rsidR="00BC78A3" w:rsidRPr="00BC78A3" w:rsidRDefault="00BC78A3" w:rsidP="00BC78A3">
      <w:pPr>
        <w:spacing w:line="480" w:lineRule="auto"/>
        <w:rPr>
          <w:rFonts w:ascii="Times New Roman" w:hAnsi="Times New Roman" w:cs="Times New Roman"/>
          <w:sz w:val="24"/>
          <w:szCs w:val="24"/>
          <w:lang w:val="en-US"/>
        </w:rPr>
      </w:pPr>
      <w:r w:rsidRPr="00BC78A3">
        <w:rPr>
          <w:rFonts w:ascii="Times New Roman" w:hAnsi="Times New Roman" w:cs="Times New Roman"/>
          <w:sz w:val="24"/>
          <w:szCs w:val="24"/>
          <w:lang w:val="en-US"/>
        </w:rPr>
        <w:lastRenderedPageBreak/>
        <w:t>Turnkey provides the easiest client-side Gantt format in terms of scheduling as a single contractor determines sequencing. Multicontracting is the most challenging and the most difficult pattern of a schedule since several specialist packages need to fall into place. The hybrid path is still complicated but has a superior flexibility in the event that digital systems can change as phased data centre commissioning is undertaken.</w:t>
      </w:r>
    </w:p>
    <w:p w14:paraId="387657AA" w14:textId="77777777" w:rsidR="00BC78A3" w:rsidRDefault="00BC78A3" w:rsidP="00BC78A3">
      <w:pPr>
        <w:spacing w:line="480" w:lineRule="auto"/>
        <w:rPr>
          <w:rFonts w:ascii="Times New Roman" w:hAnsi="Times New Roman" w:cs="Times New Roman"/>
          <w:sz w:val="24"/>
          <w:szCs w:val="24"/>
          <w:lang w:val="en-US"/>
        </w:rPr>
      </w:pPr>
      <w:r w:rsidRPr="00BC78A3">
        <w:rPr>
          <w:rFonts w:ascii="Times New Roman" w:hAnsi="Times New Roman" w:cs="Times New Roman"/>
          <w:sz w:val="24"/>
          <w:szCs w:val="24"/>
          <w:lang w:val="en-US"/>
        </w:rPr>
        <w:t>In general, multicontract with DIY is typically the best path to take in terms of complex data centre due to its ability to balance specialist access, proprietary control, risk sharing, and gradual adaptability. Turnkey works better when quickness and streamlined management are of greater essence than flexibility. Multicontracting is most effective when package-level optimisation is a priority, and DIY is only viable when internal engineering capability is exceptionally mature.</w:t>
      </w:r>
    </w:p>
    <w:p w14:paraId="2F0DF484" w14:textId="77777777" w:rsidR="00BC78A3" w:rsidRDefault="00BC78A3" w:rsidP="0097017E">
      <w:pPr>
        <w:pStyle w:val="Heading1"/>
        <w:rPr>
          <w:lang w:val="en-US"/>
        </w:rPr>
      </w:pPr>
      <w:r w:rsidRPr="00BC78A3">
        <w:rPr>
          <w:lang w:val="en-US"/>
        </w:rPr>
        <w:t>7.0 Conclusion</w:t>
      </w:r>
    </w:p>
    <w:p w14:paraId="456A4B0A" w14:textId="77777777" w:rsidR="00BC78A3" w:rsidRPr="00BC78A3" w:rsidRDefault="00BC78A3" w:rsidP="00BC78A3">
      <w:pPr>
        <w:spacing w:line="480" w:lineRule="auto"/>
        <w:rPr>
          <w:rFonts w:ascii="Times New Roman" w:hAnsi="Times New Roman" w:cs="Times New Roman"/>
          <w:sz w:val="24"/>
          <w:szCs w:val="24"/>
        </w:rPr>
      </w:pPr>
      <w:r w:rsidRPr="00BC78A3">
        <w:rPr>
          <w:rFonts w:ascii="Times New Roman" w:hAnsi="Times New Roman" w:cs="Times New Roman"/>
          <w:sz w:val="24"/>
          <w:szCs w:val="24"/>
        </w:rPr>
        <w:t>To summarize, the four methods of contracting have various advantages when used on a large data centre project. Turnkey works best in situations where the client is concerned with speed, less governance and accountability. Multicontracting is more powerful in cases when the direct control of the technical packages of specialists and the visibility of costs play a significant role. DIY presents the most strategic safeguard, although tends to be the least effective in situations where the data centre delivery is highly complex, unless there already exists a highly-developed engineering capability internally.</w:t>
      </w:r>
    </w:p>
    <w:p w14:paraId="19CD855E" w14:textId="77777777" w:rsidR="00BC78A3" w:rsidRPr="00BC78A3" w:rsidRDefault="00BC78A3" w:rsidP="00BC78A3">
      <w:pPr>
        <w:spacing w:line="480" w:lineRule="auto"/>
        <w:rPr>
          <w:rFonts w:ascii="Times New Roman" w:hAnsi="Times New Roman" w:cs="Times New Roman"/>
          <w:sz w:val="24"/>
          <w:szCs w:val="24"/>
        </w:rPr>
      </w:pPr>
      <w:r w:rsidRPr="00BC78A3">
        <w:rPr>
          <w:rFonts w:ascii="Times New Roman" w:hAnsi="Times New Roman" w:cs="Times New Roman"/>
          <w:sz w:val="24"/>
          <w:szCs w:val="24"/>
        </w:rPr>
        <w:t>The hybrid multicontract and DIY path has the best balance all round since it means that the client maintains control over digital systems that are of fundamental importance to the mission, but he/she outsources highly specialised construction and infrastructure packages. This provides a more balanced work breakdown structure, a more realistic risk register, and a malleable Gantt structure which can accommodate staged commissioning and system adaptation.</w:t>
      </w:r>
    </w:p>
    <w:p w14:paraId="7C822C9B" w14:textId="6E124E11" w:rsidR="009B19DF" w:rsidRDefault="00BC78A3" w:rsidP="0097017E">
      <w:pPr>
        <w:spacing w:line="480" w:lineRule="auto"/>
        <w:rPr>
          <w:rFonts w:ascii="Times New Roman" w:hAnsi="Times New Roman" w:cs="Times New Roman"/>
          <w:sz w:val="24"/>
          <w:szCs w:val="24"/>
        </w:rPr>
      </w:pPr>
      <w:r w:rsidRPr="00BC78A3">
        <w:rPr>
          <w:rFonts w:ascii="Times New Roman" w:hAnsi="Times New Roman" w:cs="Times New Roman"/>
          <w:sz w:val="24"/>
          <w:szCs w:val="24"/>
        </w:rPr>
        <w:lastRenderedPageBreak/>
        <w:t>All in all, the hybrid route is typically the most appropriate in large-scale data centre delivery</w:t>
      </w:r>
      <w:r w:rsidR="00D62C9F">
        <w:rPr>
          <w:rFonts w:ascii="Times New Roman" w:hAnsi="Times New Roman" w:cs="Times New Roman"/>
          <w:sz w:val="24"/>
          <w:szCs w:val="24"/>
        </w:rPr>
        <w:t xml:space="preserve"> </w:t>
      </w:r>
      <w:r w:rsidR="00D62C9F" w:rsidRPr="00D62C9F">
        <w:rPr>
          <w:rFonts w:ascii="Times New Roman" w:hAnsi="Times New Roman" w:cs="Times New Roman"/>
          <w:sz w:val="24"/>
          <w:szCs w:val="24"/>
        </w:rPr>
        <w:t>since it provides the best balance of control, flexibility, specialist knowledge and practical risk sharing as compared to the other methods.</w:t>
      </w:r>
    </w:p>
    <w:p w14:paraId="4F49E527" w14:textId="77777777" w:rsidR="009B19DF" w:rsidRDefault="009B19DF">
      <w:pPr>
        <w:rPr>
          <w:rFonts w:ascii="Times New Roman" w:hAnsi="Times New Roman" w:cs="Times New Roman"/>
          <w:sz w:val="24"/>
          <w:szCs w:val="24"/>
        </w:rPr>
      </w:pPr>
      <w:r>
        <w:rPr>
          <w:rFonts w:ascii="Times New Roman" w:hAnsi="Times New Roman" w:cs="Times New Roman"/>
          <w:sz w:val="24"/>
          <w:szCs w:val="24"/>
        </w:rPr>
        <w:br w:type="page"/>
      </w:r>
    </w:p>
    <w:p w14:paraId="005593C3" w14:textId="77777777" w:rsidR="0097017E" w:rsidRDefault="0097017E" w:rsidP="0097017E">
      <w:pPr>
        <w:spacing w:line="480" w:lineRule="auto"/>
        <w:rPr>
          <w:rFonts w:ascii="Times New Roman" w:hAnsi="Times New Roman" w:cs="Times New Roman"/>
          <w:sz w:val="24"/>
          <w:szCs w:val="24"/>
        </w:rPr>
      </w:pPr>
    </w:p>
    <w:p w14:paraId="28F61EC3" w14:textId="77777777" w:rsidR="0097017E" w:rsidRPr="0097017E" w:rsidRDefault="0097017E" w:rsidP="0097017E">
      <w:pPr>
        <w:pStyle w:val="Heading1"/>
      </w:pPr>
      <w:r w:rsidRPr="0097017E">
        <w:rPr>
          <w:lang w:val="en-US"/>
        </w:rPr>
        <w:t>References</w:t>
      </w:r>
    </w:p>
    <w:p w14:paraId="0506DA69" w14:textId="77777777" w:rsidR="0097017E" w:rsidRPr="0097017E" w:rsidRDefault="0097017E" w:rsidP="0097017E">
      <w:pPr>
        <w:spacing w:line="480" w:lineRule="auto"/>
        <w:rPr>
          <w:rFonts w:ascii="Times New Roman" w:hAnsi="Times New Roman" w:cs="Times New Roman"/>
          <w:sz w:val="24"/>
          <w:szCs w:val="24"/>
          <w:lang w:val="en-US"/>
        </w:rPr>
      </w:pPr>
      <w:r w:rsidRPr="0097017E">
        <w:rPr>
          <w:rFonts w:ascii="Times New Roman" w:hAnsi="Times New Roman" w:cs="Times New Roman"/>
          <w:sz w:val="24"/>
          <w:szCs w:val="24"/>
          <w:lang w:val="en-US"/>
        </w:rPr>
        <w:t xml:space="preserve">Alon, T., Castiglioni, M., Chen, J., Ezra, T., Li, Y. and Talgam-Cohen, I. (2025) </w:t>
      </w:r>
      <w:r w:rsidRPr="0097017E">
        <w:rPr>
          <w:rFonts w:ascii="Times New Roman" w:hAnsi="Times New Roman" w:cs="Times New Roman"/>
          <w:i/>
          <w:iCs/>
          <w:sz w:val="24"/>
          <w:szCs w:val="24"/>
          <w:lang w:val="en-US"/>
        </w:rPr>
        <w:t>Multi-Project Contracts</w:t>
      </w:r>
      <w:r w:rsidRPr="0097017E">
        <w:rPr>
          <w:rFonts w:ascii="Times New Roman" w:hAnsi="Times New Roman" w:cs="Times New Roman"/>
          <w:sz w:val="24"/>
          <w:szCs w:val="24"/>
          <w:lang w:val="en-US"/>
        </w:rPr>
        <w:t xml:space="preserve">. arXiv. Available at: </w:t>
      </w:r>
      <w:hyperlink r:id="rId6" w:tgtFrame="_new" w:history="1">
        <w:r w:rsidRPr="0097017E">
          <w:rPr>
            <w:rStyle w:val="Hyperlink"/>
            <w:rFonts w:ascii="Times New Roman" w:hAnsi="Times New Roman" w:cs="Times New Roman"/>
            <w:sz w:val="24"/>
            <w:szCs w:val="24"/>
            <w:lang w:val="en-US"/>
          </w:rPr>
          <w:t>https://arxiv.org/abs/2506.05705</w:t>
        </w:r>
      </w:hyperlink>
      <w:r w:rsidRPr="0097017E">
        <w:rPr>
          <w:rFonts w:ascii="Times New Roman" w:hAnsi="Times New Roman" w:cs="Times New Roman"/>
          <w:sz w:val="24"/>
          <w:szCs w:val="24"/>
          <w:lang w:val="en-US"/>
        </w:rPr>
        <w:t xml:space="preserve"> (Accessed: 10 April 2026).</w:t>
      </w:r>
    </w:p>
    <w:p w14:paraId="72F5B121" w14:textId="77777777" w:rsidR="0097017E" w:rsidRPr="0097017E" w:rsidRDefault="0097017E" w:rsidP="0097017E">
      <w:pPr>
        <w:spacing w:line="480" w:lineRule="auto"/>
        <w:rPr>
          <w:rFonts w:ascii="Times New Roman" w:hAnsi="Times New Roman" w:cs="Times New Roman"/>
          <w:sz w:val="24"/>
          <w:szCs w:val="24"/>
          <w:lang w:val="en-US"/>
        </w:rPr>
      </w:pPr>
      <w:r w:rsidRPr="0097017E">
        <w:rPr>
          <w:rFonts w:ascii="Times New Roman" w:hAnsi="Times New Roman" w:cs="Times New Roman"/>
          <w:sz w:val="24"/>
          <w:szCs w:val="24"/>
          <w:lang w:val="en-US"/>
        </w:rPr>
        <w:t xml:space="preserve">Fluor Corporation (2026) </w:t>
      </w:r>
      <w:r w:rsidRPr="0097017E">
        <w:rPr>
          <w:rFonts w:ascii="Times New Roman" w:hAnsi="Times New Roman" w:cs="Times New Roman"/>
          <w:i/>
          <w:iCs/>
          <w:sz w:val="24"/>
          <w:szCs w:val="24"/>
          <w:lang w:val="en-US"/>
        </w:rPr>
        <w:t>Annual Report 2025</w:t>
      </w:r>
      <w:r w:rsidRPr="0097017E">
        <w:rPr>
          <w:rFonts w:ascii="Times New Roman" w:hAnsi="Times New Roman" w:cs="Times New Roman"/>
          <w:sz w:val="24"/>
          <w:szCs w:val="24"/>
          <w:lang w:val="en-US"/>
        </w:rPr>
        <w:t>. Irving, TX: Fluor Corporation.</w:t>
      </w:r>
    </w:p>
    <w:p w14:paraId="569927A9" w14:textId="77777777" w:rsidR="0097017E" w:rsidRPr="0097017E" w:rsidRDefault="0097017E" w:rsidP="0097017E">
      <w:pPr>
        <w:spacing w:line="480" w:lineRule="auto"/>
        <w:rPr>
          <w:rFonts w:ascii="Times New Roman" w:hAnsi="Times New Roman" w:cs="Times New Roman"/>
          <w:sz w:val="24"/>
          <w:szCs w:val="24"/>
          <w:lang w:val="en-US"/>
        </w:rPr>
      </w:pPr>
      <w:r w:rsidRPr="0097017E">
        <w:rPr>
          <w:rFonts w:ascii="Times New Roman" w:hAnsi="Times New Roman" w:cs="Times New Roman"/>
          <w:sz w:val="24"/>
          <w:szCs w:val="24"/>
          <w:lang w:val="en-US"/>
        </w:rPr>
        <w:t xml:space="preserve">Jayasinghe, I.D., Domingo, N. and Le, A. (2025) ‘The evolving landscape of procurement methods in the construction industry: A literature review’, </w:t>
      </w:r>
      <w:r w:rsidRPr="0097017E">
        <w:rPr>
          <w:rFonts w:ascii="Times New Roman" w:hAnsi="Times New Roman" w:cs="Times New Roman"/>
          <w:i/>
          <w:iCs/>
          <w:sz w:val="24"/>
          <w:szCs w:val="24"/>
          <w:lang w:val="en-US"/>
        </w:rPr>
        <w:t>CIB Conferences</w:t>
      </w:r>
      <w:r w:rsidRPr="0097017E">
        <w:rPr>
          <w:rFonts w:ascii="Times New Roman" w:hAnsi="Times New Roman" w:cs="Times New Roman"/>
          <w:sz w:val="24"/>
          <w:szCs w:val="24"/>
          <w:lang w:val="en-US"/>
        </w:rPr>
        <w:t xml:space="preserve">, 1(1). Available at: </w:t>
      </w:r>
      <w:hyperlink r:id="rId7" w:tgtFrame="_new" w:history="1">
        <w:r w:rsidRPr="0097017E">
          <w:rPr>
            <w:rStyle w:val="Hyperlink"/>
            <w:rFonts w:ascii="Times New Roman" w:hAnsi="Times New Roman" w:cs="Times New Roman"/>
            <w:sz w:val="24"/>
            <w:szCs w:val="24"/>
            <w:lang w:val="en-US"/>
          </w:rPr>
          <w:t>https://doi.org/10.7771/3067-4883.2031</w:t>
        </w:r>
      </w:hyperlink>
      <w:r w:rsidRPr="0097017E">
        <w:rPr>
          <w:rFonts w:ascii="Times New Roman" w:hAnsi="Times New Roman" w:cs="Times New Roman"/>
          <w:sz w:val="24"/>
          <w:szCs w:val="24"/>
          <w:lang w:val="en-US"/>
        </w:rPr>
        <w:t xml:space="preserve"> (Accessed: 10 April 2026).</w:t>
      </w:r>
    </w:p>
    <w:p w14:paraId="4C937528" w14:textId="77777777" w:rsidR="0097017E" w:rsidRPr="0097017E" w:rsidRDefault="0097017E" w:rsidP="0097017E">
      <w:pPr>
        <w:spacing w:line="480" w:lineRule="auto"/>
        <w:rPr>
          <w:rFonts w:ascii="Times New Roman" w:hAnsi="Times New Roman" w:cs="Times New Roman"/>
          <w:sz w:val="24"/>
          <w:szCs w:val="24"/>
          <w:lang w:val="en-US"/>
        </w:rPr>
      </w:pPr>
      <w:r w:rsidRPr="0097017E">
        <w:rPr>
          <w:rFonts w:ascii="Times New Roman" w:hAnsi="Times New Roman" w:cs="Times New Roman"/>
          <w:sz w:val="24"/>
          <w:szCs w:val="24"/>
          <w:lang w:val="en-US"/>
        </w:rPr>
        <w:t xml:space="preserve">Juma, D. (2026) ‘Sustainable procurement practices and performance of state corporations in Kisii County, Kenya’, </w:t>
      </w:r>
      <w:r w:rsidRPr="0097017E">
        <w:rPr>
          <w:rFonts w:ascii="Times New Roman" w:hAnsi="Times New Roman" w:cs="Times New Roman"/>
          <w:i/>
          <w:iCs/>
          <w:sz w:val="24"/>
          <w:szCs w:val="24"/>
          <w:lang w:val="en-US"/>
        </w:rPr>
        <w:t>International Journal of Supply Chain and Logistics</w:t>
      </w:r>
      <w:r w:rsidRPr="0097017E">
        <w:rPr>
          <w:rFonts w:ascii="Times New Roman" w:hAnsi="Times New Roman" w:cs="Times New Roman"/>
          <w:sz w:val="24"/>
          <w:szCs w:val="24"/>
          <w:lang w:val="en-US"/>
        </w:rPr>
        <w:t>, 9(6), pp. 1–19.</w:t>
      </w:r>
    </w:p>
    <w:p w14:paraId="5002558C" w14:textId="77777777" w:rsidR="0097017E" w:rsidRPr="0097017E" w:rsidRDefault="0097017E" w:rsidP="0097017E">
      <w:pPr>
        <w:spacing w:line="480" w:lineRule="auto"/>
        <w:rPr>
          <w:rFonts w:ascii="Times New Roman" w:hAnsi="Times New Roman" w:cs="Times New Roman"/>
          <w:sz w:val="24"/>
          <w:szCs w:val="24"/>
          <w:lang w:val="en-US"/>
        </w:rPr>
      </w:pPr>
      <w:r w:rsidRPr="0097017E">
        <w:rPr>
          <w:rFonts w:ascii="Times New Roman" w:hAnsi="Times New Roman" w:cs="Times New Roman"/>
          <w:sz w:val="24"/>
          <w:szCs w:val="24"/>
          <w:lang w:val="en-US"/>
        </w:rPr>
        <w:t xml:space="preserve">Kamoche, K.R. and Wanyona, G. (2024) ‘An evaluation of the effectiveness of contract procurement methods on the performance of construction projects’, </w:t>
      </w:r>
      <w:r w:rsidRPr="0097017E">
        <w:rPr>
          <w:rFonts w:ascii="Times New Roman" w:hAnsi="Times New Roman" w:cs="Times New Roman"/>
          <w:i/>
          <w:iCs/>
          <w:sz w:val="24"/>
          <w:szCs w:val="24"/>
          <w:lang w:val="en-US"/>
        </w:rPr>
        <w:t>South Florida Journal of Development</w:t>
      </w:r>
      <w:r w:rsidRPr="0097017E">
        <w:rPr>
          <w:rFonts w:ascii="Times New Roman" w:hAnsi="Times New Roman" w:cs="Times New Roman"/>
          <w:sz w:val="24"/>
          <w:szCs w:val="24"/>
          <w:lang w:val="en-US"/>
        </w:rPr>
        <w:t>, 5(8), pp. e4249–e4249.</w:t>
      </w:r>
    </w:p>
    <w:p w14:paraId="0498C9C8" w14:textId="77777777" w:rsidR="0097017E" w:rsidRPr="0097017E" w:rsidRDefault="0097017E" w:rsidP="0097017E">
      <w:pPr>
        <w:spacing w:line="480" w:lineRule="auto"/>
        <w:rPr>
          <w:rFonts w:ascii="Times New Roman" w:hAnsi="Times New Roman" w:cs="Times New Roman"/>
          <w:sz w:val="24"/>
          <w:szCs w:val="24"/>
          <w:lang w:val="en-US"/>
        </w:rPr>
      </w:pPr>
      <w:r w:rsidRPr="0097017E">
        <w:rPr>
          <w:rFonts w:ascii="Times New Roman" w:hAnsi="Times New Roman" w:cs="Times New Roman"/>
          <w:sz w:val="24"/>
          <w:szCs w:val="24"/>
          <w:lang w:val="en-US"/>
        </w:rPr>
        <w:t xml:space="preserve">Kerzner, H. (2026) </w:t>
      </w:r>
      <w:r w:rsidRPr="0097017E">
        <w:rPr>
          <w:rFonts w:ascii="Times New Roman" w:hAnsi="Times New Roman" w:cs="Times New Roman"/>
          <w:i/>
          <w:iCs/>
          <w:sz w:val="24"/>
          <w:szCs w:val="24"/>
          <w:lang w:val="en-US"/>
        </w:rPr>
        <w:t>Project Management: A Systems Approach to Planning, Scheduling, and Controlling</w:t>
      </w:r>
      <w:r w:rsidRPr="0097017E">
        <w:rPr>
          <w:rFonts w:ascii="Times New Roman" w:hAnsi="Times New Roman" w:cs="Times New Roman"/>
          <w:sz w:val="24"/>
          <w:szCs w:val="24"/>
          <w:lang w:val="en-US"/>
        </w:rPr>
        <w:t>. 13th edn. Hoboken, NJ: Wiley.</w:t>
      </w:r>
    </w:p>
    <w:p w14:paraId="7481C309" w14:textId="77777777" w:rsidR="0097017E" w:rsidRPr="0097017E" w:rsidRDefault="0097017E" w:rsidP="0097017E">
      <w:pPr>
        <w:spacing w:line="480" w:lineRule="auto"/>
        <w:rPr>
          <w:rFonts w:ascii="Times New Roman" w:hAnsi="Times New Roman" w:cs="Times New Roman"/>
          <w:sz w:val="24"/>
          <w:szCs w:val="24"/>
          <w:lang w:val="en-US"/>
        </w:rPr>
      </w:pPr>
      <w:r w:rsidRPr="0097017E">
        <w:rPr>
          <w:rFonts w:ascii="Times New Roman" w:hAnsi="Times New Roman" w:cs="Times New Roman"/>
          <w:sz w:val="24"/>
          <w:szCs w:val="24"/>
          <w:lang w:val="en-US"/>
        </w:rPr>
        <w:t xml:space="preserve">Microsoft Local (2022) </w:t>
      </w:r>
      <w:r w:rsidRPr="0097017E">
        <w:rPr>
          <w:rFonts w:ascii="Times New Roman" w:hAnsi="Times New Roman" w:cs="Times New Roman"/>
          <w:i/>
          <w:iCs/>
          <w:sz w:val="24"/>
          <w:szCs w:val="24"/>
          <w:lang w:val="en-US"/>
        </w:rPr>
        <w:t>Frequently asked questions about our datacenters</w:t>
      </w:r>
      <w:r w:rsidRPr="0097017E">
        <w:rPr>
          <w:rFonts w:ascii="Times New Roman" w:hAnsi="Times New Roman" w:cs="Times New Roman"/>
          <w:sz w:val="24"/>
          <w:szCs w:val="24"/>
          <w:lang w:val="en-US"/>
        </w:rPr>
        <w:t xml:space="preserve">. Available at: </w:t>
      </w:r>
      <w:hyperlink r:id="rId8" w:tgtFrame="_new" w:history="1">
        <w:r w:rsidRPr="0097017E">
          <w:rPr>
            <w:rStyle w:val="Hyperlink"/>
            <w:rFonts w:ascii="Times New Roman" w:hAnsi="Times New Roman" w:cs="Times New Roman"/>
            <w:sz w:val="24"/>
            <w:szCs w:val="24"/>
            <w:lang w:val="en-US"/>
          </w:rPr>
          <w:t>https://local.microsoft.com/blog/frequently-asked-questions-about-our-datacenters/</w:t>
        </w:r>
      </w:hyperlink>
      <w:r w:rsidRPr="0097017E">
        <w:rPr>
          <w:rFonts w:ascii="Times New Roman" w:hAnsi="Times New Roman" w:cs="Times New Roman"/>
          <w:sz w:val="24"/>
          <w:szCs w:val="24"/>
          <w:lang w:val="en-US"/>
        </w:rPr>
        <w:t xml:space="preserve"> (Accessed: 10 April 2026).</w:t>
      </w:r>
    </w:p>
    <w:p w14:paraId="3124381E" w14:textId="77777777" w:rsidR="0097017E" w:rsidRPr="0097017E" w:rsidRDefault="0097017E" w:rsidP="0097017E">
      <w:pPr>
        <w:spacing w:line="480" w:lineRule="auto"/>
        <w:rPr>
          <w:rFonts w:ascii="Times New Roman" w:hAnsi="Times New Roman" w:cs="Times New Roman"/>
          <w:sz w:val="24"/>
          <w:szCs w:val="24"/>
          <w:lang w:val="en-US"/>
        </w:rPr>
      </w:pPr>
      <w:r w:rsidRPr="0097017E">
        <w:rPr>
          <w:rFonts w:ascii="Times New Roman" w:hAnsi="Times New Roman" w:cs="Times New Roman"/>
          <w:sz w:val="24"/>
          <w:szCs w:val="24"/>
          <w:lang w:val="en-US"/>
        </w:rPr>
        <w:t xml:space="preserve">Mwaipungu, U., Malekela, K. and Monko, R. (2025) ‘Assessing the impact of constraining factors on design-bid-build project delivery: A relationship strength analysis’, </w:t>
      </w:r>
      <w:r w:rsidRPr="0097017E">
        <w:rPr>
          <w:rFonts w:ascii="Times New Roman" w:hAnsi="Times New Roman" w:cs="Times New Roman"/>
          <w:i/>
          <w:iCs/>
          <w:sz w:val="24"/>
          <w:szCs w:val="24"/>
          <w:lang w:val="en-US"/>
        </w:rPr>
        <w:t>International Journal of Innovative Science and Research Technology</w:t>
      </w:r>
      <w:r w:rsidRPr="0097017E">
        <w:rPr>
          <w:rFonts w:ascii="Times New Roman" w:hAnsi="Times New Roman" w:cs="Times New Roman"/>
          <w:sz w:val="24"/>
          <w:szCs w:val="24"/>
          <w:lang w:val="en-US"/>
        </w:rPr>
        <w:t>, 10(2), pp. 127–144.</w:t>
      </w:r>
    </w:p>
    <w:p w14:paraId="55899683" w14:textId="77777777" w:rsidR="0097017E" w:rsidRPr="0097017E" w:rsidRDefault="0097017E" w:rsidP="0097017E">
      <w:pPr>
        <w:spacing w:line="480" w:lineRule="auto"/>
        <w:rPr>
          <w:rFonts w:ascii="Times New Roman" w:hAnsi="Times New Roman" w:cs="Times New Roman"/>
          <w:sz w:val="24"/>
          <w:szCs w:val="24"/>
          <w:lang w:val="en-US"/>
        </w:rPr>
      </w:pPr>
      <w:r w:rsidRPr="0097017E">
        <w:rPr>
          <w:rFonts w:ascii="Times New Roman" w:hAnsi="Times New Roman" w:cs="Times New Roman"/>
          <w:sz w:val="24"/>
          <w:szCs w:val="24"/>
          <w:lang w:val="en-US"/>
        </w:rPr>
        <w:lastRenderedPageBreak/>
        <w:t xml:space="preserve">Ngereja, B. and Jørgensen, M. (2025) </w:t>
      </w:r>
      <w:r w:rsidRPr="0097017E">
        <w:rPr>
          <w:rFonts w:ascii="Times New Roman" w:hAnsi="Times New Roman" w:cs="Times New Roman"/>
          <w:i/>
          <w:iCs/>
          <w:sz w:val="24"/>
          <w:szCs w:val="24"/>
          <w:lang w:val="en-US"/>
        </w:rPr>
        <w:t>An overview of alternative funding and contracting approaches relevant for agile software development: A systematic review of real-life experiences</w:t>
      </w:r>
      <w:r w:rsidRPr="0097017E">
        <w:rPr>
          <w:rFonts w:ascii="Times New Roman" w:hAnsi="Times New Roman" w:cs="Times New Roman"/>
          <w:sz w:val="24"/>
          <w:szCs w:val="24"/>
          <w:lang w:val="en-US"/>
        </w:rPr>
        <w:t xml:space="preserve">. arXiv. Available at: </w:t>
      </w:r>
      <w:hyperlink r:id="rId9" w:tgtFrame="_new" w:history="1">
        <w:r w:rsidRPr="0097017E">
          <w:rPr>
            <w:rStyle w:val="Hyperlink"/>
            <w:rFonts w:ascii="Times New Roman" w:hAnsi="Times New Roman" w:cs="Times New Roman"/>
            <w:sz w:val="24"/>
            <w:szCs w:val="24"/>
            <w:lang w:val="en-US"/>
          </w:rPr>
          <w:t>https://arxiv.org/abs/2510.18711</w:t>
        </w:r>
      </w:hyperlink>
      <w:r w:rsidRPr="0097017E">
        <w:rPr>
          <w:rFonts w:ascii="Times New Roman" w:hAnsi="Times New Roman" w:cs="Times New Roman"/>
          <w:sz w:val="24"/>
          <w:szCs w:val="24"/>
          <w:lang w:val="en-US"/>
        </w:rPr>
        <w:t xml:space="preserve"> (Accessed: 10 April 2026).</w:t>
      </w:r>
    </w:p>
    <w:p w14:paraId="1A600199" w14:textId="77777777" w:rsidR="0097017E" w:rsidRPr="0097017E" w:rsidRDefault="0097017E" w:rsidP="0097017E">
      <w:pPr>
        <w:spacing w:line="480" w:lineRule="auto"/>
        <w:rPr>
          <w:rFonts w:ascii="Times New Roman" w:hAnsi="Times New Roman" w:cs="Times New Roman"/>
          <w:sz w:val="24"/>
          <w:szCs w:val="24"/>
          <w:lang w:val="en-US"/>
        </w:rPr>
      </w:pPr>
      <w:r w:rsidRPr="0097017E">
        <w:rPr>
          <w:rFonts w:ascii="Times New Roman" w:hAnsi="Times New Roman" w:cs="Times New Roman"/>
          <w:sz w:val="24"/>
          <w:szCs w:val="24"/>
          <w:lang w:val="en-US"/>
        </w:rPr>
        <w:t xml:space="preserve">Nicholas, J.M. and Steyn, H. (2025) </w:t>
      </w:r>
      <w:r w:rsidRPr="0097017E">
        <w:rPr>
          <w:rFonts w:ascii="Times New Roman" w:hAnsi="Times New Roman" w:cs="Times New Roman"/>
          <w:i/>
          <w:iCs/>
          <w:sz w:val="24"/>
          <w:szCs w:val="24"/>
          <w:lang w:val="en-US"/>
        </w:rPr>
        <w:t>Project Management for Engineering, Business and Technology</w:t>
      </w:r>
      <w:r w:rsidRPr="0097017E">
        <w:rPr>
          <w:rFonts w:ascii="Times New Roman" w:hAnsi="Times New Roman" w:cs="Times New Roman"/>
          <w:sz w:val="24"/>
          <w:szCs w:val="24"/>
          <w:lang w:val="en-US"/>
        </w:rPr>
        <w:t>. 7th edn. London: Routledge.</w:t>
      </w:r>
    </w:p>
    <w:p w14:paraId="702A1489" w14:textId="77777777" w:rsidR="0097017E" w:rsidRPr="0097017E" w:rsidRDefault="0097017E" w:rsidP="0097017E">
      <w:pPr>
        <w:spacing w:line="480" w:lineRule="auto"/>
        <w:rPr>
          <w:rFonts w:ascii="Times New Roman" w:hAnsi="Times New Roman" w:cs="Times New Roman"/>
          <w:sz w:val="24"/>
          <w:szCs w:val="24"/>
          <w:lang w:val="en-US"/>
        </w:rPr>
      </w:pPr>
      <w:r w:rsidRPr="0097017E">
        <w:rPr>
          <w:rFonts w:ascii="Times New Roman" w:hAnsi="Times New Roman" w:cs="Times New Roman"/>
          <w:sz w:val="24"/>
          <w:szCs w:val="24"/>
          <w:lang w:val="en-US"/>
        </w:rPr>
        <w:t xml:space="preserve">PMI (2026) </w:t>
      </w:r>
      <w:r w:rsidRPr="0097017E">
        <w:rPr>
          <w:rFonts w:ascii="Times New Roman" w:hAnsi="Times New Roman" w:cs="Times New Roman"/>
          <w:i/>
          <w:iCs/>
          <w:sz w:val="24"/>
          <w:szCs w:val="24"/>
          <w:lang w:val="en-US"/>
        </w:rPr>
        <w:t>A guide to the project management body of knowledge (PMBOK® Guide)</w:t>
      </w:r>
      <w:r w:rsidRPr="0097017E">
        <w:rPr>
          <w:rFonts w:ascii="Times New Roman" w:hAnsi="Times New Roman" w:cs="Times New Roman"/>
          <w:sz w:val="24"/>
          <w:szCs w:val="24"/>
          <w:lang w:val="en-US"/>
        </w:rPr>
        <w:t>. 8th edn. Newtown Square, PA: Project Management Institute.</w:t>
      </w:r>
    </w:p>
    <w:p w14:paraId="1962B053" w14:textId="77777777" w:rsidR="0097017E" w:rsidRPr="0097017E" w:rsidRDefault="0097017E" w:rsidP="0097017E">
      <w:pPr>
        <w:spacing w:line="480" w:lineRule="auto"/>
        <w:rPr>
          <w:rFonts w:ascii="Times New Roman" w:hAnsi="Times New Roman" w:cs="Times New Roman"/>
          <w:sz w:val="24"/>
          <w:szCs w:val="24"/>
          <w:lang w:val="en-US"/>
        </w:rPr>
      </w:pPr>
      <w:r w:rsidRPr="0097017E">
        <w:rPr>
          <w:rFonts w:ascii="Times New Roman" w:hAnsi="Times New Roman" w:cs="Times New Roman"/>
          <w:sz w:val="24"/>
          <w:szCs w:val="24"/>
          <w:lang w:val="en-US"/>
        </w:rPr>
        <w:t xml:space="preserve">Reuters (2026) ‘Tesla ramps up battery cell investments at German gigafactory’, </w:t>
      </w:r>
      <w:r w:rsidRPr="0097017E">
        <w:rPr>
          <w:rFonts w:ascii="Times New Roman" w:hAnsi="Times New Roman" w:cs="Times New Roman"/>
          <w:i/>
          <w:iCs/>
          <w:sz w:val="24"/>
          <w:szCs w:val="24"/>
          <w:lang w:val="en-US"/>
        </w:rPr>
        <w:t>Reuters</w:t>
      </w:r>
      <w:r w:rsidRPr="0097017E">
        <w:rPr>
          <w:rFonts w:ascii="Times New Roman" w:hAnsi="Times New Roman" w:cs="Times New Roman"/>
          <w:sz w:val="24"/>
          <w:szCs w:val="24"/>
          <w:lang w:val="en-US"/>
        </w:rPr>
        <w:t xml:space="preserve">, 10 April. Available at: </w:t>
      </w:r>
      <w:hyperlink r:id="rId10" w:tgtFrame="_new" w:history="1">
        <w:r w:rsidRPr="0097017E">
          <w:rPr>
            <w:rStyle w:val="Hyperlink"/>
            <w:rFonts w:ascii="Times New Roman" w:hAnsi="Times New Roman" w:cs="Times New Roman"/>
            <w:sz w:val="24"/>
            <w:szCs w:val="24"/>
            <w:lang w:val="en-US"/>
          </w:rPr>
          <w:t>https://www.reuters.com/</w:t>
        </w:r>
      </w:hyperlink>
      <w:r w:rsidRPr="0097017E">
        <w:rPr>
          <w:rFonts w:ascii="Times New Roman" w:hAnsi="Times New Roman" w:cs="Times New Roman"/>
          <w:sz w:val="24"/>
          <w:szCs w:val="24"/>
          <w:lang w:val="en-US"/>
        </w:rPr>
        <w:t xml:space="preserve"> (Accessed: 10 April 2026).</w:t>
      </w:r>
    </w:p>
    <w:p w14:paraId="7A1330FF" w14:textId="77777777" w:rsidR="0097017E" w:rsidRPr="000D53B5" w:rsidRDefault="0097017E" w:rsidP="00BC78A3">
      <w:pPr>
        <w:spacing w:line="480" w:lineRule="auto"/>
        <w:rPr>
          <w:rFonts w:ascii="Times New Roman" w:hAnsi="Times New Roman" w:cs="Times New Roman"/>
          <w:sz w:val="24"/>
          <w:szCs w:val="24"/>
        </w:rPr>
      </w:pPr>
    </w:p>
    <w:sectPr w:rsidR="0097017E" w:rsidRPr="000D53B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2D62CD"/>
    <w:multiLevelType w:val="multilevel"/>
    <w:tmpl w:val="2F74C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6166E83"/>
    <w:multiLevelType w:val="multilevel"/>
    <w:tmpl w:val="F1F4A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38708860">
    <w:abstractNumId w:val="1"/>
  </w:num>
  <w:num w:numId="2" w16cid:durableId="17484585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629"/>
    <w:rsid w:val="00001ECE"/>
    <w:rsid w:val="0002121D"/>
    <w:rsid w:val="000D53B5"/>
    <w:rsid w:val="00142CD8"/>
    <w:rsid w:val="001B6D70"/>
    <w:rsid w:val="001D45DB"/>
    <w:rsid w:val="00210D93"/>
    <w:rsid w:val="00255BFA"/>
    <w:rsid w:val="0031670E"/>
    <w:rsid w:val="00323653"/>
    <w:rsid w:val="00374028"/>
    <w:rsid w:val="003C4592"/>
    <w:rsid w:val="003D1FCD"/>
    <w:rsid w:val="00457DF7"/>
    <w:rsid w:val="00572DB0"/>
    <w:rsid w:val="005D0149"/>
    <w:rsid w:val="0066539C"/>
    <w:rsid w:val="006E72AE"/>
    <w:rsid w:val="00701629"/>
    <w:rsid w:val="00710481"/>
    <w:rsid w:val="00745A0B"/>
    <w:rsid w:val="007C2139"/>
    <w:rsid w:val="00883CFB"/>
    <w:rsid w:val="008D78F0"/>
    <w:rsid w:val="008F7EA7"/>
    <w:rsid w:val="00962E7F"/>
    <w:rsid w:val="0097017E"/>
    <w:rsid w:val="009B19DF"/>
    <w:rsid w:val="00A170C7"/>
    <w:rsid w:val="00A84ECC"/>
    <w:rsid w:val="00A96C04"/>
    <w:rsid w:val="00AA677B"/>
    <w:rsid w:val="00AE2BF9"/>
    <w:rsid w:val="00BC78A3"/>
    <w:rsid w:val="00BE1718"/>
    <w:rsid w:val="00C16B71"/>
    <w:rsid w:val="00C235C5"/>
    <w:rsid w:val="00C67774"/>
    <w:rsid w:val="00D05B24"/>
    <w:rsid w:val="00D62C9F"/>
    <w:rsid w:val="00DA7416"/>
    <w:rsid w:val="00DC43FE"/>
    <w:rsid w:val="00DD767D"/>
    <w:rsid w:val="00E209A9"/>
    <w:rsid w:val="00E36A77"/>
    <w:rsid w:val="00E82134"/>
    <w:rsid w:val="00EE77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3B891"/>
  <w15:chartTrackingRefBased/>
  <w15:docId w15:val="{02DF2957-9CCC-4338-A407-33BC36DDC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745A0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45A0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1629"/>
    <w:pPr>
      <w:ind w:left="720"/>
      <w:contextualSpacing/>
    </w:pPr>
  </w:style>
  <w:style w:type="character" w:customStyle="1" w:styleId="Heading1Char">
    <w:name w:val="Heading 1 Char"/>
    <w:basedOn w:val="DefaultParagraphFont"/>
    <w:link w:val="Heading1"/>
    <w:uiPriority w:val="9"/>
    <w:rsid w:val="00745A0B"/>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745A0B"/>
    <w:rPr>
      <w:rFonts w:asciiTheme="majorHAnsi" w:eastAsiaTheme="majorEastAsia" w:hAnsiTheme="majorHAnsi" w:cstheme="majorBidi"/>
      <w:color w:val="2E74B5" w:themeColor="accent1" w:themeShade="BF"/>
      <w:sz w:val="26"/>
      <w:szCs w:val="26"/>
      <w:lang w:val="en-GB"/>
    </w:rPr>
  </w:style>
  <w:style w:type="character" w:styleId="Hyperlink">
    <w:name w:val="Hyperlink"/>
    <w:basedOn w:val="DefaultParagraphFont"/>
    <w:uiPriority w:val="99"/>
    <w:unhideWhenUsed/>
    <w:rsid w:val="00745A0B"/>
    <w:rPr>
      <w:color w:val="0563C1" w:themeColor="hyperlink"/>
      <w:u w:val="single"/>
    </w:rPr>
  </w:style>
  <w:style w:type="paragraph" w:styleId="TOCHeading">
    <w:name w:val="TOC Heading"/>
    <w:basedOn w:val="Heading1"/>
    <w:next w:val="Normal"/>
    <w:uiPriority w:val="39"/>
    <w:unhideWhenUsed/>
    <w:qFormat/>
    <w:rsid w:val="000D53B5"/>
    <w:pPr>
      <w:outlineLvl w:val="9"/>
    </w:pPr>
    <w:rPr>
      <w:lang w:val="en-US"/>
    </w:rPr>
  </w:style>
  <w:style w:type="paragraph" w:styleId="TOC1">
    <w:name w:val="toc 1"/>
    <w:basedOn w:val="Normal"/>
    <w:next w:val="Normal"/>
    <w:autoRedefine/>
    <w:uiPriority w:val="39"/>
    <w:unhideWhenUsed/>
    <w:rsid w:val="000D53B5"/>
    <w:pPr>
      <w:spacing w:after="100"/>
    </w:pPr>
  </w:style>
  <w:style w:type="paragraph" w:styleId="TOC2">
    <w:name w:val="toc 2"/>
    <w:basedOn w:val="Normal"/>
    <w:next w:val="Normal"/>
    <w:autoRedefine/>
    <w:uiPriority w:val="39"/>
    <w:unhideWhenUsed/>
    <w:rsid w:val="000D53B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4451347">
      <w:bodyDiv w:val="1"/>
      <w:marLeft w:val="0"/>
      <w:marRight w:val="0"/>
      <w:marTop w:val="0"/>
      <w:marBottom w:val="0"/>
      <w:divBdr>
        <w:top w:val="none" w:sz="0" w:space="0" w:color="auto"/>
        <w:left w:val="none" w:sz="0" w:space="0" w:color="auto"/>
        <w:bottom w:val="none" w:sz="0" w:space="0" w:color="auto"/>
        <w:right w:val="none" w:sz="0" w:space="0" w:color="auto"/>
      </w:divBdr>
      <w:divsChild>
        <w:div w:id="1922058783">
          <w:marLeft w:val="0"/>
          <w:marRight w:val="0"/>
          <w:marTop w:val="0"/>
          <w:marBottom w:val="0"/>
          <w:divBdr>
            <w:top w:val="none" w:sz="0" w:space="0" w:color="auto"/>
            <w:left w:val="none" w:sz="0" w:space="0" w:color="auto"/>
            <w:bottom w:val="none" w:sz="0" w:space="0" w:color="auto"/>
            <w:right w:val="none" w:sz="0" w:space="0" w:color="auto"/>
          </w:divBdr>
          <w:divsChild>
            <w:div w:id="734932227">
              <w:marLeft w:val="0"/>
              <w:marRight w:val="0"/>
              <w:marTop w:val="0"/>
              <w:marBottom w:val="0"/>
              <w:divBdr>
                <w:top w:val="none" w:sz="0" w:space="0" w:color="auto"/>
                <w:left w:val="none" w:sz="0" w:space="0" w:color="auto"/>
                <w:bottom w:val="none" w:sz="0" w:space="0" w:color="auto"/>
                <w:right w:val="none" w:sz="0" w:space="0" w:color="auto"/>
              </w:divBdr>
              <w:divsChild>
                <w:div w:id="952249752">
                  <w:marLeft w:val="0"/>
                  <w:marRight w:val="0"/>
                  <w:marTop w:val="0"/>
                  <w:marBottom w:val="0"/>
                  <w:divBdr>
                    <w:top w:val="none" w:sz="0" w:space="0" w:color="auto"/>
                    <w:left w:val="none" w:sz="0" w:space="0" w:color="auto"/>
                    <w:bottom w:val="none" w:sz="0" w:space="0" w:color="auto"/>
                    <w:right w:val="none" w:sz="0" w:space="0" w:color="auto"/>
                  </w:divBdr>
                  <w:divsChild>
                    <w:div w:id="523372346">
                      <w:marLeft w:val="0"/>
                      <w:marRight w:val="0"/>
                      <w:marTop w:val="0"/>
                      <w:marBottom w:val="0"/>
                      <w:divBdr>
                        <w:top w:val="none" w:sz="0" w:space="0" w:color="auto"/>
                        <w:left w:val="none" w:sz="0" w:space="0" w:color="auto"/>
                        <w:bottom w:val="none" w:sz="0" w:space="0" w:color="auto"/>
                        <w:right w:val="none" w:sz="0" w:space="0" w:color="auto"/>
                      </w:divBdr>
                      <w:divsChild>
                        <w:div w:id="2132244939">
                          <w:marLeft w:val="0"/>
                          <w:marRight w:val="0"/>
                          <w:marTop w:val="0"/>
                          <w:marBottom w:val="0"/>
                          <w:divBdr>
                            <w:top w:val="none" w:sz="0" w:space="0" w:color="auto"/>
                            <w:left w:val="none" w:sz="0" w:space="0" w:color="auto"/>
                            <w:bottom w:val="none" w:sz="0" w:space="0" w:color="auto"/>
                            <w:right w:val="none" w:sz="0" w:space="0" w:color="auto"/>
                          </w:divBdr>
                          <w:divsChild>
                            <w:div w:id="125318851">
                              <w:marLeft w:val="0"/>
                              <w:marRight w:val="0"/>
                              <w:marTop w:val="0"/>
                              <w:marBottom w:val="0"/>
                              <w:divBdr>
                                <w:top w:val="none" w:sz="0" w:space="0" w:color="auto"/>
                                <w:left w:val="none" w:sz="0" w:space="0" w:color="auto"/>
                                <w:bottom w:val="none" w:sz="0" w:space="0" w:color="auto"/>
                                <w:right w:val="none" w:sz="0" w:space="0" w:color="auto"/>
                              </w:divBdr>
                              <w:divsChild>
                                <w:div w:id="1809783013">
                                  <w:marLeft w:val="0"/>
                                  <w:marRight w:val="0"/>
                                  <w:marTop w:val="0"/>
                                  <w:marBottom w:val="0"/>
                                  <w:divBdr>
                                    <w:top w:val="none" w:sz="0" w:space="0" w:color="auto"/>
                                    <w:left w:val="none" w:sz="0" w:space="0" w:color="auto"/>
                                    <w:bottom w:val="none" w:sz="0" w:space="0" w:color="auto"/>
                                    <w:right w:val="none" w:sz="0" w:space="0" w:color="auto"/>
                                  </w:divBdr>
                                  <w:divsChild>
                                    <w:div w:id="1635210852">
                                      <w:marLeft w:val="0"/>
                                      <w:marRight w:val="0"/>
                                      <w:marTop w:val="0"/>
                                      <w:marBottom w:val="0"/>
                                      <w:divBdr>
                                        <w:top w:val="none" w:sz="0" w:space="0" w:color="auto"/>
                                        <w:left w:val="none" w:sz="0" w:space="0" w:color="auto"/>
                                        <w:bottom w:val="none" w:sz="0" w:space="0" w:color="auto"/>
                                        <w:right w:val="none" w:sz="0" w:space="0" w:color="auto"/>
                                      </w:divBdr>
                                      <w:divsChild>
                                        <w:div w:id="2015298721">
                                          <w:marLeft w:val="0"/>
                                          <w:marRight w:val="0"/>
                                          <w:marTop w:val="0"/>
                                          <w:marBottom w:val="0"/>
                                          <w:divBdr>
                                            <w:top w:val="none" w:sz="0" w:space="0" w:color="auto"/>
                                            <w:left w:val="none" w:sz="0" w:space="0" w:color="auto"/>
                                            <w:bottom w:val="none" w:sz="0" w:space="0" w:color="auto"/>
                                            <w:right w:val="none" w:sz="0" w:space="0" w:color="auto"/>
                                          </w:divBdr>
                                          <w:divsChild>
                                            <w:div w:id="1448692884">
                                              <w:marLeft w:val="0"/>
                                              <w:marRight w:val="0"/>
                                              <w:marTop w:val="0"/>
                                              <w:marBottom w:val="0"/>
                                              <w:divBdr>
                                                <w:top w:val="none" w:sz="0" w:space="0" w:color="auto"/>
                                                <w:left w:val="none" w:sz="0" w:space="0" w:color="auto"/>
                                                <w:bottom w:val="none" w:sz="0" w:space="0" w:color="auto"/>
                                                <w:right w:val="none" w:sz="0" w:space="0" w:color="auto"/>
                                              </w:divBdr>
                                              <w:divsChild>
                                                <w:div w:id="1944416306">
                                                  <w:marLeft w:val="0"/>
                                                  <w:marRight w:val="0"/>
                                                  <w:marTop w:val="0"/>
                                                  <w:marBottom w:val="0"/>
                                                  <w:divBdr>
                                                    <w:top w:val="none" w:sz="0" w:space="0" w:color="auto"/>
                                                    <w:left w:val="none" w:sz="0" w:space="0" w:color="auto"/>
                                                    <w:bottom w:val="none" w:sz="0" w:space="0" w:color="auto"/>
                                                    <w:right w:val="none" w:sz="0" w:space="0" w:color="auto"/>
                                                  </w:divBdr>
                                                  <w:divsChild>
                                                    <w:div w:id="1860043028">
                                                      <w:marLeft w:val="0"/>
                                                      <w:marRight w:val="0"/>
                                                      <w:marTop w:val="0"/>
                                                      <w:marBottom w:val="0"/>
                                                      <w:divBdr>
                                                        <w:top w:val="none" w:sz="0" w:space="0" w:color="auto"/>
                                                        <w:left w:val="none" w:sz="0" w:space="0" w:color="auto"/>
                                                        <w:bottom w:val="none" w:sz="0" w:space="0" w:color="auto"/>
                                                        <w:right w:val="none" w:sz="0" w:space="0" w:color="auto"/>
                                                      </w:divBdr>
                                                      <w:divsChild>
                                                        <w:div w:id="2022080277">
                                                          <w:marLeft w:val="0"/>
                                                          <w:marRight w:val="0"/>
                                                          <w:marTop w:val="0"/>
                                                          <w:marBottom w:val="0"/>
                                                          <w:divBdr>
                                                            <w:top w:val="none" w:sz="0" w:space="0" w:color="auto"/>
                                                            <w:left w:val="none" w:sz="0" w:space="0" w:color="auto"/>
                                                            <w:bottom w:val="none" w:sz="0" w:space="0" w:color="auto"/>
                                                            <w:right w:val="none" w:sz="0" w:space="0" w:color="auto"/>
                                                          </w:divBdr>
                                                          <w:divsChild>
                                                            <w:div w:id="126363530">
                                                              <w:marLeft w:val="0"/>
                                                              <w:marRight w:val="0"/>
                                                              <w:marTop w:val="0"/>
                                                              <w:marBottom w:val="0"/>
                                                              <w:divBdr>
                                                                <w:top w:val="none" w:sz="0" w:space="0" w:color="auto"/>
                                                                <w:left w:val="none" w:sz="0" w:space="0" w:color="auto"/>
                                                                <w:bottom w:val="none" w:sz="0" w:space="0" w:color="auto"/>
                                                                <w:right w:val="none" w:sz="0" w:space="0" w:color="auto"/>
                                                              </w:divBdr>
                                                              <w:divsChild>
                                                                <w:div w:id="1828864678">
                                                                  <w:marLeft w:val="0"/>
                                                                  <w:marRight w:val="0"/>
                                                                  <w:marTop w:val="0"/>
                                                                  <w:marBottom w:val="0"/>
                                                                  <w:divBdr>
                                                                    <w:top w:val="none" w:sz="0" w:space="0" w:color="auto"/>
                                                                    <w:left w:val="none" w:sz="0" w:space="0" w:color="auto"/>
                                                                    <w:bottom w:val="none" w:sz="0" w:space="0" w:color="auto"/>
                                                                    <w:right w:val="none" w:sz="0" w:space="0" w:color="auto"/>
                                                                  </w:divBdr>
                                                                  <w:divsChild>
                                                                    <w:div w:id="654190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6012597">
                                          <w:marLeft w:val="0"/>
                                          <w:marRight w:val="0"/>
                                          <w:marTop w:val="0"/>
                                          <w:marBottom w:val="0"/>
                                          <w:divBdr>
                                            <w:top w:val="none" w:sz="0" w:space="0" w:color="auto"/>
                                            <w:left w:val="none" w:sz="0" w:space="0" w:color="auto"/>
                                            <w:bottom w:val="none" w:sz="0" w:space="0" w:color="auto"/>
                                            <w:right w:val="none" w:sz="0" w:space="0" w:color="auto"/>
                                          </w:divBdr>
                                          <w:divsChild>
                                            <w:div w:id="1159422027">
                                              <w:marLeft w:val="0"/>
                                              <w:marRight w:val="0"/>
                                              <w:marTop w:val="0"/>
                                              <w:marBottom w:val="0"/>
                                              <w:divBdr>
                                                <w:top w:val="none" w:sz="0" w:space="0" w:color="auto"/>
                                                <w:left w:val="none" w:sz="0" w:space="0" w:color="auto"/>
                                                <w:bottom w:val="none" w:sz="0" w:space="0" w:color="auto"/>
                                                <w:right w:val="none" w:sz="0" w:space="0" w:color="auto"/>
                                              </w:divBdr>
                                              <w:divsChild>
                                                <w:div w:id="1894001929">
                                                  <w:marLeft w:val="0"/>
                                                  <w:marRight w:val="0"/>
                                                  <w:marTop w:val="0"/>
                                                  <w:marBottom w:val="0"/>
                                                  <w:divBdr>
                                                    <w:top w:val="none" w:sz="0" w:space="0" w:color="auto"/>
                                                    <w:left w:val="none" w:sz="0" w:space="0" w:color="auto"/>
                                                    <w:bottom w:val="none" w:sz="0" w:space="0" w:color="auto"/>
                                                    <w:right w:val="none" w:sz="0" w:space="0" w:color="auto"/>
                                                  </w:divBdr>
                                                  <w:divsChild>
                                                    <w:div w:id="605234912">
                                                      <w:marLeft w:val="0"/>
                                                      <w:marRight w:val="0"/>
                                                      <w:marTop w:val="0"/>
                                                      <w:marBottom w:val="0"/>
                                                      <w:divBdr>
                                                        <w:top w:val="none" w:sz="0" w:space="0" w:color="auto"/>
                                                        <w:left w:val="none" w:sz="0" w:space="0" w:color="auto"/>
                                                        <w:bottom w:val="none" w:sz="0" w:space="0" w:color="auto"/>
                                                        <w:right w:val="none" w:sz="0" w:space="0" w:color="auto"/>
                                                      </w:divBdr>
                                                      <w:divsChild>
                                                        <w:div w:id="1889224787">
                                                          <w:marLeft w:val="0"/>
                                                          <w:marRight w:val="0"/>
                                                          <w:marTop w:val="0"/>
                                                          <w:marBottom w:val="0"/>
                                                          <w:divBdr>
                                                            <w:top w:val="none" w:sz="0" w:space="0" w:color="auto"/>
                                                            <w:left w:val="none" w:sz="0" w:space="0" w:color="auto"/>
                                                            <w:bottom w:val="none" w:sz="0" w:space="0" w:color="auto"/>
                                                            <w:right w:val="none" w:sz="0" w:space="0" w:color="auto"/>
                                                          </w:divBdr>
                                                          <w:divsChild>
                                                            <w:div w:id="1200896504">
                                                              <w:marLeft w:val="0"/>
                                                              <w:marRight w:val="0"/>
                                                              <w:marTop w:val="0"/>
                                                              <w:marBottom w:val="0"/>
                                                              <w:divBdr>
                                                                <w:top w:val="none" w:sz="0" w:space="0" w:color="auto"/>
                                                                <w:left w:val="none" w:sz="0" w:space="0" w:color="auto"/>
                                                                <w:bottom w:val="none" w:sz="0" w:space="0" w:color="auto"/>
                                                                <w:right w:val="none" w:sz="0" w:space="0" w:color="auto"/>
                                                              </w:divBdr>
                                                              <w:divsChild>
                                                                <w:div w:id="2120252366">
                                                                  <w:marLeft w:val="0"/>
                                                                  <w:marRight w:val="0"/>
                                                                  <w:marTop w:val="0"/>
                                                                  <w:marBottom w:val="0"/>
                                                                  <w:divBdr>
                                                                    <w:top w:val="none" w:sz="0" w:space="0" w:color="auto"/>
                                                                    <w:left w:val="none" w:sz="0" w:space="0" w:color="auto"/>
                                                                    <w:bottom w:val="none" w:sz="0" w:space="0" w:color="auto"/>
                                                                    <w:right w:val="none" w:sz="0" w:space="0" w:color="auto"/>
                                                                  </w:divBdr>
                                                                  <w:divsChild>
                                                                    <w:div w:id="1026753553">
                                                                      <w:marLeft w:val="0"/>
                                                                      <w:marRight w:val="0"/>
                                                                      <w:marTop w:val="0"/>
                                                                      <w:marBottom w:val="0"/>
                                                                      <w:divBdr>
                                                                        <w:top w:val="none" w:sz="0" w:space="0" w:color="auto"/>
                                                                        <w:left w:val="none" w:sz="0" w:space="0" w:color="auto"/>
                                                                        <w:bottom w:val="none" w:sz="0" w:space="0" w:color="auto"/>
                                                                        <w:right w:val="none" w:sz="0" w:space="0" w:color="auto"/>
                                                                      </w:divBdr>
                                                                      <w:divsChild>
                                                                        <w:div w:id="1440683364">
                                                                          <w:marLeft w:val="0"/>
                                                                          <w:marRight w:val="0"/>
                                                                          <w:marTop w:val="0"/>
                                                                          <w:marBottom w:val="0"/>
                                                                          <w:divBdr>
                                                                            <w:top w:val="none" w:sz="0" w:space="0" w:color="auto"/>
                                                                            <w:left w:val="none" w:sz="0" w:space="0" w:color="auto"/>
                                                                            <w:bottom w:val="none" w:sz="0" w:space="0" w:color="auto"/>
                                                                            <w:right w:val="none" w:sz="0" w:space="0" w:color="auto"/>
                                                                          </w:divBdr>
                                                                          <w:divsChild>
                                                                            <w:div w:id="2101952529">
                                                                              <w:marLeft w:val="0"/>
                                                                              <w:marRight w:val="0"/>
                                                                              <w:marTop w:val="0"/>
                                                                              <w:marBottom w:val="0"/>
                                                                              <w:divBdr>
                                                                                <w:top w:val="none" w:sz="0" w:space="0" w:color="auto"/>
                                                                                <w:left w:val="none" w:sz="0" w:space="0" w:color="auto"/>
                                                                                <w:bottom w:val="none" w:sz="0" w:space="0" w:color="auto"/>
                                                                                <w:right w:val="none" w:sz="0" w:space="0" w:color="auto"/>
                                                                              </w:divBdr>
                                                                              <w:divsChild>
                                                                                <w:div w:id="717241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6594263">
      <w:bodyDiv w:val="1"/>
      <w:marLeft w:val="0"/>
      <w:marRight w:val="0"/>
      <w:marTop w:val="0"/>
      <w:marBottom w:val="0"/>
      <w:divBdr>
        <w:top w:val="none" w:sz="0" w:space="0" w:color="auto"/>
        <w:left w:val="none" w:sz="0" w:space="0" w:color="auto"/>
        <w:bottom w:val="none" w:sz="0" w:space="0" w:color="auto"/>
        <w:right w:val="none" w:sz="0" w:space="0" w:color="auto"/>
      </w:divBdr>
      <w:divsChild>
        <w:div w:id="1642080900">
          <w:marLeft w:val="0"/>
          <w:marRight w:val="0"/>
          <w:marTop w:val="0"/>
          <w:marBottom w:val="0"/>
          <w:divBdr>
            <w:top w:val="none" w:sz="0" w:space="0" w:color="auto"/>
            <w:left w:val="none" w:sz="0" w:space="0" w:color="auto"/>
            <w:bottom w:val="none" w:sz="0" w:space="0" w:color="auto"/>
            <w:right w:val="none" w:sz="0" w:space="0" w:color="auto"/>
          </w:divBdr>
          <w:divsChild>
            <w:div w:id="469442791">
              <w:marLeft w:val="0"/>
              <w:marRight w:val="0"/>
              <w:marTop w:val="0"/>
              <w:marBottom w:val="0"/>
              <w:divBdr>
                <w:top w:val="none" w:sz="0" w:space="0" w:color="auto"/>
                <w:left w:val="none" w:sz="0" w:space="0" w:color="auto"/>
                <w:bottom w:val="none" w:sz="0" w:space="0" w:color="auto"/>
                <w:right w:val="none" w:sz="0" w:space="0" w:color="auto"/>
              </w:divBdr>
              <w:divsChild>
                <w:div w:id="71859153">
                  <w:marLeft w:val="0"/>
                  <w:marRight w:val="0"/>
                  <w:marTop w:val="0"/>
                  <w:marBottom w:val="0"/>
                  <w:divBdr>
                    <w:top w:val="none" w:sz="0" w:space="0" w:color="auto"/>
                    <w:left w:val="none" w:sz="0" w:space="0" w:color="auto"/>
                    <w:bottom w:val="none" w:sz="0" w:space="0" w:color="auto"/>
                    <w:right w:val="none" w:sz="0" w:space="0" w:color="auto"/>
                  </w:divBdr>
                  <w:divsChild>
                    <w:div w:id="1302156207">
                      <w:marLeft w:val="0"/>
                      <w:marRight w:val="0"/>
                      <w:marTop w:val="0"/>
                      <w:marBottom w:val="0"/>
                      <w:divBdr>
                        <w:top w:val="none" w:sz="0" w:space="0" w:color="auto"/>
                        <w:left w:val="none" w:sz="0" w:space="0" w:color="auto"/>
                        <w:bottom w:val="none" w:sz="0" w:space="0" w:color="auto"/>
                        <w:right w:val="none" w:sz="0" w:space="0" w:color="auto"/>
                      </w:divBdr>
                      <w:divsChild>
                        <w:div w:id="1196498695">
                          <w:marLeft w:val="0"/>
                          <w:marRight w:val="0"/>
                          <w:marTop w:val="0"/>
                          <w:marBottom w:val="0"/>
                          <w:divBdr>
                            <w:top w:val="none" w:sz="0" w:space="0" w:color="auto"/>
                            <w:left w:val="none" w:sz="0" w:space="0" w:color="auto"/>
                            <w:bottom w:val="none" w:sz="0" w:space="0" w:color="auto"/>
                            <w:right w:val="none" w:sz="0" w:space="0" w:color="auto"/>
                          </w:divBdr>
                          <w:divsChild>
                            <w:div w:id="1466584938">
                              <w:marLeft w:val="0"/>
                              <w:marRight w:val="0"/>
                              <w:marTop w:val="0"/>
                              <w:marBottom w:val="0"/>
                              <w:divBdr>
                                <w:top w:val="none" w:sz="0" w:space="0" w:color="auto"/>
                                <w:left w:val="none" w:sz="0" w:space="0" w:color="auto"/>
                                <w:bottom w:val="none" w:sz="0" w:space="0" w:color="auto"/>
                                <w:right w:val="none" w:sz="0" w:space="0" w:color="auto"/>
                              </w:divBdr>
                              <w:divsChild>
                                <w:div w:id="820001335">
                                  <w:marLeft w:val="0"/>
                                  <w:marRight w:val="0"/>
                                  <w:marTop w:val="0"/>
                                  <w:marBottom w:val="0"/>
                                  <w:divBdr>
                                    <w:top w:val="none" w:sz="0" w:space="0" w:color="auto"/>
                                    <w:left w:val="none" w:sz="0" w:space="0" w:color="auto"/>
                                    <w:bottom w:val="none" w:sz="0" w:space="0" w:color="auto"/>
                                    <w:right w:val="none" w:sz="0" w:space="0" w:color="auto"/>
                                  </w:divBdr>
                                  <w:divsChild>
                                    <w:div w:id="644167361">
                                      <w:marLeft w:val="0"/>
                                      <w:marRight w:val="0"/>
                                      <w:marTop w:val="0"/>
                                      <w:marBottom w:val="0"/>
                                      <w:divBdr>
                                        <w:top w:val="none" w:sz="0" w:space="0" w:color="auto"/>
                                        <w:left w:val="none" w:sz="0" w:space="0" w:color="auto"/>
                                        <w:bottom w:val="none" w:sz="0" w:space="0" w:color="auto"/>
                                        <w:right w:val="none" w:sz="0" w:space="0" w:color="auto"/>
                                      </w:divBdr>
                                      <w:divsChild>
                                        <w:div w:id="2075539110">
                                          <w:marLeft w:val="0"/>
                                          <w:marRight w:val="0"/>
                                          <w:marTop w:val="0"/>
                                          <w:marBottom w:val="0"/>
                                          <w:divBdr>
                                            <w:top w:val="none" w:sz="0" w:space="0" w:color="auto"/>
                                            <w:left w:val="none" w:sz="0" w:space="0" w:color="auto"/>
                                            <w:bottom w:val="none" w:sz="0" w:space="0" w:color="auto"/>
                                            <w:right w:val="none" w:sz="0" w:space="0" w:color="auto"/>
                                          </w:divBdr>
                                          <w:divsChild>
                                            <w:div w:id="346372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31751769">
          <w:marLeft w:val="0"/>
          <w:marRight w:val="0"/>
          <w:marTop w:val="0"/>
          <w:marBottom w:val="0"/>
          <w:divBdr>
            <w:top w:val="none" w:sz="0" w:space="0" w:color="auto"/>
            <w:left w:val="none" w:sz="0" w:space="0" w:color="auto"/>
            <w:bottom w:val="none" w:sz="0" w:space="0" w:color="auto"/>
            <w:right w:val="none" w:sz="0" w:space="0" w:color="auto"/>
          </w:divBdr>
          <w:divsChild>
            <w:div w:id="1356076069">
              <w:marLeft w:val="0"/>
              <w:marRight w:val="0"/>
              <w:marTop w:val="0"/>
              <w:marBottom w:val="0"/>
              <w:divBdr>
                <w:top w:val="none" w:sz="0" w:space="0" w:color="auto"/>
                <w:left w:val="none" w:sz="0" w:space="0" w:color="auto"/>
                <w:bottom w:val="none" w:sz="0" w:space="0" w:color="auto"/>
                <w:right w:val="none" w:sz="0" w:space="0" w:color="auto"/>
              </w:divBdr>
              <w:divsChild>
                <w:div w:id="1483696871">
                  <w:marLeft w:val="0"/>
                  <w:marRight w:val="0"/>
                  <w:marTop w:val="0"/>
                  <w:marBottom w:val="0"/>
                  <w:divBdr>
                    <w:top w:val="none" w:sz="0" w:space="0" w:color="auto"/>
                    <w:left w:val="none" w:sz="0" w:space="0" w:color="auto"/>
                    <w:bottom w:val="none" w:sz="0" w:space="0" w:color="auto"/>
                    <w:right w:val="none" w:sz="0" w:space="0" w:color="auto"/>
                  </w:divBdr>
                  <w:divsChild>
                    <w:div w:id="1881741499">
                      <w:marLeft w:val="0"/>
                      <w:marRight w:val="0"/>
                      <w:marTop w:val="0"/>
                      <w:marBottom w:val="0"/>
                      <w:divBdr>
                        <w:top w:val="none" w:sz="0" w:space="0" w:color="auto"/>
                        <w:left w:val="none" w:sz="0" w:space="0" w:color="auto"/>
                        <w:bottom w:val="none" w:sz="0" w:space="0" w:color="auto"/>
                        <w:right w:val="none" w:sz="0" w:space="0" w:color="auto"/>
                      </w:divBdr>
                      <w:divsChild>
                        <w:div w:id="620109966">
                          <w:marLeft w:val="0"/>
                          <w:marRight w:val="0"/>
                          <w:marTop w:val="0"/>
                          <w:marBottom w:val="0"/>
                          <w:divBdr>
                            <w:top w:val="none" w:sz="0" w:space="0" w:color="auto"/>
                            <w:left w:val="none" w:sz="0" w:space="0" w:color="auto"/>
                            <w:bottom w:val="none" w:sz="0" w:space="0" w:color="auto"/>
                            <w:right w:val="none" w:sz="0" w:space="0" w:color="auto"/>
                          </w:divBdr>
                          <w:divsChild>
                            <w:div w:id="722750687">
                              <w:marLeft w:val="0"/>
                              <w:marRight w:val="0"/>
                              <w:marTop w:val="0"/>
                              <w:marBottom w:val="0"/>
                              <w:divBdr>
                                <w:top w:val="none" w:sz="0" w:space="0" w:color="auto"/>
                                <w:left w:val="none" w:sz="0" w:space="0" w:color="auto"/>
                                <w:bottom w:val="none" w:sz="0" w:space="0" w:color="auto"/>
                                <w:right w:val="none" w:sz="0" w:space="0" w:color="auto"/>
                              </w:divBdr>
                              <w:divsChild>
                                <w:div w:id="475878554">
                                  <w:marLeft w:val="0"/>
                                  <w:marRight w:val="0"/>
                                  <w:marTop w:val="0"/>
                                  <w:marBottom w:val="0"/>
                                  <w:divBdr>
                                    <w:top w:val="none" w:sz="0" w:space="0" w:color="auto"/>
                                    <w:left w:val="none" w:sz="0" w:space="0" w:color="auto"/>
                                    <w:bottom w:val="none" w:sz="0" w:space="0" w:color="auto"/>
                                    <w:right w:val="none" w:sz="0" w:space="0" w:color="auto"/>
                                  </w:divBdr>
                                  <w:divsChild>
                                    <w:div w:id="190763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7196681">
      <w:bodyDiv w:val="1"/>
      <w:marLeft w:val="0"/>
      <w:marRight w:val="0"/>
      <w:marTop w:val="0"/>
      <w:marBottom w:val="0"/>
      <w:divBdr>
        <w:top w:val="none" w:sz="0" w:space="0" w:color="auto"/>
        <w:left w:val="none" w:sz="0" w:space="0" w:color="auto"/>
        <w:bottom w:val="none" w:sz="0" w:space="0" w:color="auto"/>
        <w:right w:val="none" w:sz="0" w:space="0" w:color="auto"/>
      </w:divBdr>
      <w:divsChild>
        <w:div w:id="84807775">
          <w:marLeft w:val="0"/>
          <w:marRight w:val="0"/>
          <w:marTop w:val="0"/>
          <w:marBottom w:val="0"/>
          <w:divBdr>
            <w:top w:val="none" w:sz="0" w:space="0" w:color="auto"/>
            <w:left w:val="none" w:sz="0" w:space="0" w:color="auto"/>
            <w:bottom w:val="none" w:sz="0" w:space="0" w:color="auto"/>
            <w:right w:val="none" w:sz="0" w:space="0" w:color="auto"/>
          </w:divBdr>
          <w:divsChild>
            <w:div w:id="19167237">
              <w:marLeft w:val="0"/>
              <w:marRight w:val="0"/>
              <w:marTop w:val="0"/>
              <w:marBottom w:val="0"/>
              <w:divBdr>
                <w:top w:val="none" w:sz="0" w:space="0" w:color="auto"/>
                <w:left w:val="none" w:sz="0" w:space="0" w:color="auto"/>
                <w:bottom w:val="none" w:sz="0" w:space="0" w:color="auto"/>
                <w:right w:val="none" w:sz="0" w:space="0" w:color="auto"/>
              </w:divBdr>
              <w:divsChild>
                <w:div w:id="45186093">
                  <w:marLeft w:val="0"/>
                  <w:marRight w:val="0"/>
                  <w:marTop w:val="0"/>
                  <w:marBottom w:val="0"/>
                  <w:divBdr>
                    <w:top w:val="none" w:sz="0" w:space="0" w:color="auto"/>
                    <w:left w:val="none" w:sz="0" w:space="0" w:color="auto"/>
                    <w:bottom w:val="none" w:sz="0" w:space="0" w:color="auto"/>
                    <w:right w:val="none" w:sz="0" w:space="0" w:color="auto"/>
                  </w:divBdr>
                  <w:divsChild>
                    <w:div w:id="1714961896">
                      <w:marLeft w:val="0"/>
                      <w:marRight w:val="0"/>
                      <w:marTop w:val="0"/>
                      <w:marBottom w:val="0"/>
                      <w:divBdr>
                        <w:top w:val="none" w:sz="0" w:space="0" w:color="auto"/>
                        <w:left w:val="none" w:sz="0" w:space="0" w:color="auto"/>
                        <w:bottom w:val="none" w:sz="0" w:space="0" w:color="auto"/>
                        <w:right w:val="none" w:sz="0" w:space="0" w:color="auto"/>
                      </w:divBdr>
                      <w:divsChild>
                        <w:div w:id="1843356201">
                          <w:marLeft w:val="0"/>
                          <w:marRight w:val="0"/>
                          <w:marTop w:val="0"/>
                          <w:marBottom w:val="0"/>
                          <w:divBdr>
                            <w:top w:val="none" w:sz="0" w:space="0" w:color="auto"/>
                            <w:left w:val="none" w:sz="0" w:space="0" w:color="auto"/>
                            <w:bottom w:val="none" w:sz="0" w:space="0" w:color="auto"/>
                            <w:right w:val="none" w:sz="0" w:space="0" w:color="auto"/>
                          </w:divBdr>
                          <w:divsChild>
                            <w:div w:id="260259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7371796">
          <w:marLeft w:val="0"/>
          <w:marRight w:val="0"/>
          <w:marTop w:val="0"/>
          <w:marBottom w:val="0"/>
          <w:divBdr>
            <w:top w:val="none" w:sz="0" w:space="0" w:color="auto"/>
            <w:left w:val="none" w:sz="0" w:space="0" w:color="auto"/>
            <w:bottom w:val="none" w:sz="0" w:space="0" w:color="auto"/>
            <w:right w:val="none" w:sz="0" w:space="0" w:color="auto"/>
          </w:divBdr>
          <w:divsChild>
            <w:div w:id="1020886634">
              <w:marLeft w:val="0"/>
              <w:marRight w:val="0"/>
              <w:marTop w:val="0"/>
              <w:marBottom w:val="0"/>
              <w:divBdr>
                <w:top w:val="none" w:sz="0" w:space="0" w:color="auto"/>
                <w:left w:val="none" w:sz="0" w:space="0" w:color="auto"/>
                <w:bottom w:val="none" w:sz="0" w:space="0" w:color="auto"/>
                <w:right w:val="none" w:sz="0" w:space="0" w:color="auto"/>
              </w:divBdr>
              <w:divsChild>
                <w:div w:id="1499805751">
                  <w:marLeft w:val="0"/>
                  <w:marRight w:val="0"/>
                  <w:marTop w:val="0"/>
                  <w:marBottom w:val="0"/>
                  <w:divBdr>
                    <w:top w:val="none" w:sz="0" w:space="0" w:color="auto"/>
                    <w:left w:val="none" w:sz="0" w:space="0" w:color="auto"/>
                    <w:bottom w:val="none" w:sz="0" w:space="0" w:color="auto"/>
                    <w:right w:val="none" w:sz="0" w:space="0" w:color="auto"/>
                  </w:divBdr>
                  <w:divsChild>
                    <w:div w:id="1094785772">
                      <w:marLeft w:val="0"/>
                      <w:marRight w:val="0"/>
                      <w:marTop w:val="0"/>
                      <w:marBottom w:val="0"/>
                      <w:divBdr>
                        <w:top w:val="none" w:sz="0" w:space="0" w:color="auto"/>
                        <w:left w:val="none" w:sz="0" w:space="0" w:color="auto"/>
                        <w:bottom w:val="none" w:sz="0" w:space="0" w:color="auto"/>
                        <w:right w:val="none" w:sz="0" w:space="0" w:color="auto"/>
                      </w:divBdr>
                      <w:divsChild>
                        <w:div w:id="1853958672">
                          <w:marLeft w:val="0"/>
                          <w:marRight w:val="0"/>
                          <w:marTop w:val="0"/>
                          <w:marBottom w:val="0"/>
                          <w:divBdr>
                            <w:top w:val="none" w:sz="0" w:space="0" w:color="auto"/>
                            <w:left w:val="none" w:sz="0" w:space="0" w:color="auto"/>
                            <w:bottom w:val="none" w:sz="0" w:space="0" w:color="auto"/>
                            <w:right w:val="none" w:sz="0" w:space="0" w:color="auto"/>
                          </w:divBdr>
                          <w:divsChild>
                            <w:div w:id="1726874820">
                              <w:marLeft w:val="0"/>
                              <w:marRight w:val="0"/>
                              <w:marTop w:val="0"/>
                              <w:marBottom w:val="0"/>
                              <w:divBdr>
                                <w:top w:val="none" w:sz="0" w:space="0" w:color="auto"/>
                                <w:left w:val="none" w:sz="0" w:space="0" w:color="auto"/>
                                <w:bottom w:val="none" w:sz="0" w:space="0" w:color="auto"/>
                                <w:right w:val="none" w:sz="0" w:space="0" w:color="auto"/>
                              </w:divBdr>
                              <w:divsChild>
                                <w:div w:id="53072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3782347">
          <w:marLeft w:val="0"/>
          <w:marRight w:val="0"/>
          <w:marTop w:val="0"/>
          <w:marBottom w:val="0"/>
          <w:divBdr>
            <w:top w:val="none" w:sz="0" w:space="0" w:color="auto"/>
            <w:left w:val="none" w:sz="0" w:space="0" w:color="auto"/>
            <w:bottom w:val="none" w:sz="0" w:space="0" w:color="auto"/>
            <w:right w:val="none" w:sz="0" w:space="0" w:color="auto"/>
          </w:divBdr>
          <w:divsChild>
            <w:div w:id="1351029106">
              <w:marLeft w:val="0"/>
              <w:marRight w:val="0"/>
              <w:marTop w:val="0"/>
              <w:marBottom w:val="0"/>
              <w:divBdr>
                <w:top w:val="none" w:sz="0" w:space="0" w:color="auto"/>
                <w:left w:val="none" w:sz="0" w:space="0" w:color="auto"/>
                <w:bottom w:val="none" w:sz="0" w:space="0" w:color="auto"/>
                <w:right w:val="none" w:sz="0" w:space="0" w:color="auto"/>
              </w:divBdr>
              <w:divsChild>
                <w:div w:id="2091154559">
                  <w:marLeft w:val="0"/>
                  <w:marRight w:val="0"/>
                  <w:marTop w:val="0"/>
                  <w:marBottom w:val="0"/>
                  <w:divBdr>
                    <w:top w:val="none" w:sz="0" w:space="0" w:color="auto"/>
                    <w:left w:val="none" w:sz="0" w:space="0" w:color="auto"/>
                    <w:bottom w:val="none" w:sz="0" w:space="0" w:color="auto"/>
                    <w:right w:val="none" w:sz="0" w:space="0" w:color="auto"/>
                  </w:divBdr>
                  <w:divsChild>
                    <w:div w:id="254095590">
                      <w:marLeft w:val="0"/>
                      <w:marRight w:val="0"/>
                      <w:marTop w:val="0"/>
                      <w:marBottom w:val="0"/>
                      <w:divBdr>
                        <w:top w:val="none" w:sz="0" w:space="0" w:color="auto"/>
                        <w:left w:val="none" w:sz="0" w:space="0" w:color="auto"/>
                        <w:bottom w:val="none" w:sz="0" w:space="0" w:color="auto"/>
                        <w:right w:val="none" w:sz="0" w:space="0" w:color="auto"/>
                      </w:divBdr>
                      <w:divsChild>
                        <w:div w:id="1055854500">
                          <w:marLeft w:val="0"/>
                          <w:marRight w:val="0"/>
                          <w:marTop w:val="0"/>
                          <w:marBottom w:val="0"/>
                          <w:divBdr>
                            <w:top w:val="none" w:sz="0" w:space="0" w:color="auto"/>
                            <w:left w:val="none" w:sz="0" w:space="0" w:color="auto"/>
                            <w:bottom w:val="none" w:sz="0" w:space="0" w:color="auto"/>
                            <w:right w:val="none" w:sz="0" w:space="0" w:color="auto"/>
                          </w:divBdr>
                          <w:divsChild>
                            <w:div w:id="986129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3282424">
      <w:bodyDiv w:val="1"/>
      <w:marLeft w:val="0"/>
      <w:marRight w:val="0"/>
      <w:marTop w:val="0"/>
      <w:marBottom w:val="0"/>
      <w:divBdr>
        <w:top w:val="none" w:sz="0" w:space="0" w:color="auto"/>
        <w:left w:val="none" w:sz="0" w:space="0" w:color="auto"/>
        <w:bottom w:val="none" w:sz="0" w:space="0" w:color="auto"/>
        <w:right w:val="none" w:sz="0" w:space="0" w:color="auto"/>
      </w:divBdr>
      <w:divsChild>
        <w:div w:id="551506859">
          <w:marLeft w:val="0"/>
          <w:marRight w:val="0"/>
          <w:marTop w:val="0"/>
          <w:marBottom w:val="0"/>
          <w:divBdr>
            <w:top w:val="none" w:sz="0" w:space="0" w:color="auto"/>
            <w:left w:val="none" w:sz="0" w:space="0" w:color="auto"/>
            <w:bottom w:val="none" w:sz="0" w:space="0" w:color="auto"/>
            <w:right w:val="none" w:sz="0" w:space="0" w:color="auto"/>
          </w:divBdr>
          <w:divsChild>
            <w:div w:id="280578417">
              <w:marLeft w:val="0"/>
              <w:marRight w:val="0"/>
              <w:marTop w:val="0"/>
              <w:marBottom w:val="0"/>
              <w:divBdr>
                <w:top w:val="none" w:sz="0" w:space="0" w:color="auto"/>
                <w:left w:val="none" w:sz="0" w:space="0" w:color="auto"/>
                <w:bottom w:val="none" w:sz="0" w:space="0" w:color="auto"/>
                <w:right w:val="none" w:sz="0" w:space="0" w:color="auto"/>
              </w:divBdr>
              <w:divsChild>
                <w:div w:id="654261676">
                  <w:marLeft w:val="0"/>
                  <w:marRight w:val="0"/>
                  <w:marTop w:val="0"/>
                  <w:marBottom w:val="0"/>
                  <w:divBdr>
                    <w:top w:val="none" w:sz="0" w:space="0" w:color="auto"/>
                    <w:left w:val="none" w:sz="0" w:space="0" w:color="auto"/>
                    <w:bottom w:val="none" w:sz="0" w:space="0" w:color="auto"/>
                    <w:right w:val="none" w:sz="0" w:space="0" w:color="auto"/>
                  </w:divBdr>
                  <w:divsChild>
                    <w:div w:id="1285040495">
                      <w:marLeft w:val="0"/>
                      <w:marRight w:val="0"/>
                      <w:marTop w:val="0"/>
                      <w:marBottom w:val="0"/>
                      <w:divBdr>
                        <w:top w:val="none" w:sz="0" w:space="0" w:color="auto"/>
                        <w:left w:val="none" w:sz="0" w:space="0" w:color="auto"/>
                        <w:bottom w:val="none" w:sz="0" w:space="0" w:color="auto"/>
                        <w:right w:val="none" w:sz="0" w:space="0" w:color="auto"/>
                      </w:divBdr>
                      <w:divsChild>
                        <w:div w:id="29956093">
                          <w:marLeft w:val="0"/>
                          <w:marRight w:val="0"/>
                          <w:marTop w:val="0"/>
                          <w:marBottom w:val="0"/>
                          <w:divBdr>
                            <w:top w:val="none" w:sz="0" w:space="0" w:color="auto"/>
                            <w:left w:val="none" w:sz="0" w:space="0" w:color="auto"/>
                            <w:bottom w:val="none" w:sz="0" w:space="0" w:color="auto"/>
                            <w:right w:val="none" w:sz="0" w:space="0" w:color="auto"/>
                          </w:divBdr>
                          <w:divsChild>
                            <w:div w:id="994605578">
                              <w:marLeft w:val="0"/>
                              <w:marRight w:val="0"/>
                              <w:marTop w:val="0"/>
                              <w:marBottom w:val="0"/>
                              <w:divBdr>
                                <w:top w:val="none" w:sz="0" w:space="0" w:color="auto"/>
                                <w:left w:val="none" w:sz="0" w:space="0" w:color="auto"/>
                                <w:bottom w:val="none" w:sz="0" w:space="0" w:color="auto"/>
                                <w:right w:val="none" w:sz="0" w:space="0" w:color="auto"/>
                              </w:divBdr>
                              <w:divsChild>
                                <w:div w:id="902325930">
                                  <w:marLeft w:val="0"/>
                                  <w:marRight w:val="0"/>
                                  <w:marTop w:val="0"/>
                                  <w:marBottom w:val="0"/>
                                  <w:divBdr>
                                    <w:top w:val="none" w:sz="0" w:space="0" w:color="auto"/>
                                    <w:left w:val="none" w:sz="0" w:space="0" w:color="auto"/>
                                    <w:bottom w:val="none" w:sz="0" w:space="0" w:color="auto"/>
                                    <w:right w:val="none" w:sz="0" w:space="0" w:color="auto"/>
                                  </w:divBdr>
                                  <w:divsChild>
                                    <w:div w:id="832717750">
                                      <w:marLeft w:val="0"/>
                                      <w:marRight w:val="0"/>
                                      <w:marTop w:val="0"/>
                                      <w:marBottom w:val="0"/>
                                      <w:divBdr>
                                        <w:top w:val="none" w:sz="0" w:space="0" w:color="auto"/>
                                        <w:left w:val="none" w:sz="0" w:space="0" w:color="auto"/>
                                        <w:bottom w:val="none" w:sz="0" w:space="0" w:color="auto"/>
                                        <w:right w:val="none" w:sz="0" w:space="0" w:color="auto"/>
                                      </w:divBdr>
                                      <w:divsChild>
                                        <w:div w:id="324094285">
                                          <w:marLeft w:val="0"/>
                                          <w:marRight w:val="0"/>
                                          <w:marTop w:val="0"/>
                                          <w:marBottom w:val="0"/>
                                          <w:divBdr>
                                            <w:top w:val="none" w:sz="0" w:space="0" w:color="auto"/>
                                            <w:left w:val="none" w:sz="0" w:space="0" w:color="auto"/>
                                            <w:bottom w:val="none" w:sz="0" w:space="0" w:color="auto"/>
                                            <w:right w:val="none" w:sz="0" w:space="0" w:color="auto"/>
                                          </w:divBdr>
                                          <w:divsChild>
                                            <w:div w:id="314721709">
                                              <w:marLeft w:val="0"/>
                                              <w:marRight w:val="0"/>
                                              <w:marTop w:val="0"/>
                                              <w:marBottom w:val="0"/>
                                              <w:divBdr>
                                                <w:top w:val="none" w:sz="0" w:space="0" w:color="auto"/>
                                                <w:left w:val="none" w:sz="0" w:space="0" w:color="auto"/>
                                                <w:bottom w:val="none" w:sz="0" w:space="0" w:color="auto"/>
                                                <w:right w:val="none" w:sz="0" w:space="0" w:color="auto"/>
                                              </w:divBdr>
                                              <w:divsChild>
                                                <w:div w:id="1016466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78851026">
          <w:marLeft w:val="0"/>
          <w:marRight w:val="0"/>
          <w:marTop w:val="0"/>
          <w:marBottom w:val="0"/>
          <w:divBdr>
            <w:top w:val="none" w:sz="0" w:space="0" w:color="auto"/>
            <w:left w:val="none" w:sz="0" w:space="0" w:color="auto"/>
            <w:bottom w:val="none" w:sz="0" w:space="0" w:color="auto"/>
            <w:right w:val="none" w:sz="0" w:space="0" w:color="auto"/>
          </w:divBdr>
          <w:divsChild>
            <w:div w:id="1663584059">
              <w:marLeft w:val="0"/>
              <w:marRight w:val="0"/>
              <w:marTop w:val="0"/>
              <w:marBottom w:val="0"/>
              <w:divBdr>
                <w:top w:val="none" w:sz="0" w:space="0" w:color="auto"/>
                <w:left w:val="none" w:sz="0" w:space="0" w:color="auto"/>
                <w:bottom w:val="none" w:sz="0" w:space="0" w:color="auto"/>
                <w:right w:val="none" w:sz="0" w:space="0" w:color="auto"/>
              </w:divBdr>
              <w:divsChild>
                <w:div w:id="1661424241">
                  <w:marLeft w:val="0"/>
                  <w:marRight w:val="0"/>
                  <w:marTop w:val="0"/>
                  <w:marBottom w:val="0"/>
                  <w:divBdr>
                    <w:top w:val="none" w:sz="0" w:space="0" w:color="auto"/>
                    <w:left w:val="none" w:sz="0" w:space="0" w:color="auto"/>
                    <w:bottom w:val="none" w:sz="0" w:space="0" w:color="auto"/>
                    <w:right w:val="none" w:sz="0" w:space="0" w:color="auto"/>
                  </w:divBdr>
                  <w:divsChild>
                    <w:div w:id="1945259062">
                      <w:marLeft w:val="0"/>
                      <w:marRight w:val="0"/>
                      <w:marTop w:val="0"/>
                      <w:marBottom w:val="0"/>
                      <w:divBdr>
                        <w:top w:val="none" w:sz="0" w:space="0" w:color="auto"/>
                        <w:left w:val="none" w:sz="0" w:space="0" w:color="auto"/>
                        <w:bottom w:val="none" w:sz="0" w:space="0" w:color="auto"/>
                        <w:right w:val="none" w:sz="0" w:space="0" w:color="auto"/>
                      </w:divBdr>
                      <w:divsChild>
                        <w:div w:id="1830365226">
                          <w:marLeft w:val="0"/>
                          <w:marRight w:val="0"/>
                          <w:marTop w:val="0"/>
                          <w:marBottom w:val="0"/>
                          <w:divBdr>
                            <w:top w:val="none" w:sz="0" w:space="0" w:color="auto"/>
                            <w:left w:val="none" w:sz="0" w:space="0" w:color="auto"/>
                            <w:bottom w:val="none" w:sz="0" w:space="0" w:color="auto"/>
                            <w:right w:val="none" w:sz="0" w:space="0" w:color="auto"/>
                          </w:divBdr>
                          <w:divsChild>
                            <w:div w:id="1100880233">
                              <w:marLeft w:val="0"/>
                              <w:marRight w:val="0"/>
                              <w:marTop w:val="0"/>
                              <w:marBottom w:val="0"/>
                              <w:divBdr>
                                <w:top w:val="none" w:sz="0" w:space="0" w:color="auto"/>
                                <w:left w:val="none" w:sz="0" w:space="0" w:color="auto"/>
                                <w:bottom w:val="none" w:sz="0" w:space="0" w:color="auto"/>
                                <w:right w:val="none" w:sz="0" w:space="0" w:color="auto"/>
                              </w:divBdr>
                              <w:divsChild>
                                <w:div w:id="766459646">
                                  <w:marLeft w:val="0"/>
                                  <w:marRight w:val="0"/>
                                  <w:marTop w:val="0"/>
                                  <w:marBottom w:val="0"/>
                                  <w:divBdr>
                                    <w:top w:val="none" w:sz="0" w:space="0" w:color="auto"/>
                                    <w:left w:val="none" w:sz="0" w:space="0" w:color="auto"/>
                                    <w:bottom w:val="none" w:sz="0" w:space="0" w:color="auto"/>
                                    <w:right w:val="none" w:sz="0" w:space="0" w:color="auto"/>
                                  </w:divBdr>
                                  <w:divsChild>
                                    <w:div w:id="1708095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9179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cal.microsoft.com/blog/frequently-asked-questions-about-our-datacenters/" TargetMode="External"/><Relationship Id="rId3" Type="http://schemas.openxmlformats.org/officeDocument/2006/relationships/styles" Target="styles.xml"/><Relationship Id="rId7" Type="http://schemas.openxmlformats.org/officeDocument/2006/relationships/hyperlink" Target="https://doi.org/10.7771/3067-4883.2031"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arxiv.org/abs/2506.05705"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reuters.com/" TargetMode="External"/><Relationship Id="rId4" Type="http://schemas.openxmlformats.org/officeDocument/2006/relationships/settings" Target="settings.xml"/><Relationship Id="rId9" Type="http://schemas.openxmlformats.org/officeDocument/2006/relationships/hyperlink" Target="https://arxiv.org/abs/2510.187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F156F5-DFD7-4D72-BCB4-5908B0C81D44}">
  <ds:schemaRefs>
    <ds:schemaRef ds:uri="http://schemas.openxmlformats.org/officeDocument/2006/bibliography"/>
  </ds:schemaRefs>
</ds:datastoreItem>
</file>

<file path=docMetadata/LabelInfo.xml><?xml version="1.0" encoding="utf-8"?>
<clbl:labelList xmlns:clbl="http://schemas.microsoft.com/office/2020/mipLabelMetadata">
  <clbl:label id="{ccfaaeff-470d-4898-a503-f0a1986db1a3}" enabled="1" method="Standard" siteId="{9d22feda-a32c-4757-aa1d-b6208426fd0e}"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12</Pages>
  <Words>2600</Words>
  <Characters>14823</Characters>
  <Application>Microsoft Office Word</Application>
  <DocSecurity>4</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dc:creator>
  <cp:keywords/>
  <dc:description/>
  <cp:lastModifiedBy>Ocu, Diana</cp:lastModifiedBy>
  <cp:revision>2</cp:revision>
  <dcterms:created xsi:type="dcterms:W3CDTF">2026-04-22T14:24:00Z</dcterms:created>
  <dcterms:modified xsi:type="dcterms:W3CDTF">2026-04-22T14:24:00Z</dcterms:modified>
</cp:coreProperties>
</file>