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40549D" w14:textId="7E2D4DAD" w:rsidR="003B2501" w:rsidRPr="003B2501" w:rsidRDefault="003B2501" w:rsidP="003B2501">
      <w:pPr>
        <w:spacing w:before="100" w:beforeAutospacing="1" w:after="100" w:afterAutospacing="1" w:line="240" w:lineRule="auto"/>
        <w:outlineLvl w:val="0"/>
        <w:rPr>
          <w:rFonts w:ascii="Times New Roman" w:eastAsia="Times New Roman" w:hAnsi="Times New Roman" w:cs="Times New Roman"/>
          <w:kern w:val="36"/>
          <w:sz w:val="32"/>
          <w:szCs w:val="32"/>
          <w:lang w:eastAsia="en-GB"/>
          <w14:ligatures w14:val="none"/>
        </w:rPr>
      </w:pPr>
      <w:r>
        <w:rPr>
          <w:rFonts w:ascii="Times New Roman" w:eastAsia="Times New Roman" w:hAnsi="Times New Roman" w:cs="Times New Roman"/>
          <w:b/>
          <w:bCs/>
          <w:kern w:val="36"/>
          <w:sz w:val="32"/>
          <w:szCs w:val="32"/>
          <w:lang w:eastAsia="en-GB"/>
          <w14:ligatures w14:val="none"/>
        </w:rPr>
        <w:t>Student Name:</w:t>
      </w:r>
      <w:r>
        <w:rPr>
          <w:rFonts w:ascii="Times New Roman" w:eastAsia="Times New Roman" w:hAnsi="Times New Roman" w:cs="Times New Roman"/>
          <w:kern w:val="36"/>
          <w:sz w:val="32"/>
          <w:szCs w:val="32"/>
          <w:lang w:eastAsia="en-GB"/>
          <w14:ligatures w14:val="none"/>
        </w:rPr>
        <w:t xml:space="preserve"> Nafia Tasnim Rinbi </w:t>
      </w:r>
    </w:p>
    <w:p w14:paraId="24179DEA" w14:textId="0F13516A" w:rsidR="003B2501" w:rsidRPr="003B2501" w:rsidRDefault="003B2501" w:rsidP="003B2501">
      <w:pPr>
        <w:spacing w:before="100" w:beforeAutospacing="1" w:after="100" w:afterAutospacing="1" w:line="240" w:lineRule="auto"/>
        <w:outlineLvl w:val="0"/>
        <w:rPr>
          <w:rFonts w:ascii="Times New Roman" w:eastAsia="Times New Roman" w:hAnsi="Times New Roman" w:cs="Times New Roman"/>
          <w:kern w:val="36"/>
          <w:sz w:val="32"/>
          <w:szCs w:val="32"/>
          <w:lang w:eastAsia="en-GB"/>
          <w14:ligatures w14:val="none"/>
        </w:rPr>
      </w:pPr>
      <w:r>
        <w:rPr>
          <w:rFonts w:ascii="Times New Roman" w:eastAsia="Times New Roman" w:hAnsi="Times New Roman" w:cs="Times New Roman"/>
          <w:b/>
          <w:bCs/>
          <w:kern w:val="36"/>
          <w:sz w:val="32"/>
          <w:szCs w:val="32"/>
          <w:lang w:eastAsia="en-GB"/>
          <w14:ligatures w14:val="none"/>
        </w:rPr>
        <w:t xml:space="preserve">Student id: </w:t>
      </w:r>
      <w:r>
        <w:rPr>
          <w:rFonts w:ascii="Times New Roman" w:eastAsia="Times New Roman" w:hAnsi="Times New Roman" w:cs="Times New Roman"/>
          <w:kern w:val="36"/>
          <w:sz w:val="32"/>
          <w:szCs w:val="32"/>
          <w:lang w:eastAsia="en-GB"/>
          <w14:ligatures w14:val="none"/>
        </w:rPr>
        <w:t>2409141</w:t>
      </w:r>
    </w:p>
    <w:p w14:paraId="1AD190EB" w14:textId="33D9EA8C" w:rsidR="003B2501" w:rsidRDefault="003B2501" w:rsidP="003B2501">
      <w:pPr>
        <w:spacing w:before="100" w:beforeAutospacing="1" w:after="100" w:afterAutospacing="1" w:line="240" w:lineRule="auto"/>
        <w:outlineLvl w:val="0"/>
        <w:rPr>
          <w:rFonts w:ascii="Times New Roman" w:eastAsia="Times New Roman" w:hAnsi="Times New Roman" w:cs="Times New Roman"/>
          <w:kern w:val="36"/>
          <w:sz w:val="32"/>
          <w:szCs w:val="32"/>
          <w:lang w:eastAsia="en-GB"/>
          <w14:ligatures w14:val="none"/>
        </w:rPr>
      </w:pPr>
      <w:r>
        <w:rPr>
          <w:rFonts w:ascii="Times New Roman" w:eastAsia="Times New Roman" w:hAnsi="Times New Roman" w:cs="Times New Roman"/>
          <w:b/>
          <w:bCs/>
          <w:kern w:val="36"/>
          <w:sz w:val="32"/>
          <w:szCs w:val="32"/>
          <w:lang w:eastAsia="en-GB"/>
          <w14:ligatures w14:val="none"/>
        </w:rPr>
        <w:t>Module name Code:</w:t>
      </w:r>
      <w:r w:rsidRPr="003B2501">
        <w:rPr>
          <w:rFonts w:ascii="Times New Roman" w:eastAsia="Times New Roman" w:hAnsi="Times New Roman" w:cs="Times New Roman"/>
          <w:kern w:val="36"/>
          <w:sz w:val="32"/>
          <w:szCs w:val="32"/>
          <w:lang w:eastAsia="en-GB"/>
          <w14:ligatures w14:val="none"/>
        </w:rPr>
        <w:t xml:space="preserve"> </w:t>
      </w:r>
      <w:r>
        <w:rPr>
          <w:rFonts w:ascii="Times New Roman" w:eastAsia="Times New Roman" w:hAnsi="Times New Roman" w:cs="Times New Roman"/>
          <w:kern w:val="36"/>
          <w:sz w:val="32"/>
          <w:szCs w:val="32"/>
          <w:lang w:eastAsia="en-GB"/>
          <w14:ligatures w14:val="none"/>
        </w:rPr>
        <w:t>Digital Transformation in Health &amp; Social Care</w:t>
      </w:r>
    </w:p>
    <w:p w14:paraId="5E6E9064" w14:textId="00B1F391" w:rsidR="003B2501" w:rsidRDefault="003B2501" w:rsidP="003B2501">
      <w:pPr>
        <w:spacing w:before="100" w:beforeAutospacing="1" w:after="100" w:afterAutospacing="1" w:line="240" w:lineRule="auto"/>
        <w:outlineLvl w:val="0"/>
        <w:rPr>
          <w:rFonts w:ascii="Times New Roman" w:eastAsia="Times New Roman" w:hAnsi="Times New Roman" w:cs="Times New Roman"/>
          <w:b/>
          <w:bCs/>
          <w:kern w:val="36"/>
          <w:sz w:val="32"/>
          <w:szCs w:val="32"/>
          <w:lang w:eastAsia="en-GB"/>
          <w14:ligatures w14:val="none"/>
        </w:rPr>
      </w:pPr>
      <w:r>
        <w:rPr>
          <w:rFonts w:ascii="Times New Roman" w:eastAsia="Times New Roman" w:hAnsi="Times New Roman" w:cs="Times New Roman"/>
          <w:kern w:val="36"/>
          <w:sz w:val="32"/>
          <w:szCs w:val="32"/>
          <w:lang w:eastAsia="en-GB"/>
          <w14:ligatures w14:val="none"/>
        </w:rPr>
        <w:t xml:space="preserve">                                  BMHP6026</w:t>
      </w:r>
    </w:p>
    <w:p w14:paraId="17672B1A" w14:textId="18F02572" w:rsidR="003B2501" w:rsidRPr="003B2501" w:rsidRDefault="003B2501" w:rsidP="003B2501">
      <w:pPr>
        <w:spacing w:before="100" w:beforeAutospacing="1" w:after="100" w:afterAutospacing="1" w:line="240" w:lineRule="auto"/>
        <w:outlineLvl w:val="0"/>
        <w:rPr>
          <w:rFonts w:ascii="Times New Roman" w:eastAsia="Times New Roman" w:hAnsi="Times New Roman" w:cs="Times New Roman"/>
          <w:kern w:val="36"/>
          <w:sz w:val="32"/>
          <w:szCs w:val="32"/>
          <w:lang w:eastAsia="en-GB"/>
          <w14:ligatures w14:val="none"/>
        </w:rPr>
      </w:pPr>
      <w:r>
        <w:rPr>
          <w:rFonts w:ascii="Times New Roman" w:eastAsia="Times New Roman" w:hAnsi="Times New Roman" w:cs="Times New Roman"/>
          <w:b/>
          <w:bCs/>
          <w:kern w:val="36"/>
          <w:sz w:val="32"/>
          <w:szCs w:val="32"/>
          <w:lang w:eastAsia="en-GB"/>
          <w14:ligatures w14:val="none"/>
        </w:rPr>
        <w:t xml:space="preserve">Date: </w:t>
      </w:r>
      <w:r>
        <w:rPr>
          <w:rFonts w:ascii="Times New Roman" w:eastAsia="Times New Roman" w:hAnsi="Times New Roman" w:cs="Times New Roman"/>
          <w:kern w:val="36"/>
          <w:sz w:val="32"/>
          <w:szCs w:val="32"/>
          <w:lang w:eastAsia="en-GB"/>
          <w14:ligatures w14:val="none"/>
        </w:rPr>
        <w:t>19/10/2026</w:t>
      </w:r>
    </w:p>
    <w:p w14:paraId="5D775A1D" w14:textId="77777777" w:rsidR="003B2501" w:rsidRPr="003B2501" w:rsidRDefault="003B2501" w:rsidP="003B2501">
      <w:pPr>
        <w:spacing w:before="100" w:beforeAutospacing="1" w:after="100" w:afterAutospacing="1" w:line="240" w:lineRule="auto"/>
        <w:outlineLvl w:val="0"/>
        <w:rPr>
          <w:rFonts w:ascii="Times New Roman" w:eastAsia="Times New Roman" w:hAnsi="Times New Roman" w:cs="Times New Roman"/>
          <w:b/>
          <w:bCs/>
          <w:kern w:val="36"/>
          <w:sz w:val="40"/>
          <w:szCs w:val="40"/>
          <w:lang w:eastAsia="en-GB"/>
          <w14:ligatures w14:val="none"/>
        </w:rPr>
      </w:pPr>
    </w:p>
    <w:p w14:paraId="4ED9B4E9" w14:textId="77777777" w:rsidR="00E921D9" w:rsidRDefault="00E921D9" w:rsidP="002664F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0260E358" w14:textId="77777777" w:rsidR="00E921D9" w:rsidRDefault="00E921D9" w:rsidP="002664F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0B3477DF" w14:textId="77777777" w:rsidR="00E921D9" w:rsidRDefault="00E921D9" w:rsidP="002664F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2543F7DE" w14:textId="77777777" w:rsidR="00E921D9" w:rsidRDefault="00E921D9" w:rsidP="002664F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093242EF" w14:textId="77777777" w:rsidR="00E921D9" w:rsidRDefault="00E921D9" w:rsidP="002664F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42128F8A" w14:textId="77777777" w:rsidR="00E921D9" w:rsidRDefault="00E921D9" w:rsidP="002664F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3544B77E" w14:textId="77777777" w:rsidR="00E921D9" w:rsidRDefault="00E921D9" w:rsidP="002664F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413A0531" w14:textId="77777777" w:rsidR="00E921D9" w:rsidRDefault="00E921D9" w:rsidP="002664F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381CDDF5" w14:textId="77777777" w:rsidR="00E921D9" w:rsidRDefault="00E921D9" w:rsidP="002664F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17E28AD5" w14:textId="77777777" w:rsidR="00E921D9" w:rsidRDefault="00E921D9" w:rsidP="002664F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14B373E6" w14:textId="77777777" w:rsidR="00E921D9" w:rsidRDefault="00E921D9" w:rsidP="002664F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093BC218" w14:textId="77777777" w:rsidR="00E921D9" w:rsidRDefault="00E921D9" w:rsidP="002664F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61A31D45" w14:textId="43720BCE" w:rsidR="002664F4" w:rsidRPr="002664F4" w:rsidRDefault="002664F4" w:rsidP="002664F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2664F4">
        <w:rPr>
          <w:rFonts w:ascii="Times New Roman" w:eastAsia="Times New Roman" w:hAnsi="Times New Roman" w:cs="Times New Roman"/>
          <w:b/>
          <w:bCs/>
          <w:kern w:val="36"/>
          <w:sz w:val="48"/>
          <w:szCs w:val="48"/>
          <w:lang w:eastAsia="en-GB"/>
          <w14:ligatures w14:val="none"/>
        </w:rPr>
        <w:lastRenderedPageBreak/>
        <w:t>Table of Contents</w:t>
      </w:r>
    </w:p>
    <w:p w14:paraId="49A6B808" w14:textId="19FFD3D1" w:rsidR="002664F4" w:rsidRPr="002664F4" w:rsidRDefault="002664F4" w:rsidP="002664F4">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664F4">
        <w:rPr>
          <w:rFonts w:ascii="Times New Roman" w:eastAsia="Times New Roman" w:hAnsi="Times New Roman" w:cs="Times New Roman"/>
          <w:kern w:val="0"/>
          <w:lang w:eastAsia="en-GB"/>
          <w14:ligatures w14:val="none"/>
        </w:rPr>
        <w:t xml:space="preserve">Introduction ................................................................ </w:t>
      </w:r>
      <w:r>
        <w:rPr>
          <w:rFonts w:ascii="Times New Roman" w:eastAsia="Times New Roman" w:hAnsi="Times New Roman" w:cs="Times New Roman"/>
          <w:kern w:val="0"/>
          <w:lang w:eastAsia="en-GB"/>
          <w14:ligatures w14:val="none"/>
        </w:rPr>
        <w:t>………………………………1</w:t>
      </w:r>
    </w:p>
    <w:p w14:paraId="1BEEEE30" w14:textId="25B24941" w:rsidR="002664F4" w:rsidRPr="002664F4" w:rsidRDefault="002664F4" w:rsidP="002664F4">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664F4">
        <w:rPr>
          <w:rFonts w:ascii="Times New Roman" w:eastAsia="Times New Roman" w:hAnsi="Times New Roman" w:cs="Times New Roman"/>
          <w:kern w:val="0"/>
          <w:lang w:eastAsia="en-GB"/>
          <w14:ligatures w14:val="none"/>
        </w:rPr>
        <w:t>Critical SWOT Analysis ................................................</w:t>
      </w:r>
      <w:r>
        <w:rPr>
          <w:rFonts w:ascii="Times New Roman" w:eastAsia="Times New Roman" w:hAnsi="Times New Roman" w:cs="Times New Roman"/>
          <w:kern w:val="0"/>
          <w:lang w:eastAsia="en-GB"/>
          <w14:ligatures w14:val="none"/>
        </w:rPr>
        <w:t>.............................................2</w:t>
      </w:r>
    </w:p>
    <w:p w14:paraId="383474C4" w14:textId="01B02A9E" w:rsidR="002664F4" w:rsidRPr="002664F4" w:rsidRDefault="002664F4" w:rsidP="002664F4">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2664F4">
        <w:rPr>
          <w:rFonts w:ascii="Times New Roman" w:eastAsia="Times New Roman" w:hAnsi="Times New Roman" w:cs="Times New Roman"/>
          <w:kern w:val="0"/>
          <w:lang w:eastAsia="en-GB"/>
          <w14:ligatures w14:val="none"/>
        </w:rPr>
        <w:t>2.1 Workforce ................................................................</w:t>
      </w:r>
      <w:r>
        <w:rPr>
          <w:rFonts w:ascii="Times New Roman" w:eastAsia="Times New Roman" w:hAnsi="Times New Roman" w:cs="Times New Roman"/>
          <w:kern w:val="0"/>
          <w:lang w:eastAsia="en-GB"/>
          <w14:ligatures w14:val="none"/>
        </w:rPr>
        <w:t>.............................................2</w:t>
      </w:r>
    </w:p>
    <w:p w14:paraId="4F704810" w14:textId="59BB513D" w:rsidR="002664F4" w:rsidRPr="002664F4" w:rsidRDefault="002664F4" w:rsidP="002664F4">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2664F4">
        <w:rPr>
          <w:rFonts w:ascii="Times New Roman" w:eastAsia="Times New Roman" w:hAnsi="Times New Roman" w:cs="Times New Roman"/>
          <w:kern w:val="0"/>
          <w:lang w:eastAsia="en-GB"/>
          <w14:ligatures w14:val="none"/>
        </w:rPr>
        <w:t>2.2 Service Delivery .....................................................</w:t>
      </w:r>
      <w:r>
        <w:rPr>
          <w:rFonts w:ascii="Times New Roman" w:eastAsia="Times New Roman" w:hAnsi="Times New Roman" w:cs="Times New Roman"/>
          <w:kern w:val="0"/>
          <w:lang w:eastAsia="en-GB"/>
          <w14:ligatures w14:val="none"/>
        </w:rPr>
        <w:t>...............................................3</w:t>
      </w:r>
    </w:p>
    <w:p w14:paraId="218964E2" w14:textId="147CA3BD" w:rsidR="002664F4" w:rsidRPr="002664F4" w:rsidRDefault="002664F4" w:rsidP="002664F4">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2664F4">
        <w:rPr>
          <w:rFonts w:ascii="Times New Roman" w:eastAsia="Times New Roman" w:hAnsi="Times New Roman" w:cs="Times New Roman"/>
          <w:kern w:val="0"/>
          <w:lang w:eastAsia="en-GB"/>
          <w14:ligatures w14:val="none"/>
        </w:rPr>
        <w:t>2.3 Patient/Service User ...............................................</w:t>
      </w:r>
      <w:r>
        <w:rPr>
          <w:rFonts w:ascii="Times New Roman" w:eastAsia="Times New Roman" w:hAnsi="Times New Roman" w:cs="Times New Roman"/>
          <w:kern w:val="0"/>
          <w:lang w:eastAsia="en-GB"/>
          <w14:ligatures w14:val="none"/>
        </w:rPr>
        <w:t>................................................4</w:t>
      </w:r>
    </w:p>
    <w:p w14:paraId="2EEFE820" w14:textId="49F3DF9D" w:rsidR="002664F4" w:rsidRPr="002664F4" w:rsidRDefault="002664F4" w:rsidP="002664F4">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2664F4">
        <w:rPr>
          <w:rFonts w:ascii="Times New Roman" w:eastAsia="Times New Roman" w:hAnsi="Times New Roman" w:cs="Times New Roman"/>
          <w:kern w:val="0"/>
          <w:lang w:eastAsia="en-GB"/>
          <w14:ligatures w14:val="none"/>
        </w:rPr>
        <w:t>2.4 Community .............................................................</w:t>
      </w:r>
      <w:r>
        <w:rPr>
          <w:rFonts w:ascii="Times New Roman" w:eastAsia="Times New Roman" w:hAnsi="Times New Roman" w:cs="Times New Roman"/>
          <w:kern w:val="0"/>
          <w:lang w:eastAsia="en-GB"/>
          <w14:ligatures w14:val="none"/>
        </w:rPr>
        <w:t>................................................5</w:t>
      </w:r>
    </w:p>
    <w:p w14:paraId="44A8EC0A" w14:textId="6B65DF8A" w:rsidR="002664F4" w:rsidRPr="002664F4" w:rsidRDefault="002664F4" w:rsidP="002664F4">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664F4">
        <w:rPr>
          <w:rFonts w:ascii="Times New Roman" w:eastAsia="Times New Roman" w:hAnsi="Times New Roman" w:cs="Times New Roman"/>
          <w:kern w:val="0"/>
          <w:lang w:eastAsia="en-GB"/>
          <w14:ligatures w14:val="none"/>
        </w:rPr>
        <w:t>Conclusion and Recommendations ...............................</w:t>
      </w:r>
      <w:r>
        <w:rPr>
          <w:rFonts w:ascii="Times New Roman" w:eastAsia="Times New Roman" w:hAnsi="Times New Roman" w:cs="Times New Roman"/>
          <w:kern w:val="0"/>
          <w:lang w:eastAsia="en-GB"/>
          <w14:ligatures w14:val="none"/>
        </w:rPr>
        <w:t>................................................6</w:t>
      </w:r>
    </w:p>
    <w:p w14:paraId="1F74225D" w14:textId="7FDB8AA1" w:rsidR="002664F4" w:rsidRPr="002664F4" w:rsidRDefault="002664F4" w:rsidP="002664F4">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2664F4">
        <w:rPr>
          <w:rFonts w:ascii="Times New Roman" w:eastAsia="Times New Roman" w:hAnsi="Times New Roman" w:cs="Times New Roman"/>
          <w:kern w:val="0"/>
          <w:lang w:eastAsia="en-GB"/>
          <w14:ligatures w14:val="none"/>
        </w:rPr>
        <w:t>Reference List ..............................................................</w:t>
      </w:r>
      <w:r>
        <w:rPr>
          <w:rFonts w:ascii="Times New Roman" w:eastAsia="Times New Roman" w:hAnsi="Times New Roman" w:cs="Times New Roman"/>
          <w:kern w:val="0"/>
          <w:lang w:eastAsia="en-GB"/>
          <w14:ligatures w14:val="none"/>
        </w:rPr>
        <w:t>.................................................7</w:t>
      </w:r>
    </w:p>
    <w:p w14:paraId="5C3E1EE3" w14:textId="77777777" w:rsidR="003B2501" w:rsidRDefault="003B2501" w:rsidP="003B2501">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1EEFA89E" w14:textId="77777777" w:rsidR="003B2501" w:rsidRDefault="003B2501" w:rsidP="003B2501">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7078F84B" w14:textId="77777777" w:rsidR="003B2501" w:rsidRDefault="003B2501" w:rsidP="003B2501">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2EAE9553" w14:textId="77777777" w:rsidR="003B2501" w:rsidRDefault="003B2501" w:rsidP="003B2501">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77A0FB81" w14:textId="77777777" w:rsidR="00E921D9" w:rsidRDefault="00E921D9" w:rsidP="003B2501">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4E70CE4D" w14:textId="77777777" w:rsidR="00E921D9" w:rsidRDefault="00E921D9" w:rsidP="003B2501">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2353275F" w14:textId="77777777" w:rsidR="00E921D9" w:rsidRDefault="00E921D9" w:rsidP="003B2501">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32162DB2" w14:textId="77777777" w:rsidR="00E921D9" w:rsidRDefault="00E921D9" w:rsidP="003B2501">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1B8F2EB6" w14:textId="77777777" w:rsidR="00E921D9" w:rsidRDefault="00E921D9" w:rsidP="003B2501">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13A3D903" w14:textId="77777777" w:rsidR="00E921D9" w:rsidRDefault="00E921D9" w:rsidP="003B2501">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4451705F" w14:textId="5EFFBA88" w:rsidR="003B2501" w:rsidRPr="003B2501" w:rsidRDefault="003B2501" w:rsidP="003B2501">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3B2501">
        <w:rPr>
          <w:rFonts w:ascii="Times New Roman" w:eastAsia="Times New Roman" w:hAnsi="Times New Roman" w:cs="Times New Roman"/>
          <w:b/>
          <w:bCs/>
          <w:kern w:val="36"/>
          <w:sz w:val="48"/>
          <w:szCs w:val="48"/>
          <w:lang w:eastAsia="en-GB"/>
          <w14:ligatures w14:val="none"/>
        </w:rPr>
        <w:t>A Critical SWOT Analysis of Remote Patient Monitoring within NHS Virtual Wards in England</w:t>
      </w:r>
    </w:p>
    <w:p w14:paraId="0350D3FE" w14:textId="77777777" w:rsidR="003B2501" w:rsidRPr="003B2501" w:rsidRDefault="003B2501" w:rsidP="003B2501">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B2501">
        <w:rPr>
          <w:rFonts w:ascii="Times New Roman" w:eastAsia="Times New Roman" w:hAnsi="Times New Roman" w:cs="Times New Roman"/>
          <w:b/>
          <w:bCs/>
          <w:kern w:val="0"/>
          <w:sz w:val="36"/>
          <w:szCs w:val="36"/>
          <w:lang w:eastAsia="en-GB"/>
          <w14:ligatures w14:val="none"/>
        </w:rPr>
        <w:t>1. Introduction</w:t>
      </w:r>
    </w:p>
    <w:p w14:paraId="4EE164D4"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Digital innovation is increasingly important in UK health and social care because services face rising demand, workforce pressures and the need to improve patient outcomes. One significant development is remote patient monitoring within National Health Service (NHS) virtual wards. Virtual wards, also known as hospital at home, enable suitable patients to receive hospital-level care in their usual place of residence rather than remaining in hospital. Remote monitoring may involve pulse oximeters, blood pressure monitors, digital applications and communication platforms that allow healthcare professionals to assess patients remotely (NHS England, 2024a).</w:t>
      </w:r>
    </w:p>
    <w:p w14:paraId="37E603A4"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 xml:space="preserve">NHS England launched its national virtual ward programme in April 2022, aiming to improve patient experience, support early discharge and reduce pressure on hospital beds (Chappell et al., 2024). This development reflects the wider digital transformation ambitions outlined in </w:t>
      </w:r>
      <w:r w:rsidRPr="003B2501">
        <w:rPr>
          <w:rFonts w:ascii="Times New Roman" w:eastAsia="Times New Roman" w:hAnsi="Times New Roman" w:cs="Times New Roman"/>
          <w:i/>
          <w:iCs/>
          <w:kern w:val="0"/>
          <w:lang w:eastAsia="en-GB"/>
          <w14:ligatures w14:val="none"/>
        </w:rPr>
        <w:t>A Plan for Digital Health and Social Care</w:t>
      </w:r>
      <w:r w:rsidRPr="003B2501">
        <w:rPr>
          <w:rFonts w:ascii="Times New Roman" w:eastAsia="Times New Roman" w:hAnsi="Times New Roman" w:cs="Times New Roman"/>
          <w:kern w:val="0"/>
          <w:lang w:eastAsia="en-GB"/>
          <w14:ligatures w14:val="none"/>
        </w:rPr>
        <w:t xml:space="preserve"> (Department of Health and Social Care and NHS England, 2022).</w:t>
      </w:r>
    </w:p>
    <w:p w14:paraId="0E268745"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This report critically evaluates remote patient monitoring within virtual wards using a strengths, weaknesses, opportunities and threats (SWOT) framework. It examines four areas: workforce, service delivery, patient/service-user experience and community impact. By comparing official objectives with independent evaluations and academic research, the report assesses the benefits and limitations of implementation and recommends improvements to support safe, effective and equitable care.</w:t>
      </w:r>
    </w:p>
    <w:p w14:paraId="772009A0" w14:textId="77777777" w:rsidR="003B2501" w:rsidRPr="003B2501" w:rsidRDefault="003B2501" w:rsidP="003B2501">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B2501">
        <w:rPr>
          <w:rFonts w:ascii="Times New Roman" w:eastAsia="Times New Roman" w:hAnsi="Times New Roman" w:cs="Times New Roman"/>
          <w:b/>
          <w:bCs/>
          <w:kern w:val="0"/>
          <w:sz w:val="36"/>
          <w:szCs w:val="36"/>
          <w:lang w:eastAsia="en-GB"/>
          <w14:ligatures w14:val="none"/>
        </w:rPr>
        <w:t>2. Critical SWOT Analysis</w:t>
      </w:r>
    </w:p>
    <w:p w14:paraId="231E3BBC" w14:textId="77777777" w:rsidR="003B2501" w:rsidRPr="003B2501" w:rsidRDefault="003B2501" w:rsidP="003B2501">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3B2501">
        <w:rPr>
          <w:rFonts w:ascii="Times New Roman" w:eastAsia="Times New Roman" w:hAnsi="Times New Roman" w:cs="Times New Roman"/>
          <w:b/>
          <w:bCs/>
          <w:kern w:val="0"/>
          <w:sz w:val="27"/>
          <w:szCs w:val="27"/>
          <w:lang w:eastAsia="en-GB"/>
          <w14:ligatures w14:val="none"/>
        </w:rPr>
        <w:t>2.1 Workforce</w:t>
      </w:r>
    </w:p>
    <w:p w14:paraId="59E65178"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b/>
          <w:bCs/>
          <w:kern w:val="0"/>
          <w:lang w:eastAsia="en-GB"/>
          <w14:ligatures w14:val="none"/>
        </w:rPr>
        <w:t>Strengths and opportunities</w:t>
      </w:r>
    </w:p>
    <w:p w14:paraId="73D04EF1"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Remote patient monitoring can change healthcare professionals' roles by enabling them to assess patient measurements, communicate remotely and identify potential deterioration without requiring every assessment to take place in hospital. NHS England (2024a) identifies virtual wards as a way of delivering care at home through clinical teams supported, where appropriate, by technology. Access to remote information may help nurses and doctors prioritise reviews and coordinate care between hospital and community services.</w:t>
      </w:r>
    </w:p>
    <w:p w14:paraId="19717867"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 xml:space="preserve">Digital transformation also creates opportunities for staff development. Professionals may develop competencies in using monitoring equipment, interpreting measurements, communicating digitally and recognising when patients require further assessment. The Department of Health and Social Care and NHS England (2022) identify digital skills and connected information as important elements of health and social care transformation. Similarly, the </w:t>
      </w:r>
      <w:r w:rsidRPr="003B2501">
        <w:rPr>
          <w:rFonts w:ascii="Times New Roman" w:eastAsia="Times New Roman" w:hAnsi="Times New Roman" w:cs="Times New Roman"/>
          <w:i/>
          <w:iCs/>
          <w:kern w:val="0"/>
          <w:lang w:eastAsia="en-GB"/>
          <w14:ligatures w14:val="none"/>
        </w:rPr>
        <w:t>What Good Looks Like</w:t>
      </w:r>
      <w:r w:rsidRPr="003B2501">
        <w:rPr>
          <w:rFonts w:ascii="Times New Roman" w:eastAsia="Times New Roman" w:hAnsi="Times New Roman" w:cs="Times New Roman"/>
          <w:kern w:val="0"/>
          <w:lang w:eastAsia="en-GB"/>
          <w14:ligatures w14:val="none"/>
        </w:rPr>
        <w:t xml:space="preserve"> framework highlights workforce support, safe practice and improved care as important measures of digital maturity (Department of Health and Social Care, 2023).</w:t>
      </w:r>
    </w:p>
    <w:p w14:paraId="3124BCD8"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However, these benefits depend on implementation rather than technology alone. Remote access to patient information does not automatically reduce workload. Staff must still interpret measurements, document decisions, respond to alerts and coordinate treatment. Therefore, the main workforce benefit may be a change in how care is organised rather than the removal of clinical responsibilities.</w:t>
      </w:r>
    </w:p>
    <w:p w14:paraId="696D7180"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b/>
          <w:bCs/>
          <w:kern w:val="0"/>
          <w:lang w:eastAsia="en-GB"/>
          <w14:ligatures w14:val="none"/>
        </w:rPr>
        <w:t>Weaknesses and threats</w:t>
      </w:r>
    </w:p>
    <w:p w14:paraId="26A81CD5"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Workforce pressures are a significant weakness because remote monitoring can introduce additional duties. Staff require training to operate equipment, understand its limitations and respond appropriately to abnormal readings. Without sufficient staffing, protected training time and clear escalation procedures, these tasks may increase pressure rather than improve efficiency.</w:t>
      </w:r>
    </w:p>
    <w:p w14:paraId="1A66EF59"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The independent South East evaluation identified inadequate funding, recruitment challenges and overworked staff as barriers to effective virtual ward implementation (NHS England, 2024b). These findings suggest that technology cannot compensate for weaknesses in workforce planning. However, because this evaluation focused on regional services, it cannot establish that the same barriers occur to the same extent in every NHS organisation.</w:t>
      </w:r>
    </w:p>
    <w:p w14:paraId="79F8E63F" w14:textId="117733A5"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A further threat is that poorly integrated systems may require professionals to use several platforms or duplicate documentation. Staff may also experience uncertainty about accountability when remote measurements indicate deterioration. These problems could reduce confidence and discourage adoption.</w:t>
      </w:r>
    </w:p>
    <w:p w14:paraId="5CA5F293"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Overall, virtual wards offer opportunities for professional development and more flexible working, but these advantages are conditional. NHS organisations should provide protected training, adequate staffing and clear clinical procedures. Without these measures, technology may redistribute workload rather than reduce it.</w:t>
      </w:r>
    </w:p>
    <w:p w14:paraId="6557DC9F" w14:textId="77777777" w:rsidR="003B2501" w:rsidRPr="003B2501" w:rsidRDefault="003B2501" w:rsidP="003B2501">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3B2501">
        <w:rPr>
          <w:rFonts w:ascii="Times New Roman" w:eastAsia="Times New Roman" w:hAnsi="Times New Roman" w:cs="Times New Roman"/>
          <w:b/>
          <w:bCs/>
          <w:kern w:val="0"/>
          <w:sz w:val="27"/>
          <w:szCs w:val="27"/>
          <w:lang w:eastAsia="en-GB"/>
          <w14:ligatures w14:val="none"/>
        </w:rPr>
        <w:t>2.2 Service Delivery</w:t>
      </w:r>
    </w:p>
    <w:p w14:paraId="76B7BD30"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b/>
          <w:bCs/>
          <w:kern w:val="0"/>
          <w:lang w:eastAsia="en-GB"/>
          <w14:ligatures w14:val="none"/>
        </w:rPr>
        <w:t>Strengths and opportunities</w:t>
      </w:r>
    </w:p>
    <w:p w14:paraId="01E1DD31"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A key strength of virtual wards is their potential to provide appropriate hospital-level care without requiring patients to occupy a traditional hospital bed. Remote measurements and regular clinical reviews may support decisions about treatment, discharge and escalation. NHS England (2024a) presents virtual wards as a way to deliver care safely at home while maintaining contact with healthcare professionals.</w:t>
      </w:r>
    </w:p>
    <w:p w14:paraId="50EF52ED"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Evidence from the South East of England provides a positive example. An independent evaluation examined 29 virtual ward pathways and estimated annual net financial benefits of £10.4 million across the services assessed. It also estimated approximately 9,165 avoided non-elective hospital admissions annually (NHS England, 2024b). These findings suggest that some virtual ward services may contribute to hospital capacity and more efficient resource use.</w:t>
      </w:r>
    </w:p>
    <w:p w14:paraId="084D3BCC"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Virtual wards also create opportunities to strengthen coordination between acute hospitals, primary care and community teams. Better integration with electronic patient records could reduce duplicated information and improve continuity of care. The government's digital health and social care plan identifies connected information and improved digital infrastructure as priorities for transformation (Department of Health and Social Care and NHS England, 2022).</w:t>
      </w:r>
    </w:p>
    <w:p w14:paraId="15FBC898"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b/>
          <w:bCs/>
          <w:kern w:val="0"/>
          <w:lang w:eastAsia="en-GB"/>
          <w14:ligatures w14:val="none"/>
        </w:rPr>
        <w:t>Weaknesses and threats</w:t>
      </w:r>
    </w:p>
    <w:p w14:paraId="774B2DA2"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Despite these positive findings, national effectiveness remains uncertain. Chappell et al. (2024), in a national analysis published by the Health Foundation, found that available data did not clearly establish whether virtual wards reduced pressure on hospital beds. One important limitation was uncertainty about how many patients would otherwise have required hospital admission. This contrasts with the positive findings of the South East evaluation.</w:t>
      </w:r>
    </w:p>
    <w:p w14:paraId="1A228575"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The difference matters because the studies examine different settings and types of evidence. The regional evaluation identified an association between virtual ward activity and hospital use, whereas the national analysis highlighted difficulties establishing what would have happened without virtual ward care. Therefore, positive local results should not automatically be interpreted as proof of nationwide effectiveness.</w:t>
      </w:r>
    </w:p>
    <w:p w14:paraId="396698AB"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A systematic review by Patel et al. (2024) examined remote vital-sign monitoring in hospital-at-home services. The review included 21 randomised controlled trials involving 3,459 participants and identified gaps in the evidence on monitoring approaches. Although its analysis found reduced readmissions in a subgroup using automated monitoring, the authors emphasised limitations in the available evidence. This suggests that some monitoring approaches may be beneficial, but more consistent evaluation is required.</w:t>
      </w:r>
    </w:p>
    <w:p w14:paraId="2FFBB6AF"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Other threats include technical failures, cybersecurity incidents and incompatible systems. Virtual wards also require investment in equipment, staff training and technical support. If monitoring data are not reviewed promptly, deterioration may go unnoticed. Overall, virtual wards have demonstrated potential to improve service delivery, but their effectiveness should be assessed through patient safety, readmissions, costs and hospital use rather than expansion targets alone.</w:t>
      </w:r>
    </w:p>
    <w:p w14:paraId="669C13E4" w14:textId="77777777" w:rsidR="003B2501" w:rsidRPr="003B2501" w:rsidRDefault="003B2501" w:rsidP="003B2501">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3B2501">
        <w:rPr>
          <w:rFonts w:ascii="Times New Roman" w:eastAsia="Times New Roman" w:hAnsi="Times New Roman" w:cs="Times New Roman"/>
          <w:b/>
          <w:bCs/>
          <w:kern w:val="0"/>
          <w:sz w:val="27"/>
          <w:szCs w:val="27"/>
          <w:lang w:eastAsia="en-GB"/>
          <w14:ligatures w14:val="none"/>
        </w:rPr>
        <w:t>2.3 Patient/Service User</w:t>
      </w:r>
    </w:p>
    <w:p w14:paraId="0CB3F423"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b/>
          <w:bCs/>
          <w:kern w:val="0"/>
          <w:lang w:eastAsia="en-GB"/>
          <w14:ligatures w14:val="none"/>
        </w:rPr>
        <w:t>Strengths and opportunities</w:t>
      </w:r>
    </w:p>
    <w:p w14:paraId="6EA9A22D"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Remote patient monitoring can improve patient experience by allowing suitable individuals to receive treatment in familiar surroundings. Remaining at home may support independence, reduce travel and limit disruption to family life. Patients may also feel more involved in their care when they participate in monitoring symptoms and communicating with healthcare professionals.</w:t>
      </w:r>
    </w:p>
    <w:p w14:paraId="7CBF92C7"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Thornton, Horton and Hardie (2023) surveyed 7,100 members of the public and 1,251 NHS staff about virtual wards. Their findings showed that 71% of members of the public were open to receiving virtual ward care under the right circumstances. This suggests that the model may be acceptable to many people. However, the phrase “under the right circumstances” is important because acceptance does not mean that patients consider virtual wards appropriate in every situation.</w:t>
      </w:r>
    </w:p>
    <w:p w14:paraId="5C6ED500"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There are opportunities to improve patient participation through personalised monitoring plans, accessible instructions and equipment demonstrations. Patients could also contribute to service design, helping providers identify confusing instructions or difficulties using devices. Such co-production may improve trust and make services more responsive to patients' needs.</w:t>
      </w:r>
    </w:p>
    <w:p w14:paraId="22EE52D1"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b/>
          <w:bCs/>
          <w:kern w:val="0"/>
          <w:lang w:eastAsia="en-GB"/>
          <w14:ligatures w14:val="none"/>
        </w:rPr>
        <w:t>Weaknesses and threats</w:t>
      </w:r>
    </w:p>
    <w:p w14:paraId="2BEBF265"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Remote monitoring is not suitable for every patient. Some individuals may prefer face-to-face interaction or feel anxious about monitoring their own health. Others may struggle to use equipment because of limited digital literacy, disability, language barriers or cognitive difficulties. Consequently, convenience for some patients may become a barrier for others.</w:t>
      </w:r>
    </w:p>
    <w:p w14:paraId="15BED7B3"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Patel et al. (2024) highlight the importance of monitoring approaches for clinical safety and decision-making. However, measurements are only useful when they are accurate, interpreted appropriately and linked to timely clinical action. Technology cannot replace professional assessment when symptoms or clinical circumstances require it.</w:t>
      </w:r>
    </w:p>
    <w:p w14:paraId="55659AAF"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Patient trust may also be threatened if individuals do not understand how their health information is used or believe that remote monitoring is replacing necessary personal contact. Health information is special-category personal data under the UK GDPR, requiring appropriate protection (Information Commissioner's Office, n.d.). Organisations must explain information use clearly and ensure that patients know how to contact clinicians if their condition changes.</w:t>
      </w:r>
    </w:p>
    <w:p w14:paraId="35EC0F4E"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Therefore, patient experience should be assessed through more than satisfaction alone. NHS organisations should examine safety, access, choice and outcomes across different patient groups. Virtual wards should complement rather than automatically replace face-to-face care, with individual assessment determining whether remote monitoring is appropriate.</w:t>
      </w:r>
    </w:p>
    <w:p w14:paraId="3C13F41C" w14:textId="77777777" w:rsidR="003B2501" w:rsidRPr="003B2501" w:rsidRDefault="003B2501" w:rsidP="003B2501">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3B2501">
        <w:rPr>
          <w:rFonts w:ascii="Times New Roman" w:eastAsia="Times New Roman" w:hAnsi="Times New Roman" w:cs="Times New Roman"/>
          <w:b/>
          <w:bCs/>
          <w:kern w:val="0"/>
          <w:sz w:val="27"/>
          <w:szCs w:val="27"/>
          <w:lang w:eastAsia="en-GB"/>
          <w14:ligatures w14:val="none"/>
        </w:rPr>
        <w:t>2.4 Community</w:t>
      </w:r>
    </w:p>
    <w:p w14:paraId="6488A8AB"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b/>
          <w:bCs/>
          <w:kern w:val="0"/>
          <w:lang w:eastAsia="en-GB"/>
          <w14:ligatures w14:val="none"/>
        </w:rPr>
        <w:t>Strengths and opportunities</w:t>
      </w:r>
    </w:p>
    <w:p w14:paraId="69BB816F"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Virtual wards may benefit communities by enabling suitable patients to receive care closer to home and reducing the need to travel to hospital. This may be particularly valuable for people who find travel difficult or who live some distance from acute services. Home-based care may also help patients maintain contact with family members and remain within familiar surroundings.</w:t>
      </w:r>
    </w:p>
    <w:p w14:paraId="59616CF1"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The NHS England South East evaluation provides evidence of the potential for wider service benefits, reporting positive estimated financial outcomes and associations with avoided hospital admissions (NHS England, 2024b). If virtual wards reduce avoidable hospital use, the wider system may have more capacity to care for patients who require inpatient treatment. However, the extent of these benefits will depend on local service capacity and patient suitability.</w:t>
      </w:r>
    </w:p>
    <w:p w14:paraId="099D4FCB"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 xml:space="preserve">The </w:t>
      </w:r>
      <w:r w:rsidRPr="003B2501">
        <w:rPr>
          <w:rFonts w:ascii="Times New Roman" w:eastAsia="Times New Roman" w:hAnsi="Times New Roman" w:cs="Times New Roman"/>
          <w:i/>
          <w:iCs/>
          <w:kern w:val="0"/>
          <w:lang w:eastAsia="en-GB"/>
          <w14:ligatures w14:val="none"/>
        </w:rPr>
        <w:t>What Good Looks Like</w:t>
      </w:r>
      <w:r w:rsidRPr="003B2501">
        <w:rPr>
          <w:rFonts w:ascii="Times New Roman" w:eastAsia="Times New Roman" w:hAnsi="Times New Roman" w:cs="Times New Roman"/>
          <w:kern w:val="0"/>
          <w:lang w:eastAsia="en-GB"/>
          <w14:ligatures w14:val="none"/>
        </w:rPr>
        <w:t xml:space="preserve"> framework identifies healthy populations and empowering people as important objectives of digital transformation (Department of Health and Social Care, 2023). This creates an opportunity for virtual ward providers to work with patients, family carers, community organisations and local authorities. Co-production could help identify barriers to access and make services more responsive to local needs.</w:t>
      </w:r>
    </w:p>
    <w:p w14:paraId="730AC3FC"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b/>
          <w:bCs/>
          <w:kern w:val="0"/>
          <w:lang w:eastAsia="en-GB"/>
          <w14:ligatures w14:val="none"/>
        </w:rPr>
        <w:t>Weaknesses and threats</w:t>
      </w:r>
    </w:p>
    <w:p w14:paraId="7F0D7EF2"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A significant community threat is digital exclusion. People without reliable internet access, suitable devices or confidence using technology may find virtual wards more difficult to access. These barriers may affect older people, individuals with disabilities and households experiencing deprivation. Although virtual wards can improve access for some patients, they may widen inequalities if services assume everyone can participate digitally.</w:t>
      </w:r>
    </w:p>
    <w:p w14:paraId="43CC1967"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The South East evaluation found that Black and minority ethnic people were underrepresented in virtual ward patient cohorts, while gaps in recorded ethnicity data limited the ability to assess access fully (NHS England, 2024b). This finding raises questions about whether services are reaching communities equitably. It does not, on its own, explain the causes of underrepresentation, but it demonstrates why services need better data and targeted engagement.</w:t>
      </w:r>
    </w:p>
    <w:p w14:paraId="07F75844"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Family carers may also experience increased responsibilities. Relatives might be expected to help patients use devices, monitor symptoms or contact professionals. Although family involvement can be helpful, it should not be assumed that relatives have the time, skills or capacity to provide additional care. This could transfer pressure from formal services to unpaid carers.</w:t>
      </w:r>
    </w:p>
    <w:p w14:paraId="3701E5FF"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Consequently, NHS organisations should provide telephone support, face-to-face assistance and non-digital alternatives where appropriate. Providers should monitor uptake and outcomes by ethnicity, disability, age and deprivation, while involving underrepresented communities in service design. These measures could help ensure that virtual wards improve access without deepening existing inequalities.</w:t>
      </w:r>
    </w:p>
    <w:p w14:paraId="5EE13171" w14:textId="77777777" w:rsidR="003B2501" w:rsidRPr="003B2501" w:rsidRDefault="003B2501" w:rsidP="003B2501">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B2501">
        <w:rPr>
          <w:rFonts w:ascii="Times New Roman" w:eastAsia="Times New Roman" w:hAnsi="Times New Roman" w:cs="Times New Roman"/>
          <w:b/>
          <w:bCs/>
          <w:kern w:val="0"/>
          <w:sz w:val="36"/>
          <w:szCs w:val="36"/>
          <w:lang w:eastAsia="en-GB"/>
          <w14:ligatures w14:val="none"/>
        </w:rPr>
        <w:t>3. Conclusion and Recommendations</w:t>
      </w:r>
    </w:p>
    <w:p w14:paraId="003292AC"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This report has critically evaluated remote patient monitoring within NHS virtual wards through workforce, service delivery, patient experience and community perspectives. The SWOT analysis demonstrates strengths, including the potential to deliver care closer to home, support clinical decision-making and reduce some hospital activity. However, weaknesses and threats include workforce pressures, uncertain national effectiveness, technical risks, digital exclusion and unequal access.</w:t>
      </w:r>
    </w:p>
    <w:p w14:paraId="2F318310"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Overall, virtual wards represent a promising but conditional success. Evidence from some regional services suggests positive outcomes, but national evidence gaps mean that expansion cannot be treated as proof of consistent effectiveness. Success depends on appropriate patient selection, adequate staffing, reliable clinical processes and equitable access.</w:t>
      </w:r>
    </w:p>
    <w:p w14:paraId="197DC798"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Three recommendations are proposed. First, NHS organisations should provide protected staff training and clear escalation procedures, although this requires investment and workforce capacity. Second, providers should routinely evaluate readmissions, safety incidents, patient experience, staff workload and outcomes across different population groups. Third, patients should receive accessible information, technical support and a genuine choice of face-to-face care when necessary.</w:t>
      </w:r>
    </w:p>
    <w:p w14:paraId="095EDEB9"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Finally, patients and carers should be involved in service design, and their support needs should be assessed rather than assumed. These measures would help ensure that virtual wards deliver measurable improvements in safety, patient experience and service efficiency without widening health inequalities.</w:t>
      </w:r>
    </w:p>
    <w:p w14:paraId="17932425" w14:textId="77777777" w:rsidR="003B2501" w:rsidRPr="003B2501" w:rsidRDefault="003B2501" w:rsidP="003B2501">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3B2501">
        <w:rPr>
          <w:rFonts w:ascii="Times New Roman" w:eastAsia="Times New Roman" w:hAnsi="Times New Roman" w:cs="Times New Roman"/>
          <w:b/>
          <w:bCs/>
          <w:kern w:val="0"/>
          <w:sz w:val="36"/>
          <w:szCs w:val="36"/>
          <w:lang w:eastAsia="en-GB"/>
          <w14:ligatures w14:val="none"/>
        </w:rPr>
        <w:t>4. Reference List</w:t>
      </w:r>
    </w:p>
    <w:p w14:paraId="02DE571E"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 xml:space="preserve">Chappell, P., Co, M., Hardie, T., Lloyd, T., Tallack, C., Gerhold, M. and Mayers, C. (2024) </w:t>
      </w:r>
      <w:r w:rsidRPr="003B2501">
        <w:rPr>
          <w:rFonts w:ascii="Times New Roman" w:eastAsia="Times New Roman" w:hAnsi="Times New Roman" w:cs="Times New Roman"/>
          <w:i/>
          <w:iCs/>
          <w:kern w:val="0"/>
          <w:lang w:eastAsia="en-GB"/>
          <w14:ligatures w14:val="none"/>
        </w:rPr>
        <w:t>What do virtual wards look like in England?</w:t>
      </w:r>
      <w:r w:rsidRPr="003B2501">
        <w:rPr>
          <w:rFonts w:ascii="Times New Roman" w:eastAsia="Times New Roman" w:hAnsi="Times New Roman" w:cs="Times New Roman"/>
          <w:kern w:val="0"/>
          <w:lang w:eastAsia="en-GB"/>
          <w14:ligatures w14:val="none"/>
        </w:rPr>
        <w:t xml:space="preserve"> Health Foundation. Available at: </w:t>
      </w:r>
      <w:hyperlink r:id="rId5" w:history="1">
        <w:r w:rsidRPr="003B2501">
          <w:rPr>
            <w:rFonts w:ascii="Times New Roman" w:eastAsia="Times New Roman" w:hAnsi="Times New Roman" w:cs="Times New Roman"/>
            <w:color w:val="0000FF"/>
            <w:kern w:val="0"/>
            <w:u w:val="single"/>
            <w:lang w:eastAsia="en-GB"/>
            <w14:ligatures w14:val="none"/>
          </w:rPr>
          <w:t>https://www.health.org.uk/reports-and-analysis/working-papers/what-do-virtual-wards-look-like-in-england</w:t>
        </w:r>
      </w:hyperlink>
      <w:r w:rsidRPr="003B2501">
        <w:rPr>
          <w:rFonts w:ascii="Times New Roman" w:eastAsia="Times New Roman" w:hAnsi="Times New Roman" w:cs="Times New Roman"/>
          <w:kern w:val="0"/>
          <w:lang w:eastAsia="en-GB"/>
          <w14:ligatures w14:val="none"/>
        </w:rPr>
        <w:t xml:space="preserve"> (Accessed: 19 October 2026).</w:t>
      </w:r>
    </w:p>
    <w:p w14:paraId="26C0CBCD"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 xml:space="preserve">Department of Health and Social Care (2023) </w:t>
      </w:r>
      <w:r w:rsidRPr="003B2501">
        <w:rPr>
          <w:rFonts w:ascii="Times New Roman" w:eastAsia="Times New Roman" w:hAnsi="Times New Roman" w:cs="Times New Roman"/>
          <w:i/>
          <w:iCs/>
          <w:kern w:val="0"/>
          <w:lang w:eastAsia="en-GB"/>
          <w14:ligatures w14:val="none"/>
        </w:rPr>
        <w:t>Digital working in adult social care: What Good Looks Like</w:t>
      </w:r>
      <w:r w:rsidRPr="003B2501">
        <w:rPr>
          <w:rFonts w:ascii="Times New Roman" w:eastAsia="Times New Roman" w:hAnsi="Times New Roman" w:cs="Times New Roman"/>
          <w:kern w:val="0"/>
          <w:lang w:eastAsia="en-GB"/>
          <w14:ligatures w14:val="none"/>
        </w:rPr>
        <w:t xml:space="preserve">. Available at: </w:t>
      </w:r>
      <w:hyperlink r:id="rId6" w:history="1">
        <w:r w:rsidRPr="003B2501">
          <w:rPr>
            <w:rFonts w:ascii="Times New Roman" w:eastAsia="Times New Roman" w:hAnsi="Times New Roman" w:cs="Times New Roman"/>
            <w:color w:val="0000FF"/>
            <w:kern w:val="0"/>
            <w:u w:val="single"/>
            <w:lang w:eastAsia="en-GB"/>
            <w14:ligatures w14:val="none"/>
          </w:rPr>
          <w:t>https://www.gov.uk/government/publications/digital-working-in-adult-social-care-what-good-looks-like</w:t>
        </w:r>
      </w:hyperlink>
      <w:r w:rsidRPr="003B2501">
        <w:rPr>
          <w:rFonts w:ascii="Times New Roman" w:eastAsia="Times New Roman" w:hAnsi="Times New Roman" w:cs="Times New Roman"/>
          <w:kern w:val="0"/>
          <w:lang w:eastAsia="en-GB"/>
          <w14:ligatures w14:val="none"/>
        </w:rPr>
        <w:t xml:space="preserve"> (Accessed: 19 October 2026).</w:t>
      </w:r>
    </w:p>
    <w:p w14:paraId="4D575044"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 xml:space="preserve">Department of Health and Social Care and NHS England (2022) </w:t>
      </w:r>
      <w:r w:rsidRPr="003B2501">
        <w:rPr>
          <w:rFonts w:ascii="Times New Roman" w:eastAsia="Times New Roman" w:hAnsi="Times New Roman" w:cs="Times New Roman"/>
          <w:i/>
          <w:iCs/>
          <w:kern w:val="0"/>
          <w:lang w:eastAsia="en-GB"/>
          <w14:ligatures w14:val="none"/>
        </w:rPr>
        <w:t>A plan for digital health and social care</w:t>
      </w:r>
      <w:r w:rsidRPr="003B2501">
        <w:rPr>
          <w:rFonts w:ascii="Times New Roman" w:eastAsia="Times New Roman" w:hAnsi="Times New Roman" w:cs="Times New Roman"/>
          <w:kern w:val="0"/>
          <w:lang w:eastAsia="en-GB"/>
          <w14:ligatures w14:val="none"/>
        </w:rPr>
        <w:t xml:space="preserve">. Available at: </w:t>
      </w:r>
      <w:hyperlink r:id="rId7" w:history="1">
        <w:r w:rsidRPr="003B2501">
          <w:rPr>
            <w:rFonts w:ascii="Times New Roman" w:eastAsia="Times New Roman" w:hAnsi="Times New Roman" w:cs="Times New Roman"/>
            <w:color w:val="0000FF"/>
            <w:kern w:val="0"/>
            <w:u w:val="single"/>
            <w:lang w:eastAsia="en-GB"/>
            <w14:ligatures w14:val="none"/>
          </w:rPr>
          <w:t>https://www.gov.uk/government/publications/a-plan-for-digital-health-and-social-care</w:t>
        </w:r>
      </w:hyperlink>
      <w:r w:rsidRPr="003B2501">
        <w:rPr>
          <w:rFonts w:ascii="Times New Roman" w:eastAsia="Times New Roman" w:hAnsi="Times New Roman" w:cs="Times New Roman"/>
          <w:kern w:val="0"/>
          <w:lang w:eastAsia="en-GB"/>
          <w14:ligatures w14:val="none"/>
        </w:rPr>
        <w:t xml:space="preserve"> (Accessed: 19 October 2026).</w:t>
      </w:r>
    </w:p>
    <w:p w14:paraId="29AF148D"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 xml:space="preserve">Information Commissioner's Office (n.d.) </w:t>
      </w:r>
      <w:r w:rsidRPr="003B2501">
        <w:rPr>
          <w:rFonts w:ascii="Times New Roman" w:eastAsia="Times New Roman" w:hAnsi="Times New Roman" w:cs="Times New Roman"/>
          <w:i/>
          <w:iCs/>
          <w:kern w:val="0"/>
          <w:lang w:eastAsia="en-GB"/>
          <w14:ligatures w14:val="none"/>
        </w:rPr>
        <w:t>What is special category data?</w:t>
      </w:r>
      <w:r w:rsidRPr="003B2501">
        <w:rPr>
          <w:rFonts w:ascii="Times New Roman" w:eastAsia="Times New Roman" w:hAnsi="Times New Roman" w:cs="Times New Roman"/>
          <w:kern w:val="0"/>
          <w:lang w:eastAsia="en-GB"/>
          <w14:ligatures w14:val="none"/>
        </w:rPr>
        <w:t xml:space="preserve"> Available at: </w:t>
      </w:r>
      <w:hyperlink r:id="rId8" w:history="1">
        <w:r w:rsidRPr="003B2501">
          <w:rPr>
            <w:rFonts w:ascii="Times New Roman" w:eastAsia="Times New Roman" w:hAnsi="Times New Roman" w:cs="Times New Roman"/>
            <w:color w:val="0000FF"/>
            <w:kern w:val="0"/>
            <w:u w:val="single"/>
            <w:lang w:eastAsia="en-GB"/>
            <w14:ligatures w14:val="none"/>
          </w:rPr>
          <w:t>https://ico.org.uk/for-organisations/uk-gdpr-guidance-and-resources/lawful-basis/special-category-data/what-is-special-category-data/</w:t>
        </w:r>
      </w:hyperlink>
      <w:r w:rsidRPr="003B2501">
        <w:rPr>
          <w:rFonts w:ascii="Times New Roman" w:eastAsia="Times New Roman" w:hAnsi="Times New Roman" w:cs="Times New Roman"/>
          <w:kern w:val="0"/>
          <w:lang w:eastAsia="en-GB"/>
          <w14:ligatures w14:val="none"/>
        </w:rPr>
        <w:t xml:space="preserve"> (Accessed: 19 October 2026).</w:t>
      </w:r>
    </w:p>
    <w:p w14:paraId="3CB42284"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 xml:space="preserve">NHS England (2024a) </w:t>
      </w:r>
      <w:r w:rsidRPr="003B2501">
        <w:rPr>
          <w:rFonts w:ascii="Times New Roman" w:eastAsia="Times New Roman" w:hAnsi="Times New Roman" w:cs="Times New Roman"/>
          <w:i/>
          <w:iCs/>
          <w:kern w:val="0"/>
          <w:lang w:eastAsia="en-GB"/>
          <w14:ligatures w14:val="none"/>
        </w:rPr>
        <w:t>Virtual wards</w:t>
      </w:r>
      <w:r w:rsidRPr="003B2501">
        <w:rPr>
          <w:rFonts w:ascii="Times New Roman" w:eastAsia="Times New Roman" w:hAnsi="Times New Roman" w:cs="Times New Roman"/>
          <w:kern w:val="0"/>
          <w:lang w:eastAsia="en-GB"/>
          <w14:ligatures w14:val="none"/>
        </w:rPr>
        <w:t xml:space="preserve">. Available at: </w:t>
      </w:r>
      <w:hyperlink r:id="rId9" w:history="1">
        <w:r w:rsidRPr="003B2501">
          <w:rPr>
            <w:rFonts w:ascii="Times New Roman" w:eastAsia="Times New Roman" w:hAnsi="Times New Roman" w:cs="Times New Roman"/>
            <w:color w:val="0000FF"/>
            <w:kern w:val="0"/>
            <w:u w:val="single"/>
            <w:lang w:eastAsia="en-GB"/>
            <w14:ligatures w14:val="none"/>
          </w:rPr>
          <w:t>https://www.england.nhs.uk/virtual-wards/</w:t>
        </w:r>
      </w:hyperlink>
      <w:r w:rsidRPr="003B2501">
        <w:rPr>
          <w:rFonts w:ascii="Times New Roman" w:eastAsia="Times New Roman" w:hAnsi="Times New Roman" w:cs="Times New Roman"/>
          <w:kern w:val="0"/>
          <w:lang w:eastAsia="en-GB"/>
          <w14:ligatures w14:val="none"/>
        </w:rPr>
        <w:t xml:space="preserve"> (Accessed: 19 October 2026).</w:t>
      </w:r>
    </w:p>
    <w:p w14:paraId="659CEBC1"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 xml:space="preserve">NHS England (2024b) </w:t>
      </w:r>
      <w:r w:rsidRPr="003B2501">
        <w:rPr>
          <w:rFonts w:ascii="Times New Roman" w:eastAsia="Times New Roman" w:hAnsi="Times New Roman" w:cs="Times New Roman"/>
          <w:i/>
          <w:iCs/>
          <w:kern w:val="0"/>
          <w:lang w:eastAsia="en-GB"/>
          <w14:ligatures w14:val="none"/>
        </w:rPr>
        <w:t>Summary of South East region virtual wards evaluation</w:t>
      </w:r>
      <w:r w:rsidRPr="003B2501">
        <w:rPr>
          <w:rFonts w:ascii="Times New Roman" w:eastAsia="Times New Roman" w:hAnsi="Times New Roman" w:cs="Times New Roman"/>
          <w:kern w:val="0"/>
          <w:lang w:eastAsia="en-GB"/>
          <w14:ligatures w14:val="none"/>
        </w:rPr>
        <w:t xml:space="preserve">. Available at: </w:t>
      </w:r>
      <w:hyperlink r:id="rId10" w:history="1">
        <w:r w:rsidRPr="003B2501">
          <w:rPr>
            <w:rFonts w:ascii="Times New Roman" w:eastAsia="Times New Roman" w:hAnsi="Times New Roman" w:cs="Times New Roman"/>
            <w:color w:val="0000FF"/>
            <w:kern w:val="0"/>
            <w:u w:val="single"/>
            <w:lang w:eastAsia="en-GB"/>
            <w14:ligatures w14:val="none"/>
          </w:rPr>
          <w:t>https://www.england.nhs.uk/long-read/summary-of-south-east-region-virtual-wards-evaluation/</w:t>
        </w:r>
      </w:hyperlink>
      <w:r w:rsidRPr="003B2501">
        <w:rPr>
          <w:rFonts w:ascii="Times New Roman" w:eastAsia="Times New Roman" w:hAnsi="Times New Roman" w:cs="Times New Roman"/>
          <w:kern w:val="0"/>
          <w:lang w:eastAsia="en-GB"/>
          <w14:ligatures w14:val="none"/>
        </w:rPr>
        <w:t xml:space="preserve"> (Accessed: 19 October 2026).</w:t>
      </w:r>
    </w:p>
    <w:p w14:paraId="500D4818"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 xml:space="preserve">NHS England (2024c) </w:t>
      </w:r>
      <w:r w:rsidRPr="003B2501">
        <w:rPr>
          <w:rFonts w:ascii="Times New Roman" w:eastAsia="Times New Roman" w:hAnsi="Times New Roman" w:cs="Times New Roman"/>
          <w:i/>
          <w:iCs/>
          <w:kern w:val="0"/>
          <w:lang w:eastAsia="en-GB"/>
          <w14:ligatures w14:val="none"/>
        </w:rPr>
        <w:t>Virtual wards operational framework</w:t>
      </w:r>
      <w:r w:rsidRPr="003B2501">
        <w:rPr>
          <w:rFonts w:ascii="Times New Roman" w:eastAsia="Times New Roman" w:hAnsi="Times New Roman" w:cs="Times New Roman"/>
          <w:kern w:val="0"/>
          <w:lang w:eastAsia="en-GB"/>
          <w14:ligatures w14:val="none"/>
        </w:rPr>
        <w:t xml:space="preserve">. Available at: </w:t>
      </w:r>
      <w:hyperlink r:id="rId11" w:history="1">
        <w:r w:rsidRPr="003B2501">
          <w:rPr>
            <w:rFonts w:ascii="Times New Roman" w:eastAsia="Times New Roman" w:hAnsi="Times New Roman" w:cs="Times New Roman"/>
            <w:color w:val="0000FF"/>
            <w:kern w:val="0"/>
            <w:u w:val="single"/>
            <w:lang w:eastAsia="en-GB"/>
            <w14:ligatures w14:val="none"/>
          </w:rPr>
          <w:t>https://www.england.nhs.uk/virtual-wards/</w:t>
        </w:r>
      </w:hyperlink>
      <w:r w:rsidRPr="003B2501">
        <w:rPr>
          <w:rFonts w:ascii="Times New Roman" w:eastAsia="Times New Roman" w:hAnsi="Times New Roman" w:cs="Times New Roman"/>
          <w:kern w:val="0"/>
          <w:lang w:eastAsia="en-GB"/>
          <w14:ligatures w14:val="none"/>
        </w:rPr>
        <w:t xml:space="preserve"> (Accessed: 19 October 2026).</w:t>
      </w:r>
    </w:p>
    <w:p w14:paraId="289399A9"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 xml:space="preserve">Patel, R., Thornton-Swan, T.D., Armitage, L.C., Vollam, S., Tarassenko, L., Lasserson, D.S. and Farmer, A.J. (2024) ‘Remote vital sign monitoring in admission avoidance hospital at home: a systematic review’, </w:t>
      </w:r>
      <w:r w:rsidRPr="003B2501">
        <w:rPr>
          <w:rFonts w:ascii="Times New Roman" w:eastAsia="Times New Roman" w:hAnsi="Times New Roman" w:cs="Times New Roman"/>
          <w:i/>
          <w:iCs/>
          <w:kern w:val="0"/>
          <w:lang w:eastAsia="en-GB"/>
          <w14:ligatures w14:val="none"/>
        </w:rPr>
        <w:t>Journal of the American Medical Directors Association</w:t>
      </w:r>
      <w:r w:rsidRPr="003B2501">
        <w:rPr>
          <w:rFonts w:ascii="Times New Roman" w:eastAsia="Times New Roman" w:hAnsi="Times New Roman" w:cs="Times New Roman"/>
          <w:kern w:val="0"/>
          <w:lang w:eastAsia="en-GB"/>
          <w14:ligatures w14:val="none"/>
        </w:rPr>
        <w:t xml:space="preserve">, 25(8), article 105080. Available at: </w:t>
      </w:r>
      <w:hyperlink r:id="rId12" w:history="1">
        <w:r w:rsidRPr="003B2501">
          <w:rPr>
            <w:rFonts w:ascii="Times New Roman" w:eastAsia="Times New Roman" w:hAnsi="Times New Roman" w:cs="Times New Roman"/>
            <w:color w:val="0000FF"/>
            <w:kern w:val="0"/>
            <w:u w:val="single"/>
            <w:lang w:eastAsia="en-GB"/>
            <w14:ligatures w14:val="none"/>
          </w:rPr>
          <w:t>https://doi.org/10.1016/j.jamda.2024.105080</w:t>
        </w:r>
      </w:hyperlink>
      <w:r w:rsidRPr="003B2501">
        <w:rPr>
          <w:rFonts w:ascii="Times New Roman" w:eastAsia="Times New Roman" w:hAnsi="Times New Roman" w:cs="Times New Roman"/>
          <w:kern w:val="0"/>
          <w:lang w:eastAsia="en-GB"/>
          <w14:ligatures w14:val="none"/>
        </w:rPr>
        <w:t>.</w:t>
      </w:r>
    </w:p>
    <w:p w14:paraId="417AB32C"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 xml:space="preserve">Shi, C. </w:t>
      </w:r>
      <w:r w:rsidRPr="003B2501">
        <w:rPr>
          <w:rFonts w:ascii="Times New Roman" w:eastAsia="Times New Roman" w:hAnsi="Times New Roman" w:cs="Times New Roman"/>
          <w:i/>
          <w:iCs/>
          <w:kern w:val="0"/>
          <w:lang w:eastAsia="en-GB"/>
          <w14:ligatures w14:val="none"/>
        </w:rPr>
        <w:t>et al.</w:t>
      </w:r>
      <w:r w:rsidRPr="003B2501">
        <w:rPr>
          <w:rFonts w:ascii="Times New Roman" w:eastAsia="Times New Roman" w:hAnsi="Times New Roman" w:cs="Times New Roman"/>
          <w:kern w:val="0"/>
          <w:lang w:eastAsia="en-GB"/>
          <w14:ligatures w14:val="none"/>
        </w:rPr>
        <w:t xml:space="preserve"> (2024) ‘Inpatient-level care at home delivered by virtual wards and hospital at home: a systematic review and meta-analysis of complex interventions and their components’, </w:t>
      </w:r>
      <w:r w:rsidRPr="003B2501">
        <w:rPr>
          <w:rFonts w:ascii="Times New Roman" w:eastAsia="Times New Roman" w:hAnsi="Times New Roman" w:cs="Times New Roman"/>
          <w:i/>
          <w:iCs/>
          <w:kern w:val="0"/>
          <w:lang w:eastAsia="en-GB"/>
          <w14:ligatures w14:val="none"/>
        </w:rPr>
        <w:t>BMC Medicine</w:t>
      </w:r>
      <w:r w:rsidRPr="003B2501">
        <w:rPr>
          <w:rFonts w:ascii="Times New Roman" w:eastAsia="Times New Roman" w:hAnsi="Times New Roman" w:cs="Times New Roman"/>
          <w:kern w:val="0"/>
          <w:lang w:eastAsia="en-GB"/>
          <w14:ligatures w14:val="none"/>
        </w:rPr>
        <w:t xml:space="preserve">, 22, article 145. Available at: </w:t>
      </w:r>
      <w:hyperlink r:id="rId13" w:history="1">
        <w:r w:rsidRPr="003B2501">
          <w:rPr>
            <w:rFonts w:ascii="Times New Roman" w:eastAsia="Times New Roman" w:hAnsi="Times New Roman" w:cs="Times New Roman"/>
            <w:color w:val="0000FF"/>
            <w:kern w:val="0"/>
            <w:u w:val="single"/>
            <w:lang w:eastAsia="en-GB"/>
            <w14:ligatures w14:val="none"/>
          </w:rPr>
          <w:t>https://doi.org/10.1186/s12916-024-03312-3</w:t>
        </w:r>
      </w:hyperlink>
      <w:r w:rsidRPr="003B2501">
        <w:rPr>
          <w:rFonts w:ascii="Times New Roman" w:eastAsia="Times New Roman" w:hAnsi="Times New Roman" w:cs="Times New Roman"/>
          <w:kern w:val="0"/>
          <w:lang w:eastAsia="en-GB"/>
          <w14:ligatures w14:val="none"/>
        </w:rPr>
        <w:t>.</w:t>
      </w:r>
    </w:p>
    <w:p w14:paraId="1B388377"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 xml:space="preserve">Thornton, N., Horton, T. and Hardie, T. (2023) </w:t>
      </w:r>
      <w:r w:rsidRPr="003B2501">
        <w:rPr>
          <w:rFonts w:ascii="Times New Roman" w:eastAsia="Times New Roman" w:hAnsi="Times New Roman" w:cs="Times New Roman"/>
          <w:i/>
          <w:iCs/>
          <w:kern w:val="0"/>
          <w:lang w:eastAsia="en-GB"/>
          <w14:ligatures w14:val="none"/>
        </w:rPr>
        <w:t>How do the public and NHS staff feel about virtual wards?</w:t>
      </w:r>
      <w:r w:rsidRPr="003B2501">
        <w:rPr>
          <w:rFonts w:ascii="Times New Roman" w:eastAsia="Times New Roman" w:hAnsi="Times New Roman" w:cs="Times New Roman"/>
          <w:kern w:val="0"/>
          <w:lang w:eastAsia="en-GB"/>
          <w14:ligatures w14:val="none"/>
        </w:rPr>
        <w:t xml:space="preserve"> Health Foundation. Available at: </w:t>
      </w:r>
      <w:hyperlink r:id="rId14" w:history="1">
        <w:r w:rsidRPr="003B2501">
          <w:rPr>
            <w:rFonts w:ascii="Times New Roman" w:eastAsia="Times New Roman" w:hAnsi="Times New Roman" w:cs="Times New Roman"/>
            <w:color w:val="0000FF"/>
            <w:kern w:val="0"/>
            <w:u w:val="single"/>
            <w:lang w:eastAsia="en-GB"/>
            <w14:ligatures w14:val="none"/>
          </w:rPr>
          <w:t>https://www.health.org.uk/reports-and-analysis/analysis/how-do-the-public-and-nhs-staff-feel-about-virtual-wards</w:t>
        </w:r>
      </w:hyperlink>
      <w:r w:rsidRPr="003B2501">
        <w:rPr>
          <w:rFonts w:ascii="Times New Roman" w:eastAsia="Times New Roman" w:hAnsi="Times New Roman" w:cs="Times New Roman"/>
          <w:kern w:val="0"/>
          <w:lang w:eastAsia="en-GB"/>
          <w14:ligatures w14:val="none"/>
        </w:rPr>
        <w:t xml:space="preserve"> (Accessed: 19 October 2026).</w:t>
      </w:r>
    </w:p>
    <w:p w14:paraId="621835F5" w14:textId="77777777"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 xml:space="preserve">UK Government (2018) </w:t>
      </w:r>
      <w:r w:rsidRPr="003B2501">
        <w:rPr>
          <w:rFonts w:ascii="Times New Roman" w:eastAsia="Times New Roman" w:hAnsi="Times New Roman" w:cs="Times New Roman"/>
          <w:i/>
          <w:iCs/>
          <w:kern w:val="0"/>
          <w:lang w:eastAsia="en-GB"/>
          <w14:ligatures w14:val="none"/>
        </w:rPr>
        <w:t>Data Protection Act 2018</w:t>
      </w:r>
      <w:r w:rsidRPr="003B2501">
        <w:rPr>
          <w:rFonts w:ascii="Times New Roman" w:eastAsia="Times New Roman" w:hAnsi="Times New Roman" w:cs="Times New Roman"/>
          <w:kern w:val="0"/>
          <w:lang w:eastAsia="en-GB"/>
          <w14:ligatures w14:val="none"/>
        </w:rPr>
        <w:t xml:space="preserve">. Available at: </w:t>
      </w:r>
      <w:hyperlink r:id="rId15" w:history="1">
        <w:r w:rsidRPr="003B2501">
          <w:rPr>
            <w:rFonts w:ascii="Times New Roman" w:eastAsia="Times New Roman" w:hAnsi="Times New Roman" w:cs="Times New Roman"/>
            <w:color w:val="0000FF"/>
            <w:kern w:val="0"/>
            <w:u w:val="single"/>
            <w:lang w:eastAsia="en-GB"/>
            <w14:ligatures w14:val="none"/>
          </w:rPr>
          <w:t>https://www.legislation.gov.uk/ukpga/2018/12/contents</w:t>
        </w:r>
      </w:hyperlink>
      <w:r w:rsidRPr="003B2501">
        <w:rPr>
          <w:rFonts w:ascii="Times New Roman" w:eastAsia="Times New Roman" w:hAnsi="Times New Roman" w:cs="Times New Roman"/>
          <w:kern w:val="0"/>
          <w:lang w:eastAsia="en-GB"/>
          <w14:ligatures w14:val="none"/>
        </w:rPr>
        <w:t xml:space="preserve"> (Accessed: 19 October 2026).</w:t>
      </w:r>
    </w:p>
    <w:p w14:paraId="55DAEE04" w14:textId="4F57119B" w:rsidR="003B2501" w:rsidRPr="003B2501" w:rsidRDefault="003B2501" w:rsidP="003B250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B2501">
        <w:rPr>
          <w:rFonts w:ascii="Times New Roman" w:eastAsia="Times New Roman" w:hAnsi="Times New Roman" w:cs="Times New Roman"/>
          <w:kern w:val="0"/>
          <w:lang w:eastAsia="en-GB"/>
          <w14:ligatures w14:val="none"/>
        </w:rPr>
        <w:t>Vindrola-</w:t>
      </w:r>
      <w:r w:rsidR="004319F2" w:rsidRPr="003B2501">
        <w:rPr>
          <w:rFonts w:ascii="Times New Roman" w:eastAsia="Times New Roman" w:hAnsi="Times New Roman" w:cs="Times New Roman"/>
          <w:kern w:val="0"/>
          <w:lang w:eastAsia="en-GB"/>
          <w14:ligatures w14:val="none"/>
        </w:rPr>
        <w:t>Padro’s</w:t>
      </w:r>
      <w:r w:rsidRPr="003B2501">
        <w:rPr>
          <w:rFonts w:ascii="Times New Roman" w:eastAsia="Times New Roman" w:hAnsi="Times New Roman" w:cs="Times New Roman"/>
          <w:kern w:val="0"/>
          <w:lang w:eastAsia="en-GB"/>
          <w14:ligatures w14:val="none"/>
        </w:rPr>
        <w:t>,</w:t>
      </w:r>
      <w:r w:rsidR="00D226A5">
        <w:rPr>
          <w:rFonts w:ascii="Times New Roman" w:eastAsia="Times New Roman" w:hAnsi="Times New Roman" w:cs="Times New Roman"/>
          <w:kern w:val="0"/>
          <w:lang w:eastAsia="en-GB"/>
          <w14:ligatures w14:val="none"/>
        </w:rPr>
        <w:t>#</w:t>
      </w:r>
      <w:r w:rsidRPr="003B2501">
        <w:rPr>
          <w:rFonts w:ascii="Times New Roman" w:eastAsia="Times New Roman" w:hAnsi="Times New Roman" w:cs="Times New Roman"/>
          <w:kern w:val="0"/>
          <w:lang w:eastAsia="en-GB"/>
          <w14:ligatures w14:val="none"/>
        </w:rPr>
        <w:t xml:space="preserve"> C. </w:t>
      </w:r>
      <w:r w:rsidRPr="003B2501">
        <w:rPr>
          <w:rFonts w:ascii="Times New Roman" w:eastAsia="Times New Roman" w:hAnsi="Times New Roman" w:cs="Times New Roman"/>
          <w:i/>
          <w:iCs/>
          <w:kern w:val="0"/>
          <w:lang w:eastAsia="en-GB"/>
          <w14:ligatures w14:val="none"/>
        </w:rPr>
        <w:t>et al.</w:t>
      </w:r>
      <w:r w:rsidRPr="003B2501">
        <w:rPr>
          <w:rFonts w:ascii="Times New Roman" w:eastAsia="Times New Roman" w:hAnsi="Times New Roman" w:cs="Times New Roman"/>
          <w:kern w:val="0"/>
          <w:lang w:eastAsia="en-GB"/>
          <w14:ligatures w14:val="none"/>
        </w:rPr>
        <w:t xml:space="preserve"> (2021) ‘Remote home monitoring (virtual wards) for confirmed or suspected COVID-19 patients: a rapid systematic review’, </w:t>
      </w:r>
      <w:r w:rsidRPr="003B2501">
        <w:rPr>
          <w:rFonts w:ascii="Times New Roman" w:eastAsia="Times New Roman" w:hAnsi="Times New Roman" w:cs="Times New Roman"/>
          <w:i/>
          <w:iCs/>
          <w:kern w:val="0"/>
          <w:lang w:eastAsia="en-GB"/>
          <w14:ligatures w14:val="none"/>
        </w:rPr>
        <w:t>EClinicalMedicine</w:t>
      </w:r>
      <w:r w:rsidRPr="003B2501">
        <w:rPr>
          <w:rFonts w:ascii="Times New Roman" w:eastAsia="Times New Roman" w:hAnsi="Times New Roman" w:cs="Times New Roman"/>
          <w:kern w:val="0"/>
          <w:lang w:eastAsia="en-GB"/>
          <w14:ligatures w14:val="none"/>
        </w:rPr>
        <w:t>, 37, article 100965.</w:t>
      </w:r>
    </w:p>
    <w:p w14:paraId="119F5EFD" w14:textId="5760514B" w:rsidR="00EF2BD8" w:rsidRDefault="00EF2BD8"/>
    <w:sectPr w:rsidR="00EF2B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92435F9"/>
    <w:multiLevelType w:val="multilevel"/>
    <w:tmpl w:val="8DF0AB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851372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501"/>
    <w:rsid w:val="002664F4"/>
    <w:rsid w:val="002922C0"/>
    <w:rsid w:val="003A2797"/>
    <w:rsid w:val="003B2501"/>
    <w:rsid w:val="004319F2"/>
    <w:rsid w:val="00A879A3"/>
    <w:rsid w:val="00B05C2E"/>
    <w:rsid w:val="00D226A5"/>
    <w:rsid w:val="00E921D9"/>
    <w:rsid w:val="00EF2B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8AE4E"/>
  <w15:chartTrackingRefBased/>
  <w15:docId w15:val="{568332C4-7537-476E-88D0-1FAA4678A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25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25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25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25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25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25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25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25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25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25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25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25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25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25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25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25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25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2501"/>
    <w:rPr>
      <w:rFonts w:eastAsiaTheme="majorEastAsia" w:cstheme="majorBidi"/>
      <w:color w:val="272727" w:themeColor="text1" w:themeTint="D8"/>
    </w:rPr>
  </w:style>
  <w:style w:type="paragraph" w:styleId="Title">
    <w:name w:val="Title"/>
    <w:basedOn w:val="Normal"/>
    <w:next w:val="Normal"/>
    <w:link w:val="TitleChar"/>
    <w:uiPriority w:val="10"/>
    <w:qFormat/>
    <w:rsid w:val="003B25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25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25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25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2501"/>
    <w:pPr>
      <w:spacing w:before="160"/>
      <w:jc w:val="center"/>
    </w:pPr>
    <w:rPr>
      <w:i/>
      <w:iCs/>
      <w:color w:val="404040" w:themeColor="text1" w:themeTint="BF"/>
    </w:rPr>
  </w:style>
  <w:style w:type="character" w:customStyle="1" w:styleId="QuoteChar">
    <w:name w:val="Quote Char"/>
    <w:basedOn w:val="DefaultParagraphFont"/>
    <w:link w:val="Quote"/>
    <w:uiPriority w:val="29"/>
    <w:rsid w:val="003B2501"/>
    <w:rPr>
      <w:i/>
      <w:iCs/>
      <w:color w:val="404040" w:themeColor="text1" w:themeTint="BF"/>
    </w:rPr>
  </w:style>
  <w:style w:type="paragraph" w:styleId="ListParagraph">
    <w:name w:val="List Paragraph"/>
    <w:basedOn w:val="Normal"/>
    <w:uiPriority w:val="34"/>
    <w:qFormat/>
    <w:rsid w:val="003B2501"/>
    <w:pPr>
      <w:ind w:left="720"/>
      <w:contextualSpacing/>
    </w:pPr>
  </w:style>
  <w:style w:type="character" w:styleId="IntenseEmphasis">
    <w:name w:val="Intense Emphasis"/>
    <w:basedOn w:val="DefaultParagraphFont"/>
    <w:uiPriority w:val="21"/>
    <w:qFormat/>
    <w:rsid w:val="003B2501"/>
    <w:rPr>
      <w:i/>
      <w:iCs/>
      <w:color w:val="0F4761" w:themeColor="accent1" w:themeShade="BF"/>
    </w:rPr>
  </w:style>
  <w:style w:type="paragraph" w:styleId="IntenseQuote">
    <w:name w:val="Intense Quote"/>
    <w:basedOn w:val="Normal"/>
    <w:next w:val="Normal"/>
    <w:link w:val="IntenseQuoteChar"/>
    <w:uiPriority w:val="30"/>
    <w:qFormat/>
    <w:rsid w:val="003B25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2501"/>
    <w:rPr>
      <w:i/>
      <w:iCs/>
      <w:color w:val="0F4761" w:themeColor="accent1" w:themeShade="BF"/>
    </w:rPr>
  </w:style>
  <w:style w:type="character" w:styleId="IntenseReference">
    <w:name w:val="Intense Reference"/>
    <w:basedOn w:val="DefaultParagraphFont"/>
    <w:uiPriority w:val="32"/>
    <w:qFormat/>
    <w:rsid w:val="003B250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for-organisations/uk-gdpr-guidance-and-resources/lawful-basis/special-category-data/what-is-special-category-data/" TargetMode="External"/><Relationship Id="rId13" Type="http://schemas.openxmlformats.org/officeDocument/2006/relationships/hyperlink" Target="https://doi.org/10.1186/s12916-024-03312-3" TargetMode="External"/><Relationship Id="rId3" Type="http://schemas.openxmlformats.org/officeDocument/2006/relationships/settings" Target="settings.xml"/><Relationship Id="rId7" Type="http://schemas.openxmlformats.org/officeDocument/2006/relationships/hyperlink" Target="https://www.gov.uk/government/publications/a-plan-for-digital-health-and-social-care" TargetMode="External"/><Relationship Id="rId12" Type="http://schemas.openxmlformats.org/officeDocument/2006/relationships/hyperlink" Target="https://doi.org/10.1016/j.jamda.2024.10508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gov.uk/government/publications/digital-working-in-adult-social-care-what-good-looks-like" TargetMode="External"/><Relationship Id="rId11" Type="http://schemas.openxmlformats.org/officeDocument/2006/relationships/hyperlink" Target="https://www.england.nhs.uk/virtual-wards/" TargetMode="External"/><Relationship Id="rId5" Type="http://schemas.openxmlformats.org/officeDocument/2006/relationships/hyperlink" Target="https://www.health.org.uk/reports-and-analysis/working-papers/what-do-virtual-wards-look-like-in-england" TargetMode="External"/><Relationship Id="rId15" Type="http://schemas.openxmlformats.org/officeDocument/2006/relationships/hyperlink" Target="https://www.legislation.gov.uk/ukpga/2018/12/contents" TargetMode="External"/><Relationship Id="rId10" Type="http://schemas.openxmlformats.org/officeDocument/2006/relationships/hyperlink" Target="https://www.england.nhs.uk/long-read/summary-of-south-east-region-virtual-wards-evaluation/" TargetMode="External"/><Relationship Id="rId4" Type="http://schemas.openxmlformats.org/officeDocument/2006/relationships/webSettings" Target="webSettings.xml"/><Relationship Id="rId9" Type="http://schemas.openxmlformats.org/officeDocument/2006/relationships/hyperlink" Target="https://www.england.nhs.uk/virtual-wards/" TargetMode="External"/><Relationship Id="rId14" Type="http://schemas.openxmlformats.org/officeDocument/2006/relationships/hyperlink" Target="https://www.health.org.uk/reports-and-analysis/analysis/how-do-the-public-and-nhs-staff-feel-about-virtual-wa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53</TotalTime>
  <Pages>9</Pages>
  <Words>3050</Words>
  <Characters>17391</Characters>
  <Application>Microsoft Office Word</Application>
  <DocSecurity>0</DocSecurity>
  <Lines>144</Lines>
  <Paragraphs>40</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
      <vt:lpstr>Student Name: Nafia Tasnim Rinbi </vt:lpstr>
      <vt:lpstr>Student id: 2409141</vt:lpstr>
      <vt:lpstr>Module name Code: Digital Transformation in Health &amp; Social Care</vt:lpstr>
      <vt:lpstr>BMHP6026</vt:lpstr>
      <vt:lpstr>Date: 19/10/2026</vt:lpstr>
      <vt:lpstr/>
      <vt:lpstr/>
      <vt:lpstr>Table of Contents</vt:lpstr>
      <vt:lpstr/>
      <vt:lpstr/>
      <vt:lpstr/>
      <vt:lpstr/>
      <vt:lpstr>A Critical SWOT Analysis of Remote Patient Monitoring within NHS Virtual Wards i</vt:lpstr>
      <vt:lpstr>    1. Introduction</vt:lpstr>
      <vt:lpstr>    2. Critical SWOT Analysis</vt:lpstr>
      <vt:lpstr>        2.1 Workforce</vt:lpstr>
      <vt:lpstr>        2.2 Service Delivery</vt:lpstr>
      <vt:lpstr>        2.3 Patient/Service User</vt:lpstr>
      <vt:lpstr>        2.4 Community</vt:lpstr>
      <vt:lpstr>    3. Conclusion and Recommendations</vt:lpstr>
      <vt:lpstr>    4. Reference List</vt:lpstr>
    </vt:vector>
  </TitlesOfParts>
  <Company/>
  <LinksUpToDate>false</LinksUpToDate>
  <CharactersWithSpaces>20401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Nafia Rinbi</dc:creator>
  <cp:keywords/>
  <dc:description/>
  <cp:lastModifiedBy>Nafia Rinbi</cp:lastModifiedBy>
  <cp:revision>6</cp:revision>
  <dcterms:created xsi:type="dcterms:W3CDTF">2026-10-19T13:51:00Z</dcterms:created>
  <dcterms:modified xsi:type="dcterms:W3CDTF">2026-10-19T14:44:00Z</dcterms:modified>
</cp:coreProperties>
</file>