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3F782E" w14:textId="77777777" w:rsidR="005A1FDE" w:rsidRPr="000A3A10" w:rsidRDefault="000A3A10" w:rsidP="005A1FDE">
      <w:pPr>
        <w:spacing w:line="360" w:lineRule="auto"/>
        <w:jc w:val="center"/>
        <w:rPr>
          <w:rFonts w:ascii="Arial" w:hAnsi="Arial" w:cs="Arial"/>
          <w:sz w:val="32"/>
        </w:rPr>
      </w:pPr>
      <w:r w:rsidRPr="000A3A10">
        <w:rPr>
          <w:rFonts w:ascii="Arial" w:hAnsi="Arial" w:cs="Arial"/>
          <w:sz w:val="32"/>
        </w:rPr>
        <w:t>BSc Health and Social Care</w:t>
      </w:r>
    </w:p>
    <w:p w14:paraId="48F240AC" w14:textId="77777777" w:rsidR="005A1FDE" w:rsidRPr="000A3A10" w:rsidRDefault="000A3A10" w:rsidP="005A1FDE">
      <w:pPr>
        <w:spacing w:line="360" w:lineRule="auto"/>
        <w:jc w:val="center"/>
        <w:rPr>
          <w:rFonts w:ascii="Arial" w:hAnsi="Arial" w:cs="Arial"/>
          <w:sz w:val="32"/>
        </w:rPr>
      </w:pPr>
      <w:r w:rsidRPr="000A3A10">
        <w:rPr>
          <w:rFonts w:ascii="Arial" w:hAnsi="Arial" w:cs="Arial"/>
          <w:sz w:val="32"/>
        </w:rPr>
        <w:t>Introduction to Independent Research Skills</w:t>
      </w:r>
    </w:p>
    <w:p w14:paraId="10A7D6A9" w14:textId="77777777" w:rsidR="005A1FDE" w:rsidRPr="000A3A10" w:rsidRDefault="000A3A10" w:rsidP="005A1FDE">
      <w:pPr>
        <w:spacing w:line="360" w:lineRule="auto"/>
        <w:jc w:val="center"/>
        <w:rPr>
          <w:rFonts w:ascii="Arial" w:hAnsi="Arial" w:cs="Arial"/>
          <w:sz w:val="32"/>
        </w:rPr>
      </w:pPr>
      <w:r w:rsidRPr="000A3A10">
        <w:rPr>
          <w:rFonts w:ascii="Arial" w:hAnsi="Arial" w:cs="Arial"/>
          <w:sz w:val="32"/>
        </w:rPr>
        <w:t>BMHP5019</w:t>
      </w:r>
    </w:p>
    <w:p w14:paraId="11E2D283" w14:textId="77777777" w:rsidR="00626408" w:rsidRPr="000A3A10" w:rsidRDefault="000A3A10" w:rsidP="005A1FDE">
      <w:pPr>
        <w:spacing w:line="360" w:lineRule="auto"/>
        <w:jc w:val="center"/>
        <w:rPr>
          <w:rFonts w:ascii="Arial" w:hAnsi="Arial" w:cs="Arial"/>
          <w:sz w:val="32"/>
        </w:rPr>
      </w:pPr>
      <w:r w:rsidRPr="000A3A10">
        <w:rPr>
          <w:rFonts w:ascii="Arial" w:hAnsi="Arial" w:cs="Arial"/>
          <w:sz w:val="32"/>
        </w:rPr>
        <w:t>Component 2: Written Assignment (Research Report)</w:t>
      </w:r>
    </w:p>
    <w:p w14:paraId="45B29925" w14:textId="77777777" w:rsidR="005A1FDE" w:rsidRPr="000A3A10" w:rsidRDefault="005A1FDE" w:rsidP="005A1FDE">
      <w:pPr>
        <w:spacing w:line="360" w:lineRule="auto"/>
        <w:jc w:val="center"/>
        <w:rPr>
          <w:rFonts w:ascii="Arial" w:hAnsi="Arial" w:cs="Arial"/>
          <w:sz w:val="32"/>
        </w:rPr>
      </w:pPr>
    </w:p>
    <w:p w14:paraId="6FAA0B10" w14:textId="77777777" w:rsidR="003761F9" w:rsidRPr="000A3A10" w:rsidRDefault="003761F9" w:rsidP="005A1FDE">
      <w:pPr>
        <w:spacing w:line="360" w:lineRule="auto"/>
        <w:jc w:val="center"/>
        <w:rPr>
          <w:rFonts w:ascii="Arial" w:hAnsi="Arial" w:cs="Arial"/>
          <w:sz w:val="32"/>
        </w:rPr>
      </w:pPr>
    </w:p>
    <w:p w14:paraId="697750DB" w14:textId="77777777" w:rsidR="005A1FDE" w:rsidRPr="000A3A10" w:rsidRDefault="005A1FDE" w:rsidP="005A1FDE">
      <w:pPr>
        <w:spacing w:line="360" w:lineRule="auto"/>
        <w:jc w:val="center"/>
        <w:rPr>
          <w:rFonts w:ascii="Arial" w:hAnsi="Arial" w:cs="Arial"/>
          <w:sz w:val="32"/>
        </w:rPr>
      </w:pPr>
    </w:p>
    <w:p w14:paraId="2165DF11" w14:textId="77777777" w:rsidR="005A1FDE" w:rsidRPr="000A3A10" w:rsidRDefault="005A1FDE" w:rsidP="005A1FDE">
      <w:pPr>
        <w:spacing w:line="360" w:lineRule="auto"/>
        <w:jc w:val="center"/>
        <w:rPr>
          <w:rFonts w:ascii="Arial" w:hAnsi="Arial" w:cs="Arial"/>
          <w:sz w:val="32"/>
        </w:rPr>
      </w:pPr>
    </w:p>
    <w:p w14:paraId="5C2B4C2B" w14:textId="77777777" w:rsidR="005A1FDE" w:rsidRPr="000A3A10" w:rsidRDefault="005A1FDE" w:rsidP="005A1FDE">
      <w:pPr>
        <w:spacing w:line="360" w:lineRule="auto"/>
        <w:jc w:val="center"/>
        <w:rPr>
          <w:rFonts w:ascii="Arial" w:hAnsi="Arial" w:cs="Arial"/>
          <w:sz w:val="32"/>
        </w:rPr>
      </w:pPr>
    </w:p>
    <w:p w14:paraId="0415E1EB" w14:textId="77777777" w:rsidR="005A1FDE" w:rsidRPr="000A3A10" w:rsidRDefault="005A1FDE" w:rsidP="005A1FDE">
      <w:pPr>
        <w:spacing w:line="360" w:lineRule="auto"/>
        <w:jc w:val="center"/>
        <w:rPr>
          <w:rFonts w:ascii="Arial" w:hAnsi="Arial" w:cs="Arial"/>
          <w:sz w:val="32"/>
        </w:rPr>
      </w:pPr>
    </w:p>
    <w:p w14:paraId="5688B51C" w14:textId="77777777" w:rsidR="003761F9" w:rsidRPr="000A3A10" w:rsidRDefault="000A3A10" w:rsidP="003761F9">
      <w:pPr>
        <w:spacing w:after="240" w:line="360" w:lineRule="auto"/>
        <w:jc w:val="center"/>
        <w:rPr>
          <w:rFonts w:ascii="Arial" w:hAnsi="Arial" w:cs="Arial"/>
          <w:b/>
          <w:sz w:val="32"/>
        </w:rPr>
      </w:pPr>
      <w:r w:rsidRPr="000A3A10">
        <w:rPr>
          <w:rFonts w:ascii="Arial" w:hAnsi="Arial" w:cs="Arial"/>
          <w:b/>
          <w:sz w:val="32"/>
        </w:rPr>
        <w:t>A Scoping Review of Digital Health Interventions Supporting Self-Management of Type 2 Diabetes in UK Primary Care</w:t>
      </w:r>
    </w:p>
    <w:p w14:paraId="5598CA9D" w14:textId="77777777" w:rsidR="003761F9" w:rsidRPr="000A3A10" w:rsidRDefault="003761F9" w:rsidP="005A1FDE">
      <w:pPr>
        <w:spacing w:line="360" w:lineRule="auto"/>
        <w:jc w:val="center"/>
        <w:rPr>
          <w:rFonts w:ascii="Arial" w:hAnsi="Arial" w:cs="Arial"/>
          <w:sz w:val="32"/>
        </w:rPr>
      </w:pPr>
    </w:p>
    <w:p w14:paraId="61A1C1E6" w14:textId="77777777" w:rsidR="005A1FDE" w:rsidRPr="000A3A10" w:rsidRDefault="005A1FDE" w:rsidP="005A1FDE">
      <w:pPr>
        <w:spacing w:line="360" w:lineRule="auto"/>
        <w:jc w:val="center"/>
        <w:rPr>
          <w:rFonts w:ascii="Arial" w:hAnsi="Arial" w:cs="Arial"/>
          <w:sz w:val="32"/>
        </w:rPr>
      </w:pPr>
    </w:p>
    <w:p w14:paraId="15987EBB" w14:textId="77777777" w:rsidR="005A1FDE" w:rsidRPr="000A3A10" w:rsidRDefault="005A1FDE" w:rsidP="005A1FDE">
      <w:pPr>
        <w:spacing w:line="360" w:lineRule="auto"/>
        <w:jc w:val="center"/>
        <w:rPr>
          <w:rFonts w:ascii="Arial" w:hAnsi="Arial" w:cs="Arial"/>
          <w:sz w:val="32"/>
        </w:rPr>
      </w:pPr>
    </w:p>
    <w:p w14:paraId="16428E2C" w14:textId="77777777" w:rsidR="005A1FDE" w:rsidRPr="000A3A10" w:rsidRDefault="005A1FDE" w:rsidP="005A1FDE">
      <w:pPr>
        <w:spacing w:line="360" w:lineRule="auto"/>
        <w:jc w:val="center"/>
        <w:rPr>
          <w:rFonts w:ascii="Arial" w:hAnsi="Arial" w:cs="Arial"/>
          <w:sz w:val="32"/>
        </w:rPr>
      </w:pPr>
    </w:p>
    <w:p w14:paraId="1254F758" w14:textId="77777777" w:rsidR="005A1FDE" w:rsidRPr="000A3A10" w:rsidRDefault="005A1FDE" w:rsidP="005A1FDE">
      <w:pPr>
        <w:spacing w:line="360" w:lineRule="auto"/>
        <w:jc w:val="center"/>
        <w:rPr>
          <w:rFonts w:ascii="Arial" w:hAnsi="Arial" w:cs="Arial"/>
          <w:sz w:val="32"/>
        </w:rPr>
      </w:pPr>
    </w:p>
    <w:p w14:paraId="60A197C6" w14:textId="77777777" w:rsidR="003761F9" w:rsidRPr="000A3A10" w:rsidRDefault="003761F9" w:rsidP="005A1FDE">
      <w:pPr>
        <w:spacing w:line="360" w:lineRule="auto"/>
        <w:jc w:val="center"/>
        <w:rPr>
          <w:rFonts w:ascii="Arial" w:hAnsi="Arial" w:cs="Arial"/>
          <w:sz w:val="32"/>
        </w:rPr>
      </w:pPr>
    </w:p>
    <w:p w14:paraId="4F57517C" w14:textId="77777777" w:rsidR="00FB05D1" w:rsidRDefault="000A3A10" w:rsidP="005A1FDE">
      <w:pPr>
        <w:spacing w:line="360" w:lineRule="auto"/>
        <w:jc w:val="center"/>
        <w:rPr>
          <w:rFonts w:ascii="Arial" w:hAnsi="Arial" w:cs="Arial"/>
          <w:sz w:val="32"/>
        </w:rPr>
      </w:pPr>
      <w:r w:rsidRPr="000A3A10">
        <w:rPr>
          <w:rFonts w:ascii="Arial" w:hAnsi="Arial" w:cs="Arial"/>
          <w:sz w:val="32"/>
        </w:rPr>
        <w:t>Student Name</w:t>
      </w:r>
      <w:r w:rsidR="00FB05D1">
        <w:rPr>
          <w:rFonts w:ascii="Arial" w:hAnsi="Arial" w:cs="Arial"/>
          <w:sz w:val="32"/>
        </w:rPr>
        <w:t xml:space="preserve"> : Hajar  Orriti</w:t>
      </w:r>
    </w:p>
    <w:p w14:paraId="32487899" w14:textId="7BB99575" w:rsidR="005A1FDE" w:rsidRPr="000A3A10" w:rsidRDefault="00C0657E" w:rsidP="005A1FDE">
      <w:pPr>
        <w:spacing w:line="360" w:lineRule="auto"/>
        <w:jc w:val="center"/>
        <w:rPr>
          <w:rFonts w:ascii="Arial" w:hAnsi="Arial" w:cs="Arial"/>
          <w:sz w:val="32"/>
        </w:rPr>
      </w:pPr>
      <w:r>
        <w:rPr>
          <w:rFonts w:ascii="Arial" w:hAnsi="Arial" w:cs="Arial"/>
          <w:sz w:val="32"/>
        </w:rPr>
        <w:t>ID</w:t>
      </w:r>
      <w:r w:rsidR="00F044FF" w:rsidRPr="000A3A10">
        <w:rPr>
          <w:rFonts w:ascii="Arial" w:hAnsi="Arial" w:cs="Arial"/>
          <w:sz w:val="32"/>
        </w:rPr>
        <w:t xml:space="preserve"> Number</w:t>
      </w:r>
      <w:r>
        <w:rPr>
          <w:rFonts w:ascii="Arial" w:hAnsi="Arial" w:cs="Arial"/>
          <w:sz w:val="32"/>
        </w:rPr>
        <w:t xml:space="preserve">: </w:t>
      </w:r>
      <w:r w:rsidR="004A2A76">
        <w:rPr>
          <w:rFonts w:ascii="Arial" w:hAnsi="Arial" w:cs="Arial"/>
          <w:sz w:val="32"/>
        </w:rPr>
        <w:t>2328101</w:t>
      </w:r>
    </w:p>
    <w:p w14:paraId="21474E1D" w14:textId="47A4549A" w:rsidR="005A1FDE" w:rsidRPr="000A3A10" w:rsidRDefault="000A3A10" w:rsidP="005A1FDE">
      <w:pPr>
        <w:spacing w:line="360" w:lineRule="auto"/>
        <w:jc w:val="center"/>
        <w:rPr>
          <w:rFonts w:ascii="Arial" w:hAnsi="Arial" w:cs="Arial"/>
          <w:sz w:val="32"/>
        </w:rPr>
      </w:pPr>
      <w:r w:rsidRPr="000A3A10">
        <w:rPr>
          <w:rFonts w:ascii="Arial" w:hAnsi="Arial" w:cs="Arial"/>
          <w:sz w:val="32"/>
        </w:rPr>
        <w:t>Lecturer Name</w:t>
      </w:r>
      <w:r w:rsidR="00B87DD3">
        <w:rPr>
          <w:rFonts w:ascii="Arial" w:hAnsi="Arial" w:cs="Arial"/>
          <w:sz w:val="32"/>
        </w:rPr>
        <w:t xml:space="preserve">: </w:t>
      </w:r>
      <w:proofErr w:type="spellStart"/>
      <w:r w:rsidR="00DD6D55">
        <w:rPr>
          <w:rFonts w:ascii="Arial" w:hAnsi="Arial" w:cs="Arial"/>
          <w:sz w:val="32"/>
        </w:rPr>
        <w:t>Rizwan</w:t>
      </w:r>
      <w:proofErr w:type="spellEnd"/>
      <w:r w:rsidR="00DD6D55">
        <w:rPr>
          <w:rFonts w:ascii="Arial" w:hAnsi="Arial" w:cs="Arial"/>
          <w:sz w:val="32"/>
        </w:rPr>
        <w:t xml:space="preserve"> </w:t>
      </w:r>
      <w:proofErr w:type="spellStart"/>
      <w:r w:rsidR="00DD6D55">
        <w:rPr>
          <w:rFonts w:ascii="Arial" w:hAnsi="Arial" w:cs="Arial"/>
          <w:sz w:val="32"/>
        </w:rPr>
        <w:t>Nadim</w:t>
      </w:r>
      <w:proofErr w:type="spellEnd"/>
    </w:p>
    <w:p w14:paraId="478C81C8" w14:textId="43684F7E" w:rsidR="005A1FDE" w:rsidRPr="000A3A10" w:rsidRDefault="005A1FDE" w:rsidP="001641BD">
      <w:pPr>
        <w:spacing w:line="360" w:lineRule="auto"/>
        <w:rPr>
          <w:rFonts w:ascii="Arial" w:hAnsi="Arial" w:cs="Arial"/>
          <w:sz w:val="32"/>
        </w:rPr>
      </w:pPr>
    </w:p>
    <w:p w14:paraId="745BA7ED" w14:textId="79D8F1AA" w:rsidR="005A1FDE" w:rsidRPr="000A3A10" w:rsidRDefault="000A3A10" w:rsidP="005A1FDE">
      <w:pPr>
        <w:spacing w:line="360" w:lineRule="auto"/>
        <w:jc w:val="center"/>
        <w:rPr>
          <w:rFonts w:ascii="Arial" w:hAnsi="Arial" w:cs="Arial"/>
          <w:sz w:val="32"/>
        </w:rPr>
      </w:pPr>
      <w:r w:rsidRPr="000A3A10">
        <w:rPr>
          <w:rFonts w:ascii="Arial" w:hAnsi="Arial" w:cs="Arial"/>
          <w:sz w:val="32"/>
        </w:rPr>
        <w:t>Words</w:t>
      </w:r>
      <w:r w:rsidR="00FF68CB">
        <w:rPr>
          <w:rFonts w:ascii="Arial" w:hAnsi="Arial" w:cs="Arial"/>
          <w:sz w:val="32"/>
        </w:rPr>
        <w:t>: 3600</w:t>
      </w:r>
    </w:p>
    <w:p w14:paraId="7B4619DE" w14:textId="77777777" w:rsidR="005A1FDE" w:rsidRPr="000A3A10" w:rsidRDefault="000A3A10">
      <w:pPr>
        <w:spacing w:after="200" w:line="276" w:lineRule="auto"/>
        <w:rPr>
          <w:rFonts w:ascii="Arial" w:hAnsi="Arial" w:cs="Arial"/>
          <w:sz w:val="32"/>
        </w:rPr>
      </w:pPr>
      <w:r w:rsidRPr="000A3A10">
        <w:rPr>
          <w:rFonts w:ascii="Arial" w:hAnsi="Arial" w:cs="Arial"/>
          <w:sz w:val="32"/>
        </w:rPr>
        <w:br w:type="page"/>
      </w:r>
    </w:p>
    <w:p w14:paraId="4B5B53B5" w14:textId="77777777" w:rsidR="005A1FDE" w:rsidRPr="000A3A10" w:rsidRDefault="000A3A10" w:rsidP="005A1FDE">
      <w:pPr>
        <w:spacing w:after="240" w:line="360" w:lineRule="auto"/>
        <w:jc w:val="center"/>
        <w:rPr>
          <w:rFonts w:ascii="Arial" w:hAnsi="Arial" w:cs="Arial"/>
          <w:b/>
          <w:sz w:val="24"/>
        </w:rPr>
      </w:pPr>
      <w:r w:rsidRPr="000A3A10">
        <w:rPr>
          <w:rFonts w:ascii="Arial" w:hAnsi="Arial" w:cs="Arial"/>
          <w:b/>
          <w:sz w:val="24"/>
        </w:rPr>
        <w:t xml:space="preserve">Table of Contents </w:t>
      </w:r>
    </w:p>
    <w:p w14:paraId="09A71C8D" w14:textId="77777777" w:rsidR="000A3A10" w:rsidRPr="000A3A10" w:rsidRDefault="00147AB8">
      <w:pPr>
        <w:pStyle w:val="TOC1"/>
        <w:tabs>
          <w:tab w:val="right" w:leader="dot" w:pos="9016"/>
        </w:tabs>
        <w:rPr>
          <w:rFonts w:ascii="Arial" w:eastAsiaTheme="minorEastAsia" w:hAnsi="Arial" w:cs="Arial"/>
          <w:noProof/>
          <w:sz w:val="22"/>
          <w:szCs w:val="22"/>
        </w:rPr>
      </w:pPr>
      <w:r w:rsidRPr="000A3A10">
        <w:rPr>
          <w:rFonts w:ascii="Arial" w:hAnsi="Arial" w:cs="Arial"/>
          <w:b/>
          <w:sz w:val="24"/>
        </w:rPr>
        <w:fldChar w:fldCharType="begin"/>
      </w:r>
      <w:r w:rsidRPr="000A3A10">
        <w:rPr>
          <w:rFonts w:ascii="Arial" w:hAnsi="Arial" w:cs="Arial"/>
          <w:b/>
          <w:sz w:val="24"/>
        </w:rPr>
        <w:instrText xml:space="preserve"> TOC \o "1-3" \h \z \u </w:instrText>
      </w:r>
      <w:r w:rsidRPr="000A3A10">
        <w:rPr>
          <w:rFonts w:ascii="Arial" w:hAnsi="Arial" w:cs="Arial"/>
          <w:b/>
          <w:sz w:val="24"/>
        </w:rPr>
        <w:fldChar w:fldCharType="separate"/>
      </w:r>
      <w:hyperlink w:anchor="_Toc223684383" w:history="1">
        <w:r w:rsidR="000A3A10" w:rsidRPr="000A3A10">
          <w:rPr>
            <w:rStyle w:val="Hyperlink"/>
            <w:rFonts w:ascii="Arial" w:hAnsi="Arial" w:cs="Arial"/>
            <w:noProof/>
          </w:rPr>
          <w:t>Introduction</w:t>
        </w:r>
        <w:r w:rsidR="000A3A10" w:rsidRPr="000A3A10">
          <w:rPr>
            <w:rFonts w:ascii="Arial" w:hAnsi="Arial" w:cs="Arial"/>
            <w:noProof/>
            <w:webHidden/>
          </w:rPr>
          <w:tab/>
        </w:r>
        <w:r w:rsidR="000A3A10" w:rsidRPr="000A3A10">
          <w:rPr>
            <w:rFonts w:ascii="Arial" w:hAnsi="Arial" w:cs="Arial"/>
            <w:noProof/>
            <w:webHidden/>
          </w:rPr>
          <w:fldChar w:fldCharType="begin"/>
        </w:r>
        <w:r w:rsidR="000A3A10" w:rsidRPr="000A3A10">
          <w:rPr>
            <w:rFonts w:ascii="Arial" w:hAnsi="Arial" w:cs="Arial"/>
            <w:noProof/>
            <w:webHidden/>
          </w:rPr>
          <w:instrText xml:space="preserve"> PAGEREF _Toc223684383 \h </w:instrText>
        </w:r>
        <w:r w:rsidR="000A3A10" w:rsidRPr="000A3A10">
          <w:rPr>
            <w:rFonts w:ascii="Arial" w:hAnsi="Arial" w:cs="Arial"/>
            <w:noProof/>
            <w:webHidden/>
          </w:rPr>
        </w:r>
        <w:r w:rsidR="000A3A10" w:rsidRPr="000A3A10">
          <w:rPr>
            <w:rFonts w:ascii="Arial" w:hAnsi="Arial" w:cs="Arial"/>
            <w:noProof/>
            <w:webHidden/>
          </w:rPr>
          <w:fldChar w:fldCharType="separate"/>
        </w:r>
        <w:r w:rsidR="000A3A10" w:rsidRPr="000A3A10">
          <w:rPr>
            <w:rFonts w:ascii="Arial" w:hAnsi="Arial" w:cs="Arial"/>
            <w:noProof/>
            <w:webHidden/>
          </w:rPr>
          <w:t>3</w:t>
        </w:r>
        <w:r w:rsidR="000A3A10" w:rsidRPr="000A3A10">
          <w:rPr>
            <w:rFonts w:ascii="Arial" w:hAnsi="Arial" w:cs="Arial"/>
            <w:noProof/>
            <w:webHidden/>
          </w:rPr>
          <w:fldChar w:fldCharType="end"/>
        </w:r>
      </w:hyperlink>
    </w:p>
    <w:p w14:paraId="6AFEFFDF"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4" w:history="1">
        <w:r w:rsidRPr="000A3A10">
          <w:rPr>
            <w:rStyle w:val="Hyperlink"/>
            <w:rFonts w:ascii="Arial" w:hAnsi="Arial" w:cs="Arial"/>
            <w:noProof/>
          </w:rPr>
          <w:t>Conceptual Definitions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_Toc223684384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3</w:t>
        </w:r>
        <w:r w:rsidRPr="000A3A10">
          <w:rPr>
            <w:rFonts w:ascii="Arial" w:hAnsi="Arial" w:cs="Arial"/>
            <w:noProof/>
            <w:webHidden/>
          </w:rPr>
          <w:fldChar w:fldCharType="end"/>
        </w:r>
      </w:hyperlink>
    </w:p>
    <w:p w14:paraId="53AB061F"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5" w:history="1">
        <w:r w:rsidRPr="000A3A10">
          <w:rPr>
            <w:rStyle w:val="Hyperlink"/>
            <w:rFonts w:ascii="Arial" w:hAnsi="Arial" w:cs="Arial"/>
            <w:noProof/>
          </w:rPr>
          <w:t>Rationale</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_Toc223684385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3</w:t>
        </w:r>
        <w:r w:rsidRPr="000A3A10">
          <w:rPr>
            <w:rFonts w:ascii="Arial" w:hAnsi="Arial" w:cs="Arial"/>
            <w:noProof/>
            <w:webHidden/>
          </w:rPr>
          <w:fldChar w:fldCharType="end"/>
        </w:r>
      </w:hyperlink>
    </w:p>
    <w:p w14:paraId="6316B3B1"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6" w:history="1">
        <w:r w:rsidRPr="000A3A10">
          <w:rPr>
            <w:rStyle w:val="Hyperlink"/>
            <w:rFonts w:ascii="Arial" w:hAnsi="Arial" w:cs="Arial"/>
            <w:noProof/>
          </w:rPr>
          <w:t>Review Question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_Toc223684386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78F884BC"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7" w:history="1">
        <w:r w:rsidRPr="000A3A10">
          <w:rPr>
            <w:rStyle w:val="Hyperlink"/>
            <w:rFonts w:ascii="Arial" w:hAnsi="Arial" w:cs="Arial"/>
            <w:noProof/>
          </w:rPr>
          <w:t>Objectives of the Scoping Review</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_Toc223684387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71090EAA"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88" w:history="1">
        <w:r w:rsidRPr="000A3A10">
          <w:rPr>
            <w:rStyle w:val="Hyperlink"/>
            <w:rFonts w:ascii="Arial" w:hAnsi="Arial" w:cs="Arial"/>
            <w:noProof/>
          </w:rPr>
          <w:t>Background</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_Toc223684388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03847F08"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89" w:history="1">
        <w:r w:rsidRPr="000A3A10">
          <w:rPr>
            <w:rStyle w:val="Hyperlink"/>
            <w:rFonts w:ascii="Arial" w:hAnsi="Arial" w:cs="Arial"/>
            <w:noProof/>
          </w:rPr>
          <w:t>Type 2 Diabetes Mellitus (T2DM) and Digital Health Interventions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_Toc223684389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4</w:t>
        </w:r>
        <w:r w:rsidRPr="000A3A10">
          <w:rPr>
            <w:rFonts w:ascii="Arial" w:hAnsi="Arial" w:cs="Arial"/>
            <w:noProof/>
            <w:webHidden/>
          </w:rPr>
          <w:fldChar w:fldCharType="end"/>
        </w:r>
      </w:hyperlink>
    </w:p>
    <w:p w14:paraId="0D09FF58"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90" w:history="1">
        <w:r w:rsidRPr="000A3A10">
          <w:rPr>
            <w:rStyle w:val="Hyperlink"/>
            <w:rFonts w:ascii="Arial" w:hAnsi="Arial" w:cs="Arial"/>
            <w:noProof/>
          </w:rPr>
          <w:t>Methods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_Toc223684390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5395979A"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1" w:history="1">
        <w:r w:rsidRPr="000A3A10">
          <w:rPr>
            <w:rStyle w:val="Hyperlink"/>
            <w:rFonts w:ascii="Arial" w:hAnsi="Arial" w:cs="Arial"/>
            <w:noProof/>
          </w:rPr>
          <w:t>Data Collection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_Toc223684391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2CE5D779" w14:textId="77777777" w:rsidR="000A3A10" w:rsidRPr="000A3A10" w:rsidRDefault="000A3A10">
      <w:pPr>
        <w:pStyle w:val="TOC3"/>
        <w:tabs>
          <w:tab w:val="right" w:leader="dot" w:pos="9016"/>
        </w:tabs>
        <w:rPr>
          <w:rFonts w:ascii="Arial" w:eastAsiaTheme="minorEastAsia" w:hAnsi="Arial" w:cs="Arial"/>
          <w:noProof/>
          <w:sz w:val="22"/>
          <w:szCs w:val="22"/>
        </w:rPr>
      </w:pPr>
      <w:hyperlink w:anchor="_Toc223684392" w:history="1">
        <w:r w:rsidRPr="000A3A10">
          <w:rPr>
            <w:rStyle w:val="Hyperlink"/>
            <w:rFonts w:ascii="Arial" w:hAnsi="Arial" w:cs="Arial"/>
            <w:noProof/>
          </w:rPr>
          <w:t>Inclusion and Exclusion Criteria</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_Toc223684392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0887FF59"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3" w:history="1">
        <w:r w:rsidRPr="000A3A10">
          <w:rPr>
            <w:rStyle w:val="Hyperlink"/>
            <w:rFonts w:ascii="Arial" w:hAnsi="Arial" w:cs="Arial"/>
            <w:noProof/>
          </w:rPr>
          <w:t>Data Analysis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_Toc223684393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7</w:t>
        </w:r>
        <w:r w:rsidRPr="000A3A10">
          <w:rPr>
            <w:rFonts w:ascii="Arial" w:hAnsi="Arial" w:cs="Arial"/>
            <w:noProof/>
            <w:webHidden/>
          </w:rPr>
          <w:fldChar w:fldCharType="end"/>
        </w:r>
      </w:hyperlink>
    </w:p>
    <w:p w14:paraId="645BAA42"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94" w:history="1">
        <w:r w:rsidRPr="000A3A10">
          <w:rPr>
            <w:rStyle w:val="Hyperlink"/>
            <w:rFonts w:ascii="Arial" w:hAnsi="Arial" w:cs="Arial"/>
            <w:noProof/>
          </w:rPr>
          <w:t>Results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_Toc223684394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8</w:t>
        </w:r>
        <w:r w:rsidRPr="000A3A10">
          <w:rPr>
            <w:rFonts w:ascii="Arial" w:hAnsi="Arial" w:cs="Arial"/>
            <w:noProof/>
            <w:webHidden/>
          </w:rPr>
          <w:fldChar w:fldCharType="end"/>
        </w:r>
      </w:hyperlink>
    </w:p>
    <w:p w14:paraId="2B9F9745"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5" w:history="1">
        <w:r w:rsidRPr="000A3A10">
          <w:rPr>
            <w:rStyle w:val="Hyperlink"/>
            <w:rFonts w:ascii="Arial" w:hAnsi="Arial" w:cs="Arial"/>
            <w:noProof/>
          </w:rPr>
          <w:t>Thematic Analysis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_Toc223684395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8</w:t>
        </w:r>
        <w:r w:rsidRPr="000A3A10">
          <w:rPr>
            <w:rFonts w:ascii="Arial" w:hAnsi="Arial" w:cs="Arial"/>
            <w:noProof/>
            <w:webHidden/>
          </w:rPr>
          <w:fldChar w:fldCharType="end"/>
        </w:r>
      </w:hyperlink>
    </w:p>
    <w:p w14:paraId="247AFE1F"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396" w:history="1">
        <w:r w:rsidRPr="000A3A10">
          <w:rPr>
            <w:rStyle w:val="Hyperlink"/>
            <w:rFonts w:ascii="Arial" w:hAnsi="Arial" w:cs="Arial"/>
            <w:noProof/>
          </w:rPr>
          <w:t>Discussion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_Toc223684396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11</w:t>
        </w:r>
        <w:r w:rsidRPr="000A3A10">
          <w:rPr>
            <w:rFonts w:ascii="Arial" w:hAnsi="Arial" w:cs="Arial"/>
            <w:noProof/>
            <w:webHidden/>
          </w:rPr>
          <w:fldChar w:fldCharType="end"/>
        </w:r>
      </w:hyperlink>
    </w:p>
    <w:p w14:paraId="1D73ACC0"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7" w:history="1">
        <w:r w:rsidRPr="000A3A10">
          <w:rPr>
            <w:rStyle w:val="Hyperlink"/>
            <w:rFonts w:ascii="Arial" w:hAnsi="Arial" w:cs="Arial"/>
            <w:noProof/>
          </w:rPr>
          <w:t>T2DM Patients' Involvement with Digital Health Interventions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_Toc223684397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11</w:t>
        </w:r>
        <w:r w:rsidRPr="000A3A10">
          <w:rPr>
            <w:rFonts w:ascii="Arial" w:hAnsi="Arial" w:cs="Arial"/>
            <w:noProof/>
            <w:webHidden/>
          </w:rPr>
          <w:fldChar w:fldCharType="end"/>
        </w:r>
      </w:hyperlink>
    </w:p>
    <w:p w14:paraId="79B71225"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8" w:history="1">
        <w:r w:rsidRPr="000A3A10">
          <w:rPr>
            <w:rStyle w:val="Hyperlink"/>
            <w:rFonts w:ascii="Arial" w:hAnsi="Arial" w:cs="Arial"/>
            <w:noProof/>
          </w:rPr>
          <w:t>Digital Interaction &amp; Remote Assistance</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_Toc223684398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12</w:t>
        </w:r>
        <w:r w:rsidRPr="000A3A10">
          <w:rPr>
            <w:rFonts w:ascii="Arial" w:hAnsi="Arial" w:cs="Arial"/>
            <w:noProof/>
            <w:webHidden/>
          </w:rPr>
          <w:fldChar w:fldCharType="end"/>
        </w:r>
      </w:hyperlink>
    </w:p>
    <w:p w14:paraId="7F4011D2"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399" w:history="1">
        <w:r w:rsidRPr="000A3A10">
          <w:rPr>
            <w:rStyle w:val="Hyperlink"/>
            <w:rFonts w:ascii="Arial" w:hAnsi="Arial" w:cs="Arial"/>
            <w:noProof/>
          </w:rPr>
          <w:t>Significance of Digital Health Interventions &amp; Self-Management Output</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_Toc223684399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12</w:t>
        </w:r>
        <w:r w:rsidRPr="000A3A10">
          <w:rPr>
            <w:rFonts w:ascii="Arial" w:hAnsi="Arial" w:cs="Arial"/>
            <w:noProof/>
            <w:webHidden/>
          </w:rPr>
          <w:fldChar w:fldCharType="end"/>
        </w:r>
      </w:hyperlink>
    </w:p>
    <w:p w14:paraId="57F89335"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0" w:history="1">
        <w:r w:rsidRPr="000A3A10">
          <w:rPr>
            <w:rStyle w:val="Hyperlink"/>
            <w:rFonts w:ascii="Arial" w:hAnsi="Arial" w:cs="Arial"/>
            <w:noProof/>
          </w:rPr>
          <w:t>Behaviour Change Approaches &amp; Patient Empowerment</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_Toc223684400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13</w:t>
        </w:r>
        <w:r w:rsidRPr="000A3A10">
          <w:rPr>
            <w:rFonts w:ascii="Arial" w:hAnsi="Arial" w:cs="Arial"/>
            <w:noProof/>
            <w:webHidden/>
          </w:rPr>
          <w:fldChar w:fldCharType="end"/>
        </w:r>
      </w:hyperlink>
    </w:p>
    <w:p w14:paraId="76344413"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1" w:history="1">
        <w:r w:rsidRPr="000A3A10">
          <w:rPr>
            <w:rStyle w:val="Hyperlink"/>
            <w:rFonts w:ascii="Arial" w:hAnsi="Arial" w:cs="Arial"/>
            <w:noProof/>
          </w:rPr>
          <w:t>Barriers and Facilitators to Implementation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_Toc223684401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13</w:t>
        </w:r>
        <w:r w:rsidRPr="000A3A10">
          <w:rPr>
            <w:rFonts w:ascii="Arial" w:hAnsi="Arial" w:cs="Arial"/>
            <w:noProof/>
            <w:webHidden/>
          </w:rPr>
          <w:fldChar w:fldCharType="end"/>
        </w:r>
      </w:hyperlink>
    </w:p>
    <w:p w14:paraId="4E24755A"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402" w:history="1">
        <w:r w:rsidRPr="000A3A10">
          <w:rPr>
            <w:rStyle w:val="Hyperlink"/>
            <w:rFonts w:ascii="Arial" w:hAnsi="Arial" w:cs="Arial"/>
            <w:noProof/>
          </w:rPr>
          <w:t>Conclusion and Recommendations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_Toc223684402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14</w:t>
        </w:r>
        <w:r w:rsidRPr="000A3A10">
          <w:rPr>
            <w:rFonts w:ascii="Arial" w:hAnsi="Arial" w:cs="Arial"/>
            <w:noProof/>
            <w:webHidden/>
          </w:rPr>
          <w:fldChar w:fldCharType="end"/>
        </w:r>
      </w:hyperlink>
    </w:p>
    <w:p w14:paraId="67B6DFA0"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3" w:history="1">
        <w:r w:rsidRPr="000A3A10">
          <w:rPr>
            <w:rStyle w:val="Hyperlink"/>
            <w:rFonts w:ascii="Arial" w:hAnsi="Arial" w:cs="Arial"/>
            <w:noProof/>
          </w:rPr>
          <w:t>Findings and Conclusion</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_Toc223684403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14</w:t>
        </w:r>
        <w:r w:rsidRPr="000A3A10">
          <w:rPr>
            <w:rFonts w:ascii="Arial" w:hAnsi="Arial" w:cs="Arial"/>
            <w:noProof/>
            <w:webHidden/>
          </w:rPr>
          <w:fldChar w:fldCharType="end"/>
        </w:r>
      </w:hyperlink>
    </w:p>
    <w:p w14:paraId="6DADE679" w14:textId="77777777" w:rsidR="000A3A10" w:rsidRPr="000A3A10" w:rsidRDefault="000A3A10">
      <w:pPr>
        <w:pStyle w:val="TOC2"/>
        <w:tabs>
          <w:tab w:val="right" w:leader="dot" w:pos="9016"/>
        </w:tabs>
        <w:rPr>
          <w:rFonts w:ascii="Arial" w:eastAsiaTheme="minorEastAsia" w:hAnsi="Arial" w:cs="Arial"/>
          <w:noProof/>
          <w:sz w:val="22"/>
          <w:szCs w:val="22"/>
        </w:rPr>
      </w:pPr>
      <w:hyperlink w:anchor="_Toc223684404" w:history="1">
        <w:r w:rsidRPr="000A3A10">
          <w:rPr>
            <w:rStyle w:val="Hyperlink"/>
            <w:rFonts w:ascii="Arial" w:hAnsi="Arial" w:cs="Arial"/>
            <w:noProof/>
          </w:rPr>
          <w:t>Recommendations</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_Toc223684404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15</w:t>
        </w:r>
        <w:r w:rsidRPr="000A3A10">
          <w:rPr>
            <w:rFonts w:ascii="Arial" w:hAnsi="Arial" w:cs="Arial"/>
            <w:noProof/>
            <w:webHidden/>
          </w:rPr>
          <w:fldChar w:fldCharType="end"/>
        </w:r>
      </w:hyperlink>
    </w:p>
    <w:p w14:paraId="436F98A2" w14:textId="77777777" w:rsidR="000A3A10" w:rsidRPr="000A3A10" w:rsidRDefault="000A3A10">
      <w:pPr>
        <w:pStyle w:val="TOC1"/>
        <w:tabs>
          <w:tab w:val="right" w:leader="dot" w:pos="9016"/>
        </w:tabs>
        <w:rPr>
          <w:rFonts w:ascii="Arial" w:eastAsiaTheme="minorEastAsia" w:hAnsi="Arial" w:cs="Arial"/>
          <w:noProof/>
          <w:sz w:val="22"/>
          <w:szCs w:val="22"/>
        </w:rPr>
      </w:pPr>
      <w:hyperlink w:anchor="_Toc223684405" w:history="1">
        <w:r w:rsidRPr="000A3A10">
          <w:rPr>
            <w:rStyle w:val="Hyperlink"/>
            <w:rFonts w:ascii="Arial" w:hAnsi="Arial" w:cs="Arial"/>
            <w:noProof/>
          </w:rPr>
          <w:t>Reference List</w:t>
        </w:r>
        <w:r w:rsidRPr="000A3A10">
          <w:rPr>
            <w:rFonts w:ascii="Arial" w:hAnsi="Arial" w:cs="Arial"/>
            <w:noProof/>
            <w:webHidden/>
          </w:rPr>
          <w:tab/>
        </w:r>
        <w:r w:rsidRPr="000A3A10">
          <w:rPr>
            <w:rFonts w:ascii="Arial" w:hAnsi="Arial" w:cs="Arial"/>
            <w:noProof/>
            <w:webHidden/>
          </w:rPr>
          <w:fldChar w:fldCharType="begin"/>
        </w:r>
        <w:r w:rsidRPr="000A3A10">
          <w:rPr>
            <w:rFonts w:ascii="Arial" w:hAnsi="Arial" w:cs="Arial"/>
            <w:noProof/>
            <w:webHidden/>
          </w:rPr>
          <w:instrText xml:space="preserve"> PAGEREF _Toc223684405 \h </w:instrText>
        </w:r>
        <w:r w:rsidRPr="000A3A10">
          <w:rPr>
            <w:rFonts w:ascii="Arial" w:hAnsi="Arial" w:cs="Arial"/>
            <w:noProof/>
            <w:webHidden/>
          </w:rPr>
        </w:r>
        <w:r w:rsidRPr="000A3A10">
          <w:rPr>
            <w:rFonts w:ascii="Arial" w:hAnsi="Arial" w:cs="Arial"/>
            <w:noProof/>
            <w:webHidden/>
          </w:rPr>
          <w:fldChar w:fldCharType="separate"/>
        </w:r>
        <w:r w:rsidRPr="000A3A10">
          <w:rPr>
            <w:rFonts w:ascii="Arial" w:hAnsi="Arial" w:cs="Arial"/>
            <w:noProof/>
            <w:webHidden/>
          </w:rPr>
          <w:t>16</w:t>
        </w:r>
        <w:r w:rsidRPr="000A3A10">
          <w:rPr>
            <w:rFonts w:ascii="Arial" w:hAnsi="Arial" w:cs="Arial"/>
            <w:noProof/>
            <w:webHidden/>
          </w:rPr>
          <w:fldChar w:fldCharType="end"/>
        </w:r>
      </w:hyperlink>
    </w:p>
    <w:p w14:paraId="2B3F4F40" w14:textId="77777777" w:rsidR="00147AB8" w:rsidRPr="000A3A10" w:rsidRDefault="00147AB8" w:rsidP="005A1FDE">
      <w:pPr>
        <w:spacing w:after="240" w:line="360" w:lineRule="auto"/>
        <w:jc w:val="center"/>
        <w:rPr>
          <w:rFonts w:ascii="Arial" w:hAnsi="Arial" w:cs="Arial"/>
          <w:b/>
          <w:sz w:val="24"/>
        </w:rPr>
      </w:pPr>
      <w:r w:rsidRPr="000A3A10">
        <w:rPr>
          <w:rFonts w:ascii="Arial" w:hAnsi="Arial" w:cs="Arial"/>
          <w:b/>
          <w:sz w:val="24"/>
        </w:rPr>
        <w:fldChar w:fldCharType="end"/>
      </w:r>
    </w:p>
    <w:p w14:paraId="36D02045" w14:textId="77777777" w:rsidR="005A1FDE" w:rsidRPr="000A3A10" w:rsidRDefault="000A3A10">
      <w:pPr>
        <w:spacing w:after="200" w:line="276" w:lineRule="auto"/>
        <w:rPr>
          <w:rFonts w:ascii="Arial" w:hAnsi="Arial" w:cs="Arial"/>
          <w:b/>
          <w:sz w:val="24"/>
        </w:rPr>
      </w:pPr>
      <w:r w:rsidRPr="000A3A10">
        <w:rPr>
          <w:rFonts w:ascii="Arial" w:hAnsi="Arial" w:cs="Arial"/>
          <w:b/>
          <w:sz w:val="24"/>
        </w:rPr>
        <w:br w:type="page"/>
      </w:r>
    </w:p>
    <w:p w14:paraId="6972BE9F" w14:textId="77777777" w:rsidR="002C2652" w:rsidRPr="000A3A10" w:rsidRDefault="000A3A10" w:rsidP="000152C0">
      <w:pPr>
        <w:pStyle w:val="Heading1"/>
        <w:spacing w:after="240" w:line="360" w:lineRule="auto"/>
        <w:jc w:val="both"/>
        <w:rPr>
          <w:rFonts w:ascii="Arial" w:hAnsi="Arial" w:cs="Arial"/>
          <w:color w:val="000000" w:themeColor="text1"/>
          <w:sz w:val="22"/>
          <w:szCs w:val="22"/>
        </w:rPr>
      </w:pPr>
      <w:bookmarkStart w:id="0" w:name="_Toc223684383"/>
      <w:r w:rsidRPr="000A3A10">
        <w:rPr>
          <w:rFonts w:ascii="Arial" w:hAnsi="Arial" w:cs="Arial"/>
          <w:color w:val="000000" w:themeColor="text1"/>
          <w:sz w:val="22"/>
          <w:szCs w:val="22"/>
        </w:rPr>
        <w:t>Introduction</w:t>
      </w:r>
      <w:bookmarkEnd w:id="0"/>
    </w:p>
    <w:p w14:paraId="7207C582" w14:textId="77777777" w:rsidR="00CC0C0E" w:rsidRPr="000A3A10" w:rsidRDefault="000A3A10" w:rsidP="000152C0">
      <w:pPr>
        <w:pStyle w:val="Heading2"/>
        <w:spacing w:after="240" w:line="360" w:lineRule="auto"/>
        <w:jc w:val="both"/>
        <w:rPr>
          <w:rFonts w:ascii="Arial" w:hAnsi="Arial" w:cs="Arial"/>
          <w:color w:val="000000" w:themeColor="text1"/>
          <w:sz w:val="22"/>
          <w:szCs w:val="22"/>
        </w:rPr>
      </w:pPr>
      <w:bookmarkStart w:id="1" w:name="_Toc223684384"/>
      <w:r w:rsidRPr="000A3A10">
        <w:rPr>
          <w:rFonts w:ascii="Arial" w:hAnsi="Arial" w:cs="Arial"/>
          <w:color w:val="000000" w:themeColor="text1"/>
          <w:sz w:val="22"/>
          <w:szCs w:val="22"/>
        </w:rPr>
        <w:t>Conceptual Definitions</w:t>
      </w:r>
      <w:bookmarkEnd w:id="1"/>
    </w:p>
    <w:p w14:paraId="2F30EDB6" w14:textId="1A73205F" w:rsidR="000F3E8B" w:rsidRPr="000A3A10" w:rsidRDefault="000A3A10" w:rsidP="000152C0">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Type 2 diabetes mellitus (T2DM)</w:t>
      </w:r>
      <w:r w:rsidR="00F71FA0"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refers to the </w:t>
      </w:r>
      <w:r w:rsidR="00CB16A6" w:rsidRPr="000A3A10">
        <w:rPr>
          <w:rFonts w:ascii="Arial" w:hAnsi="Arial" w:cs="Arial"/>
          <w:color w:val="000000" w:themeColor="text1"/>
          <w:sz w:val="22"/>
          <w:szCs w:val="22"/>
        </w:rPr>
        <w:t>long-term metabolic condition in which a person faces problems with insulin resistance and elevated blood glucose</w:t>
      </w:r>
      <w:r w:rsidR="00D43564"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levels (Strati et al., 2024)</w:t>
      </w:r>
      <w:r w:rsidR="00CB16A6" w:rsidRPr="000A3A10">
        <w:rPr>
          <w:rFonts w:ascii="Arial" w:hAnsi="Arial" w:cs="Arial"/>
          <w:color w:val="000000" w:themeColor="text1"/>
          <w:sz w:val="22"/>
          <w:szCs w:val="22"/>
        </w:rPr>
        <w:t xml:space="preserve">. </w:t>
      </w:r>
      <w:r w:rsidR="00F67DB6" w:rsidRPr="000A3A10">
        <w:rPr>
          <w:rFonts w:ascii="Arial" w:hAnsi="Arial" w:cs="Arial"/>
          <w:color w:val="000000" w:themeColor="text1"/>
          <w:sz w:val="22"/>
          <w:szCs w:val="22"/>
        </w:rPr>
        <w:t>Since it is more commonly observed in adults, the condition was once referred to as adult-onset diabetes</w:t>
      </w:r>
      <w:r w:rsidR="00FD139C" w:rsidRPr="000A3A10">
        <w:rPr>
          <w:rFonts w:ascii="Arial" w:hAnsi="Arial" w:cs="Arial"/>
          <w:color w:val="000000" w:themeColor="text1"/>
          <w:sz w:val="22"/>
          <w:szCs w:val="22"/>
        </w:rPr>
        <w:t xml:space="preserve"> (Strati et al., 2024)</w:t>
      </w:r>
      <w:r w:rsidR="00F67DB6" w:rsidRPr="000A3A10">
        <w:rPr>
          <w:rFonts w:ascii="Arial" w:hAnsi="Arial" w:cs="Arial"/>
          <w:color w:val="000000" w:themeColor="text1"/>
          <w:sz w:val="22"/>
          <w:szCs w:val="22"/>
        </w:rPr>
        <w:t>.</w:t>
      </w:r>
      <w:r w:rsidR="00F71FA0"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To overcome this growing concern, digital health interventions </w:t>
      </w:r>
      <w:r w:rsidR="00A83EA1" w:rsidRPr="000A3A10">
        <w:rPr>
          <w:rFonts w:ascii="Arial" w:hAnsi="Arial" w:cs="Arial"/>
          <w:color w:val="000000" w:themeColor="text1"/>
          <w:sz w:val="22"/>
          <w:szCs w:val="22"/>
        </w:rPr>
        <w:t>(DHIs)</w:t>
      </w:r>
      <w:r w:rsidRPr="000A3A10">
        <w:rPr>
          <w:rFonts w:ascii="Arial" w:hAnsi="Arial" w:cs="Arial"/>
          <w:color w:val="000000" w:themeColor="text1"/>
          <w:sz w:val="22"/>
          <w:szCs w:val="22"/>
        </w:rPr>
        <w:t xml:space="preserve"> were focused</w:t>
      </w:r>
      <w:r w:rsidR="00A83EA1" w:rsidRPr="000A3A10">
        <w:rPr>
          <w:rFonts w:ascii="Arial" w:hAnsi="Arial" w:cs="Arial"/>
          <w:color w:val="000000" w:themeColor="text1"/>
          <w:sz w:val="22"/>
          <w:szCs w:val="22"/>
        </w:rPr>
        <w:t xml:space="preserve">, which are defined as the strategies/ways used to address at least one crucial public health function via digital means, such as </w:t>
      </w:r>
      <w:r w:rsidR="00A83EA1" w:rsidRPr="000A3A10">
        <w:rPr>
          <w:rFonts w:ascii="Arial" w:eastAsiaTheme="majorEastAsia" w:hAnsi="Arial" w:cs="Arial"/>
          <w:color w:val="000000" w:themeColor="text1"/>
          <w:sz w:val="22"/>
          <w:szCs w:val="22"/>
        </w:rPr>
        <w:t>digital and mobile technologies</w:t>
      </w:r>
      <w:r w:rsidR="00BA25F3" w:rsidRPr="000A3A10">
        <w:rPr>
          <w:rFonts w:ascii="Arial" w:eastAsiaTheme="majorEastAsia" w:hAnsi="Arial" w:cs="Arial"/>
          <w:color w:val="000000" w:themeColor="text1"/>
          <w:sz w:val="22"/>
          <w:szCs w:val="22"/>
        </w:rPr>
        <w:t xml:space="preserve"> and provide access to healthcare services for health system needs</w:t>
      </w:r>
      <w:r w:rsidR="00FD139C" w:rsidRPr="000A3A10">
        <w:rPr>
          <w:rFonts w:ascii="Arial" w:eastAsiaTheme="majorEastAsia" w:hAnsi="Arial" w:cs="Arial"/>
          <w:color w:val="000000" w:themeColor="text1"/>
          <w:sz w:val="22"/>
          <w:szCs w:val="22"/>
        </w:rPr>
        <w:t xml:space="preserve"> (World Health Organisation, 2026)</w:t>
      </w:r>
      <w:r w:rsidR="00A83EA1" w:rsidRPr="000A3A10">
        <w:rPr>
          <w:rFonts w:ascii="Arial" w:eastAsiaTheme="majorEastAsia" w:hAnsi="Arial" w:cs="Arial"/>
          <w:color w:val="000000" w:themeColor="text1"/>
          <w:sz w:val="22"/>
          <w:szCs w:val="22"/>
        </w:rPr>
        <w:t>.</w:t>
      </w:r>
      <w:r w:rsidRPr="000A3A10">
        <w:rPr>
          <w:rFonts w:ascii="Arial" w:eastAsiaTheme="majorEastAsia" w:hAnsi="Arial" w:cs="Arial"/>
          <w:color w:val="000000" w:themeColor="text1"/>
          <w:sz w:val="22"/>
          <w:szCs w:val="22"/>
        </w:rPr>
        <w:t xml:space="preserve"> These DHIs fundamentally favour self-management of T2DM, which plays a vital role in not only actively engaging patients in managing their routine (such as physical activities, dietary habits, </w:t>
      </w:r>
      <w:r w:rsidR="000937DB" w:rsidRPr="000A3A10">
        <w:rPr>
          <w:rFonts w:ascii="Arial" w:hAnsi="Arial" w:cs="Arial"/>
          <w:color w:val="000000" w:themeColor="text1"/>
          <w:sz w:val="22"/>
          <w:szCs w:val="22"/>
        </w:rPr>
        <w:t>medication, and blood glucose</w:t>
      </w:r>
      <w:r w:rsidRPr="000A3A10">
        <w:rPr>
          <w:rFonts w:ascii="Arial" w:hAnsi="Arial" w:cs="Arial"/>
          <w:color w:val="000000" w:themeColor="text1"/>
          <w:sz w:val="22"/>
          <w:szCs w:val="22"/>
        </w:rPr>
        <w:t xml:space="preserve"> levels), but </w:t>
      </w:r>
      <w:r w:rsidRPr="000A3A10">
        <w:rPr>
          <w:rFonts w:ascii="Arial" w:eastAsiaTheme="majorEastAsia" w:hAnsi="Arial" w:cs="Arial"/>
          <w:color w:val="000000" w:themeColor="text1"/>
          <w:sz w:val="22"/>
          <w:szCs w:val="22"/>
        </w:rPr>
        <w:t>also controlling this issue</w:t>
      </w:r>
      <w:r w:rsidR="00FD139C" w:rsidRPr="000A3A10">
        <w:rPr>
          <w:rFonts w:ascii="Arial" w:eastAsiaTheme="majorEastAsia" w:hAnsi="Arial" w:cs="Arial"/>
          <w:color w:val="000000" w:themeColor="text1"/>
          <w:sz w:val="22"/>
          <w:szCs w:val="22"/>
        </w:rPr>
        <w:t xml:space="preserve"> (Pal et al., 2018; Strati et al., 2024)</w:t>
      </w:r>
      <w:r w:rsidR="000937DB" w:rsidRPr="000A3A10">
        <w:rPr>
          <w:rFonts w:ascii="Arial" w:hAnsi="Arial" w:cs="Arial"/>
          <w:color w:val="000000" w:themeColor="text1"/>
          <w:sz w:val="22"/>
          <w:szCs w:val="22"/>
        </w:rPr>
        <w:t xml:space="preserve">. </w:t>
      </w:r>
    </w:p>
    <w:p w14:paraId="031C1EBC" w14:textId="77777777" w:rsidR="00051D2A" w:rsidRPr="000A3A10" w:rsidRDefault="000A3A10" w:rsidP="000152C0">
      <w:pPr>
        <w:pStyle w:val="Heading2"/>
        <w:spacing w:after="240" w:line="360" w:lineRule="auto"/>
        <w:jc w:val="both"/>
        <w:rPr>
          <w:rFonts w:ascii="Arial" w:hAnsi="Arial" w:cs="Arial"/>
          <w:color w:val="000000" w:themeColor="text1"/>
          <w:sz w:val="22"/>
          <w:szCs w:val="22"/>
        </w:rPr>
      </w:pPr>
      <w:bookmarkStart w:id="2" w:name="_Toc223684385"/>
      <w:r w:rsidRPr="000A3A10">
        <w:rPr>
          <w:rFonts w:ascii="Arial" w:hAnsi="Arial" w:cs="Arial"/>
          <w:color w:val="000000" w:themeColor="text1"/>
          <w:sz w:val="22"/>
          <w:szCs w:val="22"/>
        </w:rPr>
        <w:t>Rationale</w:t>
      </w:r>
      <w:bookmarkEnd w:id="2"/>
    </w:p>
    <w:p w14:paraId="68D3CDF0" w14:textId="6791273B" w:rsidR="00F233A5" w:rsidRPr="000A3A10" w:rsidRDefault="000A3A10" w:rsidP="000152C0">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In the present time, several diseases are being observed as severe </w:t>
      </w:r>
      <w:r w:rsidR="00420C5A" w:rsidRPr="000A3A10">
        <w:rPr>
          <w:rFonts w:ascii="Arial" w:hAnsi="Arial" w:cs="Arial"/>
          <w:color w:val="000000" w:themeColor="text1"/>
          <w:sz w:val="22"/>
          <w:szCs w:val="22"/>
        </w:rPr>
        <w:t xml:space="preserve">issues </w:t>
      </w:r>
      <w:r w:rsidRPr="000A3A10">
        <w:rPr>
          <w:rFonts w:ascii="Arial" w:hAnsi="Arial" w:cs="Arial"/>
          <w:color w:val="000000" w:themeColor="text1"/>
          <w:sz w:val="22"/>
          <w:szCs w:val="22"/>
        </w:rPr>
        <w:t xml:space="preserve">to human health, but the most recurrent and primary health </w:t>
      </w:r>
      <w:r w:rsidR="00420C5A" w:rsidRPr="000A3A10">
        <w:rPr>
          <w:rFonts w:ascii="Arial" w:hAnsi="Arial" w:cs="Arial"/>
          <w:color w:val="000000" w:themeColor="text1"/>
          <w:sz w:val="22"/>
          <w:szCs w:val="22"/>
        </w:rPr>
        <w:t>concern</w:t>
      </w:r>
      <w:r w:rsidRPr="000A3A10">
        <w:rPr>
          <w:rFonts w:ascii="Arial" w:hAnsi="Arial" w:cs="Arial"/>
          <w:color w:val="000000" w:themeColor="text1"/>
          <w:sz w:val="22"/>
          <w:szCs w:val="22"/>
        </w:rPr>
        <w:t xml:space="preserve"> is </w:t>
      </w:r>
      <w:r w:rsidR="00CE1ADB" w:rsidRPr="000A3A10">
        <w:rPr>
          <w:rFonts w:ascii="Arial" w:hAnsi="Arial" w:cs="Arial"/>
          <w:color w:val="000000" w:themeColor="text1"/>
          <w:sz w:val="22"/>
          <w:szCs w:val="22"/>
        </w:rPr>
        <w:t>Type 2 diabetes mellitus (T2DM)</w:t>
      </w:r>
      <w:r w:rsidRPr="000A3A10">
        <w:rPr>
          <w:rFonts w:ascii="Arial" w:hAnsi="Arial" w:cs="Arial"/>
          <w:color w:val="000000" w:themeColor="text1"/>
          <w:sz w:val="22"/>
          <w:szCs w:val="22"/>
        </w:rPr>
        <w:t>, which has been common particularly in the</w:t>
      </w:r>
      <w:r w:rsidR="00F71FA0" w:rsidRPr="000A3A10">
        <w:rPr>
          <w:rFonts w:ascii="Arial" w:hAnsi="Arial" w:cs="Arial"/>
          <w:color w:val="000000" w:themeColor="text1"/>
          <w:sz w:val="22"/>
          <w:szCs w:val="22"/>
        </w:rPr>
        <w:t xml:space="preserve"> United Kingdom (</w:t>
      </w:r>
      <w:r w:rsidR="00CE1ADB" w:rsidRPr="000A3A10">
        <w:rPr>
          <w:rFonts w:ascii="Arial" w:hAnsi="Arial" w:cs="Arial"/>
          <w:color w:val="000000" w:themeColor="text1"/>
          <w:sz w:val="22"/>
          <w:szCs w:val="22"/>
        </w:rPr>
        <w:t>UK</w:t>
      </w:r>
      <w:r w:rsidR="00F71FA0" w:rsidRPr="000A3A10">
        <w:rPr>
          <w:rFonts w:ascii="Arial" w:hAnsi="Arial" w:cs="Arial"/>
          <w:color w:val="000000" w:themeColor="text1"/>
          <w:sz w:val="22"/>
          <w:szCs w:val="22"/>
        </w:rPr>
        <w:t>)</w:t>
      </w:r>
      <w:r w:rsidR="00FD139C" w:rsidRPr="000A3A10">
        <w:rPr>
          <w:rFonts w:ascii="Arial" w:hAnsi="Arial" w:cs="Arial"/>
          <w:color w:val="000000" w:themeColor="text1"/>
          <w:sz w:val="22"/>
          <w:szCs w:val="22"/>
        </w:rPr>
        <w:t xml:space="preserve"> (</w:t>
      </w:r>
      <w:proofErr w:type="spellStart"/>
      <w:r w:rsidR="00FD139C" w:rsidRPr="000A3A10">
        <w:rPr>
          <w:rFonts w:ascii="Arial" w:hAnsi="Arial" w:cs="Arial"/>
          <w:color w:val="000000" w:themeColor="text1"/>
          <w:sz w:val="22"/>
          <w:szCs w:val="22"/>
        </w:rPr>
        <w:t>Faquetti</w:t>
      </w:r>
      <w:proofErr w:type="spellEnd"/>
      <w:r w:rsidR="00FD139C" w:rsidRPr="000A3A10">
        <w:rPr>
          <w:rFonts w:ascii="Arial" w:hAnsi="Arial" w:cs="Arial"/>
          <w:color w:val="000000" w:themeColor="text1"/>
          <w:sz w:val="22"/>
          <w:szCs w:val="22"/>
        </w:rPr>
        <w:t xml:space="preserve"> et al., 2024)</w:t>
      </w:r>
      <w:r w:rsidRPr="000A3A10">
        <w:rPr>
          <w:rFonts w:ascii="Arial" w:hAnsi="Arial" w:cs="Arial"/>
          <w:color w:val="000000" w:themeColor="text1"/>
          <w:sz w:val="22"/>
          <w:szCs w:val="22"/>
        </w:rPr>
        <w:t xml:space="preserve">. </w:t>
      </w:r>
      <w:r w:rsidR="00F71FA0" w:rsidRPr="000A3A10">
        <w:rPr>
          <w:rFonts w:ascii="Arial" w:hAnsi="Arial" w:cs="Arial"/>
          <w:color w:val="000000" w:themeColor="text1"/>
          <w:sz w:val="22"/>
          <w:szCs w:val="22"/>
        </w:rPr>
        <w:t>Statistically,</w:t>
      </w:r>
      <w:r w:rsidR="00C23753" w:rsidRPr="000A3A10">
        <w:rPr>
          <w:rFonts w:ascii="Arial" w:hAnsi="Arial" w:cs="Arial"/>
          <w:color w:val="000000" w:themeColor="text1"/>
          <w:sz w:val="22"/>
          <w:szCs w:val="22"/>
        </w:rPr>
        <w:t xml:space="preserve"> more than 5.8 </w:t>
      </w:r>
      <w:r w:rsidR="00F71FA0" w:rsidRPr="000A3A10">
        <w:rPr>
          <w:rFonts w:ascii="Arial" w:hAnsi="Arial" w:cs="Arial"/>
          <w:color w:val="000000" w:themeColor="text1"/>
          <w:sz w:val="22"/>
          <w:szCs w:val="22"/>
        </w:rPr>
        <w:t xml:space="preserve">million people in the UK are suffering from diabetes, and unfortunately, around 90% of the cases reported </w:t>
      </w:r>
      <w:r w:rsidR="00185B02" w:rsidRPr="000A3A10">
        <w:rPr>
          <w:rFonts w:ascii="Arial" w:hAnsi="Arial" w:cs="Arial"/>
          <w:color w:val="000000" w:themeColor="text1"/>
          <w:sz w:val="22"/>
          <w:szCs w:val="22"/>
        </w:rPr>
        <w:t xml:space="preserve">by the end of 2025 </w:t>
      </w:r>
      <w:r w:rsidR="00F71FA0" w:rsidRPr="000A3A10">
        <w:rPr>
          <w:rFonts w:ascii="Arial" w:hAnsi="Arial" w:cs="Arial"/>
          <w:color w:val="000000" w:themeColor="text1"/>
          <w:sz w:val="22"/>
          <w:szCs w:val="22"/>
        </w:rPr>
        <w:t>are of the T2DM</w:t>
      </w:r>
      <w:r w:rsidR="00FD139C" w:rsidRPr="000A3A10">
        <w:rPr>
          <w:rFonts w:ascii="Arial" w:hAnsi="Arial" w:cs="Arial"/>
          <w:color w:val="000000" w:themeColor="text1"/>
          <w:sz w:val="22"/>
          <w:szCs w:val="22"/>
        </w:rPr>
        <w:t xml:space="preserve"> (The British Diabetic Association, 2025)</w:t>
      </w:r>
      <w:r w:rsidR="00F71FA0"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The constant rise in the number of </w:t>
      </w:r>
      <w:r w:rsidR="00420C5A" w:rsidRPr="000A3A10">
        <w:rPr>
          <w:rFonts w:ascii="Arial" w:hAnsi="Arial" w:cs="Arial"/>
          <w:color w:val="000000" w:themeColor="text1"/>
          <w:sz w:val="22"/>
          <w:szCs w:val="22"/>
        </w:rPr>
        <w:t xml:space="preserve">cases of </w:t>
      </w:r>
      <w:r w:rsidRPr="000A3A10">
        <w:rPr>
          <w:rFonts w:ascii="Arial" w:hAnsi="Arial" w:cs="Arial"/>
          <w:color w:val="000000" w:themeColor="text1"/>
          <w:sz w:val="22"/>
          <w:szCs w:val="22"/>
        </w:rPr>
        <w:t>T2DM patients within the region</w:t>
      </w:r>
      <w:r w:rsidR="000F3E8B"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is </w:t>
      </w:r>
      <w:r w:rsidR="000F3E8B" w:rsidRPr="000A3A10">
        <w:rPr>
          <w:rFonts w:ascii="Arial" w:hAnsi="Arial" w:cs="Arial"/>
          <w:color w:val="000000" w:themeColor="text1"/>
          <w:sz w:val="22"/>
          <w:szCs w:val="22"/>
        </w:rPr>
        <w:t xml:space="preserve">challenging </w:t>
      </w:r>
      <w:r w:rsidR="00CE1ADB" w:rsidRPr="000A3A10">
        <w:rPr>
          <w:rFonts w:ascii="Arial" w:hAnsi="Arial" w:cs="Arial"/>
          <w:color w:val="000000" w:themeColor="text1"/>
          <w:sz w:val="22"/>
          <w:szCs w:val="22"/>
        </w:rPr>
        <w:t xml:space="preserve">the </w:t>
      </w:r>
      <w:r w:rsidRPr="000A3A10">
        <w:rPr>
          <w:rFonts w:ascii="Arial" w:hAnsi="Arial" w:cs="Arial"/>
          <w:color w:val="000000" w:themeColor="text1"/>
          <w:sz w:val="22"/>
          <w:szCs w:val="22"/>
        </w:rPr>
        <w:t xml:space="preserve">government bodies and </w:t>
      </w:r>
      <w:r w:rsidR="000F3E8B" w:rsidRPr="000A3A10">
        <w:rPr>
          <w:rFonts w:ascii="Arial" w:hAnsi="Arial" w:cs="Arial"/>
          <w:color w:val="000000" w:themeColor="text1"/>
          <w:sz w:val="22"/>
          <w:szCs w:val="22"/>
        </w:rPr>
        <w:t xml:space="preserve">the healthcare system/National Health Service (NHS) </w:t>
      </w:r>
      <w:r w:rsidRPr="000A3A10">
        <w:rPr>
          <w:rFonts w:ascii="Arial" w:hAnsi="Arial" w:cs="Arial"/>
          <w:color w:val="000000" w:themeColor="text1"/>
          <w:sz w:val="22"/>
          <w:szCs w:val="22"/>
        </w:rPr>
        <w:t xml:space="preserve">to </w:t>
      </w:r>
      <w:r w:rsidR="000F3E8B" w:rsidRPr="000A3A10">
        <w:rPr>
          <w:rFonts w:ascii="Arial" w:hAnsi="Arial" w:cs="Arial"/>
          <w:color w:val="000000" w:themeColor="text1"/>
          <w:sz w:val="22"/>
          <w:szCs w:val="22"/>
        </w:rPr>
        <w:t>deliver personalised and consistent primary care</w:t>
      </w:r>
      <w:r w:rsidR="00FD139C" w:rsidRPr="000A3A10">
        <w:rPr>
          <w:rFonts w:ascii="Arial" w:hAnsi="Arial" w:cs="Arial"/>
          <w:color w:val="000000" w:themeColor="text1"/>
          <w:sz w:val="22"/>
          <w:szCs w:val="22"/>
        </w:rPr>
        <w:t xml:space="preserve"> (Turnbull &amp; Cabral, 2024)</w:t>
      </w:r>
      <w:r w:rsidR="00CE1ADB" w:rsidRPr="000A3A10">
        <w:rPr>
          <w:rFonts w:ascii="Arial" w:hAnsi="Arial" w:cs="Arial"/>
          <w:color w:val="000000" w:themeColor="text1"/>
          <w:sz w:val="22"/>
          <w:szCs w:val="22"/>
        </w:rPr>
        <w:t>.</w:t>
      </w:r>
      <w:r w:rsidRPr="000A3A10">
        <w:rPr>
          <w:rFonts w:ascii="Arial" w:hAnsi="Arial" w:cs="Arial"/>
          <w:color w:val="000000" w:themeColor="text1"/>
          <w:sz w:val="22"/>
          <w:szCs w:val="22"/>
        </w:rPr>
        <w:t xml:space="preserve"> </w:t>
      </w:r>
    </w:p>
    <w:p w14:paraId="20906082" w14:textId="0269AF5D" w:rsidR="002741A9" w:rsidRPr="000A3A10" w:rsidRDefault="000A3A10" w:rsidP="000152C0">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Currently, the health services have been changed by </w:t>
      </w:r>
      <w:r w:rsidR="002A7CD7" w:rsidRPr="000A3A10">
        <w:rPr>
          <w:rFonts w:ascii="Arial" w:hAnsi="Arial" w:cs="Arial"/>
          <w:color w:val="000000" w:themeColor="text1"/>
          <w:sz w:val="22"/>
          <w:szCs w:val="22"/>
        </w:rPr>
        <w:t xml:space="preserve">launching and </w:t>
      </w:r>
      <w:r w:rsidRPr="000A3A10">
        <w:rPr>
          <w:rFonts w:ascii="Arial" w:hAnsi="Arial" w:cs="Arial"/>
          <w:color w:val="000000" w:themeColor="text1"/>
          <w:sz w:val="22"/>
          <w:szCs w:val="22"/>
        </w:rPr>
        <w:t xml:space="preserve">integrating advanced/digital health interventions </w:t>
      </w:r>
      <w:r w:rsidR="00F71FA0" w:rsidRPr="000A3A10">
        <w:rPr>
          <w:rFonts w:ascii="Arial" w:hAnsi="Arial" w:cs="Arial"/>
          <w:color w:val="000000" w:themeColor="text1"/>
          <w:sz w:val="22"/>
          <w:szCs w:val="22"/>
        </w:rPr>
        <w:t xml:space="preserve">as potential solutions, </w:t>
      </w:r>
      <w:r w:rsidRPr="000A3A10">
        <w:rPr>
          <w:rFonts w:ascii="Arial" w:hAnsi="Arial" w:cs="Arial"/>
          <w:color w:val="000000" w:themeColor="text1"/>
          <w:sz w:val="22"/>
          <w:szCs w:val="22"/>
        </w:rPr>
        <w:t xml:space="preserve">such as online checkups and </w:t>
      </w:r>
      <w:r w:rsidR="00CE1ADB" w:rsidRPr="000A3A10">
        <w:rPr>
          <w:rFonts w:ascii="Arial" w:hAnsi="Arial" w:cs="Arial"/>
          <w:color w:val="000000" w:themeColor="text1"/>
          <w:sz w:val="22"/>
          <w:szCs w:val="22"/>
        </w:rPr>
        <w:t xml:space="preserve">remote monitoring devices, </w:t>
      </w:r>
      <w:r w:rsidRPr="000A3A10">
        <w:rPr>
          <w:rFonts w:ascii="Arial" w:hAnsi="Arial" w:cs="Arial"/>
          <w:color w:val="000000" w:themeColor="text1"/>
          <w:sz w:val="22"/>
          <w:szCs w:val="22"/>
        </w:rPr>
        <w:t xml:space="preserve">mobile health applications, </w:t>
      </w:r>
      <w:r w:rsidR="00F71FA0" w:rsidRPr="000A3A10">
        <w:rPr>
          <w:rFonts w:ascii="Arial" w:hAnsi="Arial" w:cs="Arial"/>
          <w:color w:val="000000" w:themeColor="text1"/>
          <w:sz w:val="22"/>
          <w:szCs w:val="22"/>
        </w:rPr>
        <w:t xml:space="preserve">telehealth services, wearable devices, </w:t>
      </w:r>
      <w:r w:rsidR="00CE1ADB" w:rsidRPr="000A3A10">
        <w:rPr>
          <w:rFonts w:ascii="Arial" w:hAnsi="Arial" w:cs="Arial"/>
          <w:color w:val="000000" w:themeColor="text1"/>
          <w:sz w:val="22"/>
          <w:szCs w:val="22"/>
        </w:rPr>
        <w:t>and online learning curricula</w:t>
      </w:r>
      <w:r w:rsidR="00FD139C" w:rsidRPr="000A3A10">
        <w:rPr>
          <w:rFonts w:ascii="Arial" w:hAnsi="Arial" w:cs="Arial"/>
          <w:color w:val="000000" w:themeColor="text1"/>
          <w:sz w:val="22"/>
          <w:szCs w:val="22"/>
        </w:rPr>
        <w:t xml:space="preserve"> (May, 2026)</w:t>
      </w:r>
      <w:r w:rsidRPr="000A3A10">
        <w:rPr>
          <w:rFonts w:ascii="Arial" w:hAnsi="Arial" w:cs="Arial"/>
          <w:color w:val="000000" w:themeColor="text1"/>
          <w:sz w:val="22"/>
          <w:szCs w:val="22"/>
        </w:rPr>
        <w:t xml:space="preserve">. Contrarily, there is </w:t>
      </w:r>
      <w:r w:rsidR="00185B02" w:rsidRPr="000A3A10">
        <w:rPr>
          <w:rFonts w:ascii="Arial" w:hAnsi="Arial" w:cs="Arial"/>
          <w:color w:val="000000" w:themeColor="text1"/>
          <w:sz w:val="22"/>
          <w:szCs w:val="22"/>
        </w:rPr>
        <w:t>unexplored</w:t>
      </w:r>
      <w:r w:rsidRPr="000A3A10">
        <w:rPr>
          <w:rFonts w:ascii="Arial" w:hAnsi="Arial" w:cs="Arial"/>
          <w:color w:val="000000" w:themeColor="text1"/>
          <w:sz w:val="22"/>
          <w:szCs w:val="22"/>
        </w:rPr>
        <w:t xml:space="preserve"> evidence regarding the significant role of such advanced interventions and their effective application in the primary care environment in real-world practise within the UK. Therefore, this scoping review has become a central research to provide researchers and policymakers with a systematic review to inform about evidence-oriented decision making, particularly in health and social care settings.</w:t>
      </w:r>
    </w:p>
    <w:p w14:paraId="5DD3306B" w14:textId="77777777" w:rsidR="00CE1ADB" w:rsidRPr="000A3A10" w:rsidRDefault="000A3A10" w:rsidP="000152C0">
      <w:pPr>
        <w:pStyle w:val="Heading2"/>
        <w:spacing w:after="240" w:line="360" w:lineRule="auto"/>
        <w:jc w:val="both"/>
        <w:rPr>
          <w:rFonts w:ascii="Arial" w:hAnsi="Arial" w:cs="Arial"/>
          <w:color w:val="000000" w:themeColor="text1"/>
          <w:sz w:val="22"/>
          <w:szCs w:val="22"/>
        </w:rPr>
      </w:pPr>
      <w:bookmarkStart w:id="3" w:name="_Toc191964178"/>
      <w:bookmarkStart w:id="4" w:name="_Toc223684386"/>
      <w:r w:rsidRPr="000A3A10">
        <w:rPr>
          <w:rFonts w:ascii="Arial" w:hAnsi="Arial" w:cs="Arial"/>
          <w:color w:val="000000" w:themeColor="text1"/>
          <w:sz w:val="22"/>
          <w:szCs w:val="22"/>
        </w:rPr>
        <w:t>Review Question</w:t>
      </w:r>
      <w:bookmarkEnd w:id="3"/>
      <w:bookmarkEnd w:id="4"/>
    </w:p>
    <w:p w14:paraId="09F566DF" w14:textId="77777777" w:rsidR="00CE1ADB" w:rsidRPr="000A3A10" w:rsidRDefault="000A3A10" w:rsidP="000152C0">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The key question</w:t>
      </w:r>
      <w:r w:rsidR="00051D2A" w:rsidRPr="000A3A10">
        <w:rPr>
          <w:rFonts w:ascii="Arial" w:hAnsi="Arial" w:cs="Arial"/>
          <w:color w:val="000000" w:themeColor="text1"/>
          <w:sz w:val="22"/>
          <w:szCs w:val="22"/>
        </w:rPr>
        <w:t>s</w:t>
      </w:r>
      <w:r w:rsidRPr="000A3A10">
        <w:rPr>
          <w:rFonts w:ascii="Arial" w:hAnsi="Arial" w:cs="Arial"/>
          <w:color w:val="000000" w:themeColor="text1"/>
          <w:sz w:val="22"/>
          <w:szCs w:val="22"/>
        </w:rPr>
        <w:t xml:space="preserve"> of the current research answered </w:t>
      </w:r>
      <w:r w:rsidR="00051D2A" w:rsidRPr="000A3A10">
        <w:rPr>
          <w:rFonts w:ascii="Arial" w:hAnsi="Arial" w:cs="Arial"/>
          <w:color w:val="000000" w:themeColor="text1"/>
          <w:sz w:val="22"/>
          <w:szCs w:val="22"/>
        </w:rPr>
        <w:t>throughout the scoping review are</w:t>
      </w:r>
      <w:r w:rsidRPr="000A3A10">
        <w:rPr>
          <w:rFonts w:ascii="Arial" w:hAnsi="Arial" w:cs="Arial"/>
          <w:color w:val="000000" w:themeColor="text1"/>
          <w:sz w:val="22"/>
          <w:szCs w:val="22"/>
        </w:rPr>
        <w:t xml:space="preserve"> "Which digital health interventions are applied in the UK primary care to promote self-management in patients suffering from Type 2 diabetes, and what are the results?" </w:t>
      </w:r>
    </w:p>
    <w:p w14:paraId="26781F01" w14:textId="77777777" w:rsidR="00CE1ADB" w:rsidRPr="000A3A10" w:rsidRDefault="000A3A10" w:rsidP="000152C0">
      <w:pPr>
        <w:pStyle w:val="Heading2"/>
        <w:spacing w:after="240" w:line="360" w:lineRule="auto"/>
        <w:jc w:val="both"/>
        <w:rPr>
          <w:rFonts w:ascii="Arial" w:hAnsi="Arial" w:cs="Arial"/>
          <w:color w:val="000000" w:themeColor="text1"/>
          <w:sz w:val="22"/>
          <w:szCs w:val="22"/>
        </w:rPr>
      </w:pPr>
      <w:bookmarkStart w:id="5" w:name="_Toc191964179"/>
      <w:bookmarkStart w:id="6" w:name="_Toc223684387"/>
      <w:r w:rsidRPr="000A3A10">
        <w:rPr>
          <w:rFonts w:ascii="Arial" w:hAnsi="Arial" w:cs="Arial"/>
          <w:color w:val="000000" w:themeColor="text1"/>
          <w:sz w:val="22"/>
          <w:szCs w:val="22"/>
        </w:rPr>
        <w:t>Objectives of the Scoping Review</w:t>
      </w:r>
      <w:bookmarkEnd w:id="5"/>
      <w:bookmarkEnd w:id="6"/>
    </w:p>
    <w:p w14:paraId="694A205C" w14:textId="77777777" w:rsidR="00CE1ADB" w:rsidRPr="000A3A10" w:rsidRDefault="000A3A10" w:rsidP="000152C0">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A fundamental objective in the presented scoping review is to thoroughly examine as well as map the already available literature on digital health interventions in the context of Type 2 diabetes patients. However, the sub-objectives of the research are:</w:t>
      </w:r>
    </w:p>
    <w:p w14:paraId="5BC84FB3" w14:textId="77777777" w:rsidR="00CE1ADB" w:rsidRPr="000A3A10" w:rsidRDefault="000A3A10" w:rsidP="000152C0">
      <w:pPr>
        <w:pStyle w:val="ListParagraph"/>
        <w:numPr>
          <w:ilvl w:val="0"/>
          <w:numId w:val="8"/>
        </w:num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To discuss and map the focus and significance of the available options of digital health interventions, particularly within the UK primary care, to manage T2D</w:t>
      </w:r>
      <w:r w:rsidR="00051D2A" w:rsidRPr="000A3A10">
        <w:rPr>
          <w:rFonts w:ascii="Arial" w:hAnsi="Arial" w:cs="Arial"/>
          <w:color w:val="000000" w:themeColor="text1"/>
          <w:sz w:val="22"/>
          <w:szCs w:val="22"/>
        </w:rPr>
        <w:t>M</w:t>
      </w:r>
      <w:r w:rsidR="0087595F" w:rsidRPr="000A3A10">
        <w:rPr>
          <w:rFonts w:ascii="Arial" w:hAnsi="Arial" w:cs="Arial"/>
          <w:color w:val="000000" w:themeColor="text1"/>
          <w:sz w:val="22"/>
          <w:szCs w:val="22"/>
        </w:rPr>
        <w:t xml:space="preserve"> in patients </w:t>
      </w:r>
    </w:p>
    <w:p w14:paraId="2EA65D8C" w14:textId="77777777" w:rsidR="00CE1ADB" w:rsidRPr="000A3A10" w:rsidRDefault="000A3A10" w:rsidP="000152C0">
      <w:pPr>
        <w:pStyle w:val="ListParagraph"/>
        <w:numPr>
          <w:ilvl w:val="0"/>
          <w:numId w:val="8"/>
        </w:num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To </w:t>
      </w:r>
      <w:r w:rsidR="00051D2A" w:rsidRPr="000A3A10">
        <w:rPr>
          <w:rFonts w:ascii="Arial" w:hAnsi="Arial" w:cs="Arial"/>
          <w:color w:val="000000" w:themeColor="text1"/>
          <w:sz w:val="22"/>
          <w:szCs w:val="22"/>
        </w:rPr>
        <w:t>explore</w:t>
      </w:r>
      <w:r w:rsidRPr="000A3A10">
        <w:rPr>
          <w:rFonts w:ascii="Arial" w:hAnsi="Arial" w:cs="Arial"/>
          <w:color w:val="000000" w:themeColor="text1"/>
          <w:sz w:val="22"/>
          <w:szCs w:val="22"/>
        </w:rPr>
        <w:t xml:space="preserve"> clinical, behavioural and patient-reported outcomes</w:t>
      </w:r>
      <w:r w:rsidR="0087595F" w:rsidRPr="000A3A10">
        <w:rPr>
          <w:rFonts w:ascii="Arial" w:hAnsi="Arial" w:cs="Arial"/>
          <w:color w:val="000000" w:themeColor="text1"/>
          <w:sz w:val="22"/>
          <w:szCs w:val="22"/>
        </w:rPr>
        <w:t xml:space="preserve"> using a thematic method</w:t>
      </w:r>
    </w:p>
    <w:p w14:paraId="3F5F7D54" w14:textId="77777777" w:rsidR="00CE1ADB" w:rsidRPr="000A3A10" w:rsidRDefault="000A3A10" w:rsidP="000152C0">
      <w:pPr>
        <w:pStyle w:val="ListParagraph"/>
        <w:numPr>
          <w:ilvl w:val="0"/>
          <w:numId w:val="8"/>
        </w:num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To identify </w:t>
      </w:r>
      <w:r w:rsidR="00503D9A" w:rsidRPr="000A3A10">
        <w:rPr>
          <w:rFonts w:ascii="Arial" w:hAnsi="Arial" w:cs="Arial"/>
          <w:color w:val="000000" w:themeColor="text1"/>
          <w:sz w:val="22"/>
          <w:szCs w:val="22"/>
        </w:rPr>
        <w:t xml:space="preserve">evidence-based </w:t>
      </w:r>
      <w:r w:rsidRPr="000A3A10">
        <w:rPr>
          <w:rFonts w:ascii="Arial" w:hAnsi="Arial" w:cs="Arial"/>
          <w:color w:val="000000" w:themeColor="text1"/>
          <w:sz w:val="22"/>
          <w:szCs w:val="22"/>
        </w:rPr>
        <w:t>possible gaps</w:t>
      </w:r>
      <w:r w:rsidR="008901A7"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in the existing </w:t>
      </w:r>
      <w:r w:rsidR="00503D9A" w:rsidRPr="000A3A10">
        <w:rPr>
          <w:rFonts w:ascii="Arial" w:hAnsi="Arial" w:cs="Arial"/>
          <w:color w:val="000000" w:themeColor="text1"/>
          <w:sz w:val="22"/>
          <w:szCs w:val="22"/>
        </w:rPr>
        <w:t>interventions</w:t>
      </w:r>
      <w:r w:rsidRPr="000A3A10">
        <w:rPr>
          <w:rFonts w:ascii="Arial" w:hAnsi="Arial" w:cs="Arial"/>
          <w:color w:val="000000" w:themeColor="text1"/>
          <w:sz w:val="22"/>
          <w:szCs w:val="22"/>
        </w:rPr>
        <w:t xml:space="preserve"> </w:t>
      </w:r>
      <w:r w:rsidR="0087595F" w:rsidRPr="000A3A10">
        <w:rPr>
          <w:rFonts w:ascii="Arial" w:hAnsi="Arial" w:cs="Arial"/>
          <w:color w:val="000000" w:themeColor="text1"/>
          <w:sz w:val="22"/>
          <w:szCs w:val="22"/>
        </w:rPr>
        <w:t xml:space="preserve">to fill them in </w:t>
      </w:r>
      <w:r w:rsidRPr="000A3A10">
        <w:rPr>
          <w:rFonts w:ascii="Arial" w:hAnsi="Arial" w:cs="Arial"/>
          <w:color w:val="000000" w:themeColor="text1"/>
          <w:sz w:val="22"/>
          <w:szCs w:val="22"/>
        </w:rPr>
        <w:t xml:space="preserve">future </w:t>
      </w:r>
      <w:r w:rsidR="0087595F" w:rsidRPr="000A3A10">
        <w:rPr>
          <w:rFonts w:ascii="Arial" w:hAnsi="Arial" w:cs="Arial"/>
          <w:color w:val="000000" w:themeColor="text1"/>
          <w:sz w:val="22"/>
          <w:szCs w:val="22"/>
        </w:rPr>
        <w:t xml:space="preserve">studies </w:t>
      </w:r>
      <w:r w:rsidRPr="000A3A10">
        <w:rPr>
          <w:rFonts w:ascii="Arial" w:hAnsi="Arial" w:cs="Arial"/>
          <w:color w:val="000000" w:themeColor="text1"/>
          <w:sz w:val="22"/>
          <w:szCs w:val="22"/>
        </w:rPr>
        <w:t>and practice.</w:t>
      </w:r>
    </w:p>
    <w:p w14:paraId="4D57E591" w14:textId="77777777" w:rsidR="002912B2" w:rsidRPr="000A3A10" w:rsidRDefault="000A3A10" w:rsidP="00605F33">
      <w:pPr>
        <w:pStyle w:val="Heading1"/>
        <w:spacing w:after="240" w:line="360" w:lineRule="auto"/>
        <w:jc w:val="both"/>
        <w:rPr>
          <w:rFonts w:ascii="Arial" w:hAnsi="Arial" w:cs="Arial"/>
          <w:color w:val="000000" w:themeColor="text1"/>
          <w:sz w:val="22"/>
          <w:szCs w:val="22"/>
        </w:rPr>
      </w:pPr>
      <w:bookmarkStart w:id="7" w:name="_Toc223684388"/>
      <w:r w:rsidRPr="000A3A10">
        <w:rPr>
          <w:rFonts w:ascii="Arial" w:hAnsi="Arial" w:cs="Arial"/>
          <w:color w:val="000000" w:themeColor="text1"/>
          <w:sz w:val="22"/>
          <w:szCs w:val="22"/>
        </w:rPr>
        <w:t>Background</w:t>
      </w:r>
      <w:bookmarkEnd w:id="7"/>
      <w:r w:rsidRPr="000A3A10">
        <w:rPr>
          <w:rFonts w:ascii="Arial" w:hAnsi="Arial" w:cs="Arial"/>
          <w:color w:val="000000" w:themeColor="text1"/>
          <w:sz w:val="22"/>
          <w:szCs w:val="22"/>
        </w:rPr>
        <w:t xml:space="preserve"> </w:t>
      </w:r>
    </w:p>
    <w:p w14:paraId="400ED4A7" w14:textId="77777777" w:rsidR="002912B2" w:rsidRPr="000A3A10" w:rsidRDefault="000A3A10" w:rsidP="00605F33">
      <w:pPr>
        <w:pStyle w:val="Heading2"/>
        <w:spacing w:after="240" w:line="360" w:lineRule="auto"/>
        <w:jc w:val="both"/>
        <w:rPr>
          <w:rFonts w:ascii="Arial" w:hAnsi="Arial" w:cs="Arial"/>
          <w:color w:val="000000" w:themeColor="text1"/>
          <w:sz w:val="22"/>
          <w:szCs w:val="22"/>
        </w:rPr>
      </w:pPr>
      <w:bookmarkStart w:id="8" w:name="_Toc223684389"/>
      <w:r w:rsidRPr="000A3A10">
        <w:rPr>
          <w:rFonts w:ascii="Arial" w:hAnsi="Arial" w:cs="Arial"/>
          <w:color w:val="000000" w:themeColor="text1"/>
          <w:sz w:val="22"/>
          <w:szCs w:val="22"/>
        </w:rPr>
        <w:t>Type 2 Diabetes Mellitus (T2DM) and Digital Health Interventions</w:t>
      </w:r>
      <w:bookmarkEnd w:id="8"/>
    </w:p>
    <w:p w14:paraId="1400D081" w14:textId="64BCB905" w:rsidR="002912B2"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The young adults in the UK and across the world are facing numerous health issues, but the most common public health concern noticed in the past few years during primary care service provision is T2DM</w:t>
      </w:r>
      <w:r w:rsidR="00AC74FA"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 xml:space="preserve"> (</w:t>
      </w:r>
      <w:proofErr w:type="spellStart"/>
      <w:r w:rsidR="00FD139C" w:rsidRPr="000A3A10">
        <w:rPr>
          <w:rFonts w:ascii="Arial" w:hAnsi="Arial" w:cs="Arial"/>
          <w:color w:val="000000" w:themeColor="text1"/>
          <w:sz w:val="22"/>
          <w:szCs w:val="22"/>
        </w:rPr>
        <w:t>Faquetti</w:t>
      </w:r>
      <w:proofErr w:type="spellEnd"/>
      <w:r w:rsidR="00FD139C" w:rsidRPr="000A3A10">
        <w:rPr>
          <w:rFonts w:ascii="Arial" w:hAnsi="Arial" w:cs="Arial"/>
          <w:color w:val="000000" w:themeColor="text1"/>
          <w:sz w:val="22"/>
          <w:szCs w:val="22"/>
        </w:rPr>
        <w:t xml:space="preserve"> et al., 2024)</w:t>
      </w:r>
      <w:r w:rsidRPr="000A3A10">
        <w:rPr>
          <w:rFonts w:ascii="Arial" w:hAnsi="Arial" w:cs="Arial"/>
          <w:color w:val="000000" w:themeColor="text1"/>
          <w:sz w:val="22"/>
          <w:szCs w:val="22"/>
        </w:rPr>
        <w:t>. Simply, T2DM is a chronic health issue which occurs when an individual's body is unable to use insulin properly and correctly, which eventually elevates the sugar in the blood. Unfortunately, this situation is constantly turning into worst in terms of severity and complications of the health issue (such as kidney failure, cardiovascu</w:t>
      </w:r>
      <w:r w:rsidR="00BC70BA" w:rsidRPr="000A3A10">
        <w:rPr>
          <w:rFonts w:ascii="Arial" w:hAnsi="Arial" w:cs="Arial"/>
          <w:color w:val="000000" w:themeColor="text1"/>
          <w:sz w:val="22"/>
          <w:szCs w:val="22"/>
        </w:rPr>
        <w:t xml:space="preserve">lar diseases, visual impairment/blindness, stroke, </w:t>
      </w:r>
      <w:r w:rsidRPr="000A3A10">
        <w:rPr>
          <w:rFonts w:ascii="Arial" w:hAnsi="Arial" w:cs="Arial"/>
          <w:color w:val="000000" w:themeColor="text1"/>
          <w:sz w:val="22"/>
          <w:szCs w:val="22"/>
        </w:rPr>
        <w:t xml:space="preserve">and so on due to the </w:t>
      </w:r>
      <w:r w:rsidR="00BC70BA" w:rsidRPr="000A3A10">
        <w:rPr>
          <w:rFonts w:ascii="Arial" w:hAnsi="Arial" w:cs="Arial"/>
          <w:color w:val="000000" w:themeColor="text1"/>
          <w:sz w:val="22"/>
          <w:szCs w:val="22"/>
        </w:rPr>
        <w:t xml:space="preserve">poor </w:t>
      </w:r>
      <w:r w:rsidRPr="000A3A10">
        <w:rPr>
          <w:rFonts w:ascii="Arial" w:hAnsi="Arial" w:cs="Arial"/>
          <w:color w:val="000000" w:themeColor="text1"/>
          <w:sz w:val="22"/>
          <w:szCs w:val="22"/>
        </w:rPr>
        <w:t xml:space="preserve">management </w:t>
      </w:r>
      <w:r w:rsidR="00BC70BA" w:rsidRPr="000A3A10">
        <w:rPr>
          <w:rFonts w:ascii="Arial" w:hAnsi="Arial" w:cs="Arial"/>
          <w:color w:val="000000" w:themeColor="text1"/>
          <w:sz w:val="22"/>
          <w:szCs w:val="22"/>
        </w:rPr>
        <w:t xml:space="preserve">that ultimately become a common cause of lower quality of life among patients along with high healthcare cost </w:t>
      </w:r>
      <w:r w:rsidR="00FD139C" w:rsidRPr="000A3A10">
        <w:rPr>
          <w:rFonts w:ascii="Arial" w:hAnsi="Arial" w:cs="Arial"/>
          <w:color w:val="000000" w:themeColor="text1"/>
          <w:sz w:val="22"/>
          <w:szCs w:val="22"/>
        </w:rPr>
        <w:t>(The British Diabetic Association, 2025)</w:t>
      </w:r>
      <w:r w:rsidRPr="000A3A10">
        <w:rPr>
          <w:rFonts w:ascii="Arial" w:hAnsi="Arial" w:cs="Arial"/>
          <w:color w:val="000000" w:themeColor="text1"/>
          <w:sz w:val="22"/>
          <w:szCs w:val="22"/>
        </w:rPr>
        <w:t xml:space="preserve">. </w:t>
      </w:r>
    </w:p>
    <w:p w14:paraId="7E4BA36D" w14:textId="6385090F" w:rsidR="0040288F"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Expectedly, NHS England</w:t>
      </w:r>
      <w:r w:rsidR="00AC74FA"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(2025)</w:t>
      </w:r>
      <w:r w:rsidRPr="000A3A10">
        <w:rPr>
          <w:rFonts w:ascii="Arial" w:hAnsi="Arial" w:cs="Arial"/>
          <w:color w:val="000000" w:themeColor="text1"/>
          <w:sz w:val="22"/>
          <w:szCs w:val="22"/>
        </w:rPr>
        <w:t xml:space="preserve"> reported that the number of T2DM patients in the UK may reach high numbers if not treated appropriately because patients living with this issue are in the millions, and they are constantly requiring assistance, monitoring, and support to deal with this health problem. </w:t>
      </w:r>
      <w:r w:rsidR="002912B2" w:rsidRPr="000A3A10">
        <w:rPr>
          <w:rFonts w:ascii="Arial" w:hAnsi="Arial" w:cs="Arial"/>
          <w:color w:val="000000" w:themeColor="text1"/>
          <w:sz w:val="22"/>
          <w:szCs w:val="22"/>
        </w:rPr>
        <w:t>In this situation, effective actions are crucial</w:t>
      </w:r>
      <w:r w:rsidRPr="000A3A10">
        <w:rPr>
          <w:rFonts w:ascii="Arial" w:hAnsi="Arial" w:cs="Arial"/>
          <w:color w:val="000000" w:themeColor="text1"/>
          <w:sz w:val="22"/>
          <w:szCs w:val="22"/>
        </w:rPr>
        <w:t>, particularly in primary care settings, because this kind of issue is mainly dealt with by primary healthcare providers such as responsible teams and general practitioners (GPs) through long-term management as well as monitoring of chronic conditions of patients diagnosed with T2DM</w:t>
      </w:r>
      <w:r w:rsidR="008A5232"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(NHS England, 2025)</w:t>
      </w:r>
      <w:r w:rsidRPr="000A3A10">
        <w:rPr>
          <w:rFonts w:ascii="Arial" w:hAnsi="Arial" w:cs="Arial"/>
          <w:color w:val="000000" w:themeColor="text1"/>
          <w:sz w:val="22"/>
          <w:szCs w:val="22"/>
        </w:rPr>
        <w:t>.</w:t>
      </w:r>
    </w:p>
    <w:p w14:paraId="36C98023" w14:textId="37E9FC0E" w:rsidR="005E1A3B"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Recently, the growing concern of T2DM in the UK and globally has placed a considerable burden on responsible authorities to improve healthcare services through innovative approaches such as self-management</w:t>
      </w:r>
      <w:r w:rsidR="00FD139C" w:rsidRPr="000A3A10">
        <w:rPr>
          <w:rFonts w:ascii="Arial" w:hAnsi="Arial" w:cs="Arial"/>
          <w:color w:val="000000" w:themeColor="text1"/>
          <w:sz w:val="22"/>
          <w:szCs w:val="22"/>
        </w:rPr>
        <w:t xml:space="preserve"> (Chatterjee et al., 2018)</w:t>
      </w:r>
      <w:r w:rsidRPr="000A3A10">
        <w:rPr>
          <w:rFonts w:ascii="Arial" w:hAnsi="Arial" w:cs="Arial"/>
          <w:color w:val="000000" w:themeColor="text1"/>
          <w:sz w:val="22"/>
          <w:szCs w:val="22"/>
        </w:rPr>
        <w:t xml:space="preserve">. This is because self-management </w:t>
      </w:r>
      <w:r w:rsidR="0066203E" w:rsidRPr="000A3A10">
        <w:rPr>
          <w:rFonts w:ascii="Arial" w:hAnsi="Arial" w:cs="Arial"/>
          <w:color w:val="000000" w:themeColor="text1"/>
          <w:sz w:val="22"/>
          <w:szCs w:val="22"/>
        </w:rPr>
        <w:t xml:space="preserve">has been globally </w:t>
      </w:r>
      <w:r w:rsidRPr="000A3A10">
        <w:rPr>
          <w:rFonts w:ascii="Arial" w:hAnsi="Arial" w:cs="Arial"/>
          <w:color w:val="000000" w:themeColor="text1"/>
          <w:sz w:val="22"/>
          <w:szCs w:val="22"/>
        </w:rPr>
        <w:t xml:space="preserve">recognised as a </w:t>
      </w:r>
      <w:r w:rsidR="0066203E" w:rsidRPr="000A3A10">
        <w:rPr>
          <w:rFonts w:ascii="Arial" w:hAnsi="Arial" w:cs="Arial"/>
          <w:color w:val="000000" w:themeColor="text1"/>
          <w:sz w:val="22"/>
          <w:szCs w:val="22"/>
        </w:rPr>
        <w:t xml:space="preserve">foundational aspect for managing and treating </w:t>
      </w:r>
      <w:r w:rsidRPr="000A3A10">
        <w:rPr>
          <w:rFonts w:ascii="Arial" w:hAnsi="Arial" w:cs="Arial"/>
          <w:color w:val="000000" w:themeColor="text1"/>
          <w:sz w:val="22"/>
          <w:szCs w:val="22"/>
        </w:rPr>
        <w:t xml:space="preserve">diabetes </w:t>
      </w:r>
      <w:r w:rsidR="0066203E" w:rsidRPr="000A3A10">
        <w:rPr>
          <w:rFonts w:ascii="Arial" w:hAnsi="Arial" w:cs="Arial"/>
          <w:color w:val="000000" w:themeColor="text1"/>
          <w:sz w:val="22"/>
          <w:szCs w:val="22"/>
        </w:rPr>
        <w:t xml:space="preserve">significantly by engaging sufferers </w:t>
      </w:r>
      <w:r w:rsidRPr="000A3A10">
        <w:rPr>
          <w:rFonts w:ascii="Arial" w:hAnsi="Arial" w:cs="Arial"/>
          <w:color w:val="000000" w:themeColor="text1"/>
          <w:sz w:val="22"/>
          <w:szCs w:val="22"/>
        </w:rPr>
        <w:t xml:space="preserve">actively </w:t>
      </w:r>
      <w:r w:rsidR="0066203E" w:rsidRPr="000A3A10">
        <w:rPr>
          <w:rFonts w:ascii="Arial" w:hAnsi="Arial" w:cs="Arial"/>
          <w:color w:val="000000" w:themeColor="text1"/>
          <w:sz w:val="22"/>
          <w:szCs w:val="22"/>
        </w:rPr>
        <w:t>in treatments or activities required for management</w:t>
      </w:r>
      <w:r w:rsidR="006E2742" w:rsidRPr="000A3A10">
        <w:rPr>
          <w:rFonts w:ascii="Arial" w:hAnsi="Arial" w:cs="Arial"/>
          <w:color w:val="000000" w:themeColor="text1"/>
          <w:sz w:val="22"/>
          <w:szCs w:val="22"/>
        </w:rPr>
        <w:t>, which is supported by the UK policies/guidelines like the National Institute for Health and Care Excellence (NICE) Guidelines</w:t>
      </w:r>
      <w:r w:rsidR="00FD139C" w:rsidRPr="000A3A10">
        <w:rPr>
          <w:rFonts w:ascii="Arial" w:hAnsi="Arial" w:cs="Arial"/>
          <w:noProof/>
          <w:color w:val="000000" w:themeColor="text1"/>
          <w:sz w:val="22"/>
          <w:szCs w:val="22"/>
          <w:lang w:val="en-US"/>
        </w:rPr>
        <w:t xml:space="preserve"> (Reinhardt et al., 2021)</w:t>
      </w:r>
      <w:r w:rsidR="006E2742" w:rsidRPr="000A3A10">
        <w:rPr>
          <w:rFonts w:ascii="Arial" w:hAnsi="Arial" w:cs="Arial"/>
          <w:color w:val="000000" w:themeColor="text1"/>
          <w:sz w:val="22"/>
          <w:szCs w:val="22"/>
        </w:rPr>
        <w:t xml:space="preserve">. </w:t>
      </w:r>
      <w:r w:rsidR="0066203E" w:rsidRPr="000A3A10">
        <w:rPr>
          <w:rFonts w:ascii="Arial" w:hAnsi="Arial" w:cs="Arial"/>
          <w:color w:val="000000" w:themeColor="text1"/>
          <w:sz w:val="22"/>
          <w:szCs w:val="22"/>
        </w:rPr>
        <w:t xml:space="preserve">For instance, self-management is the only process that keeps patients aware of their own efforts in overcoming the issue and enables them to follow </w:t>
      </w:r>
      <w:r w:rsidRPr="000A3A10">
        <w:rPr>
          <w:rFonts w:ascii="Arial" w:hAnsi="Arial" w:cs="Arial"/>
          <w:color w:val="000000" w:themeColor="text1"/>
          <w:sz w:val="22"/>
          <w:szCs w:val="22"/>
        </w:rPr>
        <w:t xml:space="preserve">dietary recommendations, </w:t>
      </w:r>
      <w:r w:rsidR="0066203E" w:rsidRPr="000A3A10">
        <w:rPr>
          <w:rFonts w:ascii="Arial" w:hAnsi="Arial" w:cs="Arial"/>
          <w:color w:val="000000" w:themeColor="text1"/>
          <w:sz w:val="22"/>
          <w:szCs w:val="22"/>
        </w:rPr>
        <w:t xml:space="preserve">continue </w:t>
      </w:r>
      <w:r w:rsidRPr="000A3A10">
        <w:rPr>
          <w:rFonts w:ascii="Arial" w:hAnsi="Arial" w:cs="Arial"/>
          <w:color w:val="000000" w:themeColor="text1"/>
          <w:sz w:val="22"/>
          <w:szCs w:val="22"/>
        </w:rPr>
        <w:t xml:space="preserve">regular physical </w:t>
      </w:r>
      <w:r w:rsidR="0066203E" w:rsidRPr="000A3A10">
        <w:rPr>
          <w:rFonts w:ascii="Arial" w:hAnsi="Arial" w:cs="Arial"/>
          <w:color w:val="000000" w:themeColor="text1"/>
          <w:sz w:val="22"/>
          <w:szCs w:val="22"/>
        </w:rPr>
        <w:t>exercises</w:t>
      </w:r>
      <w:r w:rsidRPr="000A3A10">
        <w:rPr>
          <w:rFonts w:ascii="Arial" w:hAnsi="Arial" w:cs="Arial"/>
          <w:color w:val="000000" w:themeColor="text1"/>
          <w:sz w:val="22"/>
          <w:szCs w:val="22"/>
        </w:rPr>
        <w:t xml:space="preserve">, </w:t>
      </w:r>
      <w:r w:rsidR="0066203E" w:rsidRPr="000A3A10">
        <w:rPr>
          <w:rFonts w:ascii="Arial" w:hAnsi="Arial" w:cs="Arial"/>
          <w:color w:val="000000" w:themeColor="text1"/>
          <w:sz w:val="22"/>
          <w:szCs w:val="22"/>
        </w:rPr>
        <w:t xml:space="preserve">stick to </w:t>
      </w:r>
      <w:r w:rsidRPr="000A3A10">
        <w:rPr>
          <w:rFonts w:ascii="Arial" w:hAnsi="Arial" w:cs="Arial"/>
          <w:color w:val="000000" w:themeColor="text1"/>
          <w:sz w:val="22"/>
          <w:szCs w:val="22"/>
        </w:rPr>
        <w:t>prescribed medications</w:t>
      </w:r>
      <w:r w:rsidR="0066203E" w:rsidRPr="000A3A10">
        <w:rPr>
          <w:rFonts w:ascii="Arial" w:hAnsi="Arial" w:cs="Arial"/>
          <w:color w:val="000000" w:themeColor="text1"/>
          <w:sz w:val="22"/>
          <w:szCs w:val="22"/>
        </w:rPr>
        <w:t>, get more education and skills for optimistic outcomes, and change behaviours accordingly</w:t>
      </w:r>
      <w:r w:rsidR="00FD139C" w:rsidRPr="000A3A10">
        <w:rPr>
          <w:rFonts w:ascii="Arial" w:hAnsi="Arial" w:cs="Arial"/>
          <w:color w:val="000000" w:themeColor="text1"/>
          <w:sz w:val="22"/>
          <w:szCs w:val="22"/>
        </w:rPr>
        <w:t xml:space="preserve"> (Carvalho et al., 2025)</w:t>
      </w:r>
      <w:r w:rsidRPr="000A3A10">
        <w:rPr>
          <w:rFonts w:ascii="Arial" w:hAnsi="Arial" w:cs="Arial"/>
          <w:color w:val="000000" w:themeColor="text1"/>
          <w:sz w:val="22"/>
          <w:szCs w:val="22"/>
        </w:rPr>
        <w:t xml:space="preserve">. </w:t>
      </w:r>
    </w:p>
    <w:p w14:paraId="6B459C26" w14:textId="379F5B80" w:rsidR="00696191"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At the same time, timely monitoring in clinics is essential, but the staff shortages and the growing demand for T2DM checkups as a result of high prevalence have restricted the use of conventional face-to-face management services in primary care</w:t>
      </w:r>
      <w:r w:rsidR="007B799E"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 xml:space="preserve"> (The British Diabetic Association, 2025)</w:t>
      </w:r>
      <w:r w:rsidRPr="000A3A10">
        <w:rPr>
          <w:rFonts w:ascii="Arial" w:hAnsi="Arial" w:cs="Arial"/>
          <w:color w:val="000000" w:themeColor="text1"/>
          <w:sz w:val="22"/>
          <w:szCs w:val="22"/>
        </w:rPr>
        <w:t xml:space="preserve">. Considering the </w:t>
      </w:r>
      <w:r w:rsidR="0040288F" w:rsidRPr="000A3A10">
        <w:rPr>
          <w:rFonts w:ascii="Arial" w:hAnsi="Arial" w:cs="Arial"/>
          <w:color w:val="000000" w:themeColor="text1"/>
          <w:sz w:val="22"/>
          <w:szCs w:val="22"/>
        </w:rPr>
        <w:t>condition</w:t>
      </w:r>
      <w:r w:rsidRPr="000A3A10">
        <w:rPr>
          <w:rFonts w:ascii="Arial" w:hAnsi="Arial" w:cs="Arial"/>
          <w:color w:val="000000" w:themeColor="text1"/>
          <w:sz w:val="22"/>
          <w:szCs w:val="22"/>
        </w:rPr>
        <w:t xml:space="preserve">, the responsible authorities and the healthcare system of the UK faced stagnant pressure to introduce </w:t>
      </w:r>
      <w:r w:rsidR="004B2585" w:rsidRPr="000A3A10">
        <w:rPr>
          <w:rFonts w:ascii="Arial" w:hAnsi="Arial" w:cs="Arial"/>
          <w:color w:val="000000" w:themeColor="text1"/>
          <w:sz w:val="22"/>
          <w:szCs w:val="22"/>
        </w:rPr>
        <w:t>enduring</w:t>
      </w:r>
      <w:r w:rsidRPr="000A3A10">
        <w:rPr>
          <w:rFonts w:ascii="Arial" w:hAnsi="Arial" w:cs="Arial"/>
          <w:color w:val="000000" w:themeColor="text1"/>
          <w:sz w:val="22"/>
          <w:szCs w:val="22"/>
        </w:rPr>
        <w:t xml:space="preserve"> management actions. Consequently, they tried to improve their health policies by promoting digital solutions for efficiency in checkups, easy and timely access, and patients’ empowerment</w:t>
      </w:r>
      <w:r w:rsidR="00FD139C" w:rsidRPr="000A3A10">
        <w:rPr>
          <w:rFonts w:ascii="Arial" w:hAnsi="Arial" w:cs="Arial"/>
          <w:color w:val="000000" w:themeColor="text1"/>
          <w:sz w:val="22"/>
          <w:szCs w:val="22"/>
        </w:rPr>
        <w:t xml:space="preserve"> (The British Diabetic Association, 2025)</w:t>
      </w:r>
      <w:r w:rsidRPr="000A3A10">
        <w:rPr>
          <w:rFonts w:ascii="Arial" w:hAnsi="Arial" w:cs="Arial"/>
          <w:color w:val="000000" w:themeColor="text1"/>
          <w:sz w:val="22"/>
          <w:szCs w:val="22"/>
        </w:rPr>
        <w:t xml:space="preserve">. </w:t>
      </w:r>
    </w:p>
    <w:p w14:paraId="68844B0C" w14:textId="55D44A4E" w:rsidR="004B4F3A"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The employment of digital solutions in the form of digital health technologies has recently found to be the most promising tool to advocate self-management of patients because of integrating a wide range of advanced and innovative technologies such as </w:t>
      </w:r>
      <w:r w:rsidR="002912B2" w:rsidRPr="000A3A10">
        <w:rPr>
          <w:rFonts w:ascii="Arial" w:hAnsi="Arial" w:cs="Arial"/>
          <w:color w:val="000000" w:themeColor="text1"/>
          <w:sz w:val="22"/>
          <w:szCs w:val="22"/>
        </w:rPr>
        <w:t xml:space="preserve">remote monitoring </w:t>
      </w:r>
      <w:r w:rsidRPr="000A3A10">
        <w:rPr>
          <w:rFonts w:ascii="Arial" w:hAnsi="Arial" w:cs="Arial"/>
          <w:color w:val="000000" w:themeColor="text1"/>
          <w:sz w:val="22"/>
          <w:szCs w:val="22"/>
        </w:rPr>
        <w:t>systems/</w:t>
      </w:r>
      <w:r w:rsidR="002912B2" w:rsidRPr="000A3A10">
        <w:rPr>
          <w:rFonts w:ascii="Arial" w:hAnsi="Arial" w:cs="Arial"/>
          <w:color w:val="000000" w:themeColor="text1"/>
          <w:sz w:val="22"/>
          <w:szCs w:val="22"/>
        </w:rPr>
        <w:t>devices, mobile</w:t>
      </w:r>
      <w:r w:rsidRPr="000A3A10">
        <w:rPr>
          <w:rFonts w:ascii="Arial" w:hAnsi="Arial" w:cs="Arial"/>
          <w:color w:val="000000" w:themeColor="text1"/>
          <w:sz w:val="22"/>
          <w:szCs w:val="22"/>
        </w:rPr>
        <w:t>/smartphone</w:t>
      </w:r>
      <w:r w:rsidR="002912B2" w:rsidRPr="000A3A10">
        <w:rPr>
          <w:rFonts w:ascii="Arial" w:hAnsi="Arial" w:cs="Arial"/>
          <w:color w:val="000000" w:themeColor="text1"/>
          <w:sz w:val="22"/>
          <w:szCs w:val="22"/>
        </w:rPr>
        <w:t xml:space="preserve"> health applications, telehealth services, wearable devices, </w:t>
      </w:r>
      <w:r w:rsidRPr="000A3A10">
        <w:rPr>
          <w:rFonts w:ascii="Arial" w:hAnsi="Arial" w:cs="Arial"/>
          <w:color w:val="000000" w:themeColor="text1"/>
          <w:sz w:val="22"/>
          <w:szCs w:val="22"/>
        </w:rPr>
        <w:t>and other online educational platforms</w:t>
      </w:r>
      <w:r w:rsidR="00696191"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 xml:space="preserve"> (May, 2026)</w:t>
      </w:r>
      <w:r w:rsidRPr="000A3A10">
        <w:rPr>
          <w:rFonts w:ascii="Arial" w:hAnsi="Arial" w:cs="Arial"/>
          <w:color w:val="000000" w:themeColor="text1"/>
          <w:sz w:val="22"/>
          <w:szCs w:val="22"/>
        </w:rPr>
        <w:t xml:space="preserve">. </w:t>
      </w:r>
      <w:r w:rsidR="00696191" w:rsidRPr="000A3A10">
        <w:rPr>
          <w:rFonts w:ascii="Arial" w:hAnsi="Arial" w:cs="Arial"/>
          <w:color w:val="000000" w:themeColor="text1"/>
          <w:sz w:val="22"/>
          <w:szCs w:val="22"/>
        </w:rPr>
        <w:t xml:space="preserve">These revolutionised technologies assist patients with T2DM in </w:t>
      </w:r>
      <w:r w:rsidRPr="000A3A10">
        <w:rPr>
          <w:rFonts w:ascii="Arial" w:hAnsi="Arial" w:cs="Arial"/>
          <w:color w:val="000000" w:themeColor="text1"/>
          <w:sz w:val="22"/>
          <w:szCs w:val="22"/>
        </w:rPr>
        <w:t>monitor</w:t>
      </w:r>
      <w:r w:rsidR="00696191" w:rsidRPr="000A3A10">
        <w:rPr>
          <w:rFonts w:ascii="Arial" w:hAnsi="Arial" w:cs="Arial"/>
          <w:color w:val="000000" w:themeColor="text1"/>
          <w:sz w:val="22"/>
          <w:szCs w:val="22"/>
        </w:rPr>
        <w:t xml:space="preserve">ing their own </w:t>
      </w:r>
      <w:r w:rsidRPr="000A3A10">
        <w:rPr>
          <w:rFonts w:ascii="Arial" w:hAnsi="Arial" w:cs="Arial"/>
          <w:color w:val="000000" w:themeColor="text1"/>
          <w:sz w:val="22"/>
          <w:szCs w:val="22"/>
        </w:rPr>
        <w:t xml:space="preserve">health status, </w:t>
      </w:r>
      <w:r w:rsidR="00696191" w:rsidRPr="000A3A10">
        <w:rPr>
          <w:rFonts w:ascii="Arial" w:hAnsi="Arial" w:cs="Arial"/>
          <w:color w:val="000000" w:themeColor="text1"/>
          <w:sz w:val="22"/>
          <w:szCs w:val="22"/>
        </w:rPr>
        <w:t>getting immediate</w:t>
      </w:r>
      <w:r w:rsidRPr="000A3A10">
        <w:rPr>
          <w:rFonts w:ascii="Arial" w:hAnsi="Arial" w:cs="Arial"/>
          <w:color w:val="000000" w:themeColor="text1"/>
          <w:sz w:val="22"/>
          <w:szCs w:val="22"/>
        </w:rPr>
        <w:t xml:space="preserve"> </w:t>
      </w:r>
      <w:r w:rsidR="00696191" w:rsidRPr="000A3A10">
        <w:rPr>
          <w:rFonts w:ascii="Arial" w:hAnsi="Arial" w:cs="Arial"/>
          <w:color w:val="000000" w:themeColor="text1"/>
          <w:sz w:val="22"/>
          <w:szCs w:val="22"/>
        </w:rPr>
        <w:t>response</w:t>
      </w:r>
      <w:r w:rsidRPr="000A3A10">
        <w:rPr>
          <w:rFonts w:ascii="Arial" w:hAnsi="Arial" w:cs="Arial"/>
          <w:color w:val="000000" w:themeColor="text1"/>
          <w:sz w:val="22"/>
          <w:szCs w:val="22"/>
        </w:rPr>
        <w:t xml:space="preserve">, accessing </w:t>
      </w:r>
      <w:r w:rsidR="00696191" w:rsidRPr="000A3A10">
        <w:rPr>
          <w:rFonts w:ascii="Arial" w:hAnsi="Arial" w:cs="Arial"/>
          <w:color w:val="000000" w:themeColor="text1"/>
          <w:sz w:val="22"/>
          <w:szCs w:val="22"/>
        </w:rPr>
        <w:t xml:space="preserve">possible </w:t>
      </w:r>
      <w:r w:rsidRPr="000A3A10">
        <w:rPr>
          <w:rFonts w:ascii="Arial" w:hAnsi="Arial" w:cs="Arial"/>
          <w:color w:val="000000" w:themeColor="text1"/>
          <w:sz w:val="22"/>
          <w:szCs w:val="22"/>
        </w:rPr>
        <w:t xml:space="preserve">resources, and communicating with healthcare professionals </w:t>
      </w:r>
      <w:r w:rsidR="00696191" w:rsidRPr="000A3A10">
        <w:rPr>
          <w:rFonts w:ascii="Arial" w:hAnsi="Arial" w:cs="Arial"/>
          <w:color w:val="000000" w:themeColor="text1"/>
          <w:sz w:val="22"/>
          <w:szCs w:val="22"/>
        </w:rPr>
        <w:t xml:space="preserve">via online platforms to </w:t>
      </w:r>
      <w:r w:rsidRPr="000A3A10">
        <w:rPr>
          <w:rFonts w:ascii="Arial" w:hAnsi="Arial" w:cs="Arial"/>
          <w:color w:val="000000" w:themeColor="text1"/>
          <w:sz w:val="22"/>
          <w:szCs w:val="22"/>
        </w:rPr>
        <w:t xml:space="preserve">improve </w:t>
      </w:r>
      <w:r w:rsidR="00696191" w:rsidRPr="000A3A10">
        <w:rPr>
          <w:rFonts w:ascii="Arial" w:hAnsi="Arial" w:cs="Arial"/>
          <w:color w:val="000000" w:themeColor="text1"/>
          <w:sz w:val="22"/>
          <w:szCs w:val="22"/>
        </w:rPr>
        <w:t xml:space="preserve">their </w:t>
      </w:r>
      <w:r w:rsidRPr="000A3A10">
        <w:rPr>
          <w:rFonts w:ascii="Arial" w:hAnsi="Arial" w:cs="Arial"/>
          <w:color w:val="000000" w:themeColor="text1"/>
          <w:sz w:val="22"/>
          <w:szCs w:val="22"/>
        </w:rPr>
        <w:t xml:space="preserve">engagement, </w:t>
      </w:r>
      <w:r w:rsidR="00696191" w:rsidRPr="000A3A10">
        <w:rPr>
          <w:rFonts w:ascii="Arial" w:hAnsi="Arial" w:cs="Arial"/>
          <w:color w:val="000000" w:themeColor="text1"/>
          <w:sz w:val="22"/>
          <w:szCs w:val="22"/>
        </w:rPr>
        <w:t xml:space="preserve">tailor robust </w:t>
      </w:r>
      <w:r w:rsidRPr="000A3A10">
        <w:rPr>
          <w:rFonts w:ascii="Arial" w:hAnsi="Arial" w:cs="Arial"/>
          <w:color w:val="000000" w:themeColor="text1"/>
          <w:sz w:val="22"/>
          <w:szCs w:val="22"/>
        </w:rPr>
        <w:t xml:space="preserve">treatment plans, and improve </w:t>
      </w:r>
      <w:r w:rsidR="00696191" w:rsidRPr="000A3A10">
        <w:rPr>
          <w:rFonts w:ascii="Arial" w:hAnsi="Arial" w:cs="Arial"/>
          <w:color w:val="000000" w:themeColor="text1"/>
          <w:sz w:val="22"/>
          <w:szCs w:val="22"/>
        </w:rPr>
        <w:t xml:space="preserve">the </w:t>
      </w:r>
      <w:r w:rsidRPr="000A3A10">
        <w:rPr>
          <w:rFonts w:ascii="Arial" w:hAnsi="Arial" w:cs="Arial"/>
          <w:color w:val="000000" w:themeColor="text1"/>
          <w:sz w:val="22"/>
          <w:szCs w:val="22"/>
        </w:rPr>
        <w:t xml:space="preserve">clinical </w:t>
      </w:r>
      <w:r w:rsidR="00696191" w:rsidRPr="000A3A10">
        <w:rPr>
          <w:rFonts w:ascii="Arial" w:hAnsi="Arial" w:cs="Arial"/>
          <w:color w:val="000000" w:themeColor="text1"/>
          <w:sz w:val="22"/>
          <w:szCs w:val="22"/>
        </w:rPr>
        <w:t xml:space="preserve">results </w:t>
      </w:r>
      <w:r w:rsidR="00FD139C" w:rsidRPr="000A3A10">
        <w:rPr>
          <w:rFonts w:ascii="Arial" w:hAnsi="Arial" w:cs="Arial"/>
          <w:color w:val="000000" w:themeColor="text1"/>
          <w:sz w:val="22"/>
          <w:szCs w:val="22"/>
        </w:rPr>
        <w:t xml:space="preserve"> (May, 2026)</w:t>
      </w:r>
      <w:r w:rsidRPr="000A3A10">
        <w:rPr>
          <w:rFonts w:ascii="Arial" w:hAnsi="Arial" w:cs="Arial"/>
          <w:color w:val="000000" w:themeColor="text1"/>
          <w:sz w:val="22"/>
          <w:szCs w:val="22"/>
        </w:rPr>
        <w:t>.</w:t>
      </w:r>
    </w:p>
    <w:p w14:paraId="36400545" w14:textId="5E2132DB" w:rsidR="00B75A07"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This transformation was also noticed in the policies and/or strategies of the UK's healthcare system (including NHS), where digital health interventions were incorporated by the Department of Health and Social Care to deliver better services</w:t>
      </w:r>
      <w:r w:rsidR="00FD139C" w:rsidRPr="000A3A10">
        <w:rPr>
          <w:rFonts w:ascii="Arial" w:hAnsi="Arial" w:cs="Arial"/>
          <w:color w:val="000000" w:themeColor="text1"/>
          <w:sz w:val="22"/>
          <w:szCs w:val="22"/>
        </w:rPr>
        <w:t xml:space="preserve"> (NHS England, 2025)</w:t>
      </w:r>
      <w:r w:rsidRPr="000A3A10">
        <w:rPr>
          <w:rFonts w:ascii="Arial" w:hAnsi="Arial" w:cs="Arial"/>
          <w:color w:val="000000" w:themeColor="text1"/>
          <w:sz w:val="22"/>
          <w:szCs w:val="22"/>
        </w:rPr>
        <w:t>. Significantly, these advanced technology-based strategies at national level in the UK played a vital role in ensuring easy accessibility to healthcare services, increasing efficiency, and empowering patient with T2DM</w:t>
      </w:r>
      <w:r w:rsidR="00CC6C7F" w:rsidRPr="000A3A10">
        <w:rPr>
          <w:rFonts w:ascii="Arial" w:hAnsi="Arial" w:cs="Arial"/>
          <w:color w:val="000000" w:themeColor="text1"/>
          <w:sz w:val="22"/>
          <w:szCs w:val="22"/>
        </w:rPr>
        <w:t xml:space="preserve"> to check themselves through mobile health app that allows patients to monitor themselves by recording their blood glucose levels, tracking their physical activities, and focusing on their dietary intake to consult with professionals if needed</w:t>
      </w:r>
      <w:r w:rsidR="007B799E"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 xml:space="preserve"> (NHS England, 2025)</w:t>
      </w:r>
      <w:r w:rsidRPr="000A3A10">
        <w:rPr>
          <w:rFonts w:ascii="Arial" w:hAnsi="Arial" w:cs="Arial"/>
          <w:color w:val="000000" w:themeColor="text1"/>
          <w:sz w:val="22"/>
          <w:szCs w:val="22"/>
        </w:rPr>
        <w:t xml:space="preserve">. </w:t>
      </w:r>
    </w:p>
    <w:p w14:paraId="5116EFD9" w14:textId="4C1940C7" w:rsidR="00B75A07"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 great volume of literature </w:t>
      </w:r>
      <w:r w:rsidR="00FD139C" w:rsidRPr="000A3A10">
        <w:rPr>
          <w:rFonts w:ascii="Arial" w:hAnsi="Arial" w:cs="Arial"/>
          <w:color w:val="000000" w:themeColor="text1"/>
          <w:sz w:val="22"/>
          <w:szCs w:val="22"/>
        </w:rPr>
        <w:t xml:space="preserve">(Crowley et al., 2022; </w:t>
      </w:r>
      <w:proofErr w:type="spellStart"/>
      <w:r w:rsidR="00FD139C" w:rsidRPr="000A3A10">
        <w:rPr>
          <w:rFonts w:ascii="Arial" w:hAnsi="Arial" w:cs="Arial"/>
          <w:color w:val="000000" w:themeColor="text1"/>
          <w:sz w:val="22"/>
          <w:szCs w:val="22"/>
        </w:rPr>
        <w:t>Mannoubi</w:t>
      </w:r>
      <w:proofErr w:type="spellEnd"/>
      <w:r w:rsidR="00FD139C" w:rsidRPr="000A3A10">
        <w:rPr>
          <w:rFonts w:ascii="Arial" w:hAnsi="Arial" w:cs="Arial"/>
          <w:color w:val="000000" w:themeColor="text1"/>
          <w:sz w:val="22"/>
          <w:szCs w:val="22"/>
        </w:rPr>
        <w:t xml:space="preserve"> et al., 2024)</w:t>
      </w:r>
      <w:r w:rsidR="007B799E"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revealed that this transformation within primary care has the tendency to help healthcare professionals in improving their services, particularly for patients' </w:t>
      </w:r>
      <w:r w:rsidR="00CC6C7F" w:rsidRPr="000A3A10">
        <w:rPr>
          <w:rFonts w:ascii="Arial" w:hAnsi="Arial" w:cs="Arial"/>
          <w:color w:val="000000" w:themeColor="text1"/>
          <w:sz w:val="22"/>
          <w:szCs w:val="22"/>
        </w:rPr>
        <w:t xml:space="preserve">virtual </w:t>
      </w:r>
      <w:r w:rsidRPr="000A3A10">
        <w:rPr>
          <w:rFonts w:ascii="Arial" w:hAnsi="Arial" w:cs="Arial"/>
          <w:color w:val="000000" w:themeColor="text1"/>
          <w:sz w:val="22"/>
          <w:szCs w:val="22"/>
        </w:rPr>
        <w:t>monitoring</w:t>
      </w:r>
      <w:r w:rsidR="00CC6C7F" w:rsidRPr="000A3A10">
        <w:rPr>
          <w:rFonts w:ascii="Arial" w:hAnsi="Arial" w:cs="Arial"/>
          <w:color w:val="000000" w:themeColor="text1"/>
          <w:sz w:val="22"/>
          <w:szCs w:val="22"/>
        </w:rPr>
        <w:t xml:space="preserve">, identification and assessment of their </w:t>
      </w:r>
      <w:r w:rsidRPr="000A3A10">
        <w:rPr>
          <w:rFonts w:ascii="Arial" w:hAnsi="Arial" w:cs="Arial"/>
          <w:color w:val="000000" w:themeColor="text1"/>
          <w:sz w:val="22"/>
          <w:szCs w:val="22"/>
        </w:rPr>
        <w:t xml:space="preserve">complications at </w:t>
      </w:r>
      <w:r w:rsidR="00CC6C7F" w:rsidRPr="000A3A10">
        <w:rPr>
          <w:rFonts w:ascii="Arial" w:hAnsi="Arial" w:cs="Arial"/>
          <w:color w:val="000000" w:themeColor="text1"/>
          <w:sz w:val="22"/>
          <w:szCs w:val="22"/>
        </w:rPr>
        <w:t>early stages, and recommendations</w:t>
      </w:r>
      <w:r w:rsidRPr="000A3A10">
        <w:rPr>
          <w:rFonts w:ascii="Arial" w:hAnsi="Arial" w:cs="Arial"/>
          <w:color w:val="000000" w:themeColor="text1"/>
          <w:sz w:val="22"/>
          <w:szCs w:val="22"/>
        </w:rPr>
        <w:t xml:space="preserve">. For </w:t>
      </w:r>
      <w:r w:rsidR="00CC6C7F" w:rsidRPr="000A3A10">
        <w:rPr>
          <w:rFonts w:ascii="Arial" w:hAnsi="Arial" w:cs="Arial"/>
          <w:color w:val="000000" w:themeColor="text1"/>
          <w:sz w:val="22"/>
          <w:szCs w:val="22"/>
        </w:rPr>
        <w:t>instance, t</w:t>
      </w:r>
      <w:r w:rsidRPr="000A3A10">
        <w:rPr>
          <w:rFonts w:ascii="Arial" w:hAnsi="Arial" w:cs="Arial"/>
          <w:color w:val="000000" w:themeColor="text1"/>
          <w:sz w:val="22"/>
          <w:szCs w:val="22"/>
        </w:rPr>
        <w:t xml:space="preserve">elehealth </w:t>
      </w:r>
      <w:r w:rsidR="00CC6C7F" w:rsidRPr="000A3A10">
        <w:rPr>
          <w:rFonts w:ascii="Arial" w:hAnsi="Arial" w:cs="Arial"/>
          <w:color w:val="000000" w:themeColor="text1"/>
          <w:sz w:val="22"/>
          <w:szCs w:val="22"/>
        </w:rPr>
        <w:t xml:space="preserve">services engage patients with healthcare consultants for </w:t>
      </w:r>
      <w:r w:rsidRPr="000A3A10">
        <w:rPr>
          <w:rFonts w:ascii="Arial" w:hAnsi="Arial" w:cs="Arial"/>
          <w:color w:val="000000" w:themeColor="text1"/>
          <w:sz w:val="22"/>
          <w:szCs w:val="22"/>
        </w:rPr>
        <w:t xml:space="preserve">remote consultations </w:t>
      </w:r>
      <w:r w:rsidR="00CC6C7F" w:rsidRPr="000A3A10">
        <w:rPr>
          <w:rFonts w:ascii="Arial" w:hAnsi="Arial" w:cs="Arial"/>
          <w:color w:val="000000" w:themeColor="text1"/>
          <w:sz w:val="22"/>
          <w:szCs w:val="22"/>
        </w:rPr>
        <w:t>to avoid any physical barrier and check their situation in a timely and easy way</w:t>
      </w:r>
      <w:r w:rsidRPr="000A3A10">
        <w:rPr>
          <w:rFonts w:ascii="Arial" w:hAnsi="Arial" w:cs="Arial"/>
          <w:color w:val="000000" w:themeColor="text1"/>
          <w:sz w:val="22"/>
          <w:szCs w:val="22"/>
        </w:rPr>
        <w:t>. Additionally, digital education platforms provide structured programmes that help patients develop the knowledge and skills required to manage their condition effectively</w:t>
      </w:r>
      <w:r w:rsidR="00605F33"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 xml:space="preserve">(Crowley et al., 2022; </w:t>
      </w:r>
      <w:proofErr w:type="spellStart"/>
      <w:r w:rsidR="00FD139C" w:rsidRPr="000A3A10">
        <w:rPr>
          <w:rFonts w:ascii="Arial" w:hAnsi="Arial" w:cs="Arial"/>
          <w:color w:val="000000" w:themeColor="text1"/>
          <w:sz w:val="22"/>
          <w:szCs w:val="22"/>
        </w:rPr>
        <w:t>Mannoubi</w:t>
      </w:r>
      <w:proofErr w:type="spellEnd"/>
      <w:r w:rsidR="00FD139C" w:rsidRPr="000A3A10">
        <w:rPr>
          <w:rFonts w:ascii="Arial" w:hAnsi="Arial" w:cs="Arial"/>
          <w:color w:val="000000" w:themeColor="text1"/>
          <w:sz w:val="22"/>
          <w:szCs w:val="22"/>
        </w:rPr>
        <w:t xml:space="preserve"> et al., 2024)</w:t>
      </w:r>
      <w:r w:rsidRPr="000A3A10">
        <w:rPr>
          <w:rFonts w:ascii="Arial" w:hAnsi="Arial" w:cs="Arial"/>
          <w:color w:val="000000" w:themeColor="text1"/>
          <w:sz w:val="22"/>
          <w:szCs w:val="22"/>
        </w:rPr>
        <w:t>.</w:t>
      </w:r>
    </w:p>
    <w:p w14:paraId="77FC321E" w14:textId="0E6F54D8" w:rsidR="00605F33"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Despite the</w:t>
      </w:r>
      <w:r w:rsidR="007115AA" w:rsidRPr="000A3A10">
        <w:rPr>
          <w:rFonts w:ascii="Arial" w:hAnsi="Arial" w:cs="Arial"/>
          <w:color w:val="000000" w:themeColor="text1"/>
          <w:sz w:val="22"/>
          <w:szCs w:val="22"/>
        </w:rPr>
        <w:t xml:space="preserve">se benefits, the challenges associated with this digitalisation are unavoidable, which are often seen during their </w:t>
      </w:r>
      <w:r w:rsidRPr="000A3A10">
        <w:rPr>
          <w:rFonts w:ascii="Arial" w:hAnsi="Arial" w:cs="Arial"/>
          <w:color w:val="000000" w:themeColor="text1"/>
          <w:sz w:val="22"/>
          <w:szCs w:val="22"/>
        </w:rPr>
        <w:t xml:space="preserve">implementation and adoption. </w:t>
      </w:r>
      <w:r w:rsidR="007115AA" w:rsidRPr="000A3A10">
        <w:rPr>
          <w:rFonts w:ascii="Arial" w:hAnsi="Arial" w:cs="Arial"/>
          <w:color w:val="000000" w:themeColor="text1"/>
          <w:sz w:val="22"/>
          <w:szCs w:val="22"/>
        </w:rPr>
        <w:t xml:space="preserve">For instance, not all patients with T2DM are able to access the </w:t>
      </w:r>
      <w:r w:rsidRPr="000A3A10">
        <w:rPr>
          <w:rFonts w:ascii="Arial" w:hAnsi="Arial" w:cs="Arial"/>
          <w:color w:val="000000" w:themeColor="text1"/>
          <w:sz w:val="22"/>
          <w:szCs w:val="22"/>
        </w:rPr>
        <w:t xml:space="preserve">digital </w:t>
      </w:r>
      <w:r w:rsidR="007115AA" w:rsidRPr="000A3A10">
        <w:rPr>
          <w:rFonts w:ascii="Arial" w:hAnsi="Arial" w:cs="Arial"/>
          <w:color w:val="000000" w:themeColor="text1"/>
          <w:sz w:val="22"/>
          <w:szCs w:val="22"/>
        </w:rPr>
        <w:t xml:space="preserve">platforms. Similarly, several patients in the UK still have a lack of </w:t>
      </w:r>
      <w:r w:rsidRPr="000A3A10">
        <w:rPr>
          <w:rFonts w:ascii="Arial" w:hAnsi="Arial" w:cs="Arial"/>
          <w:color w:val="000000" w:themeColor="text1"/>
          <w:sz w:val="22"/>
          <w:szCs w:val="22"/>
        </w:rPr>
        <w:t xml:space="preserve">digital literacy </w:t>
      </w:r>
      <w:r w:rsidR="007115AA" w:rsidRPr="000A3A10">
        <w:rPr>
          <w:rFonts w:ascii="Arial" w:hAnsi="Arial" w:cs="Arial"/>
          <w:color w:val="000000" w:themeColor="text1"/>
          <w:sz w:val="22"/>
          <w:szCs w:val="22"/>
        </w:rPr>
        <w:t xml:space="preserve">that reduces </w:t>
      </w:r>
      <w:r w:rsidR="00CA5DD8" w:rsidRPr="000A3A10">
        <w:rPr>
          <w:rFonts w:ascii="Arial" w:hAnsi="Arial" w:cs="Arial"/>
          <w:color w:val="000000" w:themeColor="text1"/>
          <w:sz w:val="22"/>
          <w:szCs w:val="22"/>
        </w:rPr>
        <w:t xml:space="preserve">their ability </w:t>
      </w:r>
      <w:r w:rsidRPr="000A3A10">
        <w:rPr>
          <w:rFonts w:ascii="Arial" w:hAnsi="Arial" w:cs="Arial"/>
          <w:color w:val="000000" w:themeColor="text1"/>
          <w:sz w:val="22"/>
          <w:szCs w:val="22"/>
        </w:rPr>
        <w:t xml:space="preserve">to use </w:t>
      </w:r>
      <w:r w:rsidR="00CA5DD8" w:rsidRPr="000A3A10">
        <w:rPr>
          <w:rFonts w:ascii="Arial" w:hAnsi="Arial" w:cs="Arial"/>
          <w:color w:val="000000" w:themeColor="text1"/>
          <w:sz w:val="22"/>
          <w:szCs w:val="22"/>
        </w:rPr>
        <w:t>such technologies efficiently</w:t>
      </w:r>
      <w:sdt>
        <w:sdtPr>
          <w:rPr>
            <w:rFonts w:ascii="Arial" w:hAnsi="Arial" w:cs="Arial"/>
            <w:color w:val="000000" w:themeColor="text1"/>
            <w:sz w:val="22"/>
            <w:szCs w:val="22"/>
          </w:rPr>
          <w:id w:val="11907836"/>
          <w:citation/>
        </w:sdtPr>
        <w:sdtEndPr/>
        <w:sdtContent>
          <w:r w:rsidR="00677854" w:rsidRPr="000A3A10">
            <w:rPr>
              <w:rFonts w:ascii="Arial" w:hAnsi="Arial" w:cs="Arial"/>
              <w:color w:val="000000" w:themeColor="text1"/>
              <w:sz w:val="22"/>
              <w:szCs w:val="22"/>
            </w:rPr>
            <w:fldChar w:fldCharType="begin"/>
          </w:r>
          <w:r w:rsidRPr="000A3A10">
            <w:rPr>
              <w:rFonts w:ascii="Arial" w:hAnsi="Arial" w:cs="Arial"/>
              <w:color w:val="000000" w:themeColor="text1"/>
              <w:sz w:val="22"/>
              <w:szCs w:val="22"/>
            </w:rPr>
            <w:instrText xml:space="preserve"> CITATION Mos23 \l 1033 </w:instrText>
          </w:r>
          <w:r w:rsidR="00677854" w:rsidRPr="000A3A10">
            <w:rPr>
              <w:rFonts w:ascii="Arial" w:hAnsi="Arial" w:cs="Arial"/>
              <w:color w:val="000000" w:themeColor="text1"/>
              <w:sz w:val="22"/>
              <w:szCs w:val="22"/>
            </w:rPr>
            <w:fldChar w:fldCharType="separate"/>
          </w:r>
          <w:r w:rsidRPr="000A3A10">
            <w:rPr>
              <w:rFonts w:ascii="Arial" w:hAnsi="Arial" w:cs="Arial"/>
              <w:color w:val="000000" w:themeColor="text1"/>
              <w:sz w:val="22"/>
              <w:szCs w:val="22"/>
            </w:rPr>
            <w:t xml:space="preserve"> (Moschonis et al., 2023)</w:t>
          </w:r>
          <w:r w:rsidR="00677854" w:rsidRPr="000A3A10">
            <w:rPr>
              <w:rFonts w:ascii="Arial" w:hAnsi="Arial" w:cs="Arial"/>
              <w:color w:val="000000" w:themeColor="text1"/>
              <w:sz w:val="22"/>
              <w:szCs w:val="22"/>
            </w:rPr>
            <w:fldChar w:fldCharType="end"/>
          </w:r>
        </w:sdtContent>
      </w:sdt>
      <w:r w:rsidRPr="000A3A10">
        <w:rPr>
          <w:rFonts w:ascii="Arial" w:hAnsi="Arial" w:cs="Arial"/>
          <w:color w:val="000000" w:themeColor="text1"/>
          <w:sz w:val="22"/>
          <w:szCs w:val="22"/>
        </w:rPr>
        <w:t xml:space="preserve">. </w:t>
      </w:r>
      <w:r w:rsidR="00CA5DD8" w:rsidRPr="000A3A10">
        <w:rPr>
          <w:rFonts w:ascii="Arial" w:hAnsi="Arial" w:cs="Arial"/>
          <w:color w:val="000000" w:themeColor="text1"/>
          <w:sz w:val="22"/>
          <w:szCs w:val="22"/>
        </w:rPr>
        <w:t>In addition to this, advanced and digital technologies always have security and pr</w:t>
      </w:r>
      <w:r w:rsidRPr="000A3A10">
        <w:rPr>
          <w:rFonts w:ascii="Arial" w:hAnsi="Arial" w:cs="Arial"/>
          <w:color w:val="000000" w:themeColor="text1"/>
          <w:sz w:val="22"/>
          <w:szCs w:val="22"/>
        </w:rPr>
        <w:t>ivacy concerns</w:t>
      </w:r>
      <w:r w:rsidR="00CA5DD8" w:rsidRPr="000A3A10">
        <w:rPr>
          <w:rFonts w:ascii="Arial" w:hAnsi="Arial" w:cs="Arial"/>
          <w:color w:val="000000" w:themeColor="text1"/>
          <w:sz w:val="22"/>
          <w:szCs w:val="22"/>
        </w:rPr>
        <w:t xml:space="preserve"> due to the risk of information leakages, and so on</w:t>
      </w:r>
      <w:r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 xml:space="preserve"> (</w:t>
      </w:r>
      <w:proofErr w:type="spellStart"/>
      <w:r w:rsidR="00FD139C" w:rsidRPr="000A3A10">
        <w:rPr>
          <w:rFonts w:ascii="Arial" w:hAnsi="Arial" w:cs="Arial"/>
          <w:color w:val="000000" w:themeColor="text1"/>
          <w:sz w:val="22"/>
          <w:szCs w:val="22"/>
        </w:rPr>
        <w:t>Moschonis</w:t>
      </w:r>
      <w:proofErr w:type="spellEnd"/>
      <w:r w:rsidR="00FD139C" w:rsidRPr="000A3A10">
        <w:rPr>
          <w:rFonts w:ascii="Arial" w:hAnsi="Arial" w:cs="Arial"/>
          <w:color w:val="000000" w:themeColor="text1"/>
          <w:sz w:val="22"/>
          <w:szCs w:val="22"/>
        </w:rPr>
        <w:t xml:space="preserve"> et al., 2023)</w:t>
      </w:r>
      <w:r w:rsidR="00AC74FA" w:rsidRPr="000A3A10">
        <w:rPr>
          <w:rFonts w:ascii="Arial" w:hAnsi="Arial" w:cs="Arial"/>
          <w:color w:val="000000" w:themeColor="text1"/>
          <w:sz w:val="22"/>
          <w:szCs w:val="22"/>
        </w:rPr>
        <w:t xml:space="preserve">. </w:t>
      </w:r>
    </w:p>
    <w:p w14:paraId="211BA462" w14:textId="77777777" w:rsidR="00AC74FA" w:rsidRPr="000A3A10" w:rsidRDefault="000A3A10" w:rsidP="00605F33">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It implies that although these interventions are making patients able to self-assess as well as self-manage their health issues, </w:t>
      </w:r>
      <w:r w:rsidR="00CA5DD8" w:rsidRPr="000A3A10">
        <w:rPr>
          <w:rFonts w:ascii="Arial" w:hAnsi="Arial" w:cs="Arial"/>
          <w:color w:val="000000" w:themeColor="text1"/>
          <w:sz w:val="22"/>
          <w:szCs w:val="22"/>
        </w:rPr>
        <w:t xml:space="preserve">the evidence of their significant uses in the real-world primary care is still </w:t>
      </w:r>
      <w:r w:rsidRPr="000A3A10">
        <w:rPr>
          <w:rFonts w:ascii="Arial" w:hAnsi="Arial" w:cs="Arial"/>
          <w:color w:val="000000" w:themeColor="text1"/>
          <w:sz w:val="22"/>
          <w:szCs w:val="22"/>
        </w:rPr>
        <w:t>unexplored due to the fragmented working in different methodologies, targeted segments of the population, and measuring outcomes. This emphasises developing an extensive scoping review for methodically consolidating already published literature and evidence to evaluate core interventions with their effectiveness to address the issue in future. Given these aspects, this scoping review research has been conducted to comprehensively evaluate the most recent UK-centred evidence regarding the digital health interventions used in the regional primary care for self-management assistance and their significance while applying to help patients (adults) with T2DM.</w:t>
      </w:r>
    </w:p>
    <w:p w14:paraId="3C7E0444" w14:textId="77777777" w:rsidR="00DA7DB8" w:rsidRPr="000A3A10" w:rsidRDefault="000A3A10" w:rsidP="005826E2">
      <w:pPr>
        <w:pStyle w:val="Heading1"/>
        <w:spacing w:after="240" w:line="360" w:lineRule="auto"/>
        <w:jc w:val="both"/>
        <w:rPr>
          <w:rFonts w:ascii="Arial" w:eastAsia="Times New Roman" w:hAnsi="Arial" w:cs="Arial"/>
          <w:color w:val="000000" w:themeColor="text1"/>
          <w:sz w:val="22"/>
          <w:szCs w:val="22"/>
        </w:rPr>
      </w:pPr>
      <w:bookmarkStart w:id="9" w:name="_Toc223684390"/>
      <w:r w:rsidRPr="000A3A10">
        <w:rPr>
          <w:rFonts w:ascii="Arial" w:eastAsia="Times New Roman" w:hAnsi="Arial" w:cs="Arial"/>
          <w:color w:val="000000" w:themeColor="text1"/>
          <w:sz w:val="22"/>
          <w:szCs w:val="22"/>
        </w:rPr>
        <w:t>Methods</w:t>
      </w:r>
      <w:bookmarkEnd w:id="9"/>
    </w:p>
    <w:p w14:paraId="4976752D" w14:textId="77777777" w:rsidR="00D33E4E" w:rsidRPr="000A3A10" w:rsidRDefault="000A3A10" w:rsidP="005826E2">
      <w:pPr>
        <w:pStyle w:val="Heading2"/>
        <w:spacing w:after="240" w:line="360" w:lineRule="auto"/>
        <w:jc w:val="both"/>
        <w:rPr>
          <w:rFonts w:ascii="Arial" w:hAnsi="Arial" w:cs="Arial"/>
          <w:color w:val="000000" w:themeColor="text1"/>
          <w:sz w:val="22"/>
          <w:szCs w:val="22"/>
        </w:rPr>
      </w:pPr>
      <w:bookmarkStart w:id="10" w:name="_Toc223684391"/>
      <w:r w:rsidRPr="000A3A10">
        <w:rPr>
          <w:rFonts w:ascii="Arial" w:eastAsia="Times New Roman" w:hAnsi="Arial" w:cs="Arial"/>
          <w:color w:val="000000" w:themeColor="text1"/>
          <w:sz w:val="22"/>
          <w:szCs w:val="22"/>
        </w:rPr>
        <w:t>Data Collection</w:t>
      </w:r>
      <w:bookmarkEnd w:id="10"/>
      <w:r w:rsidRPr="000A3A10">
        <w:rPr>
          <w:rFonts w:ascii="Arial" w:eastAsia="Times New Roman" w:hAnsi="Arial" w:cs="Arial"/>
          <w:color w:val="000000" w:themeColor="text1"/>
          <w:sz w:val="22"/>
          <w:szCs w:val="22"/>
        </w:rPr>
        <w:t xml:space="preserve"> </w:t>
      </w:r>
    </w:p>
    <w:p w14:paraId="607A1C55" w14:textId="09FF5A9A" w:rsidR="00563CEB" w:rsidRPr="000A3A10" w:rsidRDefault="000A3A10" w:rsidP="005826E2">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Primarily, the </w:t>
      </w:r>
      <w:r w:rsidR="00173BD7" w:rsidRPr="000A3A10">
        <w:rPr>
          <w:rFonts w:ascii="Arial" w:hAnsi="Arial" w:cs="Arial"/>
          <w:color w:val="000000" w:themeColor="text1"/>
          <w:sz w:val="22"/>
          <w:szCs w:val="22"/>
        </w:rPr>
        <w:t xml:space="preserve">research followed a scoping review methodology, </w:t>
      </w:r>
      <w:r w:rsidRPr="000A3A10">
        <w:rPr>
          <w:rFonts w:ascii="Arial" w:hAnsi="Arial" w:cs="Arial"/>
          <w:color w:val="000000" w:themeColor="text1"/>
          <w:sz w:val="22"/>
          <w:szCs w:val="22"/>
        </w:rPr>
        <w:t xml:space="preserve">relying on </w:t>
      </w:r>
      <w:r w:rsidR="00DA7DB8" w:rsidRPr="000A3A10">
        <w:rPr>
          <w:rFonts w:ascii="Arial" w:hAnsi="Arial" w:cs="Arial"/>
          <w:color w:val="000000" w:themeColor="text1"/>
          <w:sz w:val="22"/>
          <w:szCs w:val="22"/>
        </w:rPr>
        <w:t>Arksey and O’Malley</w:t>
      </w:r>
      <w:r w:rsidR="009F35D4" w:rsidRPr="000A3A10">
        <w:rPr>
          <w:rFonts w:ascii="Arial" w:hAnsi="Arial" w:cs="Arial"/>
          <w:color w:val="000000" w:themeColor="text1"/>
          <w:sz w:val="22"/>
          <w:szCs w:val="22"/>
        </w:rPr>
        <w:t xml:space="preserve">'s </w:t>
      </w:r>
      <w:r w:rsidR="00FD139C" w:rsidRPr="000A3A10">
        <w:rPr>
          <w:rFonts w:ascii="Arial" w:hAnsi="Arial" w:cs="Arial"/>
          <w:color w:val="000000" w:themeColor="text1"/>
          <w:sz w:val="22"/>
          <w:szCs w:val="22"/>
        </w:rPr>
        <w:t>(2005)</w:t>
      </w:r>
      <w:r w:rsidRPr="000A3A10">
        <w:rPr>
          <w:rFonts w:ascii="Arial" w:hAnsi="Arial" w:cs="Arial"/>
          <w:color w:val="000000" w:themeColor="text1"/>
          <w:sz w:val="22"/>
          <w:szCs w:val="22"/>
        </w:rPr>
        <w:t xml:space="preserve"> framework</w:t>
      </w:r>
      <w:r w:rsidR="009F35D4" w:rsidRPr="000A3A10">
        <w:rPr>
          <w:rFonts w:ascii="Arial" w:hAnsi="Arial" w:cs="Arial"/>
          <w:color w:val="000000" w:themeColor="text1"/>
          <w:sz w:val="22"/>
          <w:szCs w:val="22"/>
        </w:rPr>
        <w:t xml:space="preserve">, which assists in </w:t>
      </w:r>
      <w:r w:rsidR="00D50158" w:rsidRPr="000A3A10">
        <w:rPr>
          <w:rFonts w:ascii="Arial" w:hAnsi="Arial" w:cs="Arial"/>
          <w:color w:val="000000" w:themeColor="text1"/>
          <w:sz w:val="22"/>
          <w:szCs w:val="22"/>
        </w:rPr>
        <w:t>progressively</w:t>
      </w:r>
      <w:r w:rsidR="009F35D4" w:rsidRPr="000A3A10">
        <w:rPr>
          <w:rFonts w:ascii="Arial" w:hAnsi="Arial" w:cs="Arial"/>
          <w:color w:val="000000" w:themeColor="text1"/>
          <w:sz w:val="22"/>
          <w:szCs w:val="22"/>
        </w:rPr>
        <w:t xml:space="preserve"> mapping some significant concepts </w:t>
      </w:r>
      <w:r w:rsidR="00173BD7" w:rsidRPr="000A3A10">
        <w:rPr>
          <w:rFonts w:ascii="Arial" w:hAnsi="Arial" w:cs="Arial"/>
          <w:color w:val="000000" w:themeColor="text1"/>
          <w:sz w:val="22"/>
          <w:szCs w:val="22"/>
        </w:rPr>
        <w:t xml:space="preserve">related to T2DM in the UK's primary care environment and digital health intervention based on self-management, </w:t>
      </w:r>
      <w:r w:rsidR="009F35D4" w:rsidRPr="000A3A10">
        <w:rPr>
          <w:rFonts w:ascii="Arial" w:hAnsi="Arial" w:cs="Arial"/>
          <w:color w:val="000000" w:themeColor="text1"/>
          <w:sz w:val="22"/>
          <w:szCs w:val="22"/>
        </w:rPr>
        <w:t>alongside finding key literature gaps</w:t>
      </w:r>
      <w:r w:rsidR="00D50158" w:rsidRPr="000A3A10">
        <w:rPr>
          <w:rFonts w:ascii="Arial" w:hAnsi="Arial" w:cs="Arial"/>
          <w:color w:val="000000" w:themeColor="text1"/>
          <w:sz w:val="22"/>
          <w:szCs w:val="22"/>
        </w:rPr>
        <w:t xml:space="preserve">, </w:t>
      </w:r>
      <w:r w:rsidR="009F35D4" w:rsidRPr="000A3A10">
        <w:rPr>
          <w:rFonts w:ascii="Arial" w:hAnsi="Arial" w:cs="Arial"/>
          <w:color w:val="000000" w:themeColor="text1"/>
          <w:sz w:val="22"/>
          <w:szCs w:val="22"/>
        </w:rPr>
        <w:t>reviewing past studies</w:t>
      </w:r>
      <w:r w:rsidR="00D50158" w:rsidRPr="000A3A10">
        <w:rPr>
          <w:rFonts w:ascii="Arial" w:hAnsi="Arial" w:cs="Arial"/>
          <w:color w:val="000000" w:themeColor="text1"/>
          <w:sz w:val="22"/>
          <w:szCs w:val="22"/>
        </w:rPr>
        <w:t>, and selecting relevant methods</w:t>
      </w:r>
      <w:r w:rsidR="00DA7DB8"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Based on this</w:t>
      </w:r>
      <w:r w:rsidR="00786BFF"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the present research has been completed using secondary methods of data collection </w:t>
      </w:r>
      <w:r w:rsidR="00850029" w:rsidRPr="000A3A10">
        <w:rPr>
          <w:rFonts w:ascii="Arial" w:hAnsi="Arial" w:cs="Arial"/>
          <w:color w:val="000000" w:themeColor="text1"/>
          <w:sz w:val="22"/>
          <w:szCs w:val="22"/>
        </w:rPr>
        <w:t xml:space="preserve">that allow identifying/mapping relevant literature to deal with any communal or societal issue faced by older adults. Herein, </w:t>
      </w:r>
      <w:r w:rsidRPr="000A3A10">
        <w:rPr>
          <w:rFonts w:ascii="Arial" w:hAnsi="Arial" w:cs="Arial"/>
          <w:color w:val="000000" w:themeColor="text1"/>
          <w:sz w:val="22"/>
          <w:szCs w:val="22"/>
        </w:rPr>
        <w:t xml:space="preserve">the secondary sources, including peer-reviewed articles, were selected from </w:t>
      </w:r>
      <w:r w:rsidR="00DB489F" w:rsidRPr="000A3A10">
        <w:rPr>
          <w:rFonts w:ascii="Arial" w:hAnsi="Arial" w:cs="Arial"/>
          <w:color w:val="000000" w:themeColor="text1"/>
          <w:sz w:val="22"/>
          <w:szCs w:val="22"/>
        </w:rPr>
        <w:t xml:space="preserve">the </w:t>
      </w:r>
      <w:r w:rsidR="00406740" w:rsidRPr="000A3A10">
        <w:rPr>
          <w:rFonts w:ascii="Arial" w:hAnsi="Arial" w:cs="Arial"/>
          <w:color w:val="000000" w:themeColor="text1"/>
          <w:sz w:val="22"/>
          <w:szCs w:val="22"/>
        </w:rPr>
        <w:t xml:space="preserve">reliable </w:t>
      </w:r>
      <w:r w:rsidR="00DA7DB8" w:rsidRPr="000A3A10">
        <w:rPr>
          <w:rFonts w:ascii="Arial" w:hAnsi="Arial" w:cs="Arial"/>
          <w:color w:val="000000" w:themeColor="text1"/>
          <w:sz w:val="22"/>
          <w:szCs w:val="22"/>
        </w:rPr>
        <w:t xml:space="preserve">electronic databases </w:t>
      </w:r>
      <w:r w:rsidRPr="000A3A10">
        <w:rPr>
          <w:rFonts w:ascii="Arial" w:hAnsi="Arial" w:cs="Arial"/>
          <w:color w:val="000000" w:themeColor="text1"/>
          <w:sz w:val="22"/>
          <w:szCs w:val="22"/>
        </w:rPr>
        <w:t xml:space="preserve">such as </w:t>
      </w:r>
      <w:r w:rsidR="00DA7DB8" w:rsidRPr="000A3A10">
        <w:rPr>
          <w:rFonts w:ascii="Arial" w:hAnsi="Arial" w:cs="Arial"/>
          <w:color w:val="000000" w:themeColor="text1"/>
          <w:sz w:val="22"/>
          <w:szCs w:val="22"/>
        </w:rPr>
        <w:t>CINAHL, MEDLINE and PubMed</w:t>
      </w:r>
      <w:r w:rsidR="00DB489F" w:rsidRPr="000A3A10">
        <w:rPr>
          <w:rFonts w:ascii="Arial" w:hAnsi="Arial" w:cs="Arial"/>
          <w:color w:val="000000" w:themeColor="text1"/>
          <w:sz w:val="22"/>
          <w:szCs w:val="22"/>
        </w:rPr>
        <w:t xml:space="preserve"> because of the availability of a large number of articles</w:t>
      </w:r>
      <w:r w:rsidR="00DA7DB8" w:rsidRPr="000A3A10">
        <w:rPr>
          <w:rFonts w:ascii="Arial" w:hAnsi="Arial" w:cs="Arial"/>
          <w:color w:val="000000" w:themeColor="text1"/>
          <w:sz w:val="22"/>
          <w:szCs w:val="22"/>
        </w:rPr>
        <w:t xml:space="preserve">. </w:t>
      </w:r>
      <w:r w:rsidR="00406740" w:rsidRPr="000A3A10">
        <w:rPr>
          <w:rFonts w:ascii="Arial" w:hAnsi="Arial" w:cs="Arial"/>
          <w:color w:val="000000" w:themeColor="text1"/>
          <w:sz w:val="22"/>
          <w:szCs w:val="22"/>
        </w:rPr>
        <w:t>Moreover, the search strategy adopted in the research comprised relevant keywords (including "</w:t>
      </w:r>
      <w:r w:rsidR="00DB489F" w:rsidRPr="000A3A10">
        <w:rPr>
          <w:rFonts w:ascii="Arial" w:hAnsi="Arial" w:cs="Arial"/>
          <w:color w:val="000000" w:themeColor="text1"/>
          <w:sz w:val="22"/>
          <w:szCs w:val="22"/>
        </w:rPr>
        <w:t>T2DM</w:t>
      </w:r>
      <w:r w:rsidR="00406740" w:rsidRPr="000A3A10">
        <w:rPr>
          <w:rFonts w:ascii="Arial" w:hAnsi="Arial" w:cs="Arial"/>
          <w:color w:val="000000" w:themeColor="text1"/>
          <w:sz w:val="22"/>
          <w:szCs w:val="22"/>
        </w:rPr>
        <w:t>", "</w:t>
      </w:r>
      <w:r w:rsidR="00DB489F" w:rsidRPr="000A3A10">
        <w:rPr>
          <w:rFonts w:ascii="Arial" w:hAnsi="Arial" w:cs="Arial"/>
          <w:color w:val="000000" w:themeColor="text1"/>
          <w:sz w:val="22"/>
          <w:szCs w:val="22"/>
        </w:rPr>
        <w:t>digital health intervention</w:t>
      </w:r>
      <w:r w:rsidR="00406740" w:rsidRPr="000A3A10">
        <w:rPr>
          <w:rFonts w:ascii="Arial" w:hAnsi="Arial" w:cs="Arial"/>
          <w:color w:val="000000" w:themeColor="text1"/>
          <w:sz w:val="22"/>
          <w:szCs w:val="22"/>
        </w:rPr>
        <w:t>", "</w:t>
      </w:r>
      <w:r w:rsidR="00DB489F" w:rsidRPr="000A3A10">
        <w:rPr>
          <w:rFonts w:ascii="Arial" w:hAnsi="Arial" w:cs="Arial"/>
          <w:color w:val="000000" w:themeColor="text1"/>
          <w:sz w:val="22"/>
          <w:szCs w:val="22"/>
        </w:rPr>
        <w:t>telehealth</w:t>
      </w:r>
      <w:r w:rsidR="00406740" w:rsidRPr="000A3A10">
        <w:rPr>
          <w:rFonts w:ascii="Arial" w:hAnsi="Arial" w:cs="Arial"/>
          <w:color w:val="000000" w:themeColor="text1"/>
          <w:sz w:val="22"/>
          <w:szCs w:val="22"/>
        </w:rPr>
        <w:t xml:space="preserve">", </w:t>
      </w:r>
      <w:r w:rsidR="00DB489F" w:rsidRPr="000A3A10">
        <w:rPr>
          <w:rFonts w:ascii="Arial" w:hAnsi="Arial" w:cs="Arial"/>
          <w:color w:val="000000" w:themeColor="text1"/>
          <w:sz w:val="22"/>
          <w:szCs w:val="22"/>
        </w:rPr>
        <w:t xml:space="preserve">"primary care", </w:t>
      </w:r>
      <w:r w:rsidR="00406740" w:rsidRPr="000A3A10">
        <w:rPr>
          <w:rFonts w:ascii="Arial" w:hAnsi="Arial" w:cs="Arial"/>
          <w:color w:val="000000" w:themeColor="text1"/>
          <w:sz w:val="22"/>
          <w:szCs w:val="22"/>
        </w:rPr>
        <w:t>and "</w:t>
      </w:r>
      <w:r w:rsidR="00DB489F" w:rsidRPr="000A3A10">
        <w:rPr>
          <w:rFonts w:ascii="Arial" w:hAnsi="Arial" w:cs="Arial"/>
          <w:color w:val="000000" w:themeColor="text1"/>
          <w:sz w:val="22"/>
          <w:szCs w:val="22"/>
        </w:rPr>
        <w:t>self-management</w:t>
      </w:r>
      <w:r w:rsidR="00406740" w:rsidRPr="000A3A10">
        <w:rPr>
          <w:rFonts w:ascii="Arial" w:hAnsi="Arial" w:cs="Arial"/>
          <w:color w:val="000000" w:themeColor="text1"/>
          <w:sz w:val="22"/>
          <w:szCs w:val="22"/>
        </w:rPr>
        <w:t>") and Boolean operators, i.e. AND, OR</w:t>
      </w:r>
      <w:r w:rsidR="00DB489F" w:rsidRPr="000A3A10">
        <w:rPr>
          <w:rFonts w:ascii="Arial" w:hAnsi="Arial" w:cs="Arial"/>
          <w:color w:val="000000" w:themeColor="text1"/>
          <w:sz w:val="22"/>
          <w:szCs w:val="22"/>
        </w:rPr>
        <w:t>, including "type 2 diabetes AND digital health intervention"</w:t>
      </w:r>
      <w:r w:rsidR="00406740" w:rsidRPr="000A3A10">
        <w:rPr>
          <w:rFonts w:ascii="Arial" w:hAnsi="Arial" w:cs="Arial"/>
          <w:color w:val="000000" w:themeColor="text1"/>
          <w:sz w:val="22"/>
          <w:szCs w:val="22"/>
        </w:rPr>
        <w:t xml:space="preserve"> to find the most relevant literature by refining the searches. For time-saving, initially, the key titles and abstracts of all the studies were screened and later on, the full text was reviewed.</w:t>
      </w:r>
    </w:p>
    <w:p w14:paraId="479DD2AD" w14:textId="77777777" w:rsidR="00406740" w:rsidRPr="000A3A10" w:rsidRDefault="000A3A10" w:rsidP="005826E2">
      <w:pPr>
        <w:pStyle w:val="Heading3"/>
        <w:spacing w:after="240" w:line="360" w:lineRule="auto"/>
        <w:jc w:val="both"/>
        <w:rPr>
          <w:rFonts w:ascii="Arial" w:hAnsi="Arial" w:cs="Arial"/>
          <w:color w:val="000000" w:themeColor="text1"/>
          <w:sz w:val="22"/>
          <w:szCs w:val="22"/>
        </w:rPr>
      </w:pPr>
      <w:bookmarkStart w:id="11" w:name="_Toc191964187"/>
      <w:bookmarkStart w:id="12" w:name="_Toc223684392"/>
      <w:r w:rsidRPr="000A3A10">
        <w:rPr>
          <w:rFonts w:ascii="Arial" w:hAnsi="Arial" w:cs="Arial"/>
          <w:color w:val="000000" w:themeColor="text1"/>
          <w:sz w:val="22"/>
          <w:szCs w:val="22"/>
        </w:rPr>
        <w:t>Inclusion and Exclusion Criteria</w:t>
      </w:r>
      <w:bookmarkEnd w:id="11"/>
      <w:bookmarkEnd w:id="12"/>
    </w:p>
    <w:p w14:paraId="0CA822F9" w14:textId="77777777" w:rsidR="00406740" w:rsidRPr="000A3A10" w:rsidRDefault="000A3A10" w:rsidP="005826E2">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The inclusion criteria followed for </w:t>
      </w:r>
      <w:r w:rsidR="003928B1" w:rsidRPr="000A3A10">
        <w:rPr>
          <w:rFonts w:ascii="Arial" w:hAnsi="Arial" w:cs="Arial"/>
          <w:color w:val="000000" w:themeColor="text1"/>
          <w:sz w:val="22"/>
          <w:szCs w:val="22"/>
        </w:rPr>
        <w:t xml:space="preserve">non-numeric </w:t>
      </w:r>
      <w:r w:rsidRPr="000A3A10">
        <w:rPr>
          <w:rFonts w:ascii="Arial" w:hAnsi="Arial" w:cs="Arial"/>
          <w:color w:val="000000" w:themeColor="text1"/>
          <w:sz w:val="22"/>
          <w:szCs w:val="22"/>
        </w:rPr>
        <w:t>information gathering</w:t>
      </w:r>
      <w:r w:rsidR="005826E2" w:rsidRPr="000A3A10">
        <w:rPr>
          <w:rFonts w:ascii="Arial" w:hAnsi="Arial" w:cs="Arial"/>
          <w:color w:val="000000" w:themeColor="text1"/>
          <w:sz w:val="22"/>
          <w:szCs w:val="22"/>
        </w:rPr>
        <w:t>, to ensure merely relevant studies were chosen,</w:t>
      </w:r>
      <w:r w:rsidRPr="000A3A10">
        <w:rPr>
          <w:rFonts w:ascii="Arial" w:hAnsi="Arial" w:cs="Arial"/>
          <w:color w:val="000000" w:themeColor="text1"/>
          <w:sz w:val="22"/>
          <w:szCs w:val="22"/>
        </w:rPr>
        <w:t xml:space="preserve"> mainly focused on the studies that were published in the English language during 2015-2025, irrespective of qualitative, quantitative, or mixed-method appro</w:t>
      </w:r>
      <w:r w:rsidR="002207DC" w:rsidRPr="000A3A10">
        <w:rPr>
          <w:rFonts w:ascii="Arial" w:hAnsi="Arial" w:cs="Arial"/>
          <w:color w:val="000000" w:themeColor="text1"/>
          <w:sz w:val="22"/>
          <w:szCs w:val="22"/>
        </w:rPr>
        <w:t>a</w:t>
      </w:r>
      <w:r w:rsidRPr="000A3A10">
        <w:rPr>
          <w:rFonts w:ascii="Arial" w:hAnsi="Arial" w:cs="Arial"/>
          <w:color w:val="000000" w:themeColor="text1"/>
          <w:sz w:val="22"/>
          <w:szCs w:val="22"/>
        </w:rPr>
        <w:t>ches. Furthermore, only those studies were selected that analysed the case of the UK in terms of adults with T2DM and their primary care facilitated by the digital health interventions</w:t>
      </w:r>
      <w:r w:rsidR="005826E2" w:rsidRPr="000A3A10">
        <w:rPr>
          <w:rFonts w:ascii="Arial" w:hAnsi="Arial" w:cs="Arial"/>
          <w:color w:val="000000" w:themeColor="text1"/>
          <w:sz w:val="22"/>
          <w:szCs w:val="22"/>
        </w:rPr>
        <w:t>, including self-management tools</w:t>
      </w:r>
      <w:r w:rsidRPr="000A3A10">
        <w:rPr>
          <w:rFonts w:ascii="Arial" w:hAnsi="Arial" w:cs="Arial"/>
          <w:color w:val="000000" w:themeColor="text1"/>
          <w:sz w:val="22"/>
          <w:szCs w:val="22"/>
        </w:rPr>
        <w:t>. However, the exclusion criteria reflected that no website, feedback, editorial or non-peer-reviewed research article was used as secondary data. Additionally, studies published before 2015</w:t>
      </w:r>
      <w:r w:rsidR="00434DF1"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targeted non-UK </w:t>
      </w:r>
      <w:r w:rsidR="00434DF1" w:rsidRPr="000A3A10">
        <w:rPr>
          <w:rFonts w:ascii="Arial" w:hAnsi="Arial" w:cs="Arial"/>
          <w:color w:val="000000" w:themeColor="text1"/>
          <w:sz w:val="22"/>
          <w:szCs w:val="22"/>
        </w:rPr>
        <w:t>populations with any other health issue</w:t>
      </w:r>
      <w:r w:rsidR="005826E2" w:rsidRPr="000A3A10">
        <w:rPr>
          <w:rFonts w:ascii="Arial" w:hAnsi="Arial" w:cs="Arial"/>
          <w:color w:val="000000" w:themeColor="text1"/>
          <w:sz w:val="22"/>
          <w:szCs w:val="22"/>
        </w:rPr>
        <w:t xml:space="preserve"> (even type 1 diabetes)</w:t>
      </w:r>
      <w:r w:rsidR="00434DF1" w:rsidRPr="000A3A10">
        <w:rPr>
          <w:rFonts w:ascii="Arial" w:hAnsi="Arial" w:cs="Arial"/>
          <w:color w:val="000000" w:themeColor="text1"/>
          <w:sz w:val="22"/>
          <w:szCs w:val="22"/>
        </w:rPr>
        <w:t>, and ignored digital health interventions were also excluded.</w:t>
      </w:r>
    </w:p>
    <w:p w14:paraId="2952620E" w14:textId="77777777" w:rsidR="00434DF1" w:rsidRPr="000A3A10" w:rsidRDefault="000A3A10" w:rsidP="005826E2">
      <w:pPr>
        <w:pStyle w:val="Heading2"/>
        <w:spacing w:after="240" w:line="360" w:lineRule="auto"/>
        <w:jc w:val="both"/>
        <w:rPr>
          <w:rFonts w:ascii="Arial" w:eastAsia="Times New Roman" w:hAnsi="Arial" w:cs="Arial"/>
          <w:color w:val="000000" w:themeColor="text1"/>
          <w:sz w:val="22"/>
          <w:szCs w:val="22"/>
        </w:rPr>
      </w:pPr>
      <w:bookmarkStart w:id="13" w:name="_Toc223684393"/>
      <w:r w:rsidRPr="000A3A10">
        <w:rPr>
          <w:rFonts w:ascii="Arial" w:hAnsi="Arial" w:cs="Arial"/>
          <w:color w:val="000000" w:themeColor="text1"/>
          <w:sz w:val="22"/>
          <w:szCs w:val="22"/>
        </w:rPr>
        <w:t xml:space="preserve">Data </w:t>
      </w:r>
      <w:r w:rsidRPr="000A3A10">
        <w:rPr>
          <w:rFonts w:ascii="Arial" w:eastAsia="Times New Roman" w:hAnsi="Arial" w:cs="Arial"/>
          <w:color w:val="000000" w:themeColor="text1"/>
          <w:sz w:val="22"/>
          <w:szCs w:val="22"/>
        </w:rPr>
        <w:t>Analysis</w:t>
      </w:r>
      <w:bookmarkEnd w:id="13"/>
    </w:p>
    <w:p w14:paraId="58888462" w14:textId="203FDBCC" w:rsidR="005826E2" w:rsidRPr="000A3A10" w:rsidRDefault="000A3A10" w:rsidP="005826E2">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For data analysis, a thematic analysis </w:t>
      </w:r>
      <w:r w:rsidR="00FD139C" w:rsidRPr="000A3A10">
        <w:rPr>
          <w:rFonts w:ascii="Arial" w:hAnsi="Arial" w:cs="Arial"/>
          <w:color w:val="000000" w:themeColor="text1"/>
          <w:sz w:val="22"/>
          <w:szCs w:val="22"/>
        </w:rPr>
        <w:t>(2021)</w:t>
      </w:r>
      <w:r w:rsidRPr="000A3A10">
        <w:rPr>
          <w:rFonts w:ascii="Arial" w:hAnsi="Arial" w:cs="Arial"/>
          <w:color w:val="000000" w:themeColor="text1"/>
          <w:sz w:val="22"/>
          <w:szCs w:val="22"/>
        </w:rPr>
        <w:t xml:space="preserve"> approach was adopted that helped in plotting, synthesising, and summing up the collected </w:t>
      </w:r>
      <w:r w:rsidR="003928B1" w:rsidRPr="000A3A10">
        <w:rPr>
          <w:rFonts w:ascii="Arial" w:hAnsi="Arial" w:cs="Arial"/>
          <w:color w:val="000000" w:themeColor="text1"/>
          <w:sz w:val="22"/>
          <w:szCs w:val="22"/>
        </w:rPr>
        <w:t>subjective</w:t>
      </w:r>
      <w:r w:rsidRPr="000A3A10">
        <w:rPr>
          <w:rFonts w:ascii="Arial" w:hAnsi="Arial" w:cs="Arial"/>
          <w:color w:val="000000" w:themeColor="text1"/>
          <w:sz w:val="22"/>
          <w:szCs w:val="22"/>
        </w:rPr>
        <w:t xml:space="preserve"> data by creating a rich </w:t>
      </w:r>
      <w:r w:rsidR="00DA7DB8" w:rsidRPr="000A3A10">
        <w:rPr>
          <w:rFonts w:ascii="Arial" w:hAnsi="Arial" w:cs="Arial"/>
          <w:color w:val="000000" w:themeColor="text1"/>
          <w:sz w:val="22"/>
          <w:szCs w:val="22"/>
        </w:rPr>
        <w:t xml:space="preserve">overview of the </w:t>
      </w:r>
      <w:r w:rsidRPr="000A3A10">
        <w:rPr>
          <w:rFonts w:ascii="Arial" w:hAnsi="Arial" w:cs="Arial"/>
          <w:color w:val="000000" w:themeColor="text1"/>
          <w:sz w:val="22"/>
          <w:szCs w:val="22"/>
        </w:rPr>
        <w:t xml:space="preserve">key features of the </w:t>
      </w:r>
      <w:r w:rsidR="00DA7DB8" w:rsidRPr="000A3A10">
        <w:rPr>
          <w:rFonts w:ascii="Arial" w:hAnsi="Arial" w:cs="Arial"/>
          <w:color w:val="000000" w:themeColor="text1"/>
          <w:sz w:val="22"/>
          <w:szCs w:val="22"/>
        </w:rPr>
        <w:t>intervention</w:t>
      </w:r>
      <w:r w:rsidRPr="000A3A10">
        <w:rPr>
          <w:rFonts w:ascii="Arial" w:hAnsi="Arial" w:cs="Arial"/>
          <w:color w:val="000000" w:themeColor="text1"/>
          <w:sz w:val="22"/>
          <w:szCs w:val="22"/>
        </w:rPr>
        <w:t>s</w:t>
      </w:r>
      <w:r w:rsidR="00DA7DB8"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their output, and core </w:t>
      </w:r>
      <w:r w:rsidR="00DA7DB8" w:rsidRPr="000A3A10">
        <w:rPr>
          <w:rFonts w:ascii="Arial" w:hAnsi="Arial" w:cs="Arial"/>
          <w:color w:val="000000" w:themeColor="text1"/>
          <w:sz w:val="22"/>
          <w:szCs w:val="22"/>
        </w:rPr>
        <w:t>themes</w:t>
      </w:r>
      <w:r w:rsidRPr="000A3A10">
        <w:rPr>
          <w:rFonts w:ascii="Arial" w:hAnsi="Arial" w:cs="Arial"/>
          <w:color w:val="000000" w:themeColor="text1"/>
          <w:sz w:val="22"/>
          <w:szCs w:val="22"/>
        </w:rPr>
        <w:t>/patterns to better understand the topic.</w:t>
      </w:r>
    </w:p>
    <w:p w14:paraId="084B8084" w14:textId="77777777" w:rsidR="00DA7DB8" w:rsidRPr="000A3A10" w:rsidRDefault="000A3A10" w:rsidP="005826E2">
      <w:pPr>
        <w:spacing w:before="100" w:beforeAutospacing="1" w:after="240" w:line="360" w:lineRule="auto"/>
        <w:jc w:val="both"/>
        <w:outlineLvl w:val="3"/>
        <w:rPr>
          <w:rFonts w:ascii="Arial" w:hAnsi="Arial" w:cs="Arial"/>
          <w:b/>
          <w:bCs/>
          <w:color w:val="000000" w:themeColor="text1"/>
          <w:sz w:val="22"/>
          <w:szCs w:val="22"/>
        </w:rPr>
      </w:pPr>
      <w:r w:rsidRPr="000A3A10">
        <w:rPr>
          <w:rFonts w:ascii="Arial" w:hAnsi="Arial" w:cs="Arial"/>
          <w:b/>
          <w:bCs/>
          <w:color w:val="000000" w:themeColor="text1"/>
          <w:sz w:val="22"/>
          <w:szCs w:val="22"/>
        </w:rPr>
        <w:t>Ethical Considerations</w:t>
      </w:r>
    </w:p>
    <w:p w14:paraId="538E046B" w14:textId="77777777" w:rsidR="00DA7DB8" w:rsidRPr="000A3A10" w:rsidRDefault="000A3A10" w:rsidP="005826E2">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Due to the absence of primary data</w:t>
      </w:r>
      <w:r w:rsidR="00434DF1" w:rsidRPr="000A3A10">
        <w:rPr>
          <w:rFonts w:ascii="Arial" w:hAnsi="Arial" w:cs="Arial"/>
          <w:color w:val="000000" w:themeColor="text1"/>
          <w:sz w:val="22"/>
          <w:szCs w:val="22"/>
        </w:rPr>
        <w:t xml:space="preserve"> and human participation</w:t>
      </w:r>
      <w:r w:rsidRPr="000A3A10">
        <w:rPr>
          <w:rFonts w:ascii="Arial" w:hAnsi="Arial" w:cs="Arial"/>
          <w:color w:val="000000" w:themeColor="text1"/>
          <w:sz w:val="22"/>
          <w:szCs w:val="22"/>
        </w:rPr>
        <w:t xml:space="preserve">, no ethical approval </w:t>
      </w:r>
      <w:r w:rsidR="00434DF1" w:rsidRPr="000A3A10">
        <w:rPr>
          <w:rFonts w:ascii="Arial" w:hAnsi="Arial" w:cs="Arial"/>
          <w:color w:val="000000" w:themeColor="text1"/>
          <w:sz w:val="22"/>
          <w:szCs w:val="22"/>
        </w:rPr>
        <w:t xml:space="preserve">for confidentiality and individual consent </w:t>
      </w:r>
      <w:r w:rsidRPr="000A3A10">
        <w:rPr>
          <w:rFonts w:ascii="Arial" w:hAnsi="Arial" w:cs="Arial"/>
          <w:color w:val="000000" w:themeColor="text1"/>
          <w:sz w:val="22"/>
          <w:szCs w:val="22"/>
        </w:rPr>
        <w:t xml:space="preserve">was needed before conducting this research. However, the focus on secondary analysis of already published literature emphasised focusing on some </w:t>
      </w:r>
      <w:r w:rsidR="00434DF1" w:rsidRPr="000A3A10">
        <w:rPr>
          <w:rFonts w:ascii="Arial" w:hAnsi="Arial" w:cs="Arial"/>
          <w:color w:val="000000" w:themeColor="text1"/>
          <w:sz w:val="22"/>
          <w:szCs w:val="22"/>
        </w:rPr>
        <w:t xml:space="preserve">painstaking </w:t>
      </w:r>
      <w:r w:rsidRPr="000A3A10">
        <w:rPr>
          <w:rFonts w:ascii="Arial" w:hAnsi="Arial" w:cs="Arial"/>
          <w:color w:val="000000" w:themeColor="text1"/>
          <w:sz w:val="22"/>
          <w:szCs w:val="22"/>
        </w:rPr>
        <w:t xml:space="preserve">ethical </w:t>
      </w:r>
      <w:r w:rsidR="00434DF1" w:rsidRPr="000A3A10">
        <w:rPr>
          <w:rFonts w:ascii="Arial" w:hAnsi="Arial" w:cs="Arial"/>
          <w:color w:val="000000" w:themeColor="text1"/>
          <w:sz w:val="22"/>
          <w:szCs w:val="22"/>
        </w:rPr>
        <w:t xml:space="preserve">standards, </w:t>
      </w:r>
      <w:r w:rsidRPr="000A3A10">
        <w:rPr>
          <w:rFonts w:ascii="Arial" w:hAnsi="Arial" w:cs="Arial"/>
          <w:color w:val="000000" w:themeColor="text1"/>
          <w:sz w:val="22"/>
          <w:szCs w:val="22"/>
        </w:rPr>
        <w:t>including transparency</w:t>
      </w:r>
      <w:r w:rsidR="00434DF1" w:rsidRPr="000A3A10">
        <w:rPr>
          <w:rFonts w:ascii="Arial" w:hAnsi="Arial" w:cs="Arial"/>
          <w:color w:val="000000" w:themeColor="text1"/>
          <w:sz w:val="22"/>
          <w:szCs w:val="22"/>
        </w:rPr>
        <w:t xml:space="preserve"> by following the institutional/professional ethical guidelines</w:t>
      </w:r>
      <w:r w:rsidRPr="000A3A10">
        <w:rPr>
          <w:rFonts w:ascii="Arial" w:hAnsi="Arial" w:cs="Arial"/>
          <w:color w:val="000000" w:themeColor="text1"/>
          <w:sz w:val="22"/>
          <w:szCs w:val="22"/>
        </w:rPr>
        <w:t>, proper paraphrasing and representation of results</w:t>
      </w:r>
      <w:r w:rsidR="00434DF1" w:rsidRPr="000A3A10">
        <w:rPr>
          <w:rFonts w:ascii="Arial" w:hAnsi="Arial" w:cs="Arial"/>
          <w:color w:val="000000" w:themeColor="text1"/>
          <w:sz w:val="22"/>
          <w:szCs w:val="22"/>
        </w:rPr>
        <w:t xml:space="preserve"> to avoid plagiarism</w:t>
      </w:r>
      <w:r w:rsidRPr="000A3A10">
        <w:rPr>
          <w:rFonts w:ascii="Arial" w:hAnsi="Arial" w:cs="Arial"/>
          <w:color w:val="000000" w:themeColor="text1"/>
          <w:sz w:val="22"/>
          <w:szCs w:val="22"/>
        </w:rPr>
        <w:t xml:space="preserve">, and appropriate citation of sources </w:t>
      </w:r>
      <w:r w:rsidR="00434DF1" w:rsidRPr="000A3A10">
        <w:rPr>
          <w:rFonts w:ascii="Arial" w:hAnsi="Arial" w:cs="Arial"/>
          <w:color w:val="000000" w:themeColor="text1"/>
          <w:sz w:val="22"/>
          <w:szCs w:val="22"/>
        </w:rPr>
        <w:t>to give credibility to real authors and maintain academic integrity</w:t>
      </w:r>
      <w:r w:rsidRPr="000A3A10">
        <w:rPr>
          <w:rFonts w:ascii="Arial" w:hAnsi="Arial" w:cs="Arial"/>
          <w:color w:val="000000" w:themeColor="text1"/>
          <w:sz w:val="22"/>
          <w:szCs w:val="22"/>
        </w:rPr>
        <w:t>, which were followed throughout the research carefully.</w:t>
      </w:r>
    </w:p>
    <w:p w14:paraId="0A4C6D1E" w14:textId="77777777" w:rsidR="00F1742C" w:rsidRPr="000A3A10" w:rsidRDefault="000A3A10" w:rsidP="00D16E5F">
      <w:pPr>
        <w:pStyle w:val="Heading1"/>
        <w:spacing w:after="240" w:line="360" w:lineRule="auto"/>
        <w:jc w:val="both"/>
        <w:rPr>
          <w:rFonts w:ascii="Arial" w:hAnsi="Arial" w:cs="Arial"/>
          <w:color w:val="000000" w:themeColor="text1"/>
          <w:sz w:val="22"/>
          <w:szCs w:val="22"/>
        </w:rPr>
      </w:pPr>
      <w:bookmarkStart w:id="14" w:name="_Toc223684394"/>
      <w:r w:rsidRPr="000A3A10">
        <w:rPr>
          <w:rFonts w:ascii="Arial" w:hAnsi="Arial" w:cs="Arial"/>
          <w:color w:val="000000" w:themeColor="text1"/>
          <w:sz w:val="22"/>
          <w:szCs w:val="22"/>
        </w:rPr>
        <w:t>Results</w:t>
      </w:r>
      <w:bookmarkEnd w:id="14"/>
      <w:r w:rsidRPr="000A3A10">
        <w:rPr>
          <w:rFonts w:ascii="Arial" w:hAnsi="Arial" w:cs="Arial"/>
          <w:color w:val="000000" w:themeColor="text1"/>
          <w:sz w:val="22"/>
          <w:szCs w:val="22"/>
        </w:rPr>
        <w:t xml:space="preserve"> </w:t>
      </w:r>
    </w:p>
    <w:p w14:paraId="3102CF1F" w14:textId="77777777" w:rsidR="00F1742C" w:rsidRPr="000A3A10" w:rsidRDefault="000A3A10" w:rsidP="00D16E5F">
      <w:pPr>
        <w:pStyle w:val="Heading2"/>
        <w:spacing w:after="240" w:line="360" w:lineRule="auto"/>
        <w:jc w:val="both"/>
        <w:rPr>
          <w:rFonts w:ascii="Arial" w:hAnsi="Arial" w:cs="Arial"/>
          <w:color w:val="000000" w:themeColor="text1"/>
          <w:sz w:val="22"/>
          <w:szCs w:val="22"/>
        </w:rPr>
      </w:pPr>
      <w:bookmarkStart w:id="15" w:name="_Toc192097823"/>
      <w:bookmarkStart w:id="16" w:name="_Toc223684395"/>
      <w:r w:rsidRPr="000A3A10">
        <w:rPr>
          <w:rFonts w:ascii="Arial" w:hAnsi="Arial" w:cs="Arial"/>
          <w:color w:val="000000" w:themeColor="text1"/>
          <w:sz w:val="22"/>
          <w:szCs w:val="22"/>
        </w:rPr>
        <w:t>Thematic Analysis</w:t>
      </w:r>
      <w:bookmarkEnd w:id="15"/>
      <w:bookmarkEnd w:id="16"/>
      <w:r w:rsidRPr="000A3A10">
        <w:rPr>
          <w:rFonts w:ascii="Arial" w:hAnsi="Arial" w:cs="Arial"/>
          <w:color w:val="000000" w:themeColor="text1"/>
          <w:sz w:val="22"/>
          <w:szCs w:val="22"/>
        </w:rPr>
        <w:t xml:space="preserve"> </w:t>
      </w:r>
    </w:p>
    <w:p w14:paraId="53D0AD14" w14:textId="77777777" w:rsidR="00D16E5F" w:rsidRPr="000A3A10" w:rsidRDefault="000A3A10" w:rsidP="00D16E5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To analyse the secondary information, a thematic analysis was carried out in this section of the scoping review, where five relevant peer-reviewed articles/studies were selected (that matched the inclusion criteria) </w:t>
      </w:r>
      <w:r w:rsidR="00B614D9" w:rsidRPr="000A3A10">
        <w:rPr>
          <w:rFonts w:ascii="Arial" w:hAnsi="Arial" w:cs="Arial"/>
          <w:color w:val="000000" w:themeColor="text1"/>
          <w:sz w:val="22"/>
          <w:szCs w:val="22"/>
        </w:rPr>
        <w:t>in terms of years of publication, methodological approaches, and topic related to different types of digital health interventions to support self-management among patients with type 2 diabetes in UK primary care environment</w:t>
      </w:r>
      <w:r w:rsidRPr="000A3A10">
        <w:rPr>
          <w:rFonts w:ascii="Arial" w:hAnsi="Arial" w:cs="Arial"/>
          <w:color w:val="000000" w:themeColor="text1"/>
          <w:sz w:val="22"/>
          <w:szCs w:val="22"/>
        </w:rPr>
        <w:t xml:space="preserve"> (as shown in Table 1). Later on, the thematic analysis was completed (in Table 2), which provided five core themes including: T2DM patients' involvement with digital health interventions, Digital interaction &amp; remote assistance, Significance of digital health interventions &amp; self-management output, Behaviour change approaches &amp; patient empowerment, and Barriers &amp; facilitators to digital health intervention implementation/adoption, supported by the chosen studies.</w:t>
      </w:r>
    </w:p>
    <w:p w14:paraId="078CC9C9" w14:textId="77777777" w:rsidR="00D16E5F" w:rsidRPr="000A3A10" w:rsidRDefault="00D16E5F" w:rsidP="00D16E5F">
      <w:pPr>
        <w:pStyle w:val="Caption"/>
        <w:keepNext/>
        <w:jc w:val="center"/>
        <w:rPr>
          <w:rFonts w:ascii="Arial" w:hAnsi="Arial" w:cs="Arial"/>
          <w:color w:val="000000" w:themeColor="text1"/>
        </w:rPr>
        <w:sectPr w:rsidR="00D16E5F" w:rsidRPr="000A3A10" w:rsidSect="00830406">
          <w:pgSz w:w="11906" w:h="16838"/>
          <w:pgMar w:top="1440" w:right="1440" w:bottom="1440" w:left="1440" w:header="720" w:footer="720" w:gutter="0"/>
          <w:cols w:space="720"/>
          <w:docGrid w:linePitch="360"/>
        </w:sectPr>
      </w:pPr>
    </w:p>
    <w:p w14:paraId="3F25DE9D" w14:textId="77777777" w:rsidR="00D16E5F" w:rsidRPr="000A3A10" w:rsidRDefault="000A3A10" w:rsidP="00D16E5F">
      <w:pPr>
        <w:pStyle w:val="Caption"/>
        <w:keepNext/>
        <w:jc w:val="center"/>
        <w:rPr>
          <w:rFonts w:ascii="Arial" w:hAnsi="Arial" w:cs="Arial"/>
          <w:color w:val="000000" w:themeColor="text1"/>
        </w:rPr>
      </w:pPr>
      <w:r w:rsidRPr="000A3A10">
        <w:rPr>
          <w:rFonts w:ascii="Arial" w:hAnsi="Arial" w:cs="Arial"/>
          <w:color w:val="000000" w:themeColor="text1"/>
        </w:rPr>
        <w:t xml:space="preserve">Table </w:t>
      </w:r>
      <w:r w:rsidR="00677854" w:rsidRPr="000A3A10">
        <w:rPr>
          <w:rFonts w:ascii="Arial" w:hAnsi="Arial" w:cs="Arial"/>
          <w:color w:val="000000" w:themeColor="text1"/>
        </w:rPr>
        <w:fldChar w:fldCharType="begin"/>
      </w:r>
      <w:r w:rsidRPr="000A3A10">
        <w:rPr>
          <w:rFonts w:ascii="Arial" w:hAnsi="Arial" w:cs="Arial"/>
          <w:color w:val="000000" w:themeColor="text1"/>
        </w:rPr>
        <w:instrText xml:space="preserve"> SEQ Table \* ARABIC </w:instrText>
      </w:r>
      <w:r w:rsidR="00677854" w:rsidRPr="000A3A10">
        <w:rPr>
          <w:rFonts w:ascii="Arial" w:hAnsi="Arial" w:cs="Arial"/>
          <w:color w:val="000000" w:themeColor="text1"/>
        </w:rPr>
        <w:fldChar w:fldCharType="separate"/>
      </w:r>
      <w:r w:rsidRPr="000A3A10">
        <w:rPr>
          <w:rFonts w:ascii="Arial" w:hAnsi="Arial" w:cs="Arial"/>
          <w:noProof/>
          <w:color w:val="000000" w:themeColor="text1"/>
        </w:rPr>
        <w:t>1</w:t>
      </w:r>
      <w:r w:rsidR="00677854" w:rsidRPr="000A3A10">
        <w:rPr>
          <w:rFonts w:ascii="Arial" w:hAnsi="Arial" w:cs="Arial"/>
          <w:color w:val="000000" w:themeColor="text1"/>
        </w:rPr>
        <w:fldChar w:fldCharType="end"/>
      </w:r>
      <w:r w:rsidRPr="000A3A10">
        <w:rPr>
          <w:rFonts w:ascii="Arial" w:hAnsi="Arial" w:cs="Arial"/>
          <w:color w:val="000000" w:themeColor="text1"/>
        </w:rPr>
        <w:t>: Summary of the Peer-reviewed Articles Selected in the Conducted Scoping Review</w:t>
      </w:r>
    </w:p>
    <w:p w14:paraId="2ADA0886" w14:textId="77777777" w:rsidR="00A95668" w:rsidRPr="000A3A10" w:rsidRDefault="00A95668" w:rsidP="00A95668">
      <w:pPr>
        <w:jc w:val="center"/>
        <w:rPr>
          <w:rFonts w:ascii="Arial" w:hAnsi="Arial" w:cs="Arial"/>
        </w:rPr>
      </w:pPr>
      <w:r w:rsidRPr="000A3A10">
        <w:rPr>
          <w:rFonts w:ascii="Arial" w:hAnsi="Arial" w:cs="Arial"/>
          <w:noProof/>
        </w:rPr>
        <w:drawing>
          <wp:inline distT="0" distB="0" distL="0" distR="0" wp14:anchorId="6A10F3D6" wp14:editId="2767464A">
            <wp:extent cx="7924800" cy="436499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srcRect/>
                    <a:stretch>
                      <a:fillRect/>
                    </a:stretch>
                  </pic:blipFill>
                  <pic:spPr bwMode="auto">
                    <a:xfrm>
                      <a:off x="0" y="0"/>
                      <a:ext cx="7924800" cy="4364990"/>
                    </a:xfrm>
                    <a:prstGeom prst="rect">
                      <a:avLst/>
                    </a:prstGeom>
                    <a:noFill/>
                    <a:ln w="9525">
                      <a:noFill/>
                      <a:miter lim="800000"/>
                      <a:headEnd/>
                      <a:tailEnd/>
                    </a:ln>
                  </pic:spPr>
                </pic:pic>
              </a:graphicData>
            </a:graphic>
          </wp:inline>
        </w:drawing>
      </w:r>
    </w:p>
    <w:p w14:paraId="0985CE35" w14:textId="77777777" w:rsidR="00A95668" w:rsidRPr="000A3A10" w:rsidRDefault="00A95668" w:rsidP="00A95668">
      <w:pPr>
        <w:rPr>
          <w:rFonts w:ascii="Arial" w:hAnsi="Arial" w:cs="Arial"/>
        </w:rPr>
      </w:pPr>
    </w:p>
    <w:p w14:paraId="6D446C57" w14:textId="77777777" w:rsidR="00A95668" w:rsidRPr="000A3A10" w:rsidRDefault="00A95668" w:rsidP="00A95668">
      <w:pPr>
        <w:rPr>
          <w:rFonts w:ascii="Arial" w:hAnsi="Arial" w:cs="Arial"/>
        </w:rPr>
      </w:pPr>
    </w:p>
    <w:p w14:paraId="74FD426F" w14:textId="77777777" w:rsidR="00D16E5F" w:rsidRPr="000A3A10" w:rsidRDefault="00D16E5F" w:rsidP="00D16E5F">
      <w:pPr>
        <w:rPr>
          <w:rFonts w:ascii="Arial" w:hAnsi="Arial" w:cs="Arial"/>
          <w:sz w:val="22"/>
          <w:szCs w:val="22"/>
          <w:lang w:eastAsia="en-US"/>
        </w:rPr>
      </w:pPr>
    </w:p>
    <w:p w14:paraId="32EA8DD7" w14:textId="77777777" w:rsidR="00D16E5F" w:rsidRPr="000A3A10" w:rsidRDefault="000A3A10" w:rsidP="00D16E5F">
      <w:pPr>
        <w:pStyle w:val="Caption"/>
        <w:keepNext/>
        <w:jc w:val="center"/>
        <w:rPr>
          <w:rFonts w:ascii="Arial" w:hAnsi="Arial" w:cs="Arial"/>
          <w:color w:val="000000" w:themeColor="text1"/>
        </w:rPr>
      </w:pPr>
      <w:r w:rsidRPr="000A3A10">
        <w:rPr>
          <w:rFonts w:ascii="Arial" w:hAnsi="Arial" w:cs="Arial"/>
          <w:color w:val="000000" w:themeColor="text1"/>
        </w:rPr>
        <w:t xml:space="preserve">Table </w:t>
      </w:r>
      <w:r w:rsidR="00677854" w:rsidRPr="000A3A10">
        <w:rPr>
          <w:rFonts w:ascii="Arial" w:hAnsi="Arial" w:cs="Arial"/>
          <w:color w:val="000000" w:themeColor="text1"/>
        </w:rPr>
        <w:fldChar w:fldCharType="begin"/>
      </w:r>
      <w:r w:rsidRPr="000A3A10">
        <w:rPr>
          <w:rFonts w:ascii="Arial" w:hAnsi="Arial" w:cs="Arial"/>
          <w:color w:val="000000" w:themeColor="text1"/>
        </w:rPr>
        <w:instrText xml:space="preserve"> SEQ Table \* ARABIC </w:instrText>
      </w:r>
      <w:r w:rsidR="00677854" w:rsidRPr="000A3A10">
        <w:rPr>
          <w:rFonts w:ascii="Arial" w:hAnsi="Arial" w:cs="Arial"/>
          <w:color w:val="000000" w:themeColor="text1"/>
        </w:rPr>
        <w:fldChar w:fldCharType="separate"/>
      </w:r>
      <w:r w:rsidRPr="000A3A10">
        <w:rPr>
          <w:rFonts w:ascii="Arial" w:hAnsi="Arial" w:cs="Arial"/>
          <w:noProof/>
          <w:color w:val="000000" w:themeColor="text1"/>
        </w:rPr>
        <w:t>2</w:t>
      </w:r>
      <w:r w:rsidR="00677854" w:rsidRPr="000A3A10">
        <w:rPr>
          <w:rFonts w:ascii="Arial" w:hAnsi="Arial" w:cs="Arial"/>
          <w:color w:val="000000" w:themeColor="text1"/>
        </w:rPr>
        <w:fldChar w:fldCharType="end"/>
      </w:r>
      <w:r w:rsidRPr="000A3A10">
        <w:rPr>
          <w:rFonts w:ascii="Arial" w:hAnsi="Arial" w:cs="Arial"/>
          <w:color w:val="000000" w:themeColor="text1"/>
        </w:rPr>
        <w:t>: Thematic Analysis Summary</w:t>
      </w:r>
    </w:p>
    <w:p w14:paraId="6B505223" w14:textId="77777777" w:rsidR="00A95668" w:rsidRPr="000A3A10" w:rsidRDefault="00A95668" w:rsidP="00A95668">
      <w:pPr>
        <w:jc w:val="center"/>
        <w:rPr>
          <w:rFonts w:ascii="Arial" w:hAnsi="Arial" w:cs="Arial"/>
        </w:rPr>
      </w:pPr>
      <w:r w:rsidRPr="000A3A10">
        <w:rPr>
          <w:rFonts w:ascii="Arial" w:hAnsi="Arial" w:cs="Arial"/>
          <w:noProof/>
        </w:rPr>
        <w:drawing>
          <wp:inline distT="0" distB="0" distL="0" distR="0" wp14:anchorId="40004DCA" wp14:editId="66B50E1B">
            <wp:extent cx="6694805" cy="39185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6694805" cy="3918585"/>
                    </a:xfrm>
                    <a:prstGeom prst="rect">
                      <a:avLst/>
                    </a:prstGeom>
                    <a:noFill/>
                    <a:ln w="9525">
                      <a:noFill/>
                      <a:miter lim="800000"/>
                      <a:headEnd/>
                      <a:tailEnd/>
                    </a:ln>
                  </pic:spPr>
                </pic:pic>
              </a:graphicData>
            </a:graphic>
          </wp:inline>
        </w:drawing>
      </w:r>
    </w:p>
    <w:p w14:paraId="036BEB2D" w14:textId="77777777" w:rsidR="00A95668" w:rsidRPr="000A3A10" w:rsidRDefault="00A95668" w:rsidP="00A95668">
      <w:pPr>
        <w:rPr>
          <w:rFonts w:ascii="Arial" w:hAnsi="Arial" w:cs="Arial"/>
        </w:rPr>
      </w:pPr>
    </w:p>
    <w:p w14:paraId="5E29C489" w14:textId="77777777" w:rsidR="00A95668" w:rsidRPr="000A3A10" w:rsidRDefault="00A95668" w:rsidP="00A95668">
      <w:pPr>
        <w:rPr>
          <w:rFonts w:ascii="Arial" w:hAnsi="Arial" w:cs="Arial"/>
        </w:rPr>
      </w:pPr>
    </w:p>
    <w:p w14:paraId="0365958A" w14:textId="77777777" w:rsidR="00D16E5F" w:rsidRPr="000A3A10" w:rsidRDefault="00D16E5F" w:rsidP="00D16E5F">
      <w:pPr>
        <w:pStyle w:val="NormalWeb"/>
        <w:rPr>
          <w:rFonts w:ascii="Arial" w:hAnsi="Arial" w:cs="Arial"/>
        </w:rPr>
      </w:pPr>
    </w:p>
    <w:p w14:paraId="6B267379" w14:textId="77777777" w:rsidR="00D16E5F" w:rsidRPr="000A3A10" w:rsidRDefault="00D16E5F" w:rsidP="00F1742C">
      <w:pPr>
        <w:spacing w:line="360" w:lineRule="auto"/>
        <w:jc w:val="both"/>
        <w:rPr>
          <w:rFonts w:ascii="Arial" w:hAnsi="Arial" w:cs="Arial"/>
          <w:color w:val="000000" w:themeColor="text1"/>
          <w:sz w:val="22"/>
          <w:szCs w:val="22"/>
        </w:rPr>
        <w:sectPr w:rsidR="00D16E5F" w:rsidRPr="000A3A10" w:rsidSect="00830406">
          <w:pgSz w:w="16838" w:h="11906" w:orient="landscape"/>
          <w:pgMar w:top="1440" w:right="1440" w:bottom="1440" w:left="1440" w:header="720" w:footer="720" w:gutter="0"/>
          <w:cols w:space="720"/>
          <w:docGrid w:linePitch="360"/>
        </w:sectPr>
      </w:pPr>
    </w:p>
    <w:p w14:paraId="3D28C678" w14:textId="77777777" w:rsidR="00962962" w:rsidRPr="000A3A10" w:rsidRDefault="000A3A10" w:rsidP="00F876DF">
      <w:pPr>
        <w:pStyle w:val="Heading1"/>
        <w:spacing w:after="240" w:line="360" w:lineRule="auto"/>
        <w:jc w:val="both"/>
        <w:rPr>
          <w:rFonts w:ascii="Arial" w:hAnsi="Arial" w:cs="Arial"/>
          <w:color w:val="000000" w:themeColor="text1"/>
          <w:sz w:val="22"/>
          <w:szCs w:val="22"/>
        </w:rPr>
      </w:pPr>
      <w:bookmarkStart w:id="17" w:name="_Toc223684396"/>
      <w:r w:rsidRPr="000A3A10">
        <w:rPr>
          <w:rFonts w:ascii="Arial" w:hAnsi="Arial" w:cs="Arial"/>
          <w:color w:val="000000" w:themeColor="text1"/>
          <w:sz w:val="22"/>
          <w:szCs w:val="22"/>
        </w:rPr>
        <w:t>Discussion</w:t>
      </w:r>
      <w:bookmarkEnd w:id="17"/>
    </w:p>
    <w:p w14:paraId="6052B771" w14:textId="77777777" w:rsidR="00962962" w:rsidRPr="000A3A10" w:rsidRDefault="000A3A10" w:rsidP="00F876DF">
      <w:pPr>
        <w:pStyle w:val="Heading2"/>
        <w:spacing w:after="240" w:line="360" w:lineRule="auto"/>
        <w:jc w:val="both"/>
        <w:rPr>
          <w:rFonts w:ascii="Arial" w:hAnsi="Arial" w:cs="Arial"/>
          <w:color w:val="000000" w:themeColor="text1"/>
          <w:sz w:val="22"/>
          <w:szCs w:val="22"/>
        </w:rPr>
      </w:pPr>
      <w:bookmarkStart w:id="18" w:name="_Toc223684397"/>
      <w:r w:rsidRPr="000A3A10">
        <w:rPr>
          <w:rFonts w:ascii="Arial" w:hAnsi="Arial" w:cs="Arial"/>
          <w:color w:val="000000" w:themeColor="text1"/>
          <w:sz w:val="22"/>
          <w:szCs w:val="22"/>
        </w:rPr>
        <w:t>T2DM Patients' Involvement with Digital Health Interventions</w:t>
      </w:r>
      <w:bookmarkEnd w:id="18"/>
    </w:p>
    <w:p w14:paraId="60545FB0" w14:textId="77777777" w:rsidR="00B4754B"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After critically analysing relevant studies, T2DM Patients' Involvement with Digital Health Interventions</w:t>
      </w:r>
      <w:r w:rsidR="002B4EE7"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appeared as a dominant theme, showing the role </w:t>
      </w:r>
      <w:r w:rsidR="00755D5C" w:rsidRPr="000A3A10">
        <w:rPr>
          <w:rFonts w:ascii="Arial" w:hAnsi="Arial" w:cs="Arial"/>
          <w:color w:val="000000" w:themeColor="text1"/>
          <w:sz w:val="22"/>
          <w:szCs w:val="22"/>
        </w:rPr>
        <w:t xml:space="preserve">and/or significance </w:t>
      </w:r>
      <w:r w:rsidRPr="000A3A10">
        <w:rPr>
          <w:rFonts w:ascii="Arial" w:hAnsi="Arial" w:cs="Arial"/>
          <w:color w:val="000000" w:themeColor="text1"/>
          <w:sz w:val="22"/>
          <w:szCs w:val="22"/>
        </w:rPr>
        <w:t>of advanced programs for patients with T2DM.</w:t>
      </w:r>
      <w:r w:rsidR="00755D5C" w:rsidRPr="000A3A10">
        <w:rPr>
          <w:rFonts w:ascii="Arial" w:hAnsi="Arial" w:cs="Arial"/>
          <w:color w:val="000000" w:themeColor="text1"/>
          <w:sz w:val="22"/>
          <w:szCs w:val="22"/>
        </w:rPr>
        <w:t xml:space="preserve"> According to this theme, </w:t>
      </w:r>
      <w:r w:rsidR="002B4EE7" w:rsidRPr="000A3A10">
        <w:rPr>
          <w:rFonts w:ascii="Arial" w:hAnsi="Arial" w:cs="Arial"/>
          <w:color w:val="000000" w:themeColor="text1"/>
          <w:sz w:val="22"/>
          <w:szCs w:val="22"/>
        </w:rPr>
        <w:t>patients’</w:t>
      </w:r>
      <w:r w:rsidR="00755D5C" w:rsidRPr="000A3A10">
        <w:rPr>
          <w:rFonts w:ascii="Arial" w:hAnsi="Arial" w:cs="Arial"/>
          <w:color w:val="000000" w:themeColor="text1"/>
          <w:sz w:val="22"/>
          <w:szCs w:val="22"/>
        </w:rPr>
        <w:t xml:space="preserve"> involvement is always required to examine the significance of any advanced interventions in the healthcare settings of the UK, particularly for patients with type 2 diabetes, because of their positive role in improving health outcomes, with the efforts of patients that enable them to be serious about change in themselves</w:t>
      </w:r>
      <w:r w:rsidR="002B4EE7" w:rsidRPr="000A3A10">
        <w:rPr>
          <w:rFonts w:ascii="Arial" w:hAnsi="Arial" w:cs="Arial"/>
          <w:color w:val="000000" w:themeColor="text1"/>
          <w:sz w:val="22"/>
          <w:szCs w:val="22"/>
        </w:rPr>
        <w:t xml:space="preserve">. </w:t>
      </w:r>
    </w:p>
    <w:p w14:paraId="1FE7C386" w14:textId="61B8D112" w:rsidR="005D5D8D"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According to research presented by Alkhaldi et al. </w:t>
      </w:r>
      <w:r w:rsidR="00FD139C" w:rsidRPr="000A3A10">
        <w:rPr>
          <w:rFonts w:ascii="Arial" w:hAnsi="Arial" w:cs="Arial"/>
          <w:color w:val="000000" w:themeColor="text1"/>
          <w:sz w:val="22"/>
          <w:szCs w:val="22"/>
        </w:rPr>
        <w:t>(2017)</w:t>
      </w:r>
      <w:r w:rsidR="002B4EE7" w:rsidRPr="000A3A10">
        <w:rPr>
          <w:rFonts w:ascii="Arial" w:hAnsi="Arial" w:cs="Arial"/>
          <w:color w:val="000000" w:themeColor="text1"/>
          <w:sz w:val="22"/>
          <w:szCs w:val="22"/>
        </w:rPr>
        <w:t xml:space="preserve">, there are various types of approaches or strategic actions that can be used for a higher level of patients' engagement with digital programs that eventually deal with their diseases. For instance, in the case of people with T2DM, enhanced involvement of patients with </w:t>
      </w:r>
      <w:r w:rsidRPr="000A3A10">
        <w:rPr>
          <w:rFonts w:ascii="Arial" w:hAnsi="Arial" w:cs="Arial"/>
          <w:color w:val="000000" w:themeColor="text1"/>
          <w:sz w:val="22"/>
          <w:szCs w:val="22"/>
        </w:rPr>
        <w:t xml:space="preserve">the HeLP-Diabetes digital self-management </w:t>
      </w:r>
      <w:r w:rsidR="002B4EE7" w:rsidRPr="000A3A10">
        <w:rPr>
          <w:rFonts w:ascii="Arial" w:hAnsi="Arial" w:cs="Arial"/>
          <w:color w:val="000000" w:themeColor="text1"/>
          <w:sz w:val="22"/>
          <w:szCs w:val="22"/>
        </w:rPr>
        <w:t xml:space="preserve">intervention is usually observed through the </w:t>
      </w:r>
      <w:r w:rsidRPr="000A3A10">
        <w:rPr>
          <w:rFonts w:ascii="Arial" w:hAnsi="Arial" w:cs="Arial"/>
          <w:color w:val="000000" w:themeColor="text1"/>
          <w:sz w:val="22"/>
          <w:szCs w:val="22"/>
        </w:rPr>
        <w:t xml:space="preserve">reminder prompts </w:t>
      </w:r>
      <w:r w:rsidR="002B4EE7" w:rsidRPr="000A3A10">
        <w:rPr>
          <w:rFonts w:ascii="Arial" w:hAnsi="Arial" w:cs="Arial"/>
          <w:color w:val="000000" w:themeColor="text1"/>
          <w:sz w:val="22"/>
          <w:szCs w:val="22"/>
        </w:rPr>
        <w:t xml:space="preserve">that are mainly done using specified text messages or </w:t>
      </w:r>
      <w:r w:rsidRPr="000A3A10">
        <w:rPr>
          <w:rFonts w:ascii="Arial" w:hAnsi="Arial" w:cs="Arial"/>
          <w:color w:val="000000" w:themeColor="text1"/>
          <w:sz w:val="22"/>
          <w:szCs w:val="22"/>
        </w:rPr>
        <w:t>email</w:t>
      </w:r>
      <w:r w:rsidR="002B4EE7" w:rsidRPr="000A3A10">
        <w:rPr>
          <w:rFonts w:ascii="Arial" w:hAnsi="Arial" w:cs="Arial"/>
          <w:color w:val="000000" w:themeColor="text1"/>
          <w:sz w:val="22"/>
          <w:szCs w:val="22"/>
        </w:rPr>
        <w:t xml:space="preserve">s. </w:t>
      </w:r>
    </w:p>
    <w:p w14:paraId="1944A454" w14:textId="554791F4" w:rsidR="005D5D8D"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The </w:t>
      </w:r>
      <w:r w:rsidR="002B4EE7" w:rsidRPr="000A3A10">
        <w:rPr>
          <w:rFonts w:ascii="Arial" w:hAnsi="Arial" w:cs="Arial"/>
          <w:color w:val="000000" w:themeColor="text1"/>
          <w:sz w:val="22"/>
          <w:szCs w:val="22"/>
        </w:rPr>
        <w:t>research findings</w:t>
      </w:r>
      <w:r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(Alkhaldi et al., 2017)</w:t>
      </w:r>
      <w:r w:rsidRPr="000A3A10">
        <w:rPr>
          <w:rFonts w:ascii="Arial" w:hAnsi="Arial" w:cs="Arial"/>
          <w:color w:val="000000" w:themeColor="text1"/>
          <w:sz w:val="22"/>
          <w:szCs w:val="22"/>
        </w:rPr>
        <w:t xml:space="preserve"> further depicted</w:t>
      </w:r>
      <w:r w:rsidR="002B4EE7" w:rsidRPr="000A3A10">
        <w:rPr>
          <w:rFonts w:ascii="Arial" w:hAnsi="Arial" w:cs="Arial"/>
          <w:color w:val="000000" w:themeColor="text1"/>
          <w:sz w:val="22"/>
          <w:szCs w:val="22"/>
        </w:rPr>
        <w:t xml:space="preserve"> that these actions proved effective in increasing the level of people engagement with digital programs or platforms for their self-assessment and management because these components enabled patients with T2DM t</w:t>
      </w:r>
      <w:r w:rsidR="00755D5C" w:rsidRPr="000A3A10">
        <w:rPr>
          <w:rFonts w:ascii="Arial" w:hAnsi="Arial" w:cs="Arial"/>
          <w:color w:val="000000" w:themeColor="text1"/>
          <w:sz w:val="22"/>
          <w:szCs w:val="22"/>
        </w:rPr>
        <w:t xml:space="preserve">o revisit the </w:t>
      </w:r>
      <w:r w:rsidR="002B4EE7" w:rsidRPr="000A3A10">
        <w:rPr>
          <w:rFonts w:ascii="Arial" w:hAnsi="Arial" w:cs="Arial"/>
          <w:color w:val="000000" w:themeColor="text1"/>
          <w:sz w:val="22"/>
          <w:szCs w:val="22"/>
        </w:rPr>
        <w:t>platforms/</w:t>
      </w:r>
      <w:r w:rsidR="00755D5C" w:rsidRPr="000A3A10">
        <w:rPr>
          <w:rFonts w:ascii="Arial" w:hAnsi="Arial" w:cs="Arial"/>
          <w:color w:val="000000" w:themeColor="text1"/>
          <w:sz w:val="22"/>
          <w:szCs w:val="22"/>
        </w:rPr>
        <w:t xml:space="preserve">website </w:t>
      </w:r>
      <w:r w:rsidR="002B4EE7" w:rsidRPr="000A3A10">
        <w:rPr>
          <w:rFonts w:ascii="Arial" w:hAnsi="Arial" w:cs="Arial"/>
          <w:color w:val="000000" w:themeColor="text1"/>
          <w:sz w:val="22"/>
          <w:szCs w:val="22"/>
        </w:rPr>
        <w:t xml:space="preserve">constantly and ensure to receive awareness, education and </w:t>
      </w:r>
      <w:r w:rsidR="00755D5C" w:rsidRPr="000A3A10">
        <w:rPr>
          <w:rFonts w:ascii="Arial" w:hAnsi="Arial" w:cs="Arial"/>
          <w:color w:val="000000" w:themeColor="text1"/>
          <w:sz w:val="22"/>
          <w:szCs w:val="22"/>
        </w:rPr>
        <w:t xml:space="preserve">behavioural </w:t>
      </w:r>
      <w:r w:rsidR="002B4EE7" w:rsidRPr="000A3A10">
        <w:rPr>
          <w:rFonts w:ascii="Arial" w:hAnsi="Arial" w:cs="Arial"/>
          <w:color w:val="000000" w:themeColor="text1"/>
          <w:sz w:val="22"/>
          <w:szCs w:val="22"/>
        </w:rPr>
        <w:t xml:space="preserve">assistance via </w:t>
      </w:r>
      <w:r w:rsidR="00755D5C" w:rsidRPr="000A3A10">
        <w:rPr>
          <w:rFonts w:ascii="Arial" w:hAnsi="Arial" w:cs="Arial"/>
          <w:color w:val="000000" w:themeColor="text1"/>
          <w:sz w:val="22"/>
          <w:szCs w:val="22"/>
        </w:rPr>
        <w:t>regular reminders</w:t>
      </w:r>
      <w:r w:rsidRPr="000A3A10">
        <w:rPr>
          <w:rFonts w:ascii="Arial" w:hAnsi="Arial" w:cs="Arial"/>
          <w:color w:val="000000" w:themeColor="text1"/>
          <w:sz w:val="22"/>
          <w:szCs w:val="22"/>
        </w:rPr>
        <w:t xml:space="preserve"> for positive outcomes. </w:t>
      </w:r>
      <w:r w:rsidR="00D63FCF" w:rsidRPr="000A3A10">
        <w:rPr>
          <w:rFonts w:ascii="Arial" w:hAnsi="Arial" w:cs="Arial"/>
          <w:color w:val="000000" w:themeColor="text1"/>
          <w:sz w:val="22"/>
          <w:szCs w:val="22"/>
        </w:rPr>
        <w:t xml:space="preserve">Resultantly, the significance of patients' involvement with digital health interventions via different approaches is unavoidable when it comes to self-managing the chronic conditions of type 2 diabetes and persistently using such advancements. </w:t>
      </w:r>
    </w:p>
    <w:p w14:paraId="7960EA47" w14:textId="44A3EFA3" w:rsidR="00755D5C"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Another </w:t>
      </w:r>
      <w:r w:rsidR="00B4754B" w:rsidRPr="000A3A10">
        <w:rPr>
          <w:rFonts w:ascii="Arial" w:hAnsi="Arial" w:cs="Arial"/>
          <w:color w:val="000000" w:themeColor="text1"/>
          <w:sz w:val="22"/>
          <w:szCs w:val="22"/>
        </w:rPr>
        <w:t xml:space="preserve">study by </w:t>
      </w:r>
      <w:r w:rsidRPr="000A3A10">
        <w:rPr>
          <w:rFonts w:ascii="Arial" w:hAnsi="Arial" w:cs="Arial"/>
          <w:color w:val="000000" w:themeColor="text1"/>
          <w:sz w:val="22"/>
          <w:szCs w:val="22"/>
        </w:rPr>
        <w:t xml:space="preserve">Murray et al. </w:t>
      </w:r>
      <w:r w:rsidR="00FD139C" w:rsidRPr="000A3A10">
        <w:rPr>
          <w:rFonts w:ascii="Arial" w:hAnsi="Arial" w:cs="Arial"/>
          <w:color w:val="000000" w:themeColor="text1"/>
          <w:sz w:val="22"/>
          <w:szCs w:val="22"/>
        </w:rPr>
        <w:t>(2017)</w:t>
      </w:r>
      <w:r w:rsidR="00B4754B"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 xml:space="preserve">further advocated these findings by revealing that patients with T2DM using the HeLP-Diabetes programme are more likely get easy and timely access to the relevant educational modules, monitoring instruments, and effective resources associated with the behaviour change, compared to those who receive standard care. </w:t>
      </w:r>
      <w:r w:rsidR="00D171E9" w:rsidRPr="000A3A10">
        <w:rPr>
          <w:rFonts w:ascii="Arial" w:hAnsi="Arial" w:cs="Arial"/>
          <w:color w:val="000000" w:themeColor="text1"/>
          <w:sz w:val="22"/>
          <w:szCs w:val="22"/>
        </w:rPr>
        <w:t xml:space="preserve">A recent research by Glavas et al. </w:t>
      </w:r>
      <w:r w:rsidR="00FD139C" w:rsidRPr="000A3A10">
        <w:rPr>
          <w:rFonts w:ascii="Arial" w:hAnsi="Arial" w:cs="Arial"/>
          <w:color w:val="000000" w:themeColor="text1"/>
          <w:sz w:val="22"/>
          <w:szCs w:val="22"/>
        </w:rPr>
        <w:t>(2024)</w:t>
      </w:r>
      <w:r w:rsidR="00D171E9" w:rsidRPr="000A3A10">
        <w:rPr>
          <w:rFonts w:ascii="Arial" w:hAnsi="Arial" w:cs="Arial"/>
          <w:color w:val="000000" w:themeColor="text1"/>
          <w:sz w:val="22"/>
          <w:szCs w:val="22"/>
        </w:rPr>
        <w:t xml:space="preserve"> also cited that these kinds of digital/advanced programs not merely provide </w:t>
      </w:r>
      <w:r w:rsidRPr="000A3A10">
        <w:rPr>
          <w:rFonts w:ascii="Arial" w:hAnsi="Arial" w:cs="Arial"/>
          <w:color w:val="000000" w:themeColor="text1"/>
          <w:sz w:val="22"/>
          <w:szCs w:val="22"/>
        </w:rPr>
        <w:t xml:space="preserve">structured </w:t>
      </w:r>
      <w:r w:rsidR="00D171E9" w:rsidRPr="000A3A10">
        <w:rPr>
          <w:rFonts w:ascii="Arial" w:hAnsi="Arial" w:cs="Arial"/>
          <w:color w:val="000000" w:themeColor="text1"/>
          <w:sz w:val="22"/>
          <w:szCs w:val="22"/>
        </w:rPr>
        <w:t xml:space="preserve">intervention </w:t>
      </w:r>
      <w:r w:rsidRPr="000A3A10">
        <w:rPr>
          <w:rFonts w:ascii="Arial" w:hAnsi="Arial" w:cs="Arial"/>
          <w:color w:val="000000" w:themeColor="text1"/>
          <w:sz w:val="22"/>
          <w:szCs w:val="22"/>
        </w:rPr>
        <w:t xml:space="preserve">design </w:t>
      </w:r>
      <w:r w:rsidR="00D171E9" w:rsidRPr="000A3A10">
        <w:rPr>
          <w:rFonts w:ascii="Arial" w:hAnsi="Arial" w:cs="Arial"/>
          <w:color w:val="000000" w:themeColor="text1"/>
          <w:sz w:val="22"/>
          <w:szCs w:val="22"/>
        </w:rPr>
        <w:t xml:space="preserve">but also precise </w:t>
      </w:r>
      <w:r w:rsidRPr="000A3A10">
        <w:rPr>
          <w:rFonts w:ascii="Arial" w:hAnsi="Arial" w:cs="Arial"/>
          <w:color w:val="000000" w:themeColor="text1"/>
          <w:sz w:val="22"/>
          <w:szCs w:val="22"/>
        </w:rPr>
        <w:t xml:space="preserve">guidance </w:t>
      </w:r>
      <w:r w:rsidR="00D171E9" w:rsidRPr="000A3A10">
        <w:rPr>
          <w:rFonts w:ascii="Arial" w:hAnsi="Arial" w:cs="Arial"/>
          <w:color w:val="000000" w:themeColor="text1"/>
          <w:sz w:val="22"/>
          <w:szCs w:val="22"/>
        </w:rPr>
        <w:t xml:space="preserve">alongside </w:t>
      </w:r>
      <w:r w:rsidRPr="000A3A10">
        <w:rPr>
          <w:rFonts w:ascii="Arial" w:hAnsi="Arial" w:cs="Arial"/>
          <w:color w:val="000000" w:themeColor="text1"/>
          <w:sz w:val="22"/>
          <w:szCs w:val="22"/>
        </w:rPr>
        <w:t>interactive content</w:t>
      </w:r>
      <w:r w:rsidR="00D171E9" w:rsidRPr="000A3A10">
        <w:rPr>
          <w:rFonts w:ascii="Arial" w:hAnsi="Arial" w:cs="Arial"/>
          <w:color w:val="000000" w:themeColor="text1"/>
          <w:sz w:val="22"/>
          <w:szCs w:val="22"/>
        </w:rPr>
        <w:t xml:space="preserve"> to the users/patients with T2DM to be a part of the </w:t>
      </w:r>
      <w:r w:rsidRPr="000A3A10">
        <w:rPr>
          <w:rFonts w:ascii="Arial" w:hAnsi="Arial" w:cs="Arial"/>
          <w:color w:val="000000" w:themeColor="text1"/>
          <w:sz w:val="22"/>
          <w:szCs w:val="22"/>
        </w:rPr>
        <w:t xml:space="preserve">programme </w:t>
      </w:r>
      <w:r w:rsidR="00D171E9" w:rsidRPr="000A3A10">
        <w:rPr>
          <w:rFonts w:ascii="Arial" w:hAnsi="Arial" w:cs="Arial"/>
          <w:color w:val="000000" w:themeColor="text1"/>
          <w:sz w:val="22"/>
          <w:szCs w:val="22"/>
        </w:rPr>
        <w:t>throughout</w:t>
      </w:r>
      <w:r w:rsidRPr="000A3A10">
        <w:rPr>
          <w:rFonts w:ascii="Arial" w:hAnsi="Arial" w:cs="Arial"/>
          <w:color w:val="000000" w:themeColor="text1"/>
          <w:sz w:val="22"/>
          <w:szCs w:val="22"/>
        </w:rPr>
        <w:t>.</w:t>
      </w:r>
    </w:p>
    <w:p w14:paraId="160895BD" w14:textId="77777777" w:rsidR="00962962" w:rsidRPr="000A3A10" w:rsidRDefault="000A3A10" w:rsidP="00F876DF">
      <w:pPr>
        <w:pStyle w:val="Heading2"/>
        <w:spacing w:after="240" w:line="360" w:lineRule="auto"/>
        <w:jc w:val="both"/>
        <w:rPr>
          <w:rFonts w:ascii="Arial" w:hAnsi="Arial" w:cs="Arial"/>
          <w:color w:val="000000" w:themeColor="text1"/>
          <w:sz w:val="22"/>
          <w:szCs w:val="22"/>
        </w:rPr>
      </w:pPr>
      <w:bookmarkStart w:id="19" w:name="_Toc223684398"/>
      <w:r w:rsidRPr="000A3A10">
        <w:rPr>
          <w:rFonts w:ascii="Arial" w:hAnsi="Arial" w:cs="Arial"/>
          <w:color w:val="000000" w:themeColor="text1"/>
          <w:sz w:val="22"/>
          <w:szCs w:val="22"/>
        </w:rPr>
        <w:t>Digital Interaction &amp; Remote Assistance</w:t>
      </w:r>
      <w:bookmarkEnd w:id="19"/>
    </w:p>
    <w:p w14:paraId="62653585" w14:textId="77777777" w:rsidR="000605E2"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Many studies </w:t>
      </w:r>
      <w:r w:rsidR="00CF4F59" w:rsidRPr="000A3A10">
        <w:rPr>
          <w:rFonts w:ascii="Arial" w:hAnsi="Arial" w:cs="Arial"/>
          <w:color w:val="000000" w:themeColor="text1"/>
          <w:sz w:val="22"/>
          <w:szCs w:val="22"/>
        </w:rPr>
        <w:t xml:space="preserve">examined </w:t>
      </w:r>
      <w:r w:rsidRPr="000A3A10">
        <w:rPr>
          <w:rFonts w:ascii="Arial" w:hAnsi="Arial" w:cs="Arial"/>
          <w:color w:val="000000" w:themeColor="text1"/>
          <w:sz w:val="22"/>
          <w:szCs w:val="22"/>
        </w:rPr>
        <w:t>in the relevant context revealed that digital health interventions are deeply interlined with digital interaction and virtual assistance, which is an important identified theme of the current review. In other words, it highlights that digital technologies play a vital role in favouring strong remote interaction/communication to the UK population with T2DM because of extending primary healthcare assistance beyond the conventional clinical environment and enabling patients to access knowledge and guidance with resources at home without travelling or time consumption.</w:t>
      </w:r>
    </w:p>
    <w:p w14:paraId="5FC3228E" w14:textId="62983364" w:rsidR="000605E2"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In this regard, research by Murray et al. </w:t>
      </w:r>
      <w:r w:rsidR="00FD139C" w:rsidRPr="000A3A10">
        <w:rPr>
          <w:rFonts w:ascii="Arial" w:hAnsi="Arial" w:cs="Arial"/>
          <w:color w:val="000000" w:themeColor="text1"/>
          <w:sz w:val="22"/>
          <w:szCs w:val="22"/>
        </w:rPr>
        <w:t>(2017)</w:t>
      </w:r>
      <w:r w:rsidRPr="000A3A10">
        <w:rPr>
          <w:rFonts w:ascii="Arial" w:hAnsi="Arial" w:cs="Arial"/>
          <w:color w:val="000000" w:themeColor="text1"/>
          <w:sz w:val="22"/>
          <w:szCs w:val="22"/>
        </w:rPr>
        <w:t xml:space="preserve"> underscored that digital platforms (specifically the HeLP-Diabetes programme) advocate consistent access of patients to educational resources with self-monitoring and management assistance that lead them to obtain reliable treatments if needed without physical visits.</w:t>
      </w:r>
    </w:p>
    <w:p w14:paraId="5C11895C" w14:textId="3E0ECC76" w:rsidR="00CF4F59"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According to </w:t>
      </w:r>
      <w:r w:rsidR="000605E2" w:rsidRPr="000A3A10">
        <w:rPr>
          <w:rFonts w:ascii="Arial" w:hAnsi="Arial" w:cs="Arial"/>
          <w:color w:val="000000" w:themeColor="text1"/>
          <w:sz w:val="22"/>
          <w:szCs w:val="22"/>
        </w:rPr>
        <w:t xml:space="preserve">another </w:t>
      </w:r>
      <w:r w:rsidRPr="000A3A10">
        <w:rPr>
          <w:rFonts w:ascii="Arial" w:hAnsi="Arial" w:cs="Arial"/>
          <w:color w:val="000000" w:themeColor="text1"/>
          <w:sz w:val="22"/>
          <w:szCs w:val="22"/>
        </w:rPr>
        <w:t>reviewed research</w:t>
      </w:r>
      <w:r w:rsidR="000605E2"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(Glavas et al., 2024)</w:t>
      </w:r>
      <w:r w:rsidR="000605E2" w:rsidRPr="000A3A10">
        <w:rPr>
          <w:rFonts w:ascii="Arial" w:hAnsi="Arial" w:cs="Arial"/>
          <w:color w:val="000000" w:themeColor="text1"/>
          <w:sz w:val="22"/>
          <w:szCs w:val="22"/>
        </w:rPr>
        <w:t xml:space="preserve">, these opportunities of digital interaction and remote assistance are also viable through </w:t>
      </w:r>
      <w:r w:rsidRPr="000A3A10">
        <w:rPr>
          <w:rFonts w:ascii="Arial" w:hAnsi="Arial" w:cs="Arial"/>
          <w:color w:val="000000" w:themeColor="text1"/>
          <w:sz w:val="22"/>
          <w:szCs w:val="22"/>
        </w:rPr>
        <w:t xml:space="preserve">digital voice assistants </w:t>
      </w:r>
      <w:r w:rsidR="000605E2" w:rsidRPr="000A3A10">
        <w:rPr>
          <w:rFonts w:ascii="Arial" w:hAnsi="Arial" w:cs="Arial"/>
          <w:color w:val="000000" w:themeColor="text1"/>
          <w:sz w:val="22"/>
          <w:szCs w:val="22"/>
        </w:rPr>
        <w:t xml:space="preserve">that perform a direct role in </w:t>
      </w:r>
      <w:r w:rsidRPr="000A3A10">
        <w:rPr>
          <w:rFonts w:ascii="Arial" w:hAnsi="Arial" w:cs="Arial"/>
          <w:color w:val="000000" w:themeColor="text1"/>
          <w:sz w:val="22"/>
          <w:szCs w:val="22"/>
        </w:rPr>
        <w:t>deliver</w:t>
      </w:r>
      <w:r w:rsidR="000605E2" w:rsidRPr="000A3A10">
        <w:rPr>
          <w:rFonts w:ascii="Arial" w:hAnsi="Arial" w:cs="Arial"/>
          <w:color w:val="000000" w:themeColor="text1"/>
          <w:sz w:val="22"/>
          <w:szCs w:val="22"/>
        </w:rPr>
        <w:t>ing</w:t>
      </w:r>
      <w:r w:rsidRPr="000A3A10">
        <w:rPr>
          <w:rFonts w:ascii="Arial" w:hAnsi="Arial" w:cs="Arial"/>
          <w:color w:val="000000" w:themeColor="text1"/>
          <w:sz w:val="22"/>
          <w:szCs w:val="22"/>
        </w:rPr>
        <w:t xml:space="preserve"> personalised lifestyle </w:t>
      </w:r>
      <w:r w:rsidR="00313EC4" w:rsidRPr="000A3A10">
        <w:rPr>
          <w:rFonts w:ascii="Arial" w:hAnsi="Arial" w:cs="Arial"/>
          <w:color w:val="000000" w:themeColor="text1"/>
          <w:sz w:val="22"/>
          <w:szCs w:val="22"/>
        </w:rPr>
        <w:t xml:space="preserve">change </w:t>
      </w:r>
      <w:r w:rsidRPr="000A3A10">
        <w:rPr>
          <w:rFonts w:ascii="Arial" w:hAnsi="Arial" w:cs="Arial"/>
          <w:color w:val="000000" w:themeColor="text1"/>
          <w:sz w:val="22"/>
          <w:szCs w:val="22"/>
        </w:rPr>
        <w:t>to T2DM</w:t>
      </w:r>
      <w:r w:rsidR="00313EC4" w:rsidRPr="000A3A10">
        <w:rPr>
          <w:rFonts w:ascii="Arial" w:hAnsi="Arial" w:cs="Arial"/>
          <w:color w:val="000000" w:themeColor="text1"/>
          <w:sz w:val="22"/>
          <w:szCs w:val="22"/>
        </w:rPr>
        <w:t xml:space="preserve"> individuals</w:t>
      </w:r>
      <w:r w:rsidRPr="000A3A10">
        <w:rPr>
          <w:rFonts w:ascii="Arial" w:hAnsi="Arial" w:cs="Arial"/>
          <w:color w:val="000000" w:themeColor="text1"/>
          <w:sz w:val="22"/>
          <w:szCs w:val="22"/>
        </w:rPr>
        <w:t>.</w:t>
      </w:r>
      <w:r w:rsidR="008D318B" w:rsidRPr="000A3A10">
        <w:rPr>
          <w:rFonts w:ascii="Arial" w:hAnsi="Arial" w:cs="Arial"/>
          <w:color w:val="000000" w:themeColor="text1"/>
          <w:sz w:val="22"/>
          <w:szCs w:val="22"/>
        </w:rPr>
        <w:t xml:space="preserve"> According to the concerned research</w:t>
      </w:r>
      <w:r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(Glavas et al., 2024)</w:t>
      </w:r>
      <w:r w:rsidR="008D318B" w:rsidRPr="000A3A10">
        <w:rPr>
          <w:rFonts w:ascii="Arial" w:hAnsi="Arial" w:cs="Arial"/>
          <w:color w:val="000000" w:themeColor="text1"/>
          <w:sz w:val="22"/>
          <w:szCs w:val="22"/>
        </w:rPr>
        <w:t>, all the selected p</w:t>
      </w:r>
      <w:r w:rsidRPr="000A3A10">
        <w:rPr>
          <w:rFonts w:ascii="Arial" w:hAnsi="Arial" w:cs="Arial"/>
          <w:color w:val="000000" w:themeColor="text1"/>
          <w:sz w:val="22"/>
          <w:szCs w:val="22"/>
        </w:rPr>
        <w:t xml:space="preserve">articipants </w:t>
      </w:r>
      <w:r w:rsidR="008D318B" w:rsidRPr="000A3A10">
        <w:rPr>
          <w:rFonts w:ascii="Arial" w:hAnsi="Arial" w:cs="Arial"/>
          <w:color w:val="000000" w:themeColor="text1"/>
          <w:sz w:val="22"/>
          <w:szCs w:val="22"/>
        </w:rPr>
        <w:t xml:space="preserve">(patients) who observed the effectiveness of </w:t>
      </w:r>
      <w:r w:rsidRPr="000A3A10">
        <w:rPr>
          <w:rFonts w:ascii="Arial" w:hAnsi="Arial" w:cs="Arial"/>
          <w:color w:val="000000" w:themeColor="text1"/>
          <w:sz w:val="22"/>
          <w:szCs w:val="22"/>
        </w:rPr>
        <w:t xml:space="preserve">the intervention </w:t>
      </w:r>
      <w:r w:rsidR="008D318B" w:rsidRPr="000A3A10">
        <w:rPr>
          <w:rFonts w:ascii="Arial" w:hAnsi="Arial" w:cs="Arial"/>
          <w:color w:val="000000" w:themeColor="text1"/>
          <w:sz w:val="22"/>
          <w:szCs w:val="22"/>
        </w:rPr>
        <w:t xml:space="preserve">were asked to follow specific guidance for physical </w:t>
      </w:r>
      <w:r w:rsidRPr="000A3A10">
        <w:rPr>
          <w:rFonts w:ascii="Arial" w:hAnsi="Arial" w:cs="Arial"/>
          <w:color w:val="000000" w:themeColor="text1"/>
          <w:sz w:val="22"/>
          <w:szCs w:val="22"/>
        </w:rPr>
        <w:t xml:space="preserve">exercise and dietary </w:t>
      </w:r>
      <w:r w:rsidR="008D318B" w:rsidRPr="000A3A10">
        <w:rPr>
          <w:rFonts w:ascii="Arial" w:hAnsi="Arial" w:cs="Arial"/>
          <w:color w:val="000000" w:themeColor="text1"/>
          <w:sz w:val="22"/>
          <w:szCs w:val="22"/>
        </w:rPr>
        <w:t xml:space="preserve">habits via </w:t>
      </w:r>
      <w:r w:rsidRPr="000A3A10">
        <w:rPr>
          <w:rFonts w:ascii="Arial" w:hAnsi="Arial" w:cs="Arial"/>
          <w:color w:val="000000" w:themeColor="text1"/>
          <w:sz w:val="22"/>
          <w:szCs w:val="22"/>
        </w:rPr>
        <w:t xml:space="preserve">voice-activated technology </w:t>
      </w:r>
      <w:r w:rsidR="008D318B" w:rsidRPr="000A3A10">
        <w:rPr>
          <w:rFonts w:ascii="Arial" w:hAnsi="Arial" w:cs="Arial"/>
          <w:color w:val="000000" w:themeColor="text1"/>
          <w:sz w:val="22"/>
          <w:szCs w:val="22"/>
        </w:rPr>
        <w:t xml:space="preserve">at home. Fortunately, the outcomes were tremendous because the service users constantly followed the </w:t>
      </w:r>
      <w:r w:rsidRPr="000A3A10">
        <w:rPr>
          <w:rFonts w:ascii="Arial" w:hAnsi="Arial" w:cs="Arial"/>
          <w:color w:val="000000" w:themeColor="text1"/>
          <w:sz w:val="22"/>
          <w:szCs w:val="22"/>
        </w:rPr>
        <w:t xml:space="preserve">prescribed programme </w:t>
      </w:r>
      <w:r w:rsidR="008D318B" w:rsidRPr="000A3A10">
        <w:rPr>
          <w:rFonts w:ascii="Arial" w:hAnsi="Arial" w:cs="Arial"/>
          <w:color w:val="000000" w:themeColor="text1"/>
          <w:sz w:val="22"/>
          <w:szCs w:val="22"/>
        </w:rPr>
        <w:t xml:space="preserve">guidance, which efficiently lowered their </w:t>
      </w:r>
      <w:r w:rsidRPr="000A3A10">
        <w:rPr>
          <w:rFonts w:ascii="Arial" w:hAnsi="Arial" w:cs="Arial"/>
          <w:color w:val="000000" w:themeColor="text1"/>
          <w:sz w:val="22"/>
          <w:szCs w:val="22"/>
        </w:rPr>
        <w:t>sedentary behaviour.</w:t>
      </w:r>
      <w:r w:rsidR="008D318B" w:rsidRPr="000A3A10">
        <w:rPr>
          <w:rFonts w:ascii="Arial" w:hAnsi="Arial" w:cs="Arial"/>
          <w:color w:val="000000" w:themeColor="text1"/>
          <w:sz w:val="22"/>
          <w:szCs w:val="22"/>
        </w:rPr>
        <w:t xml:space="preserve"> </w:t>
      </w:r>
    </w:p>
    <w:p w14:paraId="27CF7E37" w14:textId="77777777" w:rsidR="00CF4F59"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Overall, the findings of the studies in the context of digital interaction and remote assistance demonstrated that emerging technologies, including voice assistants, can help offer expedient and reachable ways to deliver health interventions by ensuring effective interaction of users with digitalised systems through voice commands, particularly to older adults with T2DM who lack digital literacy. </w:t>
      </w:r>
    </w:p>
    <w:p w14:paraId="5E29DE1E" w14:textId="77777777" w:rsidR="00962962" w:rsidRPr="000A3A10" w:rsidRDefault="000A3A10" w:rsidP="00F876DF">
      <w:pPr>
        <w:pStyle w:val="Heading2"/>
        <w:spacing w:after="240" w:line="360" w:lineRule="auto"/>
        <w:jc w:val="both"/>
        <w:rPr>
          <w:rFonts w:ascii="Arial" w:hAnsi="Arial" w:cs="Arial"/>
          <w:color w:val="000000" w:themeColor="text1"/>
          <w:sz w:val="22"/>
          <w:szCs w:val="22"/>
        </w:rPr>
      </w:pPr>
      <w:bookmarkStart w:id="20" w:name="_Toc223684399"/>
      <w:r w:rsidRPr="000A3A10">
        <w:rPr>
          <w:rFonts w:ascii="Arial" w:hAnsi="Arial" w:cs="Arial"/>
          <w:color w:val="000000" w:themeColor="text1"/>
          <w:sz w:val="22"/>
          <w:szCs w:val="22"/>
        </w:rPr>
        <w:t>Significance of Digital Health Interventions &amp; Self-Management Output</w:t>
      </w:r>
      <w:bookmarkEnd w:id="20"/>
    </w:p>
    <w:p w14:paraId="073B1273" w14:textId="27618193" w:rsidR="00360D19"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A great volume of literature (on evaluation) demonstrated</w:t>
      </w:r>
      <w:r w:rsidR="00BA21C1" w:rsidRPr="000A3A10">
        <w:rPr>
          <w:rFonts w:ascii="Arial" w:hAnsi="Arial" w:cs="Arial"/>
          <w:color w:val="000000" w:themeColor="text1"/>
          <w:sz w:val="22"/>
          <w:szCs w:val="22"/>
        </w:rPr>
        <w:t xml:space="preserve"> that digital health interventions exert a positive impact on self-management attitudes and on the ultimate health outcomes among T2DM</w:t>
      </w:r>
      <w:r w:rsidR="000D2047" w:rsidRPr="000A3A10">
        <w:rPr>
          <w:rFonts w:ascii="Arial" w:hAnsi="Arial" w:cs="Arial"/>
          <w:color w:val="000000" w:themeColor="text1"/>
          <w:sz w:val="22"/>
          <w:szCs w:val="22"/>
        </w:rPr>
        <w:t xml:space="preserve"> patients. For example, a relevant research </w:t>
      </w:r>
      <w:r w:rsidR="00FD139C" w:rsidRPr="000A3A10">
        <w:rPr>
          <w:rFonts w:ascii="Arial" w:hAnsi="Arial" w:cs="Arial"/>
          <w:color w:val="000000" w:themeColor="text1"/>
          <w:sz w:val="22"/>
          <w:szCs w:val="22"/>
        </w:rPr>
        <w:t>(Murray et al., 2017)</w:t>
      </w:r>
      <w:r w:rsidRPr="000A3A10">
        <w:rPr>
          <w:rFonts w:ascii="Arial" w:hAnsi="Arial" w:cs="Arial"/>
          <w:color w:val="000000" w:themeColor="text1"/>
          <w:sz w:val="22"/>
          <w:szCs w:val="22"/>
        </w:rPr>
        <w:t xml:space="preserve"> based on the randomised controlled trial (RCT) illustrated that all the patients who participated in the study, who were part of the HeLP-Diabetes programme, experienced health improvements due to the rich self-management information and perceived assistance compared to others who went through the traditional care. At the same time, </w:t>
      </w:r>
      <w:proofErr w:type="spellStart"/>
      <w:r w:rsidRPr="000A3A10">
        <w:rPr>
          <w:rFonts w:ascii="Arial" w:hAnsi="Arial" w:cs="Arial"/>
          <w:color w:val="000000" w:themeColor="text1"/>
          <w:sz w:val="22"/>
          <w:szCs w:val="22"/>
        </w:rPr>
        <w:t>Baradez</w:t>
      </w:r>
      <w:proofErr w:type="spellEnd"/>
      <w:r w:rsidRPr="000A3A10">
        <w:rPr>
          <w:rFonts w:ascii="Arial" w:hAnsi="Arial" w:cs="Arial"/>
          <w:color w:val="000000" w:themeColor="text1"/>
          <w:sz w:val="22"/>
          <w:szCs w:val="22"/>
        </w:rPr>
        <w:t xml:space="preserve"> et al. </w:t>
      </w:r>
      <w:r w:rsidR="00FD139C" w:rsidRPr="000A3A10">
        <w:rPr>
          <w:rFonts w:ascii="Arial" w:hAnsi="Arial" w:cs="Arial"/>
          <w:color w:val="000000" w:themeColor="text1"/>
          <w:sz w:val="22"/>
          <w:szCs w:val="22"/>
        </w:rPr>
        <w:t>(2022)</w:t>
      </w:r>
      <w:r w:rsidRPr="000A3A10">
        <w:rPr>
          <w:rFonts w:ascii="Arial" w:hAnsi="Arial" w:cs="Arial"/>
          <w:color w:val="000000" w:themeColor="text1"/>
          <w:sz w:val="22"/>
          <w:szCs w:val="22"/>
        </w:rPr>
        <w:t xml:space="preserve"> </w:t>
      </w:r>
      <w:r w:rsidR="00DC5839" w:rsidRPr="000A3A10">
        <w:rPr>
          <w:rFonts w:ascii="Arial" w:hAnsi="Arial" w:cs="Arial"/>
          <w:color w:val="000000" w:themeColor="text1"/>
          <w:sz w:val="22"/>
          <w:szCs w:val="22"/>
        </w:rPr>
        <w:t xml:space="preserve">carried out a systematic literature review, which found </w:t>
      </w:r>
      <w:r w:rsidRPr="000A3A10">
        <w:rPr>
          <w:rFonts w:ascii="Arial" w:hAnsi="Arial" w:cs="Arial"/>
          <w:color w:val="000000" w:themeColor="text1"/>
          <w:sz w:val="22"/>
          <w:szCs w:val="22"/>
        </w:rPr>
        <w:t xml:space="preserve">that digital behaviour change interventions </w:t>
      </w:r>
      <w:r w:rsidR="00DC5839" w:rsidRPr="000A3A10">
        <w:rPr>
          <w:rFonts w:ascii="Arial" w:hAnsi="Arial" w:cs="Arial"/>
          <w:color w:val="000000" w:themeColor="text1"/>
          <w:sz w:val="22"/>
          <w:szCs w:val="22"/>
        </w:rPr>
        <w:t xml:space="preserve">are highly effective </w:t>
      </w:r>
      <w:r w:rsidRPr="000A3A10">
        <w:rPr>
          <w:rFonts w:ascii="Arial" w:hAnsi="Arial" w:cs="Arial"/>
          <w:color w:val="000000" w:themeColor="text1"/>
          <w:sz w:val="22"/>
          <w:szCs w:val="22"/>
        </w:rPr>
        <w:t>for T2DM</w:t>
      </w:r>
      <w:r w:rsidR="00DC5839" w:rsidRPr="000A3A10">
        <w:rPr>
          <w:rFonts w:ascii="Arial" w:hAnsi="Arial" w:cs="Arial"/>
          <w:color w:val="000000" w:themeColor="text1"/>
          <w:sz w:val="22"/>
          <w:szCs w:val="22"/>
        </w:rPr>
        <w:t xml:space="preserve"> patients</w:t>
      </w:r>
      <w:r w:rsidRPr="000A3A10">
        <w:rPr>
          <w:rFonts w:ascii="Arial" w:hAnsi="Arial" w:cs="Arial"/>
          <w:color w:val="000000" w:themeColor="text1"/>
          <w:sz w:val="22"/>
          <w:szCs w:val="22"/>
        </w:rPr>
        <w:t xml:space="preserve">. </w:t>
      </w:r>
      <w:r w:rsidR="00DC5839" w:rsidRPr="000A3A10">
        <w:rPr>
          <w:rFonts w:ascii="Arial" w:hAnsi="Arial" w:cs="Arial"/>
          <w:color w:val="000000" w:themeColor="text1"/>
          <w:sz w:val="22"/>
          <w:szCs w:val="22"/>
        </w:rPr>
        <w:t xml:space="preserve">Based on the </w:t>
      </w:r>
      <w:r w:rsidRPr="000A3A10">
        <w:rPr>
          <w:rFonts w:ascii="Arial" w:hAnsi="Arial" w:cs="Arial"/>
          <w:color w:val="000000" w:themeColor="text1"/>
          <w:sz w:val="22"/>
          <w:szCs w:val="22"/>
        </w:rPr>
        <w:t xml:space="preserve">multiple </w:t>
      </w:r>
      <w:r w:rsidR="00DC5839" w:rsidRPr="000A3A10">
        <w:rPr>
          <w:rFonts w:ascii="Arial" w:hAnsi="Arial" w:cs="Arial"/>
          <w:color w:val="000000" w:themeColor="text1"/>
          <w:sz w:val="22"/>
          <w:szCs w:val="22"/>
        </w:rPr>
        <w:t xml:space="preserve">(RCAs), </w:t>
      </w:r>
      <w:proofErr w:type="spellStart"/>
      <w:r w:rsidR="00DC5839" w:rsidRPr="000A3A10">
        <w:rPr>
          <w:rFonts w:ascii="Arial" w:hAnsi="Arial" w:cs="Arial"/>
          <w:color w:val="000000" w:themeColor="text1"/>
          <w:sz w:val="22"/>
          <w:szCs w:val="22"/>
        </w:rPr>
        <w:t>Baradez</w:t>
      </w:r>
      <w:proofErr w:type="spellEnd"/>
      <w:r w:rsidR="00DC5839" w:rsidRPr="000A3A10">
        <w:rPr>
          <w:rFonts w:ascii="Arial" w:hAnsi="Arial" w:cs="Arial"/>
          <w:color w:val="000000" w:themeColor="text1"/>
          <w:sz w:val="22"/>
          <w:szCs w:val="22"/>
        </w:rPr>
        <w:t xml:space="preserve"> et al. </w:t>
      </w:r>
      <w:r w:rsidR="00FD139C" w:rsidRPr="000A3A10">
        <w:rPr>
          <w:rFonts w:ascii="Arial" w:hAnsi="Arial" w:cs="Arial"/>
          <w:color w:val="000000" w:themeColor="text1"/>
          <w:sz w:val="22"/>
          <w:szCs w:val="22"/>
        </w:rPr>
        <w:t>(2022)</w:t>
      </w:r>
      <w:r w:rsidR="00DC5839" w:rsidRPr="000A3A10">
        <w:rPr>
          <w:rFonts w:ascii="Arial" w:hAnsi="Arial" w:cs="Arial"/>
          <w:color w:val="000000" w:themeColor="text1"/>
          <w:sz w:val="22"/>
          <w:szCs w:val="22"/>
        </w:rPr>
        <w:t xml:space="preserve"> noted that digital tools, consisting of </w:t>
      </w:r>
      <w:r w:rsidRPr="000A3A10">
        <w:rPr>
          <w:rFonts w:ascii="Arial" w:hAnsi="Arial" w:cs="Arial"/>
          <w:color w:val="000000" w:themeColor="text1"/>
          <w:sz w:val="22"/>
          <w:szCs w:val="22"/>
        </w:rPr>
        <w:t xml:space="preserve">behaviour change techniques </w:t>
      </w:r>
      <w:r w:rsidR="006663ED" w:rsidRPr="000A3A10">
        <w:rPr>
          <w:rFonts w:ascii="Arial" w:hAnsi="Arial" w:cs="Arial"/>
          <w:color w:val="000000" w:themeColor="text1"/>
          <w:sz w:val="22"/>
          <w:szCs w:val="22"/>
        </w:rPr>
        <w:t xml:space="preserve">including self-observation/monitoring, </w:t>
      </w:r>
      <w:r w:rsidRPr="000A3A10">
        <w:rPr>
          <w:rFonts w:ascii="Arial" w:hAnsi="Arial" w:cs="Arial"/>
          <w:color w:val="000000" w:themeColor="text1"/>
          <w:sz w:val="22"/>
          <w:szCs w:val="22"/>
        </w:rPr>
        <w:t xml:space="preserve">goal setting, and feedback </w:t>
      </w:r>
      <w:r w:rsidR="006663ED" w:rsidRPr="000A3A10">
        <w:rPr>
          <w:rFonts w:ascii="Arial" w:hAnsi="Arial" w:cs="Arial"/>
          <w:color w:val="000000" w:themeColor="text1"/>
          <w:sz w:val="22"/>
          <w:szCs w:val="22"/>
        </w:rPr>
        <w:t xml:space="preserve">mechanisms, improved </w:t>
      </w:r>
      <w:r w:rsidRPr="000A3A10">
        <w:rPr>
          <w:rFonts w:ascii="Arial" w:hAnsi="Arial" w:cs="Arial"/>
          <w:color w:val="000000" w:themeColor="text1"/>
          <w:sz w:val="22"/>
          <w:szCs w:val="22"/>
        </w:rPr>
        <w:t>glycaemic control</w:t>
      </w:r>
      <w:r w:rsidR="006663ED" w:rsidRPr="000A3A10">
        <w:rPr>
          <w:rFonts w:ascii="Arial" w:hAnsi="Arial" w:cs="Arial"/>
          <w:color w:val="000000" w:themeColor="text1"/>
          <w:sz w:val="22"/>
          <w:szCs w:val="22"/>
        </w:rPr>
        <w:t xml:space="preserve"> along with </w:t>
      </w:r>
      <w:r w:rsidR="00CE5E1E" w:rsidRPr="000A3A10">
        <w:rPr>
          <w:rFonts w:ascii="Arial" w:hAnsi="Arial" w:cs="Arial"/>
          <w:color w:val="000000" w:themeColor="text1"/>
          <w:sz w:val="22"/>
          <w:szCs w:val="22"/>
        </w:rPr>
        <w:t xml:space="preserve">better </w:t>
      </w:r>
      <w:r w:rsidRPr="000A3A10">
        <w:rPr>
          <w:rFonts w:ascii="Arial" w:hAnsi="Arial" w:cs="Arial"/>
          <w:color w:val="000000" w:themeColor="text1"/>
          <w:sz w:val="22"/>
          <w:szCs w:val="22"/>
        </w:rPr>
        <w:t xml:space="preserve">physical </w:t>
      </w:r>
      <w:r w:rsidR="00CE5E1E" w:rsidRPr="000A3A10">
        <w:rPr>
          <w:rFonts w:ascii="Arial" w:hAnsi="Arial" w:cs="Arial"/>
          <w:color w:val="000000" w:themeColor="text1"/>
          <w:sz w:val="22"/>
          <w:szCs w:val="22"/>
        </w:rPr>
        <w:t>exercises</w:t>
      </w:r>
      <w:r w:rsidRPr="000A3A10">
        <w:rPr>
          <w:rFonts w:ascii="Arial" w:hAnsi="Arial" w:cs="Arial"/>
          <w:color w:val="000000" w:themeColor="text1"/>
          <w:sz w:val="22"/>
          <w:szCs w:val="22"/>
        </w:rPr>
        <w:t>.</w:t>
      </w:r>
    </w:p>
    <w:p w14:paraId="003F6853" w14:textId="4A5C784A" w:rsidR="00BA21C1"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Later on, research </w:t>
      </w:r>
      <w:r w:rsidR="00FD139C" w:rsidRPr="000A3A10">
        <w:rPr>
          <w:rFonts w:ascii="Arial" w:hAnsi="Arial" w:cs="Arial"/>
          <w:color w:val="000000" w:themeColor="text1"/>
          <w:sz w:val="22"/>
          <w:szCs w:val="22"/>
        </w:rPr>
        <w:t>(Glavas et al., 2024)</w:t>
      </w:r>
      <w:r w:rsidRPr="000A3A10">
        <w:rPr>
          <w:rFonts w:ascii="Arial" w:hAnsi="Arial" w:cs="Arial"/>
          <w:color w:val="000000" w:themeColor="text1"/>
          <w:sz w:val="22"/>
          <w:szCs w:val="22"/>
        </w:rPr>
        <w:t xml:space="preserve"> highlighted that T2DM patients using digital voice support tools experienced advantages in terms of enhanced physical activities with a lower inactive state that assisted them in regulating blood glucose levels significantly, with a decline in the risks of health complications. </w:t>
      </w:r>
      <w:r w:rsidR="000B55AB" w:rsidRPr="000A3A10">
        <w:rPr>
          <w:rFonts w:ascii="Arial" w:hAnsi="Arial" w:cs="Arial"/>
          <w:color w:val="000000" w:themeColor="text1"/>
          <w:sz w:val="22"/>
          <w:szCs w:val="22"/>
        </w:rPr>
        <w:t xml:space="preserve">Further, some </w:t>
      </w:r>
      <w:r w:rsidR="00FD139C" w:rsidRPr="000A3A10">
        <w:rPr>
          <w:rFonts w:ascii="Arial" w:hAnsi="Arial" w:cs="Arial"/>
          <w:color w:val="000000" w:themeColor="text1"/>
          <w:sz w:val="22"/>
          <w:szCs w:val="22"/>
        </w:rPr>
        <w:t>(Hawkes et al., 2024)</w:t>
      </w:r>
      <w:r w:rsidR="000B55AB" w:rsidRPr="000A3A10">
        <w:rPr>
          <w:rFonts w:ascii="Arial" w:hAnsi="Arial" w:cs="Arial"/>
          <w:color w:val="000000" w:themeColor="text1"/>
          <w:sz w:val="22"/>
          <w:szCs w:val="22"/>
        </w:rPr>
        <w:t xml:space="preserve"> confirmed that </w:t>
      </w:r>
      <w:r w:rsidRPr="000A3A10">
        <w:rPr>
          <w:rFonts w:ascii="Arial" w:hAnsi="Arial" w:cs="Arial"/>
          <w:color w:val="000000" w:themeColor="text1"/>
          <w:sz w:val="22"/>
          <w:szCs w:val="22"/>
        </w:rPr>
        <w:t xml:space="preserve">digital health interventions </w:t>
      </w:r>
      <w:r w:rsidR="000B55AB" w:rsidRPr="000A3A10">
        <w:rPr>
          <w:rFonts w:ascii="Arial" w:hAnsi="Arial" w:cs="Arial"/>
          <w:color w:val="000000" w:themeColor="text1"/>
          <w:sz w:val="22"/>
          <w:szCs w:val="22"/>
        </w:rPr>
        <w:t xml:space="preserve">have a direct contribution to better management of </w:t>
      </w:r>
      <w:r w:rsidRPr="000A3A10">
        <w:rPr>
          <w:rFonts w:ascii="Arial" w:hAnsi="Arial" w:cs="Arial"/>
          <w:color w:val="000000" w:themeColor="text1"/>
          <w:sz w:val="22"/>
          <w:szCs w:val="22"/>
        </w:rPr>
        <w:t>type 2 diabetes</w:t>
      </w:r>
      <w:r w:rsidR="000B55AB" w:rsidRPr="000A3A10">
        <w:rPr>
          <w:rFonts w:ascii="Arial" w:hAnsi="Arial" w:cs="Arial"/>
          <w:color w:val="000000" w:themeColor="text1"/>
          <w:sz w:val="22"/>
          <w:szCs w:val="22"/>
        </w:rPr>
        <w:t xml:space="preserve"> complications, but only if these are designed effectively and used properly</w:t>
      </w:r>
      <w:r w:rsidRPr="000A3A10">
        <w:rPr>
          <w:rFonts w:ascii="Arial" w:hAnsi="Arial" w:cs="Arial"/>
          <w:color w:val="000000" w:themeColor="text1"/>
          <w:sz w:val="22"/>
          <w:szCs w:val="22"/>
        </w:rPr>
        <w:t>.</w:t>
      </w:r>
      <w:r w:rsidR="000B55AB" w:rsidRPr="000A3A10">
        <w:rPr>
          <w:rFonts w:ascii="Arial" w:hAnsi="Arial" w:cs="Arial"/>
          <w:color w:val="000000" w:themeColor="text1"/>
          <w:sz w:val="22"/>
          <w:szCs w:val="22"/>
        </w:rPr>
        <w:t xml:space="preserve"> Still, the effectiveness level varies from patient to patient, depending on the educational level, abilities, and engagement.</w:t>
      </w:r>
    </w:p>
    <w:p w14:paraId="1B91E184" w14:textId="77777777" w:rsidR="00962962" w:rsidRPr="000A3A10" w:rsidRDefault="000A3A10" w:rsidP="00F876DF">
      <w:pPr>
        <w:pStyle w:val="Heading2"/>
        <w:spacing w:after="240" w:line="360" w:lineRule="auto"/>
        <w:jc w:val="both"/>
        <w:rPr>
          <w:rFonts w:ascii="Arial" w:hAnsi="Arial" w:cs="Arial"/>
          <w:color w:val="000000" w:themeColor="text1"/>
          <w:sz w:val="22"/>
          <w:szCs w:val="22"/>
        </w:rPr>
      </w:pPr>
      <w:bookmarkStart w:id="21" w:name="_Toc223684400"/>
      <w:r w:rsidRPr="000A3A10">
        <w:rPr>
          <w:rFonts w:ascii="Arial" w:hAnsi="Arial" w:cs="Arial"/>
          <w:color w:val="000000" w:themeColor="text1"/>
          <w:sz w:val="22"/>
          <w:szCs w:val="22"/>
        </w:rPr>
        <w:t>Behaviour Change Approaches &amp; Patient Empowerment</w:t>
      </w:r>
      <w:bookmarkEnd w:id="21"/>
    </w:p>
    <w:p w14:paraId="4685429F" w14:textId="1DA9254D" w:rsidR="000B55AB"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The scoping review of existing literature indicates that several studies </w:t>
      </w:r>
      <w:r w:rsidR="00FD139C" w:rsidRPr="000A3A10">
        <w:rPr>
          <w:rFonts w:ascii="Arial" w:hAnsi="Arial" w:cs="Arial"/>
          <w:color w:val="000000" w:themeColor="text1"/>
          <w:sz w:val="22"/>
          <w:szCs w:val="22"/>
        </w:rPr>
        <w:t xml:space="preserve">(Murray et al., 2017; </w:t>
      </w:r>
      <w:proofErr w:type="spellStart"/>
      <w:r w:rsidR="00FD139C" w:rsidRPr="000A3A10">
        <w:rPr>
          <w:rFonts w:ascii="Arial" w:hAnsi="Arial" w:cs="Arial"/>
          <w:color w:val="000000" w:themeColor="text1"/>
          <w:sz w:val="22"/>
          <w:szCs w:val="22"/>
        </w:rPr>
        <w:t>Baradez</w:t>
      </w:r>
      <w:proofErr w:type="spellEnd"/>
      <w:r w:rsidR="00FD139C" w:rsidRPr="000A3A10">
        <w:rPr>
          <w:rFonts w:ascii="Arial" w:hAnsi="Arial" w:cs="Arial"/>
          <w:color w:val="000000" w:themeColor="text1"/>
          <w:sz w:val="22"/>
          <w:szCs w:val="22"/>
        </w:rPr>
        <w:t xml:space="preserve"> et al., 2022)</w:t>
      </w:r>
      <w:r w:rsidR="007D0D95" w:rsidRPr="000A3A10">
        <w:rPr>
          <w:rFonts w:ascii="Arial" w:hAnsi="Arial" w:cs="Arial"/>
          <w:color w:val="000000" w:themeColor="text1"/>
          <w:sz w:val="22"/>
          <w:szCs w:val="22"/>
        </w:rPr>
        <w:t xml:space="preserve"> </w:t>
      </w:r>
      <w:r w:rsidRPr="000A3A10">
        <w:rPr>
          <w:rFonts w:ascii="Arial" w:hAnsi="Arial" w:cs="Arial"/>
          <w:color w:val="000000" w:themeColor="text1"/>
          <w:sz w:val="22"/>
          <w:szCs w:val="22"/>
        </w:rPr>
        <w:t>informed about key</w:t>
      </w:r>
      <w:r w:rsidR="007D0D95" w:rsidRPr="000A3A10">
        <w:rPr>
          <w:rFonts w:ascii="Arial" w:hAnsi="Arial" w:cs="Arial"/>
          <w:color w:val="000000" w:themeColor="text1"/>
          <w:sz w:val="22"/>
          <w:szCs w:val="22"/>
        </w:rPr>
        <w:t xml:space="preserve"> behaviour change approaches and patients' empowerment through digital health interventions for T2DM individuals' self-mana</w:t>
      </w:r>
      <w:r w:rsidR="007230A2" w:rsidRPr="000A3A10">
        <w:rPr>
          <w:rFonts w:ascii="Arial" w:hAnsi="Arial" w:cs="Arial"/>
          <w:color w:val="000000" w:themeColor="text1"/>
          <w:sz w:val="22"/>
          <w:szCs w:val="22"/>
        </w:rPr>
        <w:t>gement to de</w:t>
      </w:r>
      <w:r w:rsidR="007D0D95" w:rsidRPr="000A3A10">
        <w:rPr>
          <w:rFonts w:ascii="Arial" w:hAnsi="Arial" w:cs="Arial"/>
          <w:color w:val="000000" w:themeColor="text1"/>
          <w:sz w:val="22"/>
          <w:szCs w:val="22"/>
        </w:rPr>
        <w:t>a</w:t>
      </w:r>
      <w:r w:rsidR="007230A2" w:rsidRPr="000A3A10">
        <w:rPr>
          <w:rFonts w:ascii="Arial" w:hAnsi="Arial" w:cs="Arial"/>
          <w:color w:val="000000" w:themeColor="text1"/>
          <w:sz w:val="22"/>
          <w:szCs w:val="22"/>
        </w:rPr>
        <w:t>l</w:t>
      </w:r>
      <w:r w:rsidR="007D0D95" w:rsidRPr="000A3A10">
        <w:rPr>
          <w:rFonts w:ascii="Arial" w:hAnsi="Arial" w:cs="Arial"/>
          <w:color w:val="000000" w:themeColor="text1"/>
          <w:sz w:val="22"/>
          <w:szCs w:val="22"/>
        </w:rPr>
        <w:t xml:space="preserve"> with such </w:t>
      </w:r>
      <w:r w:rsidRPr="000A3A10">
        <w:rPr>
          <w:rFonts w:ascii="Arial" w:hAnsi="Arial" w:cs="Arial"/>
          <w:color w:val="000000" w:themeColor="text1"/>
          <w:sz w:val="22"/>
          <w:szCs w:val="22"/>
        </w:rPr>
        <w:t xml:space="preserve">chronic conditions </w:t>
      </w:r>
      <w:r w:rsidR="007D0D95" w:rsidRPr="000A3A10">
        <w:rPr>
          <w:rFonts w:ascii="Arial" w:hAnsi="Arial" w:cs="Arial"/>
          <w:color w:val="000000" w:themeColor="text1"/>
          <w:sz w:val="22"/>
          <w:szCs w:val="22"/>
        </w:rPr>
        <w:t xml:space="preserve">through minor modifications. In this context, Murray et al. </w:t>
      </w:r>
      <w:r w:rsidR="00FD139C" w:rsidRPr="000A3A10">
        <w:rPr>
          <w:rFonts w:ascii="Arial" w:hAnsi="Arial" w:cs="Arial"/>
          <w:color w:val="000000" w:themeColor="text1"/>
          <w:sz w:val="22"/>
          <w:szCs w:val="22"/>
        </w:rPr>
        <w:t>(2017)</w:t>
      </w:r>
      <w:r w:rsidR="00C43990" w:rsidRPr="000A3A10">
        <w:rPr>
          <w:rFonts w:ascii="Arial" w:hAnsi="Arial" w:cs="Arial"/>
          <w:color w:val="000000" w:themeColor="text1"/>
          <w:sz w:val="22"/>
          <w:szCs w:val="22"/>
        </w:rPr>
        <w:t xml:space="preserve"> comprehensively examined the HeLP-Diabetes programme along with integrating behaviour change rules through educational modules, lifestyle direction, and communication instruments for self-management support and reflected that T2DM users of these interventions had increased confidence in self-managing ability. Equally, </w:t>
      </w:r>
      <w:proofErr w:type="spellStart"/>
      <w:r w:rsidRPr="000A3A10">
        <w:rPr>
          <w:rFonts w:ascii="Arial" w:hAnsi="Arial" w:cs="Arial"/>
          <w:color w:val="000000" w:themeColor="text1"/>
          <w:sz w:val="22"/>
          <w:szCs w:val="22"/>
        </w:rPr>
        <w:t>Baradez</w:t>
      </w:r>
      <w:proofErr w:type="spellEnd"/>
      <w:r w:rsidRPr="000A3A10">
        <w:rPr>
          <w:rFonts w:ascii="Arial" w:hAnsi="Arial" w:cs="Arial"/>
          <w:color w:val="000000" w:themeColor="text1"/>
          <w:sz w:val="22"/>
          <w:szCs w:val="22"/>
        </w:rPr>
        <w:t xml:space="preserve"> et al. </w:t>
      </w:r>
      <w:r w:rsidR="00FD139C" w:rsidRPr="000A3A10">
        <w:rPr>
          <w:rFonts w:ascii="Arial" w:hAnsi="Arial" w:cs="Arial"/>
          <w:color w:val="000000" w:themeColor="text1"/>
          <w:sz w:val="22"/>
          <w:szCs w:val="22"/>
        </w:rPr>
        <w:t>(2022)</w:t>
      </w:r>
      <w:r w:rsidR="00C43990" w:rsidRPr="000A3A10">
        <w:rPr>
          <w:rFonts w:ascii="Arial" w:hAnsi="Arial" w:cs="Arial"/>
          <w:color w:val="000000" w:themeColor="text1"/>
          <w:sz w:val="22"/>
          <w:szCs w:val="22"/>
        </w:rPr>
        <w:t xml:space="preserve"> </w:t>
      </w:r>
      <w:r w:rsidR="00604F27" w:rsidRPr="000A3A10">
        <w:rPr>
          <w:rFonts w:ascii="Arial" w:hAnsi="Arial" w:cs="Arial"/>
          <w:color w:val="000000" w:themeColor="text1"/>
          <w:sz w:val="22"/>
          <w:szCs w:val="22"/>
        </w:rPr>
        <w:t>underlined the value</w:t>
      </w:r>
      <w:r w:rsidRPr="000A3A10">
        <w:rPr>
          <w:rFonts w:ascii="Arial" w:hAnsi="Arial" w:cs="Arial"/>
          <w:color w:val="000000" w:themeColor="text1"/>
          <w:sz w:val="22"/>
          <w:szCs w:val="22"/>
        </w:rPr>
        <w:t xml:space="preserve"> of </w:t>
      </w:r>
      <w:r w:rsidR="00604F27" w:rsidRPr="000A3A10">
        <w:rPr>
          <w:rFonts w:ascii="Arial" w:hAnsi="Arial" w:cs="Arial"/>
          <w:color w:val="000000" w:themeColor="text1"/>
          <w:sz w:val="22"/>
          <w:szCs w:val="22"/>
        </w:rPr>
        <w:t>advice</w:t>
      </w:r>
      <w:r w:rsidRPr="000A3A10">
        <w:rPr>
          <w:rFonts w:ascii="Arial" w:hAnsi="Arial" w:cs="Arial"/>
          <w:color w:val="000000" w:themeColor="text1"/>
          <w:sz w:val="22"/>
          <w:szCs w:val="22"/>
        </w:rPr>
        <w:t xml:space="preserve"> and monitoring, goal setting</w:t>
      </w:r>
      <w:r w:rsidR="00604F27" w:rsidRPr="000A3A10">
        <w:rPr>
          <w:rFonts w:ascii="Arial" w:hAnsi="Arial" w:cs="Arial"/>
          <w:color w:val="000000" w:themeColor="text1"/>
          <w:sz w:val="22"/>
          <w:szCs w:val="22"/>
        </w:rPr>
        <w:t xml:space="preserve"> to shape </w:t>
      </w:r>
      <w:r w:rsidRPr="000A3A10">
        <w:rPr>
          <w:rFonts w:ascii="Arial" w:hAnsi="Arial" w:cs="Arial"/>
          <w:color w:val="000000" w:themeColor="text1"/>
          <w:sz w:val="22"/>
          <w:szCs w:val="22"/>
        </w:rPr>
        <w:t xml:space="preserve">behavioural changes among </w:t>
      </w:r>
      <w:r w:rsidR="00604F27" w:rsidRPr="000A3A10">
        <w:rPr>
          <w:rFonts w:ascii="Arial" w:hAnsi="Arial" w:cs="Arial"/>
          <w:color w:val="000000" w:themeColor="text1"/>
          <w:sz w:val="22"/>
          <w:szCs w:val="22"/>
        </w:rPr>
        <w:t xml:space="preserve">patients </w:t>
      </w:r>
      <w:r w:rsidRPr="000A3A10">
        <w:rPr>
          <w:rFonts w:ascii="Arial" w:hAnsi="Arial" w:cs="Arial"/>
          <w:color w:val="000000" w:themeColor="text1"/>
          <w:sz w:val="22"/>
          <w:szCs w:val="22"/>
        </w:rPr>
        <w:t xml:space="preserve">with T2DM. </w:t>
      </w:r>
      <w:r w:rsidR="00604F27" w:rsidRPr="000A3A10">
        <w:rPr>
          <w:rFonts w:ascii="Arial" w:hAnsi="Arial" w:cs="Arial"/>
          <w:color w:val="000000" w:themeColor="text1"/>
          <w:sz w:val="22"/>
          <w:szCs w:val="22"/>
        </w:rPr>
        <w:t>These change-centred approaches lead patients to be empowered to actively participate in self-management of their chronic conditions</w:t>
      </w:r>
      <w:r w:rsidRPr="000A3A10">
        <w:rPr>
          <w:rFonts w:ascii="Arial" w:hAnsi="Arial" w:cs="Arial"/>
          <w:color w:val="000000" w:themeColor="text1"/>
          <w:sz w:val="22"/>
          <w:szCs w:val="22"/>
        </w:rPr>
        <w:t>.</w:t>
      </w:r>
      <w:r w:rsidR="00604F27" w:rsidRPr="000A3A10">
        <w:rPr>
          <w:rFonts w:ascii="Arial" w:hAnsi="Arial" w:cs="Arial"/>
          <w:color w:val="000000" w:themeColor="text1"/>
          <w:sz w:val="22"/>
          <w:szCs w:val="22"/>
        </w:rPr>
        <w:t xml:space="preserve"> However, this empowerment is only possible if there is access to the required information and </w:t>
      </w:r>
      <w:r w:rsidR="0008719E" w:rsidRPr="000A3A10">
        <w:rPr>
          <w:rFonts w:ascii="Arial" w:hAnsi="Arial" w:cs="Arial"/>
          <w:color w:val="000000" w:themeColor="text1"/>
          <w:sz w:val="22"/>
          <w:szCs w:val="22"/>
        </w:rPr>
        <w:t>practical digital mechanisms.</w:t>
      </w:r>
    </w:p>
    <w:p w14:paraId="0159A26F" w14:textId="77777777" w:rsidR="000B55AB" w:rsidRPr="000A3A10" w:rsidRDefault="000A3A10" w:rsidP="00F876DF">
      <w:pPr>
        <w:pStyle w:val="Heading2"/>
        <w:spacing w:after="240" w:line="360" w:lineRule="auto"/>
        <w:jc w:val="both"/>
        <w:rPr>
          <w:rFonts w:ascii="Arial" w:hAnsi="Arial" w:cs="Arial"/>
          <w:color w:val="000000" w:themeColor="text1"/>
          <w:sz w:val="22"/>
          <w:szCs w:val="22"/>
        </w:rPr>
      </w:pPr>
      <w:bookmarkStart w:id="22" w:name="_Toc223684401"/>
      <w:r w:rsidRPr="000A3A10">
        <w:rPr>
          <w:rFonts w:ascii="Arial" w:hAnsi="Arial" w:cs="Arial"/>
          <w:color w:val="000000" w:themeColor="text1"/>
          <w:sz w:val="22"/>
          <w:szCs w:val="22"/>
        </w:rPr>
        <w:t>Barriers and Facilitators to Implementation</w:t>
      </w:r>
      <w:bookmarkEnd w:id="22"/>
    </w:p>
    <w:p w14:paraId="66B9398A" w14:textId="34205549" w:rsidR="000B55AB"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Although a great volume of studies analysed in the research show that digital health interventions create opportunities for individuals with T2DM to manage their health, some found that this change is not a simple task to be implemented, particularly in the routine practices of primary healthcare in the UK. It is evident from a qualitative study of Hawkes et al. </w:t>
      </w:r>
      <w:r w:rsidR="00FD139C" w:rsidRPr="000A3A10">
        <w:rPr>
          <w:rFonts w:ascii="Arial" w:hAnsi="Arial" w:cs="Arial"/>
          <w:color w:val="000000" w:themeColor="text1"/>
          <w:sz w:val="22"/>
          <w:szCs w:val="22"/>
        </w:rPr>
        <w:t>(2024)</w:t>
      </w:r>
      <w:r w:rsidRPr="000A3A10">
        <w:rPr>
          <w:rFonts w:ascii="Arial" w:hAnsi="Arial" w:cs="Arial"/>
          <w:color w:val="000000" w:themeColor="text1"/>
          <w:sz w:val="22"/>
          <w:szCs w:val="22"/>
        </w:rPr>
        <w:t>, which explored real-world experiences of service users regarding the nationwide Healthy Living digital self-management intervention for T2DM in England. The findings of the study revealed that the majority of the patients/participants reported positive experiences because of no issue in accessing reliable health data and education or awareness, which was valued due to allowing for timely revisiting</w:t>
      </w:r>
      <w:r w:rsidR="00AF1849" w:rsidRPr="000A3A10">
        <w:rPr>
          <w:rFonts w:ascii="Arial" w:hAnsi="Arial" w:cs="Arial"/>
          <w:color w:val="000000" w:themeColor="text1"/>
          <w:sz w:val="22"/>
          <w:szCs w:val="22"/>
        </w:rPr>
        <w:t xml:space="preserve"> </w:t>
      </w:r>
      <w:r w:rsidR="00FD139C" w:rsidRPr="000A3A10">
        <w:rPr>
          <w:rFonts w:ascii="Arial" w:hAnsi="Arial" w:cs="Arial"/>
          <w:color w:val="000000" w:themeColor="text1"/>
          <w:sz w:val="22"/>
          <w:szCs w:val="22"/>
        </w:rPr>
        <w:t>(Hawkes et al., 2024)</w:t>
      </w:r>
      <w:r w:rsidRPr="000A3A10">
        <w:rPr>
          <w:rFonts w:ascii="Arial" w:hAnsi="Arial" w:cs="Arial"/>
          <w:color w:val="000000" w:themeColor="text1"/>
          <w:sz w:val="22"/>
          <w:szCs w:val="22"/>
        </w:rPr>
        <w:t>.</w:t>
      </w:r>
    </w:p>
    <w:p w14:paraId="6AE14C55" w14:textId="32C517DB" w:rsidR="00AF1849"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Conversely, the research </w:t>
      </w:r>
      <w:r w:rsidR="00FD139C" w:rsidRPr="000A3A10">
        <w:rPr>
          <w:rFonts w:ascii="Arial" w:hAnsi="Arial" w:cs="Arial"/>
          <w:color w:val="000000" w:themeColor="text1"/>
          <w:sz w:val="22"/>
          <w:szCs w:val="22"/>
        </w:rPr>
        <w:t>(Hawkes et al., 2024)</w:t>
      </w:r>
      <w:r w:rsidRPr="000A3A10">
        <w:rPr>
          <w:rFonts w:ascii="Arial" w:hAnsi="Arial" w:cs="Arial"/>
          <w:color w:val="000000" w:themeColor="text1"/>
          <w:sz w:val="22"/>
          <w:szCs w:val="22"/>
        </w:rPr>
        <w:t xml:space="preserve"> also reflected that implementation barriers of such digital tools are unavoidable. The most common barriers in this situation can be the cost, lack of skills and digital literacy, access to technology, low communication with professionals, security concerns, and so on. Therefore, the space for improvements is there that can be facilitated by </w:t>
      </w:r>
      <w:r w:rsidR="000B55AB" w:rsidRPr="000A3A10">
        <w:rPr>
          <w:rFonts w:ascii="Arial" w:hAnsi="Arial" w:cs="Arial"/>
          <w:color w:val="000000" w:themeColor="text1"/>
          <w:sz w:val="22"/>
          <w:szCs w:val="22"/>
        </w:rPr>
        <w:t>greater interaction with healthcare professionals</w:t>
      </w:r>
      <w:r w:rsidRPr="000A3A10">
        <w:rPr>
          <w:rFonts w:ascii="Arial" w:hAnsi="Arial" w:cs="Arial"/>
          <w:color w:val="000000" w:themeColor="text1"/>
          <w:sz w:val="22"/>
          <w:szCs w:val="22"/>
        </w:rPr>
        <w:t>, provision of human support along with digital feedback and recommendations for satisfactory customer services and low risk of any technical issue. Most importantly, there must be a key role of h</w:t>
      </w:r>
      <w:r w:rsidR="000B55AB" w:rsidRPr="000A3A10">
        <w:rPr>
          <w:rFonts w:ascii="Arial" w:hAnsi="Arial" w:cs="Arial"/>
          <w:color w:val="000000" w:themeColor="text1"/>
          <w:sz w:val="22"/>
          <w:szCs w:val="22"/>
        </w:rPr>
        <w:t xml:space="preserve">ealthcare professionals </w:t>
      </w:r>
      <w:r w:rsidRPr="000A3A10">
        <w:rPr>
          <w:rFonts w:ascii="Arial" w:hAnsi="Arial" w:cs="Arial"/>
          <w:color w:val="000000" w:themeColor="text1"/>
          <w:sz w:val="22"/>
          <w:szCs w:val="22"/>
        </w:rPr>
        <w:t xml:space="preserve">in motivating </w:t>
      </w:r>
      <w:r w:rsidR="000B55AB" w:rsidRPr="000A3A10">
        <w:rPr>
          <w:rFonts w:ascii="Arial" w:hAnsi="Arial" w:cs="Arial"/>
          <w:color w:val="000000" w:themeColor="text1"/>
          <w:sz w:val="22"/>
          <w:szCs w:val="22"/>
        </w:rPr>
        <w:t xml:space="preserve">patients to use </w:t>
      </w:r>
      <w:r w:rsidRPr="000A3A10">
        <w:rPr>
          <w:rFonts w:ascii="Arial" w:hAnsi="Arial" w:cs="Arial"/>
          <w:color w:val="000000" w:themeColor="text1"/>
          <w:sz w:val="22"/>
          <w:szCs w:val="22"/>
        </w:rPr>
        <w:t xml:space="preserve">advanced technology and guiding them to use relevant information and tools. This is because technology familiarity is essential to encourage people to use it in a timely and frequent manner. </w:t>
      </w:r>
    </w:p>
    <w:p w14:paraId="603A3F14" w14:textId="77777777" w:rsidR="00C75439" w:rsidRPr="000A3A10" w:rsidRDefault="000A3A10" w:rsidP="00F876DF">
      <w:pPr>
        <w:pStyle w:val="Heading1"/>
        <w:spacing w:after="240" w:line="360" w:lineRule="auto"/>
        <w:jc w:val="both"/>
        <w:rPr>
          <w:rFonts w:ascii="Arial" w:hAnsi="Arial" w:cs="Arial"/>
          <w:color w:val="000000" w:themeColor="text1"/>
          <w:sz w:val="22"/>
          <w:szCs w:val="22"/>
        </w:rPr>
      </w:pPr>
      <w:bookmarkStart w:id="23" w:name="_Toc223684402"/>
      <w:r w:rsidRPr="000A3A10">
        <w:rPr>
          <w:rFonts w:ascii="Arial" w:hAnsi="Arial" w:cs="Arial"/>
          <w:color w:val="000000" w:themeColor="text1"/>
          <w:sz w:val="22"/>
          <w:szCs w:val="22"/>
        </w:rPr>
        <w:t>Conclusion and Recommendations</w:t>
      </w:r>
      <w:bookmarkEnd w:id="23"/>
    </w:p>
    <w:p w14:paraId="3592D92E" w14:textId="77777777" w:rsidR="00C75439" w:rsidRPr="000A3A10" w:rsidRDefault="000A3A10" w:rsidP="00F876DF">
      <w:pPr>
        <w:pStyle w:val="Heading2"/>
        <w:spacing w:after="240" w:line="360" w:lineRule="auto"/>
        <w:jc w:val="both"/>
        <w:rPr>
          <w:rFonts w:ascii="Arial" w:hAnsi="Arial" w:cs="Arial"/>
          <w:b w:val="0"/>
          <w:color w:val="000000" w:themeColor="text1"/>
          <w:sz w:val="22"/>
          <w:szCs w:val="22"/>
        </w:rPr>
      </w:pPr>
      <w:bookmarkStart w:id="24" w:name="_Toc192097832"/>
      <w:bookmarkStart w:id="25" w:name="_Toc223684403"/>
      <w:r w:rsidRPr="000A3A10">
        <w:rPr>
          <w:rFonts w:ascii="Arial" w:hAnsi="Arial" w:cs="Arial"/>
          <w:color w:val="000000" w:themeColor="text1"/>
          <w:sz w:val="22"/>
          <w:szCs w:val="22"/>
        </w:rPr>
        <w:t>Findings and Conclusion</w:t>
      </w:r>
      <w:bookmarkEnd w:id="24"/>
      <w:bookmarkEnd w:id="25"/>
    </w:p>
    <w:p w14:paraId="5DA2774D" w14:textId="530AEB58" w:rsidR="00C95FBF" w:rsidRPr="000A3A10" w:rsidRDefault="000A3A10" w:rsidP="00C13F6E">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The thematic analysis carried out in the current scoping review</w:t>
      </w:r>
      <w:r w:rsidR="00C13F6E" w:rsidRPr="000A3A10">
        <w:rPr>
          <w:rFonts w:ascii="Arial" w:hAnsi="Arial" w:cs="Arial"/>
          <w:color w:val="000000" w:themeColor="text1"/>
          <w:sz w:val="22"/>
          <w:szCs w:val="22"/>
        </w:rPr>
        <w:t xml:space="preserve"> led to </w:t>
      </w:r>
      <w:r w:rsidR="00830406">
        <w:rPr>
          <w:rFonts w:ascii="Arial" w:hAnsi="Arial" w:cs="Arial"/>
          <w:color w:val="000000" w:themeColor="text1"/>
          <w:sz w:val="22"/>
          <w:szCs w:val="22"/>
        </w:rPr>
        <w:t xml:space="preserve">a </w:t>
      </w:r>
      <w:r w:rsidR="00C13F6E" w:rsidRPr="000A3A10">
        <w:rPr>
          <w:rFonts w:ascii="Arial" w:hAnsi="Arial" w:cs="Arial"/>
          <w:color w:val="000000" w:themeColor="text1"/>
          <w:sz w:val="22"/>
          <w:szCs w:val="22"/>
        </w:rPr>
        <w:t xml:space="preserve">map </w:t>
      </w:r>
      <w:r w:rsidR="00830406">
        <w:rPr>
          <w:rFonts w:ascii="Arial" w:hAnsi="Arial" w:cs="Arial"/>
          <w:color w:val="000000" w:themeColor="text1"/>
          <w:sz w:val="22"/>
          <w:szCs w:val="22"/>
        </w:rPr>
        <w:t xml:space="preserve">of the </w:t>
      </w:r>
      <w:r w:rsidR="0012766A" w:rsidRPr="000A3A10">
        <w:rPr>
          <w:rFonts w:ascii="Arial" w:hAnsi="Arial" w:cs="Arial"/>
          <w:color w:val="000000" w:themeColor="text1"/>
          <w:sz w:val="22"/>
          <w:szCs w:val="22"/>
        </w:rPr>
        <w:t>effectiveness</w:t>
      </w:r>
      <w:r w:rsidR="00C13F6E" w:rsidRPr="000A3A10">
        <w:rPr>
          <w:rFonts w:ascii="Arial" w:hAnsi="Arial" w:cs="Arial"/>
          <w:color w:val="000000" w:themeColor="text1"/>
          <w:sz w:val="22"/>
          <w:szCs w:val="22"/>
        </w:rPr>
        <w:t xml:space="preserve"> of </w:t>
      </w:r>
      <w:r w:rsidRPr="000A3A10">
        <w:rPr>
          <w:rFonts w:ascii="Arial" w:hAnsi="Arial" w:cs="Arial"/>
          <w:color w:val="000000" w:themeColor="text1"/>
          <w:sz w:val="22"/>
          <w:szCs w:val="22"/>
        </w:rPr>
        <w:t xml:space="preserve">digital health interventions supporting self-management of type 2 diabetes in UK primary care </w:t>
      </w:r>
      <w:r w:rsidR="00C13F6E" w:rsidRPr="000A3A10">
        <w:rPr>
          <w:rFonts w:ascii="Arial" w:hAnsi="Arial" w:cs="Arial"/>
          <w:color w:val="000000" w:themeColor="text1"/>
          <w:sz w:val="22"/>
          <w:szCs w:val="22"/>
        </w:rPr>
        <w:t xml:space="preserve">and </w:t>
      </w:r>
      <w:r w:rsidRPr="000A3A10">
        <w:rPr>
          <w:rFonts w:ascii="Arial" w:hAnsi="Arial" w:cs="Arial"/>
          <w:color w:val="000000" w:themeColor="text1"/>
          <w:sz w:val="22"/>
          <w:szCs w:val="22"/>
        </w:rPr>
        <w:t xml:space="preserve">presented some core findings. For instance, the in-depth thematic assessment and comprehensive discussion revealed that digital health intervention or this kind of revolution is also required in the UK's primary care settings to deal with the issues of labour shortages and growing demand for healthcare services for type 2 diabetic patients, because they can easily and independently self-manage their conditions by reducing the burden on healthcare professionals. However, type 2 diabetic patients are emphasised to be a part of digital health initiatives. </w:t>
      </w:r>
    </w:p>
    <w:p w14:paraId="3CC7AAA7" w14:textId="77777777" w:rsidR="00C95FBF"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Unfortunately, their active participation relies on numerous factors such as accessible information, ease in using technology, and options like monitoring, feedback, reminders, and recommendations. Therefore, digital interventions in the primary healthcare settings of the UK for type 2 diabetic patients must be designed in a way that is user-friendly, needs-based, and motivating for self-management. At the same time, the findings concluded that implementation barriers of such digital tools are high, including cost, lack of skills, limited digital literacy, </w:t>
      </w:r>
      <w:r w:rsidR="00D63FCF" w:rsidRPr="000A3A10">
        <w:rPr>
          <w:rFonts w:ascii="Arial" w:hAnsi="Arial" w:cs="Arial"/>
          <w:color w:val="000000" w:themeColor="text1"/>
          <w:sz w:val="22"/>
          <w:szCs w:val="22"/>
        </w:rPr>
        <w:t>un</w:t>
      </w:r>
      <w:r w:rsidRPr="000A3A10">
        <w:rPr>
          <w:rFonts w:ascii="Arial" w:hAnsi="Arial" w:cs="Arial"/>
          <w:color w:val="000000" w:themeColor="text1"/>
          <w:sz w:val="22"/>
          <w:szCs w:val="22"/>
        </w:rPr>
        <w:t xml:space="preserve">equal access to technology for all, communication issues with professionals, and security or privacy issues. Thus, significant actions must be adopted (including communication with professionals, human assistance provision, </w:t>
      </w:r>
      <w:r w:rsidR="00D63FCF" w:rsidRPr="000A3A10">
        <w:rPr>
          <w:rFonts w:ascii="Arial" w:hAnsi="Arial" w:cs="Arial"/>
          <w:color w:val="000000" w:themeColor="text1"/>
          <w:sz w:val="22"/>
          <w:szCs w:val="22"/>
        </w:rPr>
        <w:t>and motivation</w:t>
      </w:r>
      <w:r w:rsidRPr="000A3A10">
        <w:rPr>
          <w:rFonts w:ascii="Arial" w:hAnsi="Arial" w:cs="Arial"/>
          <w:color w:val="000000" w:themeColor="text1"/>
          <w:sz w:val="22"/>
          <w:szCs w:val="22"/>
        </w:rPr>
        <w:t xml:space="preserve"> by the staff, guidance to use technology, and so on).</w:t>
      </w:r>
    </w:p>
    <w:p w14:paraId="52EA8ECD" w14:textId="77777777" w:rsidR="00C75439" w:rsidRPr="000A3A10" w:rsidRDefault="000A3A10" w:rsidP="00F876DF">
      <w:pPr>
        <w:pStyle w:val="Heading2"/>
        <w:spacing w:after="240" w:line="360" w:lineRule="auto"/>
        <w:jc w:val="both"/>
        <w:rPr>
          <w:rFonts w:ascii="Arial" w:hAnsi="Arial" w:cs="Arial"/>
          <w:color w:val="000000" w:themeColor="text1"/>
          <w:sz w:val="22"/>
          <w:szCs w:val="22"/>
        </w:rPr>
      </w:pPr>
      <w:bookmarkStart w:id="26" w:name="_Toc223684404"/>
      <w:r w:rsidRPr="000A3A10">
        <w:rPr>
          <w:rFonts w:ascii="Arial" w:hAnsi="Arial" w:cs="Arial"/>
          <w:color w:val="000000" w:themeColor="text1"/>
          <w:sz w:val="22"/>
          <w:szCs w:val="22"/>
        </w:rPr>
        <w:t>Recommendations</w:t>
      </w:r>
      <w:bookmarkEnd w:id="26"/>
      <w:r w:rsidRPr="000A3A10">
        <w:rPr>
          <w:rFonts w:ascii="Arial" w:hAnsi="Arial" w:cs="Arial"/>
          <w:color w:val="000000" w:themeColor="text1"/>
          <w:sz w:val="22"/>
          <w:szCs w:val="22"/>
        </w:rPr>
        <w:t xml:space="preserve">  </w:t>
      </w:r>
    </w:p>
    <w:p w14:paraId="0B7528EA" w14:textId="77777777" w:rsidR="00A95668"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 xml:space="preserve">Based on the findings and conclusions of the developed scoping review, in the context of digital health interventions supporting self-management among patients with type 2 diabetes in UK primary care settings, responsible authorities are recommended to make adjustments. For instance, implementation challenges of digital health interventions must be resolved through following ethical standards, comprising digital literacy, easy accessibility to technology, and data privacy and security. Policy makers and healthcare providers are also encouraged to develop inclusive digital health solutions that are available for all suffering from chronic health issues. </w:t>
      </w:r>
    </w:p>
    <w:p w14:paraId="28AF55B4" w14:textId="77777777" w:rsidR="0012766A" w:rsidRPr="000A3A10" w:rsidRDefault="000A3A10" w:rsidP="00F876DF">
      <w:pPr>
        <w:spacing w:after="240" w:line="360" w:lineRule="auto"/>
        <w:jc w:val="both"/>
        <w:rPr>
          <w:rFonts w:ascii="Arial" w:hAnsi="Arial" w:cs="Arial"/>
          <w:color w:val="000000" w:themeColor="text1"/>
          <w:sz w:val="22"/>
          <w:szCs w:val="22"/>
        </w:rPr>
      </w:pPr>
      <w:r w:rsidRPr="000A3A10">
        <w:rPr>
          <w:rFonts w:ascii="Arial" w:hAnsi="Arial" w:cs="Arial"/>
          <w:color w:val="000000" w:themeColor="text1"/>
          <w:sz w:val="22"/>
          <w:szCs w:val="22"/>
        </w:rPr>
        <w:t>To make sure technological advancement in this concern, healthcare firms are encouraged to make massive investments in digital health infrastructure as well as training for professionals and patients with T2DM that can enhance existing primary care services and eventually the health outcomes. Besides, future researchers are encouraged to extensively examine the long-term efficiency of such interventions in managing T2DM and make publications accessible for all to gain knowledge about the technological importance to improve routine healthcare practice within the healthcare system. Briefly, digital health interventions are a valuable opportunity to ensure self-management of type 2 diabetes in the UK's primary care, if adopted with proper resources</w:t>
      </w:r>
      <w:r w:rsidR="00516723" w:rsidRPr="000A3A10">
        <w:rPr>
          <w:rFonts w:ascii="Arial" w:hAnsi="Arial" w:cs="Arial"/>
          <w:color w:val="000000" w:themeColor="text1"/>
          <w:sz w:val="22"/>
          <w:szCs w:val="22"/>
        </w:rPr>
        <w:t xml:space="preserve"> and careful consideration</w:t>
      </w:r>
      <w:r w:rsidRPr="000A3A10">
        <w:rPr>
          <w:rFonts w:ascii="Arial" w:hAnsi="Arial" w:cs="Arial"/>
          <w:color w:val="000000" w:themeColor="text1"/>
          <w:sz w:val="22"/>
          <w:szCs w:val="22"/>
        </w:rPr>
        <w:t>.</w:t>
      </w:r>
    </w:p>
    <w:p w14:paraId="697792CF" w14:textId="77777777" w:rsidR="0012766A" w:rsidRPr="000A3A10" w:rsidRDefault="0012766A">
      <w:pPr>
        <w:spacing w:after="200" w:line="276" w:lineRule="auto"/>
        <w:rPr>
          <w:rFonts w:ascii="Arial" w:hAnsi="Arial" w:cs="Arial"/>
          <w:color w:val="000000" w:themeColor="text1"/>
          <w:sz w:val="22"/>
          <w:szCs w:val="22"/>
        </w:rPr>
      </w:pPr>
      <w:r w:rsidRPr="000A3A10">
        <w:rPr>
          <w:rFonts w:ascii="Arial" w:hAnsi="Arial" w:cs="Arial"/>
          <w:color w:val="000000" w:themeColor="text1"/>
          <w:sz w:val="22"/>
          <w:szCs w:val="22"/>
        </w:rPr>
        <w:br w:type="page"/>
      </w:r>
    </w:p>
    <w:p w14:paraId="4E3D4319" w14:textId="7F97E87C" w:rsidR="0078302C" w:rsidRDefault="0012766A" w:rsidP="00191FE5">
      <w:pPr>
        <w:pStyle w:val="Heading1"/>
        <w:spacing w:after="240" w:line="360" w:lineRule="auto"/>
        <w:jc w:val="both"/>
        <w:rPr>
          <w:rFonts w:ascii="Arial" w:hAnsi="Arial" w:cs="Arial"/>
          <w:color w:val="000000" w:themeColor="text1"/>
          <w:sz w:val="22"/>
          <w:szCs w:val="22"/>
        </w:rPr>
      </w:pPr>
      <w:bookmarkStart w:id="27" w:name="_Toc223684405"/>
      <w:r w:rsidRPr="000A3A10">
        <w:rPr>
          <w:rFonts w:ascii="Arial" w:hAnsi="Arial" w:cs="Arial"/>
          <w:color w:val="000000" w:themeColor="text1"/>
          <w:sz w:val="22"/>
          <w:szCs w:val="22"/>
        </w:rPr>
        <w:t>Reference List</w:t>
      </w:r>
      <w:bookmarkEnd w:id="27"/>
    </w:p>
    <w:p w14:paraId="48EC851A"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Alkhaldi, G. et al., (2017). Promoting engagement with a digital health intervention (HeLP-Diabetes) using email and text message prompts: mixed-methods study. Interactive journal of medical research, 6(2), p.e6952.</w:t>
      </w:r>
    </w:p>
    <w:p w14:paraId="34BB06B2"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Arksey, H. &amp; O'Malley, L., (2005). Scoping studies: towards a methodological framework. International journal of social research methodology , 8(1), pp.19-32.</w:t>
      </w:r>
    </w:p>
    <w:p w14:paraId="05FCA2C0" w14:textId="77777777" w:rsidR="00191FE5" w:rsidRPr="00191FE5" w:rsidRDefault="00191FE5" w:rsidP="00191FE5">
      <w:pPr>
        <w:spacing w:after="240" w:line="360" w:lineRule="auto"/>
        <w:rPr>
          <w:rFonts w:ascii="Arial" w:hAnsi="Arial" w:cs="Arial"/>
          <w:color w:val="000000" w:themeColor="text1"/>
          <w:sz w:val="22"/>
          <w:szCs w:val="22"/>
        </w:rPr>
      </w:pPr>
      <w:proofErr w:type="spellStart"/>
      <w:r w:rsidRPr="00191FE5">
        <w:rPr>
          <w:rFonts w:ascii="Arial" w:hAnsi="Arial" w:cs="Arial"/>
          <w:color w:val="000000" w:themeColor="text1"/>
          <w:sz w:val="22"/>
          <w:szCs w:val="22"/>
        </w:rPr>
        <w:t>Baradez</w:t>
      </w:r>
      <w:proofErr w:type="spellEnd"/>
      <w:r w:rsidRPr="00191FE5">
        <w:rPr>
          <w:rFonts w:ascii="Arial" w:hAnsi="Arial" w:cs="Arial"/>
          <w:color w:val="000000" w:themeColor="text1"/>
          <w:sz w:val="22"/>
          <w:szCs w:val="22"/>
        </w:rPr>
        <w:t xml:space="preserve">, C. et al., (2022). Brief digital solutions in </w:t>
      </w:r>
      <w:proofErr w:type="spellStart"/>
      <w:r w:rsidRPr="00191FE5">
        <w:rPr>
          <w:rFonts w:ascii="Arial" w:hAnsi="Arial" w:cs="Arial"/>
          <w:color w:val="000000" w:themeColor="text1"/>
          <w:sz w:val="22"/>
          <w:szCs w:val="22"/>
        </w:rPr>
        <w:t>behavior</w:t>
      </w:r>
      <w:proofErr w:type="spellEnd"/>
      <w:r w:rsidRPr="00191FE5">
        <w:rPr>
          <w:rFonts w:ascii="Arial" w:hAnsi="Arial" w:cs="Arial"/>
          <w:color w:val="000000" w:themeColor="text1"/>
          <w:sz w:val="22"/>
          <w:szCs w:val="22"/>
        </w:rPr>
        <w:t xml:space="preserve"> change interventions for type 2 diabetes mellitus: a literature review. Diabetes Therapy, 13(4), pp.635-49.</w:t>
      </w:r>
    </w:p>
    <w:p w14:paraId="47FC492F"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Carvalho, M. et al., (2025). Understanding behaviour change maintenance after attending a self</w:t>
      </w:r>
      <w:r w:rsidRPr="00191FE5">
        <w:rPr>
          <w:rFonts w:ascii="Cambria Math" w:hAnsi="Cambria Math" w:cs="Cambria Math"/>
          <w:color w:val="000000" w:themeColor="text1"/>
          <w:sz w:val="22"/>
          <w:szCs w:val="22"/>
        </w:rPr>
        <w:t>‐</w:t>
      </w:r>
      <w:r w:rsidRPr="00191FE5">
        <w:rPr>
          <w:rFonts w:ascii="Arial" w:hAnsi="Arial" w:cs="Arial"/>
          <w:color w:val="000000" w:themeColor="text1"/>
          <w:sz w:val="22"/>
          <w:szCs w:val="22"/>
        </w:rPr>
        <w:t>management education and support programme for type 2 diabetes: A longitudinal qualitative study. Diabetic Medicine, 42(6), p.e70032.</w:t>
      </w:r>
    </w:p>
    <w:p w14:paraId="34907B13"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Chatterjee, S. et al., (2018). Diabetes structured self-management education programmes: a narrative review and current innovations. The Lancet Diabetes &amp; Endocrinology, 6(2), pp.130-42.</w:t>
      </w:r>
    </w:p>
    <w:p w14:paraId="25CE4A11"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Crowley, M.J. et al., (2022). Effect of a comprehensive telehealth intervention vs telemonitoring and care coordination in patients with persistently poor type 2 diabetes control: a randomised clinical trial. JAMA internal medicine, 182(9), pp.943-52.</w:t>
      </w:r>
    </w:p>
    <w:p w14:paraId="75FC308F" w14:textId="77777777" w:rsidR="00191FE5" w:rsidRPr="00191FE5" w:rsidRDefault="00191FE5" w:rsidP="00191FE5">
      <w:pPr>
        <w:spacing w:after="240" w:line="360" w:lineRule="auto"/>
        <w:rPr>
          <w:rFonts w:ascii="Arial" w:hAnsi="Arial" w:cs="Arial"/>
          <w:color w:val="000000" w:themeColor="text1"/>
          <w:sz w:val="22"/>
          <w:szCs w:val="22"/>
        </w:rPr>
      </w:pPr>
      <w:proofErr w:type="spellStart"/>
      <w:r w:rsidRPr="00191FE5">
        <w:rPr>
          <w:rFonts w:ascii="Arial" w:hAnsi="Arial" w:cs="Arial"/>
          <w:color w:val="000000" w:themeColor="text1"/>
          <w:sz w:val="22"/>
          <w:szCs w:val="22"/>
        </w:rPr>
        <w:t>Faquetti</w:t>
      </w:r>
      <w:proofErr w:type="spellEnd"/>
      <w:r w:rsidRPr="00191FE5">
        <w:rPr>
          <w:rFonts w:ascii="Arial" w:hAnsi="Arial" w:cs="Arial"/>
          <w:color w:val="000000" w:themeColor="text1"/>
          <w:sz w:val="22"/>
          <w:szCs w:val="22"/>
        </w:rPr>
        <w:t>, M.L. et al., (2024). Prevalence of potentially inappropriate medications among newly treated patients with type 2 diabetes in UK primary care. British Journal of Clinical Pharmacology, 90(6), pp.1376-94.</w:t>
      </w:r>
    </w:p>
    <w:p w14:paraId="66DFDB9A"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Glavas, C. et al., (2024). Exploring the feasibility of digital voice assistants for delivery of a home-based exercise intervention in older adults with obesity and type 2 diabetes mellitus: randomised controlled trial. JMIR aging, 7(1), p.e53064.</w:t>
      </w:r>
    </w:p>
    <w:p w14:paraId="34F89450"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Hawkes, R.E. et al., (2024). Service users’ experiences of a nationwide digital type 2 diabetes self-management intervention (Healthy Living): qualitative interview study. JMIR diabetes, 9(1), p.e56276.</w:t>
      </w:r>
    </w:p>
    <w:p w14:paraId="3F5E9415" w14:textId="77777777" w:rsidR="00191FE5" w:rsidRPr="00191FE5" w:rsidRDefault="00191FE5" w:rsidP="00191FE5">
      <w:pPr>
        <w:spacing w:after="240" w:line="360" w:lineRule="auto"/>
        <w:rPr>
          <w:rFonts w:ascii="Arial" w:hAnsi="Arial" w:cs="Arial"/>
          <w:color w:val="000000" w:themeColor="text1"/>
          <w:sz w:val="22"/>
          <w:szCs w:val="22"/>
        </w:rPr>
      </w:pPr>
      <w:proofErr w:type="spellStart"/>
      <w:r w:rsidRPr="00191FE5">
        <w:rPr>
          <w:rFonts w:ascii="Arial" w:hAnsi="Arial" w:cs="Arial"/>
          <w:color w:val="000000" w:themeColor="text1"/>
          <w:sz w:val="22"/>
          <w:szCs w:val="22"/>
        </w:rPr>
        <w:t>Mannoubi</w:t>
      </w:r>
      <w:proofErr w:type="spellEnd"/>
      <w:r w:rsidRPr="00191FE5">
        <w:rPr>
          <w:rFonts w:ascii="Arial" w:hAnsi="Arial" w:cs="Arial"/>
          <w:color w:val="000000" w:themeColor="text1"/>
          <w:sz w:val="22"/>
          <w:szCs w:val="22"/>
        </w:rPr>
        <w:t>, C. et al., (2024). The key digital tool features of complex telehealth interventions used for type 2 diabetes self-management and monitoring with health professional involvement: scoping review. JMIR Medical Informatics, 12, p.e46699.</w:t>
      </w:r>
    </w:p>
    <w:p w14:paraId="2A63CD5C"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May, C., (2026). Data-Driven Healthcare: From information to impact in the digital age. Right Book Press.</w:t>
      </w:r>
    </w:p>
    <w:p w14:paraId="51CA1332" w14:textId="77777777" w:rsidR="00191FE5" w:rsidRPr="00191FE5" w:rsidRDefault="00191FE5" w:rsidP="00191FE5">
      <w:pPr>
        <w:spacing w:after="240" w:line="360" w:lineRule="auto"/>
        <w:rPr>
          <w:rFonts w:ascii="Arial" w:hAnsi="Arial" w:cs="Arial"/>
          <w:color w:val="000000" w:themeColor="text1"/>
          <w:sz w:val="22"/>
          <w:szCs w:val="22"/>
        </w:rPr>
      </w:pPr>
      <w:proofErr w:type="spellStart"/>
      <w:r w:rsidRPr="00191FE5">
        <w:rPr>
          <w:rFonts w:ascii="Arial" w:hAnsi="Arial" w:cs="Arial"/>
          <w:color w:val="000000" w:themeColor="text1"/>
          <w:sz w:val="22"/>
          <w:szCs w:val="22"/>
        </w:rPr>
        <w:t>Moschonis</w:t>
      </w:r>
      <w:proofErr w:type="spellEnd"/>
      <w:r w:rsidRPr="00191FE5">
        <w:rPr>
          <w:rFonts w:ascii="Arial" w:hAnsi="Arial" w:cs="Arial"/>
          <w:color w:val="000000" w:themeColor="text1"/>
          <w:sz w:val="22"/>
          <w:szCs w:val="22"/>
        </w:rPr>
        <w:t>, G. et al., (2023). Effectiveness, reach, uptake, and feasibility of digital health interventions for adults with type 2 diabetes: a systematic review and meta-analysis of randomised controlled trials. The Lancet Digital Health, 5(3), pp.e125-43.</w:t>
      </w:r>
    </w:p>
    <w:p w14:paraId="504F37A9"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Murray, E. et al., (2017). Web-based self-management support for people with type 2 diabetes (HeLP-Diabetes): randomised controlled trial in English primary care. BMJ open, 7(9), p.e016009.</w:t>
      </w:r>
    </w:p>
    <w:p w14:paraId="0A1727B6"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NHS England, (2025). Digital innovations in diabetes. [Online] Available at: https://www.england.nhs.uk/diabetes/digital-innovations-to-support-diabetes-outcomes/ [Accessed 26th February 2026].</w:t>
      </w:r>
    </w:p>
    <w:p w14:paraId="355B3860"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NHS England, (2025). News. [Online] Available at: https://www.england.nhs.uk/2024/06/nhs-identifies-over-half-a-million-more-people-at-risk-of-type-2-diabetes-in-a-year/ [Accessed 26th February 2026].</w:t>
      </w:r>
    </w:p>
    <w:p w14:paraId="078E8AC1"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Pal, K. et al., (2018). Digital health interventions for adults with type 2 diabetes: qualitative study of patient perspectives on diabetes self-management education and support. Journal of medical Internet research, 20(2), p.e40.</w:t>
      </w:r>
    </w:p>
    <w:p w14:paraId="026DB35B"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Strati, M. et al., (2024). Early onset type 2 diabetes mellitus: an update. Endocrine, 85(3), pp.965-78.</w:t>
      </w:r>
    </w:p>
    <w:p w14:paraId="45866819"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The British Diabetic Association, (2025). How many people in the UK have diabetes? [Online] Available at: https://www.diabetes.org.uk/about-us/about-the-charity/our-strategy/statistics [Accessed 25th February 2026].</w:t>
      </w:r>
    </w:p>
    <w:p w14:paraId="50547035"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Turnbull, S. &amp; Cabral, C., (2024). Inequalities in the ability for people with type 2 diabetes and prediabetes to adapt to the reduction in in-person health support and increased use of digital support during the COVID-19 pandemic and beyond: qualitative study. JMIR diabetes, 9(1), p.e55201.</w:t>
      </w:r>
    </w:p>
    <w:p w14:paraId="52618C07" w14:textId="77777777"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Warr, W. et al., (2021). A systematic review and thematic synthesis of qualitative studies exploring GPs' and nurses' perspectives on discussing weight with patients with overweight and obesity in primary care. Obesity Reviews , 22(4), p.e13151.</w:t>
      </w:r>
    </w:p>
    <w:p w14:paraId="0F18B602" w14:textId="7111B1EF" w:rsidR="00191FE5" w:rsidRPr="00191FE5" w:rsidRDefault="00191FE5" w:rsidP="00191FE5">
      <w:pPr>
        <w:spacing w:after="240" w:line="360" w:lineRule="auto"/>
        <w:rPr>
          <w:rFonts w:ascii="Arial" w:hAnsi="Arial" w:cs="Arial"/>
          <w:color w:val="000000" w:themeColor="text1"/>
          <w:sz w:val="22"/>
          <w:szCs w:val="22"/>
        </w:rPr>
      </w:pPr>
      <w:r w:rsidRPr="00191FE5">
        <w:rPr>
          <w:rFonts w:ascii="Arial" w:hAnsi="Arial" w:cs="Arial"/>
          <w:color w:val="000000" w:themeColor="text1"/>
          <w:sz w:val="22"/>
          <w:szCs w:val="22"/>
        </w:rPr>
        <w:t>World Health Organisation, (2026). Classification of digital health interventions v1.0. [Online] Available at: https://www.who.int/publications/i/item/WHO-RHR-18.06#:~:text=The%20classification%20of%20digital%20health,to%20support%20health%20system%20needs. [Accessed 2nd March 2026].</w:t>
      </w:r>
    </w:p>
    <w:sectPr w:rsidR="00191FE5" w:rsidRPr="00191FE5" w:rsidSect="00830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F4755"/>
    <w:multiLevelType w:val="hybridMultilevel"/>
    <w:tmpl w:val="9482D4E4"/>
    <w:lvl w:ilvl="0" w:tplc="0F0216D0">
      <w:start w:val="1"/>
      <w:numFmt w:val="bullet"/>
      <w:lvlText w:val=""/>
      <w:lvlJc w:val="left"/>
      <w:pPr>
        <w:ind w:left="720" w:hanging="360"/>
      </w:pPr>
      <w:rPr>
        <w:rFonts w:ascii="Symbol" w:hAnsi="Symbol" w:hint="default"/>
      </w:rPr>
    </w:lvl>
    <w:lvl w:ilvl="1" w:tplc="8FBCB59C">
      <w:start w:val="1"/>
      <w:numFmt w:val="decimal"/>
      <w:lvlText w:val="%2."/>
      <w:lvlJc w:val="left"/>
      <w:pPr>
        <w:tabs>
          <w:tab w:val="num" w:pos="1440"/>
        </w:tabs>
        <w:ind w:left="1440" w:hanging="360"/>
      </w:pPr>
    </w:lvl>
    <w:lvl w:ilvl="2" w:tplc="C31EE758">
      <w:start w:val="1"/>
      <w:numFmt w:val="decimal"/>
      <w:lvlText w:val="%3."/>
      <w:lvlJc w:val="left"/>
      <w:pPr>
        <w:tabs>
          <w:tab w:val="num" w:pos="2160"/>
        </w:tabs>
        <w:ind w:left="2160" w:hanging="360"/>
      </w:pPr>
    </w:lvl>
    <w:lvl w:ilvl="3" w:tplc="A7F00DB8">
      <w:start w:val="1"/>
      <w:numFmt w:val="decimal"/>
      <w:lvlText w:val="%4."/>
      <w:lvlJc w:val="left"/>
      <w:pPr>
        <w:tabs>
          <w:tab w:val="num" w:pos="2880"/>
        </w:tabs>
        <w:ind w:left="2880" w:hanging="360"/>
      </w:pPr>
    </w:lvl>
    <w:lvl w:ilvl="4" w:tplc="AD9CE692">
      <w:start w:val="1"/>
      <w:numFmt w:val="decimal"/>
      <w:lvlText w:val="%5."/>
      <w:lvlJc w:val="left"/>
      <w:pPr>
        <w:tabs>
          <w:tab w:val="num" w:pos="3600"/>
        </w:tabs>
        <w:ind w:left="3600" w:hanging="360"/>
      </w:pPr>
    </w:lvl>
    <w:lvl w:ilvl="5" w:tplc="F022D9D2">
      <w:start w:val="1"/>
      <w:numFmt w:val="decimal"/>
      <w:lvlText w:val="%6."/>
      <w:lvlJc w:val="left"/>
      <w:pPr>
        <w:tabs>
          <w:tab w:val="num" w:pos="4320"/>
        </w:tabs>
        <w:ind w:left="4320" w:hanging="360"/>
      </w:pPr>
    </w:lvl>
    <w:lvl w:ilvl="6" w:tplc="D80862F2">
      <w:start w:val="1"/>
      <w:numFmt w:val="decimal"/>
      <w:lvlText w:val="%7."/>
      <w:lvlJc w:val="left"/>
      <w:pPr>
        <w:tabs>
          <w:tab w:val="num" w:pos="5040"/>
        </w:tabs>
        <w:ind w:left="5040" w:hanging="360"/>
      </w:pPr>
    </w:lvl>
    <w:lvl w:ilvl="7" w:tplc="746E315C">
      <w:start w:val="1"/>
      <w:numFmt w:val="decimal"/>
      <w:lvlText w:val="%8."/>
      <w:lvlJc w:val="left"/>
      <w:pPr>
        <w:tabs>
          <w:tab w:val="num" w:pos="5760"/>
        </w:tabs>
        <w:ind w:left="5760" w:hanging="360"/>
      </w:pPr>
    </w:lvl>
    <w:lvl w:ilvl="8" w:tplc="1D24462A">
      <w:start w:val="1"/>
      <w:numFmt w:val="decimal"/>
      <w:lvlText w:val="%9."/>
      <w:lvlJc w:val="left"/>
      <w:pPr>
        <w:tabs>
          <w:tab w:val="num" w:pos="6480"/>
        </w:tabs>
        <w:ind w:left="6480" w:hanging="360"/>
      </w:pPr>
    </w:lvl>
  </w:abstractNum>
  <w:abstractNum w:abstractNumId="1" w15:restartNumberingAfterBreak="0">
    <w:nsid w:val="36616F36"/>
    <w:multiLevelType w:val="hybridMultilevel"/>
    <w:tmpl w:val="EDDCC36C"/>
    <w:lvl w:ilvl="0" w:tplc="C27483B8">
      <w:start w:val="1"/>
      <w:numFmt w:val="bullet"/>
      <w:lvlText w:val=""/>
      <w:lvlJc w:val="left"/>
      <w:pPr>
        <w:ind w:left="720" w:hanging="360"/>
      </w:pPr>
      <w:rPr>
        <w:rFonts w:ascii="Symbol" w:hAnsi="Symbol" w:hint="default"/>
      </w:rPr>
    </w:lvl>
    <w:lvl w:ilvl="1" w:tplc="BE00957A" w:tentative="1">
      <w:start w:val="1"/>
      <w:numFmt w:val="bullet"/>
      <w:lvlText w:val="o"/>
      <w:lvlJc w:val="left"/>
      <w:pPr>
        <w:ind w:left="1440" w:hanging="360"/>
      </w:pPr>
      <w:rPr>
        <w:rFonts w:ascii="Courier New" w:hAnsi="Courier New" w:cs="Courier New" w:hint="default"/>
      </w:rPr>
    </w:lvl>
    <w:lvl w:ilvl="2" w:tplc="D6A0601C" w:tentative="1">
      <w:start w:val="1"/>
      <w:numFmt w:val="bullet"/>
      <w:lvlText w:val=""/>
      <w:lvlJc w:val="left"/>
      <w:pPr>
        <w:ind w:left="2160" w:hanging="360"/>
      </w:pPr>
      <w:rPr>
        <w:rFonts w:ascii="Wingdings" w:hAnsi="Wingdings" w:hint="default"/>
      </w:rPr>
    </w:lvl>
    <w:lvl w:ilvl="3" w:tplc="AB788DE8" w:tentative="1">
      <w:start w:val="1"/>
      <w:numFmt w:val="bullet"/>
      <w:lvlText w:val=""/>
      <w:lvlJc w:val="left"/>
      <w:pPr>
        <w:ind w:left="2880" w:hanging="360"/>
      </w:pPr>
      <w:rPr>
        <w:rFonts w:ascii="Symbol" w:hAnsi="Symbol" w:hint="default"/>
      </w:rPr>
    </w:lvl>
    <w:lvl w:ilvl="4" w:tplc="81E241A6" w:tentative="1">
      <w:start w:val="1"/>
      <w:numFmt w:val="bullet"/>
      <w:lvlText w:val="o"/>
      <w:lvlJc w:val="left"/>
      <w:pPr>
        <w:ind w:left="3600" w:hanging="360"/>
      </w:pPr>
      <w:rPr>
        <w:rFonts w:ascii="Courier New" w:hAnsi="Courier New" w:cs="Courier New" w:hint="default"/>
      </w:rPr>
    </w:lvl>
    <w:lvl w:ilvl="5" w:tplc="D9EE1918" w:tentative="1">
      <w:start w:val="1"/>
      <w:numFmt w:val="bullet"/>
      <w:lvlText w:val=""/>
      <w:lvlJc w:val="left"/>
      <w:pPr>
        <w:ind w:left="4320" w:hanging="360"/>
      </w:pPr>
      <w:rPr>
        <w:rFonts w:ascii="Wingdings" w:hAnsi="Wingdings" w:hint="default"/>
      </w:rPr>
    </w:lvl>
    <w:lvl w:ilvl="6" w:tplc="1CA8DE10" w:tentative="1">
      <w:start w:val="1"/>
      <w:numFmt w:val="bullet"/>
      <w:lvlText w:val=""/>
      <w:lvlJc w:val="left"/>
      <w:pPr>
        <w:ind w:left="5040" w:hanging="360"/>
      </w:pPr>
      <w:rPr>
        <w:rFonts w:ascii="Symbol" w:hAnsi="Symbol" w:hint="default"/>
      </w:rPr>
    </w:lvl>
    <w:lvl w:ilvl="7" w:tplc="9F9A786A" w:tentative="1">
      <w:start w:val="1"/>
      <w:numFmt w:val="bullet"/>
      <w:lvlText w:val="o"/>
      <w:lvlJc w:val="left"/>
      <w:pPr>
        <w:ind w:left="5760" w:hanging="360"/>
      </w:pPr>
      <w:rPr>
        <w:rFonts w:ascii="Courier New" w:hAnsi="Courier New" w:cs="Courier New" w:hint="default"/>
      </w:rPr>
    </w:lvl>
    <w:lvl w:ilvl="8" w:tplc="EEE678A6" w:tentative="1">
      <w:start w:val="1"/>
      <w:numFmt w:val="bullet"/>
      <w:lvlText w:val=""/>
      <w:lvlJc w:val="left"/>
      <w:pPr>
        <w:ind w:left="6480" w:hanging="360"/>
      </w:pPr>
      <w:rPr>
        <w:rFonts w:ascii="Wingdings" w:hAnsi="Wingdings" w:hint="default"/>
      </w:rPr>
    </w:lvl>
  </w:abstractNum>
  <w:abstractNum w:abstractNumId="2" w15:restartNumberingAfterBreak="0">
    <w:nsid w:val="442B684F"/>
    <w:multiLevelType w:val="hybridMultilevel"/>
    <w:tmpl w:val="C142924C"/>
    <w:lvl w:ilvl="0" w:tplc="D37857DE">
      <w:start w:val="1"/>
      <w:numFmt w:val="bullet"/>
      <w:lvlText w:val=""/>
      <w:lvlJc w:val="left"/>
      <w:pPr>
        <w:ind w:left="720" w:hanging="360"/>
      </w:pPr>
      <w:rPr>
        <w:rFonts w:ascii="Symbol" w:hAnsi="Symbol" w:hint="default"/>
      </w:rPr>
    </w:lvl>
    <w:lvl w:ilvl="1" w:tplc="435C8CFE">
      <w:start w:val="1"/>
      <w:numFmt w:val="decimal"/>
      <w:lvlText w:val="%2."/>
      <w:lvlJc w:val="left"/>
      <w:pPr>
        <w:tabs>
          <w:tab w:val="num" w:pos="1440"/>
        </w:tabs>
        <w:ind w:left="1440" w:hanging="360"/>
      </w:pPr>
    </w:lvl>
    <w:lvl w:ilvl="2" w:tplc="7126344E">
      <w:start w:val="1"/>
      <w:numFmt w:val="decimal"/>
      <w:lvlText w:val="%3."/>
      <w:lvlJc w:val="left"/>
      <w:pPr>
        <w:tabs>
          <w:tab w:val="num" w:pos="2160"/>
        </w:tabs>
        <w:ind w:left="2160" w:hanging="360"/>
      </w:pPr>
    </w:lvl>
    <w:lvl w:ilvl="3" w:tplc="0220D170">
      <w:start w:val="1"/>
      <w:numFmt w:val="decimal"/>
      <w:lvlText w:val="%4."/>
      <w:lvlJc w:val="left"/>
      <w:pPr>
        <w:tabs>
          <w:tab w:val="num" w:pos="2880"/>
        </w:tabs>
        <w:ind w:left="2880" w:hanging="360"/>
      </w:pPr>
    </w:lvl>
    <w:lvl w:ilvl="4" w:tplc="707CD81A">
      <w:start w:val="1"/>
      <w:numFmt w:val="decimal"/>
      <w:lvlText w:val="%5."/>
      <w:lvlJc w:val="left"/>
      <w:pPr>
        <w:tabs>
          <w:tab w:val="num" w:pos="3600"/>
        </w:tabs>
        <w:ind w:left="3600" w:hanging="360"/>
      </w:pPr>
    </w:lvl>
    <w:lvl w:ilvl="5" w:tplc="1C9260EA">
      <w:start w:val="1"/>
      <w:numFmt w:val="decimal"/>
      <w:lvlText w:val="%6."/>
      <w:lvlJc w:val="left"/>
      <w:pPr>
        <w:tabs>
          <w:tab w:val="num" w:pos="4320"/>
        </w:tabs>
        <w:ind w:left="4320" w:hanging="360"/>
      </w:pPr>
    </w:lvl>
    <w:lvl w:ilvl="6" w:tplc="7A6E74DC">
      <w:start w:val="1"/>
      <w:numFmt w:val="decimal"/>
      <w:lvlText w:val="%7."/>
      <w:lvlJc w:val="left"/>
      <w:pPr>
        <w:tabs>
          <w:tab w:val="num" w:pos="5040"/>
        </w:tabs>
        <w:ind w:left="5040" w:hanging="360"/>
      </w:pPr>
    </w:lvl>
    <w:lvl w:ilvl="7" w:tplc="7556F26A">
      <w:start w:val="1"/>
      <w:numFmt w:val="decimal"/>
      <w:lvlText w:val="%8."/>
      <w:lvlJc w:val="left"/>
      <w:pPr>
        <w:tabs>
          <w:tab w:val="num" w:pos="5760"/>
        </w:tabs>
        <w:ind w:left="5760" w:hanging="360"/>
      </w:pPr>
    </w:lvl>
    <w:lvl w:ilvl="8" w:tplc="4FEC7EB8">
      <w:start w:val="1"/>
      <w:numFmt w:val="decimal"/>
      <w:lvlText w:val="%9."/>
      <w:lvlJc w:val="left"/>
      <w:pPr>
        <w:tabs>
          <w:tab w:val="num" w:pos="6480"/>
        </w:tabs>
        <w:ind w:left="6480" w:hanging="360"/>
      </w:pPr>
    </w:lvl>
  </w:abstractNum>
  <w:abstractNum w:abstractNumId="3" w15:restartNumberingAfterBreak="0">
    <w:nsid w:val="4EE26E83"/>
    <w:multiLevelType w:val="hybridMultilevel"/>
    <w:tmpl w:val="C00C07F0"/>
    <w:lvl w:ilvl="0" w:tplc="AC7CBF60">
      <w:start w:val="1"/>
      <w:numFmt w:val="bullet"/>
      <w:lvlText w:val=""/>
      <w:lvlJc w:val="left"/>
      <w:pPr>
        <w:ind w:left="720" w:hanging="360"/>
      </w:pPr>
      <w:rPr>
        <w:rFonts w:ascii="Symbol" w:hAnsi="Symbol" w:hint="default"/>
      </w:rPr>
    </w:lvl>
    <w:lvl w:ilvl="1" w:tplc="58F07FCA" w:tentative="1">
      <w:start w:val="1"/>
      <w:numFmt w:val="bullet"/>
      <w:lvlText w:val="o"/>
      <w:lvlJc w:val="left"/>
      <w:pPr>
        <w:ind w:left="1440" w:hanging="360"/>
      </w:pPr>
      <w:rPr>
        <w:rFonts w:ascii="Courier New" w:hAnsi="Courier New" w:cs="Courier New" w:hint="default"/>
      </w:rPr>
    </w:lvl>
    <w:lvl w:ilvl="2" w:tplc="CB424676" w:tentative="1">
      <w:start w:val="1"/>
      <w:numFmt w:val="bullet"/>
      <w:lvlText w:val=""/>
      <w:lvlJc w:val="left"/>
      <w:pPr>
        <w:ind w:left="2160" w:hanging="360"/>
      </w:pPr>
      <w:rPr>
        <w:rFonts w:ascii="Wingdings" w:hAnsi="Wingdings" w:hint="default"/>
      </w:rPr>
    </w:lvl>
    <w:lvl w:ilvl="3" w:tplc="94062C26" w:tentative="1">
      <w:start w:val="1"/>
      <w:numFmt w:val="bullet"/>
      <w:lvlText w:val=""/>
      <w:lvlJc w:val="left"/>
      <w:pPr>
        <w:ind w:left="2880" w:hanging="360"/>
      </w:pPr>
      <w:rPr>
        <w:rFonts w:ascii="Symbol" w:hAnsi="Symbol" w:hint="default"/>
      </w:rPr>
    </w:lvl>
    <w:lvl w:ilvl="4" w:tplc="172A0808" w:tentative="1">
      <w:start w:val="1"/>
      <w:numFmt w:val="bullet"/>
      <w:lvlText w:val="o"/>
      <w:lvlJc w:val="left"/>
      <w:pPr>
        <w:ind w:left="3600" w:hanging="360"/>
      </w:pPr>
      <w:rPr>
        <w:rFonts w:ascii="Courier New" w:hAnsi="Courier New" w:cs="Courier New" w:hint="default"/>
      </w:rPr>
    </w:lvl>
    <w:lvl w:ilvl="5" w:tplc="64324ACE" w:tentative="1">
      <w:start w:val="1"/>
      <w:numFmt w:val="bullet"/>
      <w:lvlText w:val=""/>
      <w:lvlJc w:val="left"/>
      <w:pPr>
        <w:ind w:left="4320" w:hanging="360"/>
      </w:pPr>
      <w:rPr>
        <w:rFonts w:ascii="Wingdings" w:hAnsi="Wingdings" w:hint="default"/>
      </w:rPr>
    </w:lvl>
    <w:lvl w:ilvl="6" w:tplc="2C5E8A20" w:tentative="1">
      <w:start w:val="1"/>
      <w:numFmt w:val="bullet"/>
      <w:lvlText w:val=""/>
      <w:lvlJc w:val="left"/>
      <w:pPr>
        <w:ind w:left="5040" w:hanging="360"/>
      </w:pPr>
      <w:rPr>
        <w:rFonts w:ascii="Symbol" w:hAnsi="Symbol" w:hint="default"/>
      </w:rPr>
    </w:lvl>
    <w:lvl w:ilvl="7" w:tplc="90F6B504" w:tentative="1">
      <w:start w:val="1"/>
      <w:numFmt w:val="bullet"/>
      <w:lvlText w:val="o"/>
      <w:lvlJc w:val="left"/>
      <w:pPr>
        <w:ind w:left="5760" w:hanging="360"/>
      </w:pPr>
      <w:rPr>
        <w:rFonts w:ascii="Courier New" w:hAnsi="Courier New" w:cs="Courier New" w:hint="default"/>
      </w:rPr>
    </w:lvl>
    <w:lvl w:ilvl="8" w:tplc="E01885D8" w:tentative="1">
      <w:start w:val="1"/>
      <w:numFmt w:val="bullet"/>
      <w:lvlText w:val=""/>
      <w:lvlJc w:val="left"/>
      <w:pPr>
        <w:ind w:left="6480" w:hanging="360"/>
      </w:pPr>
      <w:rPr>
        <w:rFonts w:ascii="Wingdings" w:hAnsi="Wingdings" w:hint="default"/>
      </w:rPr>
    </w:lvl>
  </w:abstractNum>
  <w:abstractNum w:abstractNumId="4" w15:restartNumberingAfterBreak="0">
    <w:nsid w:val="5894799E"/>
    <w:multiLevelType w:val="hybridMultilevel"/>
    <w:tmpl w:val="F6F01182"/>
    <w:lvl w:ilvl="0" w:tplc="BEEACAAC">
      <w:start w:val="1"/>
      <w:numFmt w:val="decimal"/>
      <w:lvlText w:val="%1."/>
      <w:lvlJc w:val="left"/>
      <w:pPr>
        <w:ind w:left="720" w:hanging="360"/>
      </w:pPr>
    </w:lvl>
    <w:lvl w:ilvl="1" w:tplc="B59824A4">
      <w:start w:val="1"/>
      <w:numFmt w:val="decimal"/>
      <w:lvlText w:val="%2."/>
      <w:lvlJc w:val="left"/>
      <w:pPr>
        <w:tabs>
          <w:tab w:val="num" w:pos="1440"/>
        </w:tabs>
        <w:ind w:left="1440" w:hanging="360"/>
      </w:pPr>
    </w:lvl>
    <w:lvl w:ilvl="2" w:tplc="22D22114">
      <w:start w:val="1"/>
      <w:numFmt w:val="decimal"/>
      <w:lvlText w:val="%3."/>
      <w:lvlJc w:val="left"/>
      <w:pPr>
        <w:tabs>
          <w:tab w:val="num" w:pos="2160"/>
        </w:tabs>
        <w:ind w:left="2160" w:hanging="360"/>
      </w:pPr>
    </w:lvl>
    <w:lvl w:ilvl="3" w:tplc="6BD2B798">
      <w:start w:val="1"/>
      <w:numFmt w:val="decimal"/>
      <w:lvlText w:val="%4."/>
      <w:lvlJc w:val="left"/>
      <w:pPr>
        <w:tabs>
          <w:tab w:val="num" w:pos="2880"/>
        </w:tabs>
        <w:ind w:left="2880" w:hanging="360"/>
      </w:pPr>
    </w:lvl>
    <w:lvl w:ilvl="4" w:tplc="D3E8E2A6">
      <w:start w:val="1"/>
      <w:numFmt w:val="decimal"/>
      <w:lvlText w:val="%5."/>
      <w:lvlJc w:val="left"/>
      <w:pPr>
        <w:tabs>
          <w:tab w:val="num" w:pos="3600"/>
        </w:tabs>
        <w:ind w:left="3600" w:hanging="360"/>
      </w:pPr>
    </w:lvl>
    <w:lvl w:ilvl="5" w:tplc="A76E9DEA">
      <w:start w:val="1"/>
      <w:numFmt w:val="decimal"/>
      <w:lvlText w:val="%6."/>
      <w:lvlJc w:val="left"/>
      <w:pPr>
        <w:tabs>
          <w:tab w:val="num" w:pos="4320"/>
        </w:tabs>
        <w:ind w:left="4320" w:hanging="360"/>
      </w:pPr>
    </w:lvl>
    <w:lvl w:ilvl="6" w:tplc="CC0C5EB8">
      <w:start w:val="1"/>
      <w:numFmt w:val="decimal"/>
      <w:lvlText w:val="%7."/>
      <w:lvlJc w:val="left"/>
      <w:pPr>
        <w:tabs>
          <w:tab w:val="num" w:pos="5040"/>
        </w:tabs>
        <w:ind w:left="5040" w:hanging="360"/>
      </w:pPr>
    </w:lvl>
    <w:lvl w:ilvl="7" w:tplc="43882042">
      <w:start w:val="1"/>
      <w:numFmt w:val="decimal"/>
      <w:lvlText w:val="%8."/>
      <w:lvlJc w:val="left"/>
      <w:pPr>
        <w:tabs>
          <w:tab w:val="num" w:pos="5760"/>
        </w:tabs>
        <w:ind w:left="5760" w:hanging="360"/>
      </w:pPr>
    </w:lvl>
    <w:lvl w:ilvl="8" w:tplc="082020E2">
      <w:start w:val="1"/>
      <w:numFmt w:val="decimal"/>
      <w:lvlText w:val="%9."/>
      <w:lvlJc w:val="left"/>
      <w:pPr>
        <w:tabs>
          <w:tab w:val="num" w:pos="6480"/>
        </w:tabs>
        <w:ind w:left="6480" w:hanging="360"/>
      </w:pPr>
    </w:lvl>
  </w:abstractNum>
  <w:abstractNum w:abstractNumId="5" w15:restartNumberingAfterBreak="0">
    <w:nsid w:val="6963414D"/>
    <w:multiLevelType w:val="hybridMultilevel"/>
    <w:tmpl w:val="F558D334"/>
    <w:lvl w:ilvl="0" w:tplc="D0E44986">
      <w:start w:val="1"/>
      <w:numFmt w:val="lowerLetter"/>
      <w:lvlText w:val="%1)"/>
      <w:lvlJc w:val="left"/>
      <w:pPr>
        <w:ind w:left="705" w:hanging="360"/>
      </w:pPr>
      <w:rPr>
        <w:b/>
        <w:bCs/>
      </w:rPr>
    </w:lvl>
    <w:lvl w:ilvl="1" w:tplc="ED6E3726">
      <w:start w:val="1"/>
      <w:numFmt w:val="bullet"/>
      <w:lvlText w:val="o"/>
      <w:lvlJc w:val="left"/>
      <w:pPr>
        <w:ind w:left="1425" w:hanging="360"/>
      </w:pPr>
      <w:rPr>
        <w:rFonts w:ascii="Courier New" w:hAnsi="Courier New" w:cs="Courier New" w:hint="default"/>
      </w:rPr>
    </w:lvl>
    <w:lvl w:ilvl="2" w:tplc="2844346E">
      <w:start w:val="1"/>
      <w:numFmt w:val="bullet"/>
      <w:lvlText w:val=""/>
      <w:lvlJc w:val="left"/>
      <w:pPr>
        <w:ind w:left="2145" w:hanging="360"/>
      </w:pPr>
      <w:rPr>
        <w:rFonts w:ascii="Wingdings" w:hAnsi="Wingdings" w:hint="default"/>
      </w:rPr>
    </w:lvl>
    <w:lvl w:ilvl="3" w:tplc="EF0EA1F6">
      <w:start w:val="1"/>
      <w:numFmt w:val="bullet"/>
      <w:lvlText w:val=""/>
      <w:lvlJc w:val="left"/>
      <w:pPr>
        <w:ind w:left="2865" w:hanging="360"/>
      </w:pPr>
      <w:rPr>
        <w:rFonts w:ascii="Symbol" w:hAnsi="Symbol" w:hint="default"/>
      </w:rPr>
    </w:lvl>
    <w:lvl w:ilvl="4" w:tplc="EAAA3C5C">
      <w:start w:val="1"/>
      <w:numFmt w:val="bullet"/>
      <w:lvlText w:val="o"/>
      <w:lvlJc w:val="left"/>
      <w:pPr>
        <w:ind w:left="3585" w:hanging="360"/>
      </w:pPr>
      <w:rPr>
        <w:rFonts w:ascii="Courier New" w:hAnsi="Courier New" w:cs="Courier New" w:hint="default"/>
      </w:rPr>
    </w:lvl>
    <w:lvl w:ilvl="5" w:tplc="0F22D65C">
      <w:start w:val="1"/>
      <w:numFmt w:val="bullet"/>
      <w:lvlText w:val=""/>
      <w:lvlJc w:val="left"/>
      <w:pPr>
        <w:ind w:left="4305" w:hanging="360"/>
      </w:pPr>
      <w:rPr>
        <w:rFonts w:ascii="Wingdings" w:hAnsi="Wingdings" w:hint="default"/>
      </w:rPr>
    </w:lvl>
    <w:lvl w:ilvl="6" w:tplc="00F6368E">
      <w:start w:val="1"/>
      <w:numFmt w:val="bullet"/>
      <w:lvlText w:val=""/>
      <w:lvlJc w:val="left"/>
      <w:pPr>
        <w:ind w:left="5025" w:hanging="360"/>
      </w:pPr>
      <w:rPr>
        <w:rFonts w:ascii="Symbol" w:hAnsi="Symbol" w:hint="default"/>
      </w:rPr>
    </w:lvl>
    <w:lvl w:ilvl="7" w:tplc="3158541C">
      <w:start w:val="1"/>
      <w:numFmt w:val="bullet"/>
      <w:lvlText w:val="o"/>
      <w:lvlJc w:val="left"/>
      <w:pPr>
        <w:ind w:left="5745" w:hanging="360"/>
      </w:pPr>
      <w:rPr>
        <w:rFonts w:ascii="Courier New" w:hAnsi="Courier New" w:cs="Courier New" w:hint="default"/>
      </w:rPr>
    </w:lvl>
    <w:lvl w:ilvl="8" w:tplc="2BFCD2CA">
      <w:start w:val="1"/>
      <w:numFmt w:val="bullet"/>
      <w:lvlText w:val=""/>
      <w:lvlJc w:val="left"/>
      <w:pPr>
        <w:ind w:left="6465" w:hanging="360"/>
      </w:pPr>
      <w:rPr>
        <w:rFonts w:ascii="Wingdings" w:hAnsi="Wingdings" w:hint="default"/>
      </w:rPr>
    </w:lvl>
  </w:abstractNum>
  <w:abstractNum w:abstractNumId="6" w15:restartNumberingAfterBreak="0">
    <w:nsid w:val="69860A2E"/>
    <w:multiLevelType w:val="hybridMultilevel"/>
    <w:tmpl w:val="96502A7E"/>
    <w:lvl w:ilvl="0" w:tplc="39AAA386">
      <w:start w:val="1"/>
      <w:numFmt w:val="bullet"/>
      <w:lvlText w:val=""/>
      <w:lvlJc w:val="left"/>
      <w:pPr>
        <w:ind w:left="720" w:hanging="360"/>
      </w:pPr>
      <w:rPr>
        <w:rFonts w:ascii="Symbol" w:hAnsi="Symbol" w:hint="default"/>
      </w:rPr>
    </w:lvl>
    <w:lvl w:ilvl="1" w:tplc="FB8A763A" w:tentative="1">
      <w:start w:val="1"/>
      <w:numFmt w:val="bullet"/>
      <w:lvlText w:val="o"/>
      <w:lvlJc w:val="left"/>
      <w:pPr>
        <w:ind w:left="1440" w:hanging="360"/>
      </w:pPr>
      <w:rPr>
        <w:rFonts w:ascii="Courier New" w:hAnsi="Courier New" w:cs="Courier New" w:hint="default"/>
      </w:rPr>
    </w:lvl>
    <w:lvl w:ilvl="2" w:tplc="EB72FA4E" w:tentative="1">
      <w:start w:val="1"/>
      <w:numFmt w:val="bullet"/>
      <w:lvlText w:val=""/>
      <w:lvlJc w:val="left"/>
      <w:pPr>
        <w:ind w:left="2160" w:hanging="360"/>
      </w:pPr>
      <w:rPr>
        <w:rFonts w:ascii="Wingdings" w:hAnsi="Wingdings" w:hint="default"/>
      </w:rPr>
    </w:lvl>
    <w:lvl w:ilvl="3" w:tplc="3850A000" w:tentative="1">
      <w:start w:val="1"/>
      <w:numFmt w:val="bullet"/>
      <w:lvlText w:val=""/>
      <w:lvlJc w:val="left"/>
      <w:pPr>
        <w:ind w:left="2880" w:hanging="360"/>
      </w:pPr>
      <w:rPr>
        <w:rFonts w:ascii="Symbol" w:hAnsi="Symbol" w:hint="default"/>
      </w:rPr>
    </w:lvl>
    <w:lvl w:ilvl="4" w:tplc="A6E2B3FC" w:tentative="1">
      <w:start w:val="1"/>
      <w:numFmt w:val="bullet"/>
      <w:lvlText w:val="o"/>
      <w:lvlJc w:val="left"/>
      <w:pPr>
        <w:ind w:left="3600" w:hanging="360"/>
      </w:pPr>
      <w:rPr>
        <w:rFonts w:ascii="Courier New" w:hAnsi="Courier New" w:cs="Courier New" w:hint="default"/>
      </w:rPr>
    </w:lvl>
    <w:lvl w:ilvl="5" w:tplc="5588D732" w:tentative="1">
      <w:start w:val="1"/>
      <w:numFmt w:val="bullet"/>
      <w:lvlText w:val=""/>
      <w:lvlJc w:val="left"/>
      <w:pPr>
        <w:ind w:left="4320" w:hanging="360"/>
      </w:pPr>
      <w:rPr>
        <w:rFonts w:ascii="Wingdings" w:hAnsi="Wingdings" w:hint="default"/>
      </w:rPr>
    </w:lvl>
    <w:lvl w:ilvl="6" w:tplc="3C18EF50" w:tentative="1">
      <w:start w:val="1"/>
      <w:numFmt w:val="bullet"/>
      <w:lvlText w:val=""/>
      <w:lvlJc w:val="left"/>
      <w:pPr>
        <w:ind w:left="5040" w:hanging="360"/>
      </w:pPr>
      <w:rPr>
        <w:rFonts w:ascii="Symbol" w:hAnsi="Symbol" w:hint="default"/>
      </w:rPr>
    </w:lvl>
    <w:lvl w:ilvl="7" w:tplc="63FA0C7E" w:tentative="1">
      <w:start w:val="1"/>
      <w:numFmt w:val="bullet"/>
      <w:lvlText w:val="o"/>
      <w:lvlJc w:val="left"/>
      <w:pPr>
        <w:ind w:left="5760" w:hanging="360"/>
      </w:pPr>
      <w:rPr>
        <w:rFonts w:ascii="Courier New" w:hAnsi="Courier New" w:cs="Courier New" w:hint="default"/>
      </w:rPr>
    </w:lvl>
    <w:lvl w:ilvl="8" w:tplc="A4887DAA" w:tentative="1">
      <w:start w:val="1"/>
      <w:numFmt w:val="bullet"/>
      <w:lvlText w:val=""/>
      <w:lvlJc w:val="left"/>
      <w:pPr>
        <w:ind w:left="6480" w:hanging="360"/>
      </w:pPr>
      <w:rPr>
        <w:rFonts w:ascii="Wingdings" w:hAnsi="Wingdings" w:hint="default"/>
      </w:rPr>
    </w:lvl>
  </w:abstractNum>
  <w:abstractNum w:abstractNumId="7" w15:restartNumberingAfterBreak="0">
    <w:nsid w:val="6FF60484"/>
    <w:multiLevelType w:val="multilevel"/>
    <w:tmpl w:val="B95A2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952085"/>
    <w:multiLevelType w:val="hybridMultilevel"/>
    <w:tmpl w:val="688C40EC"/>
    <w:lvl w:ilvl="0" w:tplc="485A1FDC">
      <w:start w:val="1"/>
      <w:numFmt w:val="bullet"/>
      <w:lvlText w:val=""/>
      <w:lvlJc w:val="left"/>
      <w:pPr>
        <w:ind w:left="720" w:hanging="360"/>
      </w:pPr>
      <w:rPr>
        <w:rFonts w:ascii="Symbol" w:hAnsi="Symbol" w:hint="default"/>
      </w:rPr>
    </w:lvl>
    <w:lvl w:ilvl="1" w:tplc="7B84FFC2">
      <w:start w:val="1"/>
      <w:numFmt w:val="decimal"/>
      <w:lvlText w:val="%2."/>
      <w:lvlJc w:val="left"/>
      <w:pPr>
        <w:tabs>
          <w:tab w:val="num" w:pos="1440"/>
        </w:tabs>
        <w:ind w:left="1440" w:hanging="360"/>
      </w:pPr>
    </w:lvl>
    <w:lvl w:ilvl="2" w:tplc="7AB29530">
      <w:start w:val="1"/>
      <w:numFmt w:val="decimal"/>
      <w:lvlText w:val="%3."/>
      <w:lvlJc w:val="left"/>
      <w:pPr>
        <w:tabs>
          <w:tab w:val="num" w:pos="2160"/>
        </w:tabs>
        <w:ind w:left="2160" w:hanging="360"/>
      </w:pPr>
    </w:lvl>
    <w:lvl w:ilvl="3" w:tplc="C6B8021E">
      <w:start w:val="1"/>
      <w:numFmt w:val="decimal"/>
      <w:lvlText w:val="%4."/>
      <w:lvlJc w:val="left"/>
      <w:pPr>
        <w:tabs>
          <w:tab w:val="num" w:pos="2880"/>
        </w:tabs>
        <w:ind w:left="2880" w:hanging="360"/>
      </w:pPr>
    </w:lvl>
    <w:lvl w:ilvl="4" w:tplc="89DA04CC">
      <w:start w:val="1"/>
      <w:numFmt w:val="decimal"/>
      <w:lvlText w:val="%5."/>
      <w:lvlJc w:val="left"/>
      <w:pPr>
        <w:tabs>
          <w:tab w:val="num" w:pos="3600"/>
        </w:tabs>
        <w:ind w:left="3600" w:hanging="360"/>
      </w:pPr>
    </w:lvl>
    <w:lvl w:ilvl="5" w:tplc="6B7A8054">
      <w:start w:val="1"/>
      <w:numFmt w:val="decimal"/>
      <w:lvlText w:val="%6."/>
      <w:lvlJc w:val="left"/>
      <w:pPr>
        <w:tabs>
          <w:tab w:val="num" w:pos="4320"/>
        </w:tabs>
        <w:ind w:left="4320" w:hanging="360"/>
      </w:pPr>
    </w:lvl>
    <w:lvl w:ilvl="6" w:tplc="7744D174">
      <w:start w:val="1"/>
      <w:numFmt w:val="decimal"/>
      <w:lvlText w:val="%7."/>
      <w:lvlJc w:val="left"/>
      <w:pPr>
        <w:tabs>
          <w:tab w:val="num" w:pos="5040"/>
        </w:tabs>
        <w:ind w:left="5040" w:hanging="360"/>
      </w:pPr>
    </w:lvl>
    <w:lvl w:ilvl="7" w:tplc="083C3480">
      <w:start w:val="1"/>
      <w:numFmt w:val="decimal"/>
      <w:lvlText w:val="%8."/>
      <w:lvlJc w:val="left"/>
      <w:pPr>
        <w:tabs>
          <w:tab w:val="num" w:pos="5760"/>
        </w:tabs>
        <w:ind w:left="5760" w:hanging="360"/>
      </w:pPr>
    </w:lvl>
    <w:lvl w:ilvl="8" w:tplc="68E473E4">
      <w:start w:val="1"/>
      <w:numFmt w:val="decimal"/>
      <w:lvlText w:val="%9."/>
      <w:lvlJc w:val="left"/>
      <w:pPr>
        <w:tabs>
          <w:tab w:val="num" w:pos="6480"/>
        </w:tabs>
        <w:ind w:left="6480" w:hanging="360"/>
      </w:pPr>
    </w:lvl>
  </w:abstractNum>
  <w:num w:numId="1" w16cid:durableId="1719932533">
    <w:abstractNumId w:val="5"/>
  </w:num>
  <w:num w:numId="2" w16cid:durableId="877426592">
    <w:abstractNumId w:val="6"/>
  </w:num>
  <w:num w:numId="3" w16cid:durableId="1485199378">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74355687">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3481568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977265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28688106">
    <w:abstractNumId w:val="1"/>
  </w:num>
  <w:num w:numId="8" w16cid:durableId="313796888">
    <w:abstractNumId w:val="3"/>
  </w:num>
  <w:num w:numId="9" w16cid:durableId="14608786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0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eyMDI0MDM0Nzc0NDFS0lEKTi0uzszPAykwrAUAXlkNgiwAAAA="/>
  </w:docVars>
  <w:rsids>
    <w:rsidRoot w:val="003F1451"/>
    <w:rsid w:val="000152C0"/>
    <w:rsid w:val="00051D2A"/>
    <w:rsid w:val="000605E2"/>
    <w:rsid w:val="0008719E"/>
    <w:rsid w:val="000937DB"/>
    <w:rsid w:val="000A3A10"/>
    <w:rsid w:val="000B55AB"/>
    <w:rsid w:val="000D2047"/>
    <w:rsid w:val="000E0BCD"/>
    <w:rsid w:val="000F3E8B"/>
    <w:rsid w:val="0012582D"/>
    <w:rsid w:val="0012766A"/>
    <w:rsid w:val="00142885"/>
    <w:rsid w:val="00147AB8"/>
    <w:rsid w:val="001641BD"/>
    <w:rsid w:val="00173BD7"/>
    <w:rsid w:val="00185B02"/>
    <w:rsid w:val="00191FE5"/>
    <w:rsid w:val="002207DC"/>
    <w:rsid w:val="00263CA8"/>
    <w:rsid w:val="002741A9"/>
    <w:rsid w:val="002912B2"/>
    <w:rsid w:val="002A7CD7"/>
    <w:rsid w:val="002B4EE7"/>
    <w:rsid w:val="002C2652"/>
    <w:rsid w:val="002D761E"/>
    <w:rsid w:val="00300388"/>
    <w:rsid w:val="00302CB6"/>
    <w:rsid w:val="00313EC4"/>
    <w:rsid w:val="00360D19"/>
    <w:rsid w:val="003761F9"/>
    <w:rsid w:val="003928B1"/>
    <w:rsid w:val="003E7211"/>
    <w:rsid w:val="003F1451"/>
    <w:rsid w:val="0040288F"/>
    <w:rsid w:val="00406740"/>
    <w:rsid w:val="00420C5A"/>
    <w:rsid w:val="00434DF1"/>
    <w:rsid w:val="00440BA1"/>
    <w:rsid w:val="004A2A76"/>
    <w:rsid w:val="004B2585"/>
    <w:rsid w:val="004B4F3A"/>
    <w:rsid w:val="004D4400"/>
    <w:rsid w:val="004F07AF"/>
    <w:rsid w:val="00503D9A"/>
    <w:rsid w:val="00516723"/>
    <w:rsid w:val="00563CEB"/>
    <w:rsid w:val="005826E2"/>
    <w:rsid w:val="005A1FDE"/>
    <w:rsid w:val="005D5D8D"/>
    <w:rsid w:val="005E1A3B"/>
    <w:rsid w:val="00604F27"/>
    <w:rsid w:val="00605F33"/>
    <w:rsid w:val="00615B34"/>
    <w:rsid w:val="00626408"/>
    <w:rsid w:val="0065154E"/>
    <w:rsid w:val="0066203E"/>
    <w:rsid w:val="006663ED"/>
    <w:rsid w:val="00677854"/>
    <w:rsid w:val="006904E1"/>
    <w:rsid w:val="00696191"/>
    <w:rsid w:val="006D1D73"/>
    <w:rsid w:val="006E2742"/>
    <w:rsid w:val="007115AA"/>
    <w:rsid w:val="00717152"/>
    <w:rsid w:val="007230A2"/>
    <w:rsid w:val="007259EC"/>
    <w:rsid w:val="007355B7"/>
    <w:rsid w:val="00755D5C"/>
    <w:rsid w:val="0078302C"/>
    <w:rsid w:val="00786BFF"/>
    <w:rsid w:val="007B799E"/>
    <w:rsid w:val="007D0D95"/>
    <w:rsid w:val="00803813"/>
    <w:rsid w:val="00823DDD"/>
    <w:rsid w:val="00830406"/>
    <w:rsid w:val="00846CCE"/>
    <w:rsid w:val="00850029"/>
    <w:rsid w:val="0087595F"/>
    <w:rsid w:val="008901A7"/>
    <w:rsid w:val="008A5232"/>
    <w:rsid w:val="008C4206"/>
    <w:rsid w:val="008D318B"/>
    <w:rsid w:val="0096146F"/>
    <w:rsid w:val="00962962"/>
    <w:rsid w:val="00977787"/>
    <w:rsid w:val="00982B37"/>
    <w:rsid w:val="009D4766"/>
    <w:rsid w:val="009F35D4"/>
    <w:rsid w:val="00A44062"/>
    <w:rsid w:val="00A83EA1"/>
    <w:rsid w:val="00A95668"/>
    <w:rsid w:val="00AC74FA"/>
    <w:rsid w:val="00AD6409"/>
    <w:rsid w:val="00AE6D3B"/>
    <w:rsid w:val="00AF135C"/>
    <w:rsid w:val="00AF1849"/>
    <w:rsid w:val="00B4754B"/>
    <w:rsid w:val="00B614D9"/>
    <w:rsid w:val="00B635D3"/>
    <w:rsid w:val="00B75A07"/>
    <w:rsid w:val="00B87DD3"/>
    <w:rsid w:val="00BA21C1"/>
    <w:rsid w:val="00BA25F3"/>
    <w:rsid w:val="00BC70BA"/>
    <w:rsid w:val="00C0657E"/>
    <w:rsid w:val="00C13F6E"/>
    <w:rsid w:val="00C23753"/>
    <w:rsid w:val="00C43990"/>
    <w:rsid w:val="00C75439"/>
    <w:rsid w:val="00C95FBF"/>
    <w:rsid w:val="00CA5DD8"/>
    <w:rsid w:val="00CB16A6"/>
    <w:rsid w:val="00CC0C0E"/>
    <w:rsid w:val="00CC6C7F"/>
    <w:rsid w:val="00CE1ADB"/>
    <w:rsid w:val="00CE5E1E"/>
    <w:rsid w:val="00CF3D01"/>
    <w:rsid w:val="00CF4F59"/>
    <w:rsid w:val="00D16E5F"/>
    <w:rsid w:val="00D171E9"/>
    <w:rsid w:val="00D256DF"/>
    <w:rsid w:val="00D33E4E"/>
    <w:rsid w:val="00D43564"/>
    <w:rsid w:val="00D50158"/>
    <w:rsid w:val="00D63FCF"/>
    <w:rsid w:val="00DA7DB8"/>
    <w:rsid w:val="00DB489F"/>
    <w:rsid w:val="00DC5839"/>
    <w:rsid w:val="00DD58DD"/>
    <w:rsid w:val="00DD6D55"/>
    <w:rsid w:val="00DF2AF8"/>
    <w:rsid w:val="00E97CB5"/>
    <w:rsid w:val="00EB50CC"/>
    <w:rsid w:val="00F044FF"/>
    <w:rsid w:val="00F1742C"/>
    <w:rsid w:val="00F233A5"/>
    <w:rsid w:val="00F27172"/>
    <w:rsid w:val="00F67DB6"/>
    <w:rsid w:val="00F71FA0"/>
    <w:rsid w:val="00F876DF"/>
    <w:rsid w:val="00FB05D1"/>
    <w:rsid w:val="00FB0B1F"/>
    <w:rsid w:val="00FD139C"/>
    <w:rsid w:val="00FF2516"/>
    <w:rsid w:val="00FF6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C60F5"/>
  <w15:docId w15:val="{ADE70E62-8A9B-4B2D-A1A1-96E90E627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FD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C2652"/>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1ADB"/>
    <w:pPr>
      <w:keepNext/>
      <w:keepLines/>
      <w:spacing w:before="200" w:line="276" w:lineRule="auto"/>
      <w:outlineLvl w:val="1"/>
    </w:pPr>
    <w:rPr>
      <w:rFonts w:asciiTheme="majorHAnsi" w:eastAsiaTheme="majorEastAsia" w:hAnsiTheme="majorHAnsi" w:cstheme="majorBidi"/>
      <w:b/>
      <w:bCs/>
      <w:color w:val="4F81BD" w:themeColor="accent1"/>
      <w:kern w:val="2"/>
      <w:sz w:val="26"/>
      <w:szCs w:val="26"/>
      <w:lang w:eastAsia="en-US"/>
    </w:rPr>
  </w:style>
  <w:style w:type="paragraph" w:styleId="Heading3">
    <w:name w:val="heading 3"/>
    <w:basedOn w:val="Normal"/>
    <w:next w:val="Normal"/>
    <w:link w:val="Heading3Char"/>
    <w:uiPriority w:val="9"/>
    <w:unhideWhenUsed/>
    <w:qFormat/>
    <w:rsid w:val="00406740"/>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652"/>
    <w:rPr>
      <w:rFonts w:asciiTheme="majorHAnsi" w:eastAsiaTheme="majorEastAsia" w:hAnsiTheme="majorHAnsi" w:cstheme="majorBidi"/>
      <w:b/>
      <w:bCs/>
      <w:color w:val="365F91" w:themeColor="accent1" w:themeShade="BF"/>
      <w:sz w:val="28"/>
      <w:szCs w:val="28"/>
      <w:lang w:eastAsia="en-GB"/>
    </w:rPr>
  </w:style>
  <w:style w:type="paragraph" w:styleId="ListParagraph">
    <w:name w:val="List Paragraph"/>
    <w:basedOn w:val="Normal"/>
    <w:uiPriority w:val="34"/>
    <w:qFormat/>
    <w:rsid w:val="00EB50CC"/>
    <w:pPr>
      <w:ind w:left="720"/>
      <w:contextualSpacing/>
    </w:pPr>
  </w:style>
  <w:style w:type="character" w:customStyle="1" w:styleId="Heading2Char">
    <w:name w:val="Heading 2 Char"/>
    <w:basedOn w:val="DefaultParagraphFont"/>
    <w:link w:val="Heading2"/>
    <w:uiPriority w:val="9"/>
    <w:rsid w:val="00CE1ADB"/>
    <w:rPr>
      <w:rFonts w:asciiTheme="majorHAnsi" w:eastAsiaTheme="majorEastAsia" w:hAnsiTheme="majorHAnsi" w:cstheme="majorBidi"/>
      <w:b/>
      <w:bCs/>
      <w:color w:val="4F81BD" w:themeColor="accent1"/>
      <w:kern w:val="2"/>
      <w:sz w:val="26"/>
      <w:szCs w:val="26"/>
    </w:rPr>
  </w:style>
  <w:style w:type="character" w:styleId="Emphasis">
    <w:name w:val="Emphasis"/>
    <w:basedOn w:val="DefaultParagraphFont"/>
    <w:uiPriority w:val="20"/>
    <w:qFormat/>
    <w:rsid w:val="00F67DB6"/>
    <w:rPr>
      <w:i/>
      <w:iCs/>
    </w:rPr>
  </w:style>
  <w:style w:type="paragraph" w:styleId="BalloonText">
    <w:name w:val="Balloon Text"/>
    <w:basedOn w:val="Normal"/>
    <w:link w:val="BalloonTextChar"/>
    <w:uiPriority w:val="99"/>
    <w:semiHidden/>
    <w:unhideWhenUsed/>
    <w:rsid w:val="00D33E4E"/>
    <w:rPr>
      <w:rFonts w:ascii="Tahoma" w:hAnsi="Tahoma" w:cs="Tahoma"/>
      <w:sz w:val="16"/>
      <w:szCs w:val="16"/>
    </w:rPr>
  </w:style>
  <w:style w:type="character" w:customStyle="1" w:styleId="BalloonTextChar">
    <w:name w:val="Balloon Text Char"/>
    <w:basedOn w:val="DefaultParagraphFont"/>
    <w:link w:val="BalloonText"/>
    <w:uiPriority w:val="99"/>
    <w:semiHidden/>
    <w:rsid w:val="00D33E4E"/>
    <w:rPr>
      <w:rFonts w:ascii="Tahoma" w:eastAsia="Times New Roman" w:hAnsi="Tahoma" w:cs="Tahoma"/>
      <w:sz w:val="16"/>
      <w:szCs w:val="16"/>
      <w:lang w:eastAsia="en-GB"/>
    </w:rPr>
  </w:style>
  <w:style w:type="character" w:customStyle="1" w:styleId="Heading3Char">
    <w:name w:val="Heading 3 Char"/>
    <w:basedOn w:val="DefaultParagraphFont"/>
    <w:link w:val="Heading3"/>
    <w:uiPriority w:val="9"/>
    <w:rsid w:val="00406740"/>
    <w:rPr>
      <w:rFonts w:asciiTheme="majorHAnsi" w:eastAsiaTheme="majorEastAsia" w:hAnsiTheme="majorHAnsi" w:cstheme="majorBidi"/>
      <w:b/>
      <w:bCs/>
      <w:color w:val="4F81BD" w:themeColor="accent1"/>
      <w:sz w:val="20"/>
      <w:szCs w:val="20"/>
      <w:lang w:eastAsia="en-GB"/>
    </w:rPr>
  </w:style>
  <w:style w:type="character" w:customStyle="1" w:styleId="yrbpuc">
    <w:name w:val="yrbpuc"/>
    <w:basedOn w:val="DefaultParagraphFont"/>
    <w:rsid w:val="00A83EA1"/>
  </w:style>
  <w:style w:type="paragraph" w:styleId="NormalWeb">
    <w:name w:val="Normal (Web)"/>
    <w:basedOn w:val="Normal"/>
    <w:uiPriority w:val="99"/>
    <w:unhideWhenUsed/>
    <w:rsid w:val="00D16E5F"/>
    <w:pPr>
      <w:spacing w:before="100" w:beforeAutospacing="1" w:after="100" w:afterAutospacing="1"/>
    </w:pPr>
    <w:rPr>
      <w:sz w:val="24"/>
      <w:szCs w:val="24"/>
    </w:rPr>
  </w:style>
  <w:style w:type="table" w:styleId="LightList-Accent5">
    <w:name w:val="Light List Accent 5"/>
    <w:basedOn w:val="TableNormal"/>
    <w:uiPriority w:val="61"/>
    <w:rsid w:val="00D16E5F"/>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Lines="0" w:beforeAutospacing="0" w:afterLines="0" w:afterAutospacing="0" w:line="240" w:lineRule="auto"/>
      </w:pPr>
      <w:rPr>
        <w:b/>
        <w:bCs/>
        <w:color w:val="FFFFFF" w:themeColor="background1"/>
      </w:rPr>
      <w:tblPr/>
      <w:tcPr>
        <w:shd w:val="clear" w:color="auto" w:fill="4BACC6" w:themeFill="accent5"/>
      </w:tcPr>
    </w:tblStylePr>
    <w:tblStylePr w:type="lastRow">
      <w:pPr>
        <w:spacing w:beforeLines="0" w:beforeAutospacing="0" w:afterLines="0" w:afterAutospacing="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styleId="Caption">
    <w:name w:val="caption"/>
    <w:basedOn w:val="Normal"/>
    <w:next w:val="Normal"/>
    <w:uiPriority w:val="35"/>
    <w:unhideWhenUsed/>
    <w:qFormat/>
    <w:rsid w:val="00D16E5F"/>
    <w:pPr>
      <w:spacing w:after="200"/>
    </w:pPr>
    <w:rPr>
      <w:b/>
      <w:bCs/>
      <w:color w:val="4F81BD" w:themeColor="accent1"/>
      <w:sz w:val="18"/>
      <w:szCs w:val="18"/>
    </w:rPr>
  </w:style>
  <w:style w:type="table" w:customStyle="1" w:styleId="MediumShading21">
    <w:name w:val="Medium Shading 21"/>
    <w:basedOn w:val="TableNormal"/>
    <w:uiPriority w:val="64"/>
    <w:rsid w:val="00D16E5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LightList1">
    <w:name w:val="Light List1"/>
    <w:basedOn w:val="TableNormal"/>
    <w:uiPriority w:val="61"/>
    <w:rsid w:val="00D16E5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Bibliography">
    <w:name w:val="Bibliography"/>
    <w:basedOn w:val="Normal"/>
    <w:next w:val="Normal"/>
    <w:uiPriority w:val="37"/>
    <w:unhideWhenUsed/>
    <w:rsid w:val="00803813"/>
  </w:style>
  <w:style w:type="character" w:styleId="Hyperlink">
    <w:name w:val="Hyperlink"/>
    <w:basedOn w:val="DefaultParagraphFont"/>
    <w:uiPriority w:val="99"/>
    <w:unhideWhenUsed/>
    <w:rsid w:val="00803813"/>
    <w:rPr>
      <w:color w:val="0000FF"/>
      <w:u w:val="single"/>
    </w:rPr>
  </w:style>
  <w:style w:type="paragraph" w:styleId="TOC1">
    <w:name w:val="toc 1"/>
    <w:basedOn w:val="Normal"/>
    <w:next w:val="Normal"/>
    <w:autoRedefine/>
    <w:uiPriority w:val="39"/>
    <w:unhideWhenUsed/>
    <w:rsid w:val="00147AB8"/>
    <w:pPr>
      <w:spacing w:after="100"/>
    </w:pPr>
  </w:style>
  <w:style w:type="paragraph" w:styleId="TOC2">
    <w:name w:val="toc 2"/>
    <w:basedOn w:val="Normal"/>
    <w:next w:val="Normal"/>
    <w:autoRedefine/>
    <w:uiPriority w:val="39"/>
    <w:unhideWhenUsed/>
    <w:rsid w:val="00147AB8"/>
    <w:pPr>
      <w:spacing w:after="100"/>
      <w:ind w:left="200"/>
    </w:pPr>
  </w:style>
  <w:style w:type="paragraph" w:styleId="TOC3">
    <w:name w:val="toc 3"/>
    <w:basedOn w:val="Normal"/>
    <w:next w:val="Normal"/>
    <w:autoRedefine/>
    <w:uiPriority w:val="39"/>
    <w:unhideWhenUsed/>
    <w:rsid w:val="00147AB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Ark051</b:Tag>
    <b:SourceType>JournalArticle</b:SourceType>
    <b:Guid>{3FC196D5-176A-414C-8AC0-4ED3745A296B}</b:Guid>
    <b:LCID>0</b:LCID>
    <b:Author>
      <b:Author>
        <b:NameList>
          <b:Person>
            <b:Last>Arksey</b:Last>
            <b:First>Hilary</b:First>
          </b:Person>
          <b:Person>
            <b:Last>O'Malley</b:Last>
            <b:First>Lisa</b:First>
          </b:Person>
        </b:NameList>
      </b:Author>
    </b:Author>
    <b:Title>Scoping studies: towards a methodological framework</b:Title>
    <b:JournalName>International journal of social research methodology </b:JournalName>
    <b:Year>2005</b:Year>
    <b:Pages>19-32</b:Pages>
    <b:Volume>8</b:Volume>
    <b:Issue>1</b:Issue>
    <b:RefOrder>15</b:RefOrder>
  </b:Source>
  <b:Source>
    <b:Tag>Wor26</b:Tag>
    <b:SourceType>InternetSite</b:SourceType>
    <b:Guid>{1CD3A3F5-58C6-4996-87FB-5FA05C597375}</b:Guid>
    <b:LCID>0</b:LCID>
    <b:Author>
      <b:Author>
        <b:Corporate>World Health Organisation</b:Corporate>
      </b:Author>
    </b:Author>
    <b:Title>Classification of digital health interventions v1.0</b:Title>
    <b:Year>2026</b:Year>
    <b:YearAccessed>2026</b:YearAccessed>
    <b:MonthAccessed>March</b:MonthAccessed>
    <b:DayAccessed>5th</b:DayAccessed>
    <b:URL>https://www.who.int/publications/i/item/WHO-RHR-18.06#:~:text=The%20classification%20of%20digital%20health,to%20support%20health%20system%20needs.</b:URL>
    <b:RefOrder>2</b:RefOrder>
  </b:Source>
  <b:Source>
    <b:Tag>Str24</b:Tag>
    <b:SourceType>JournalArticle</b:SourceType>
    <b:Guid>{34FBCE25-897D-4491-B9EE-0CCED1ED9E7A}</b:Guid>
    <b:LCID>0</b:LCID>
    <b:Author>
      <b:Author>
        <b:NameList>
          <b:Person>
            <b:Last>Strati</b:Last>
            <b:First>Myrsini</b:First>
          </b:Person>
          <b:Person>
            <b:Last>Moustaki</b:Last>
            <b:First>Melpomeni</b:First>
          </b:Person>
          <b:Person>
            <b:Last>Psaltopoulou</b:Last>
            <b:First>Theodora</b:First>
          </b:Person>
          <b:Person>
            <b:Last>Vryonidou</b:Last>
            <b:First>Andromachi</b:First>
          </b:Person>
          <b:Person>
            <b:Last>Paschou</b:Last>
            <b:First>Stavroula</b:First>
            <b:Middle>A.</b:Middle>
          </b:Person>
        </b:NameList>
      </b:Author>
    </b:Author>
    <b:Title>Early onset type 2 diabetes mellitus: an update</b:Title>
    <b:Year>2024</b:Year>
    <b:JournalName>Endocrine</b:JournalName>
    <b:Pages>965-978</b:Pages>
    <b:Volume>85</b:Volume>
    <b:Issue>3</b:Issue>
    <b:RefOrder>1</b:RefOrder>
  </b:Source>
  <b:Source>
    <b:Tag>Pal18</b:Tag>
    <b:SourceType>JournalArticle</b:SourceType>
    <b:Guid>{49894C77-8C51-4D6F-9584-C1A8A6DB4CF5}</b:Guid>
    <b:LCID>0</b:LCID>
    <b:Author>
      <b:Author>
        <b:NameList>
          <b:Person>
            <b:Last>Pal</b:Last>
            <b:First>Kingshuk</b:First>
          </b:Person>
          <b:Person>
            <b:Last>Dack</b:Last>
            <b:First>Charlotte</b:First>
          </b:Person>
          <b:Person>
            <b:Last>Ross</b:Last>
            <b:First>Jamie</b:First>
          </b:Person>
          <b:Person>
            <b:Last>Michie</b:Last>
            <b:First>Susan</b:First>
          </b:Person>
          <b:Person>
            <b:Last>May</b:Last>
            <b:First>Carl</b:First>
          </b:Person>
          <b:Person>
            <b:Last>Stevenson</b:Last>
            <b:First>Fiona</b:First>
          </b:Person>
          <b:Person>
            <b:Last>Farmer</b:Last>
            <b:First>Andrew</b:First>
          </b:Person>
          <b:Person>
            <b:Last>Yardley</b:Last>
            <b:First>Lucy</b:First>
          </b:Person>
          <b:Person>
            <b:Last>Barnard</b:Last>
            <b:First>Maria</b:First>
          </b:Person>
          <b:Person>
            <b:Last>Murray</b:Last>
            <b:First>Elizabeth</b:First>
          </b:Person>
        </b:NameList>
      </b:Author>
    </b:Author>
    <b:Title>Digital health interventions for adults with type 2 diabetes: qualitative study of patient perspectives on diabetes self-management education and support</b:Title>
    <b:JournalName>Journal of medical Internet research</b:JournalName>
    <b:Year>2018</b:Year>
    <b:Pages>e40</b:Pages>
    <b:Volume>20</b:Volume>
    <b:Issue>2</b:Issue>
    <b:RefOrder>3</b:RefOrder>
  </b:Source>
  <b:Source>
    <b:Tag>Faq24</b:Tag>
    <b:SourceType>JournalArticle</b:SourceType>
    <b:Guid>{D012DFE4-926A-4467-B5AA-39A794B144A9}</b:Guid>
    <b:LCID>0</b:LCID>
    <b:Author>
      <b:Author>
        <b:NameList>
          <b:Person>
            <b:Last>Faquetti</b:Last>
            <b:First>Maria</b:First>
            <b:Middle>Luisa</b:Middle>
          </b:Person>
          <b:Person>
            <b:Last>Frey</b:Last>
            <b:First>Géraldine</b:First>
          </b:Person>
          <b:Person>
            <b:Last>Stämpfli</b:Last>
            <b:First>Dominik</b:First>
          </b:Person>
          <b:Person>
            <b:Last>Weiler</b:Last>
            <b:First>Stefan</b:First>
          </b:Person>
          <b:Person>
            <b:Last>Burden</b:Last>
            <b:First>Andrea</b:First>
            <b:Middle>M.</b:Middle>
          </b:Person>
        </b:NameList>
      </b:Author>
    </b:Author>
    <b:Title>Prevalence of potentially inappropriate medications among newly treated patients with type 2 diabetes in UK primary care</b:Title>
    <b:JournalName>British Journal of Clinical Pharmacology</b:JournalName>
    <b:Year>2024</b:Year>
    <b:Pages>1376-1394</b:Pages>
    <b:Volume>90</b:Volume>
    <b:Issue>6</b:Issue>
    <b:RefOrder>4</b:RefOrder>
  </b:Source>
  <b:Source>
    <b:Tag>The2511</b:Tag>
    <b:SourceType>InternetSite</b:SourceType>
    <b:Guid>{705B4315-CEF9-4EBB-ABA2-F6413DE87FAC}</b:Guid>
    <b:LCID>0</b:LCID>
    <b:Author>
      <b:Author>
        <b:Corporate>The British Diabetic Association</b:Corporate>
      </b:Author>
    </b:Author>
    <b:Title>How many people in the UK have diabetes?</b:Title>
    <b:Year>2025</b:Year>
    <b:YearAccessed>2026</b:YearAccessed>
    <b:MonthAccessed>March</b:MonthAccessed>
    <b:URL>https://www.diabetes.org.uk/about-us/about-the-charity/our-strategy/statistics</b:URL>
    <b:DayAccessed>5th</b:DayAccessed>
    <b:RefOrder>5</b:RefOrder>
  </b:Source>
  <b:Source>
    <b:Tag>Tur242</b:Tag>
    <b:SourceType>JournalArticle</b:SourceType>
    <b:Guid>{52E498E7-8CE1-4642-8602-4EAA38F88216}</b:Guid>
    <b:LCID>0</b:LCID>
    <b:Author>
      <b:Author>
        <b:NameList>
          <b:Person>
            <b:Last>Turnbull</b:Last>
            <b:First>Sophie</b:First>
          </b:Person>
          <b:Person>
            <b:Last>Cabral</b:Last>
            <b:First>Christie</b:First>
          </b:Person>
        </b:NameList>
      </b:Author>
    </b:Author>
    <b:Title>Inequalities in the ability for people with type 2 diabetes and prediabetes to adapt to the reduction in in-person health support and increased use of digital support during the COVID-19 pandemic and beyond: qualitative study</b:Title>
    <b:Year>2024</b:Year>
    <b:JournalName>JMIR diabetes</b:JournalName>
    <b:Pages>e55201</b:Pages>
    <b:Volume>9</b:Volume>
    <b:Issue>1</b:Issue>
    <b:RefOrder>6</b:RefOrder>
  </b:Source>
  <b:Source>
    <b:Tag>May26</b:Tag>
    <b:SourceType>Book</b:SourceType>
    <b:Guid>{96A3042D-65C0-4408-8A5A-B83BD9AFD451}</b:Guid>
    <b:LCID>0</b:LCID>
    <b:Author>
      <b:Author>
        <b:NameList>
          <b:Person>
            <b:Last>May</b:Last>
            <b:First>Chris</b:First>
          </b:Person>
        </b:NameList>
      </b:Author>
    </b:Author>
    <b:Title>Data-Driven Healthcare: From information to impact in the digital age</b:Title>
    <b:Year>2026</b:Year>
    <b:Publisher>Right Book Press</b:Publisher>
    <b:RefOrder>7</b:RefOrder>
  </b:Source>
  <b:Source>
    <b:Tag>NHS256</b:Tag>
    <b:SourceType>InternetSite</b:SourceType>
    <b:Guid>{2649F833-5385-4DC6-ABDD-751CA8DEF8F2}</b:Guid>
    <b:LCID>0</b:LCID>
    <b:Author>
      <b:Author>
        <b:Corporate>NHS England</b:Corporate>
      </b:Author>
    </b:Author>
    <b:Title>News</b:Title>
    <b:Year>2025</b:Year>
    <b:YearAccessed>2026</b:YearAccessed>
    <b:MonthAccessed>March</b:MonthAccessed>
    <b:DayAccessed>6th</b:DayAccessed>
    <b:URL>https://www.england.nhs.uk/2024/06/nhs-identifies-over-half-a-million-more-people-at-risk-of-type-2-diabetes-in-a-year/</b:URL>
    <b:RefOrder>8</b:RefOrder>
  </b:Source>
  <b:Source>
    <b:Tag>Cha182</b:Tag>
    <b:SourceType>JournalArticle</b:SourceType>
    <b:Guid>{AEE31911-B1F8-4F60-B0C9-E6C7ABF38F37}</b:Guid>
    <b:LCID>0</b:LCID>
    <b:Author>
      <b:Author>
        <b:NameList>
          <b:Person>
            <b:Last>Chatterjee</b:Last>
            <b:First>Sudesna</b:First>
          </b:Person>
          <b:Person>
            <b:Last>Davies</b:Last>
            <b:First>Melanie</b:First>
            <b:Middle>J.</b:Middle>
          </b:Person>
          <b:Person>
            <b:Last>Heller</b:Last>
            <b:First>Simon</b:First>
          </b:Person>
          <b:Person>
            <b:Last>Speight</b:Last>
            <b:First>Jane</b:First>
          </b:Person>
          <b:Person>
            <b:Last>Snoek</b:Last>
            <b:First>Frank</b:First>
            <b:Middle>J.</b:Middle>
          </b:Person>
          <b:Person>
            <b:Last>Khunti</b:Last>
            <b:First>Kamlesh</b:First>
          </b:Person>
        </b:NameList>
      </b:Author>
    </b:Author>
    <b:Title>Diabetes structured self-management education programmes: a narrative review and current innovations</b:Title>
    <b:Year>2018</b:Year>
    <b:JournalName>The Lancet Diabetes &amp; Endocrinology</b:JournalName>
    <b:Pages>130-142</b:Pages>
    <b:Volume>6</b:Volume>
    <b:Issue>2</b:Issue>
    <b:RefOrder>9</b:RefOrder>
  </b:Source>
  <b:Source>
    <b:Tag>Car251</b:Tag>
    <b:SourceType>JournalArticle</b:SourceType>
    <b:Guid>{BCF8FD01-5ECA-4981-9FAE-744603BD5CDB}</b:Guid>
    <b:LCID>0</b:LCID>
    <b:Author>
      <b:Author>
        <b:NameList>
          <b:Person>
            <b:Last>Carvalho</b:Last>
            <b:First>Márcia</b:First>
          </b:Person>
          <b:Person>
            <b:Last>Morrissey</b:Last>
            <b:First>Eimear</b:First>
          </b:Person>
          <b:Person>
            <b:Last>Dunne</b:Last>
            <b:First>Pauline</b:First>
          </b:Person>
          <b:Person>
            <b:Last>Drury</b:Last>
            <b:First>Amanda</b:First>
          </b:Person>
          <b:Person>
            <b:Last>Byrne</b:Last>
            <b:First>Molly</b:First>
          </b:Person>
          <b:Person>
            <b:Last>McSharry</b:Last>
            <b:First>Jenny</b:First>
          </b:Person>
        </b:NameList>
      </b:Author>
    </b:Author>
    <b:Title>Understanding behaviour change maintenance after attending a self‐management education and support programme for type 2 diabetes: A longitudinal qualitative study</b:Title>
    <b:JournalName>Diabetic Medicine</b:JournalName>
    <b:Year>2025</b:Year>
    <b:Pages>e70032</b:Pages>
    <b:Volume>42</b:Volume>
    <b:Issue>6</b:Issue>
    <b:RefOrder>10</b:RefOrder>
  </b:Source>
  <b:Source>
    <b:Tag>NHS257</b:Tag>
    <b:SourceType>InternetSite</b:SourceType>
    <b:Guid>{35D14102-7C00-41F7-9BC4-65FDB3E6C49D}</b:Guid>
    <b:LCID>0</b:LCID>
    <b:Author>
      <b:Author>
        <b:Corporate>NHS England</b:Corporate>
      </b:Author>
    </b:Author>
    <b:Title>Digital innovations in diabetes</b:Title>
    <b:Year>2025</b:Year>
    <b:YearAccessed>2026</b:YearAccessed>
    <b:MonthAccessed>March</b:MonthAccessed>
    <b:DayAccessed>6th</b:DayAccessed>
    <b:URL>https://www.england.nhs.uk/diabetes/digital-innovations-to-support-diabetes-outcomes/</b:URL>
    <b:RefOrder>11</b:RefOrder>
  </b:Source>
  <b:Source>
    <b:Tag>Cro221</b:Tag>
    <b:SourceType>JournalArticle</b:SourceType>
    <b:Guid>{C1511F27-1675-48DF-B556-7FCA4108D851}</b:Guid>
    <b:LCID>0</b:LCID>
    <b:Author>
      <b:Author>
        <b:NameList>
          <b:Person>
            <b:Last>Crowley</b:Last>
            <b:First>Matthew</b:First>
            <b:Middle>J</b:Middle>
          </b:Person>
          <b:Person>
            <b:Last>Tarkington</b:Last>
            <b:First>Phillip</b:First>
            <b:Middle>E.</b:Middle>
          </b:Person>
          <b:Person>
            <b:Last>Bosworth</b:Last>
            <b:First>Hayden</b:First>
            <b:Middle>B.</b:Middle>
          </b:Person>
          <b:Person>
            <b:Last>Jeffreys</b:Last>
            <b:First>Amy</b:First>
            <b:Middle>S.</b:Middle>
          </b:Person>
          <b:Person>
            <b:Last>Coffman</b:Last>
            <b:First>Cynthia</b:First>
            <b:Middle>J.</b:Middle>
          </b:Person>
          <b:Person>
            <b:Last>Maciejewski</b:Last>
            <b:First>Matthew</b:First>
            <b:Middle>L.</b:Middle>
          </b:Person>
          <b:Person>
            <b:Last>Steinhauser</b:Last>
            <b:First>Karen</b:First>
          </b:Person>
        </b:NameList>
      </b:Author>
    </b:Author>
    <b:Title>Effect of a comprehensive telehealth intervention vs telemonitoring and care coordination in patients with persistently poor type 2 diabetes control: a randomized clinical trial</b:Title>
    <b:Year>2022</b:Year>
    <b:JournalName>JAMA internal medicine</b:JournalName>
    <b:Pages>943-952</b:Pages>
    <b:Volume>182</b:Volume>
    <b:Issue>9</b:Issue>
    <b:RefOrder>12</b:RefOrder>
  </b:Source>
  <b:Source>
    <b:Tag>Man245</b:Tag>
    <b:SourceType>JournalArticle</b:SourceType>
    <b:Guid>{351C89E8-0FF5-4502-8F19-979B49D058A1}</b:Guid>
    <b:LCID>0</b:LCID>
    <b:Author>
      <b:Author>
        <b:NameList>
          <b:Person>
            <b:Last>Mannoubi</b:Last>
            <b:First>Choumous</b:First>
          </b:Person>
          <b:Person>
            <b:Last>Kairy</b:Last>
            <b:First>Dahlia</b:First>
          </b:Person>
          <b:Person>
            <b:Last>Menezes</b:Last>
            <b:First>Karla</b:First>
            <b:Middle>Vanessa</b:Middle>
          </b:Person>
          <b:Person>
            <b:Last>Desroches</b:Last>
            <b:First>Sophie</b:First>
          </b:Person>
          <b:Person>
            <b:Last>Layani</b:Last>
            <b:First>Geraldine</b:First>
          </b:Person>
          <b:Person>
            <b:Last>Vachon</b:Last>
            <b:First>Brigitte</b:First>
          </b:Person>
        </b:NameList>
      </b:Author>
    </b:Author>
    <b:Title>The key digital tool features of complex telehealth interventions used for type 2 diabetes self-management and monitoring with health professional involvement: scoping review</b:Title>
    <b:JournalName>JMIR Medical Informatics</b:JournalName>
    <b:Year>2024</b:Year>
    <b:Pages>e46699</b:Pages>
    <b:Volume>12</b:Volume>
    <b:RefOrder>13</b:RefOrder>
  </b:Source>
  <b:Source>
    <b:Tag>Mos23</b:Tag>
    <b:SourceType>JournalArticle</b:SourceType>
    <b:Guid>{E15DDDDB-4577-44E0-99BC-AA6E034A3766}</b:Guid>
    <b:LCID>0</b:LCID>
    <b:Author>
      <b:Author>
        <b:NameList>
          <b:Person>
            <b:Last>Moschonis</b:Last>
            <b:First>George</b:First>
          </b:Person>
          <b:Person>
            <b:Last>Siopis</b:Last>
            <b:First>George</b:First>
          </b:Person>
          <b:Person>
            <b:Last>Jung</b:Last>
            <b:First>Jenny</b:First>
          </b:Person>
          <b:Person>
            <b:Last>Eweka</b:Last>
            <b:First>Evette</b:First>
          </b:Person>
          <b:Person>
            <b:Last>Willems</b:Last>
            <b:First>Ruben</b:First>
          </b:Person>
          <b:Person>
            <b:Last>Kwasnicka</b:Last>
            <b:First>Dominika</b:First>
          </b:Person>
          <b:Person>
            <b:Last>Asare</b:Last>
            <b:First>Bernard</b:First>
            <b:Middle>Yeboah-Asiamah</b:Middle>
          </b:Person>
        </b:NameList>
      </b:Author>
    </b:Author>
    <b:Title>Effectiveness, reach, uptake, and feasibility of digital health interventions for adults with type 2 diabetes: a systematic review and meta-analysis of randomised controlled trials</b:Title>
    <b:JournalName>The Lancet Digital Health</b:JournalName>
    <b:Year>2023</b:Year>
    <b:Pages>e125-e143</b:Pages>
    <b:Volume>5</b:Volume>
    <b:Issue>3</b:Issue>
    <b:RefOrder>14</b:RefOrder>
  </b:Source>
  <b:Source>
    <b:Tag>War21</b:Tag>
    <b:SourceType>JournalArticle</b:SourceType>
    <b:Guid>{AD996C23-9F1F-4BEB-94BD-A94CD1BC873A}</b:Guid>
    <b:LCID>0</b:LCID>
    <b:Author>
      <b:Author>
        <b:NameList>
          <b:Person>
            <b:Last>Warr</b:Last>
            <b:First>William</b:First>
          </b:Person>
          <b:Person>
            <b:Last>Aveyard</b:Last>
            <b:First>Paul</b:First>
          </b:Person>
          <b:Person>
            <b:Last>Albury</b:Last>
            <b:First>Charlotte</b:First>
          </b:Person>
          <b:Person>
            <b:Last>Nicholson</b:Last>
            <b:First>Brian</b:First>
          </b:Person>
          <b:Person>
            <b:Last>Tudor</b:Last>
            <b:First>Kate</b:First>
          </b:Person>
          <b:Person>
            <b:Last>Hobbs</b:Last>
            <b:First>Richard</b:First>
          </b:Person>
          <b:Person>
            <b:Last>Roberts</b:Last>
            <b:First>Nia</b:First>
          </b:Person>
          <b:Person>
            <b:Last>Ziebland</b:Last>
            <b:First>Sue</b:First>
          </b:Person>
        </b:NameList>
      </b:Author>
    </b:Author>
    <b:Title>A systematic review and thematic synthesis of qualitative studies exploring GPs' and nurses' perspectives on discussing weight with patients with overweight and obesity in primary care</b:Title>
    <b:JournalName>Obesity Reviews </b:JournalName>
    <b:Year>2021</b:Year>
    <b:Pages>e13151</b:Pages>
    <b:Volume>22</b:Volume>
    <b:Issue>4</b:Issue>
    <b:RefOrder>16</b:RefOrder>
  </b:Source>
  <b:Source>
    <b:Tag>Haw24</b:Tag>
    <b:SourceType>JournalArticle</b:SourceType>
    <b:Guid>{38ABF829-F7D0-428B-8077-9DDF91871889}</b:Guid>
    <b:LCID>0</b:LCID>
    <b:Author>
      <b:Author>
        <b:NameList>
          <b:Person>
            <b:Last>Hawkes</b:Last>
            <b:First>Rhiannon</b:First>
            <b:Middle>E</b:Middle>
          </b:Person>
          <b:Person>
            <b:Last>Benton</b:Last>
            <b:First>Jack</b:First>
            <b:Middle>S.</b:Middle>
          </b:Person>
          <b:Person>
            <b:Last>Cotterill</b:Last>
            <b:First>Sarah</b:First>
          </b:Person>
          <b:Person>
            <b:Last>Sanders</b:Last>
            <b:First>Caroline</b:First>
          </b:Person>
          <b:Person>
            <b:Last>French</b:Last>
            <b:First>David</b:First>
            <b:Middle>P.</b:Middle>
          </b:Person>
        </b:NameList>
      </b:Author>
    </b:Author>
    <b:Title>Service users’ experiences of a nationwide digital type 2 diabetes self-management intervention (Healthy Living): qualitative interview study</b:Title>
    <b:JournalName>JMIR diabetes</b:JournalName>
    <b:Year>2024</b:Year>
    <b:Pages>e56276</b:Pages>
    <b:Volume>9</b:Volume>
    <b:Issue>1</b:Issue>
    <b:RefOrder>21</b:RefOrder>
  </b:Source>
  <b:Source>
    <b:Tag>Bar22</b:Tag>
    <b:SourceType>JournalArticle</b:SourceType>
    <b:Guid>{38EA086C-A0D5-409B-BC56-DB56C9D91C53}</b:Guid>
    <b:LCID>0</b:LCID>
    <b:Author>
      <b:Author>
        <b:NameList>
          <b:Person>
            <b:Last>Baradez</b:Last>
            <b:First>Cecile</b:First>
          </b:Person>
          <b:Person>
            <b:Last>Liska</b:Last>
            <b:First>Jan</b:First>
          </b:Person>
          <b:Person>
            <b:Last>Brulle-Wohlhueter</b:Last>
            <b:First>Claire</b:First>
          </b:Person>
          <b:Person>
            <b:Last>Pushkarna</b:Last>
            <b:First>Divya</b:First>
          </b:Person>
          <b:Person>
            <b:Last>Baxter</b:Last>
            <b:First>Mike</b:First>
          </b:Person>
          <b:Person>
            <b:Last>Piette</b:Last>
            <b:First>John</b:First>
          </b:Person>
        </b:NameList>
      </b:Author>
    </b:Author>
    <b:Title>Brief digital solutions in behavior change interventions for type 2 diabetes mellitus: a literature review</b:Title>
    <b:JournalName>Diabetes Therapy</b:JournalName>
    <b:Year>2022</b:Year>
    <b:Pages>635-649</b:Pages>
    <b:Volume>13</b:Volume>
    <b:Issue>4</b:Issue>
    <b:RefOrder>19</b:RefOrder>
  </b:Source>
  <b:Source>
    <b:Tag>Gla24</b:Tag>
    <b:SourceType>JournalArticle</b:SourceType>
    <b:Guid>{F447B47B-2CB0-4408-9806-34907F99EA52}</b:Guid>
    <b:LCID>0</b:LCID>
    <b:Author>
      <b:Author>
        <b:NameList>
          <b:Person>
            <b:Last>Glavas</b:Last>
            <b:First>Costas</b:First>
          </b:Person>
          <b:Person>
            <b:Last>Scott</b:Last>
            <b:First>David</b:First>
          </b:Person>
          <b:Person>
            <b:Last>Sood</b:Last>
            <b:First>Surbhi</b:First>
          </b:Person>
          <b:Person>
            <b:Last>George</b:Last>
            <b:First>Elena</b:First>
            <b:Middle>S.</b:Middle>
          </b:Person>
          <b:Person>
            <b:Last>Daly</b:Last>
            <b:First>Robin</b:First>
            <b:Middle>M.</b:Middle>
          </b:Person>
          <b:Person>
            <b:Last>Gvozdenko</b:Last>
            <b:First>Eugene</b:First>
          </b:Person>
          <b:Person>
            <b:Last>Courten</b:Last>
            <b:First>Barbora</b:First>
            <b:Middle>de</b:Middle>
          </b:Person>
          <b:Person>
            <b:Last>Jansons</b:Last>
            <b:First>Paul</b:First>
          </b:Person>
        </b:NameList>
      </b:Author>
    </b:Author>
    <b:Title>Exploring the feasibility of digital voice assistants for delivery of a home-based exercise intervention in older adults with obesity and type 2 diabetes mellitus: randomized controlled trial</b:Title>
    <b:JournalName>JMIR aging</b:JournalName>
    <b:Year>2024</b:Year>
    <b:Pages>e53064</b:Pages>
    <b:Volume>7</b:Volume>
    <b:Issue>1</b:Issue>
    <b:RefOrder>20</b:RefOrder>
  </b:Source>
  <b:Source>
    <b:Tag>Alk17</b:Tag>
    <b:SourceType>JournalArticle</b:SourceType>
    <b:Guid>{F2411C6E-C91A-432E-97E6-E516AF4E5ADB}</b:Guid>
    <b:LCID>0</b:LCID>
    <b:Author>
      <b:Author>
        <b:NameList>
          <b:Person>
            <b:Last>Alkhaldi</b:Last>
            <b:First>Ghadah</b:First>
          </b:Person>
          <b:Person>
            <b:Last>Modrow</b:Last>
            <b:First>Kerstin</b:First>
          </b:Person>
          <b:Person>
            <b:Last>Hamilton</b:Last>
            <b:First>Fiona</b:First>
          </b:Person>
          <b:Person>
            <b:Last>Pal</b:Last>
            <b:First>Kingshuk</b:First>
          </b:Person>
          <b:Person>
            <b:Last>Ross</b:Last>
            <b:First>Jamie</b:First>
          </b:Person>
          <b:Person>
            <b:Last>Murray</b:Last>
            <b:First>Elizabeth</b:First>
          </b:Person>
        </b:NameList>
      </b:Author>
    </b:Author>
    <b:Title>Promoting engagement with a digital health intervention (HeLP-Diabetes) using email and text message prompts: mixed-methods study</b:Title>
    <b:JournalName>Interactive journal of medical research</b:JournalName>
    <b:Year>2017</b:Year>
    <b:Pages>e6952</b:Pages>
    <b:Volume>6</b:Volume>
    <b:Issue>2</b:Issue>
    <b:RefOrder>17</b:RefOrder>
  </b:Source>
  <b:Source>
    <b:Tag>Mur171</b:Tag>
    <b:SourceType>JournalArticle</b:SourceType>
    <b:Guid>{4349FBD8-2C0F-43B3-AF42-F67B1A776ADE}</b:Guid>
    <b:LCID>0</b:LCID>
    <b:Author>
      <b:Author>
        <b:NameList>
          <b:Person>
            <b:Last>Murray</b:Last>
            <b:First>Elizabeth</b:First>
          </b:Person>
          <b:Person>
            <b:Last>Sweeting</b:Last>
            <b:First>Michael</b:First>
          </b:Person>
          <b:Person>
            <b:Last>Dack</b:Last>
            <b:First>Charlotte</b:First>
          </b:Person>
          <b:Person>
            <b:Last>Pal</b:Last>
            <b:First>Kingshuk</b:First>
          </b:Person>
          <b:Person>
            <b:Last>Modrow</b:Last>
            <b:First>Kerstin</b:First>
          </b:Person>
          <b:Person>
            <b:Last>Hudda</b:Last>
            <b:First>Mohammed</b:First>
          </b:Person>
          <b:Person>
            <b:Last>al</b:Last>
            <b:First>Jinshuo</b:First>
            <b:Middle>Li et</b:Middle>
          </b:Person>
        </b:NameList>
      </b:Author>
    </b:Author>
    <b:Title>Web-based self-management support for people with type 2 diabetes (HeLP-Diabetes): randomised controlled trial in English primary care</b:Title>
    <b:JournalName>BMJ open</b:JournalName>
    <b:Year>2017</b:Year>
    <b:Pages>e016009</b:Pages>
    <b:Volume>7</b:Volume>
    <b:Issue>9</b:Issue>
    <b:RefOrder>18</b:RefOrder>
  </b:Source>
</b:Sources>
</file>

<file path=customXml/itemProps1.xml><?xml version="1.0" encoding="utf-8"?>
<ds:datastoreItem xmlns:ds="http://schemas.openxmlformats.org/officeDocument/2006/customXml" ds:itemID="{9E02AA9A-A24B-47EA-9AB1-EF72D07C64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5040</Words>
  <Characters>28728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Hajar Orriti</cp:lastModifiedBy>
  <cp:revision>2</cp:revision>
  <dcterms:created xsi:type="dcterms:W3CDTF">2026-03-29T01:20:00Z</dcterms:created>
  <dcterms:modified xsi:type="dcterms:W3CDTF">2026-03-29T01:20:00Z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27c6d694-3c7f-40e6-9096-be0b86ccf5ee</vt:lpwstr>
  </property>
</Properties>
</file>