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p>
    <w:p>
      <w:pPr>
        <w:spacing w:before="90" w:after="90" w:line="360"/>
        <w:ind w:right="0" w:left="0" w:firstLine="0"/>
        <w:jc w:val="center"/>
        <w:rPr>
          <w:rFonts w:ascii="Times New Roman" w:hAnsi="Times New Roman" w:cs="Times New Roman" w:eastAsia="Times New Roman"/>
          <w:b/>
          <w:color w:val="222222"/>
          <w:spacing w:val="0"/>
          <w:position w:val="0"/>
          <w:sz w:val="24"/>
          <w:shd w:fill="FFFFFF" w:val="clear"/>
        </w:rPr>
      </w:pPr>
    </w:p>
    <w:p>
      <w:pPr>
        <w:spacing w:before="90" w:after="90" w:line="360"/>
        <w:ind w:right="0" w:left="0" w:firstLine="0"/>
        <w:jc w:val="center"/>
        <w:rPr>
          <w:rFonts w:ascii="Times New Roman" w:hAnsi="Times New Roman" w:cs="Times New Roman" w:eastAsia="Times New Roman"/>
          <w:b/>
          <w:color w:val="222222"/>
          <w:spacing w:val="0"/>
          <w:position w:val="0"/>
          <w:sz w:val="52"/>
          <w:shd w:fill="FFFFFF"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52"/>
          <w:shd w:fill="auto" w:val="clear"/>
        </w:rPr>
        <w:t xml:space="preserve">The marketing plan is written for Premier Inn.</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Constantin Laurentiu Buculei</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number:2215333</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Essentials BMIH4005</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Lecturer: Chris Wilkin</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5583" w:dyaOrig="1865">
          <v:rect xmlns:o="urn:schemas-microsoft-com:office:office" xmlns:v="urn:schemas-microsoft-com:vml" id="rectole0000000000" style="width:279.150000pt;height:93.2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Introduction</w:t>
      </w: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core purpose of the marketing plan is to increase customer engagement for Premier Inn. Premier Inn is among the largest hotel brand in the United Kingdom. The brand operates its hotel in various location that includes suburbs, airports and city centres. The following marketing plan will adopt different theories and frameworks for framing the SOSTAC marketing model. Moreover, with the plan, situational analysis, objectives, strategy, tactics, action and control process will be discussed. Adoption of the marketing plan will be helpful in accomplishing the set objectives, which will eventually lead to improving overall performance. </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Situation Analysis</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5 'C's</w:t>
      </w:r>
    </w:p>
    <w:p>
      <w:pPr>
        <w:spacing w:before="90" w:after="90" w:line="360"/>
        <w:ind w:right="0" w:left="0" w:firstLine="0"/>
        <w:jc w:val="both"/>
        <w:rPr>
          <w:rFonts w:ascii="Times New Roman" w:hAnsi="Times New Roman" w:cs="Times New Roman" w:eastAsia="Times New Roman"/>
          <w:color w:val="222222"/>
          <w:spacing w:val="0"/>
          <w:position w:val="0"/>
          <w:sz w:val="24"/>
          <w:u w:val="single"/>
          <w:shd w:fill="FFFFFF" w:val="clear"/>
        </w:rPr>
      </w:pPr>
      <w:r>
        <w:rPr>
          <w:rFonts w:ascii="Times New Roman" w:hAnsi="Times New Roman" w:cs="Times New Roman" w:eastAsia="Times New Roman"/>
          <w:b/>
          <w:color w:val="222222"/>
          <w:spacing w:val="0"/>
          <w:position w:val="0"/>
          <w:sz w:val="24"/>
          <w:shd w:fill="FFFFFF" w:val="clear"/>
        </w:rPr>
        <w:t xml:space="preserve">Company:</w:t>
      </w:r>
      <w:r>
        <w:rPr>
          <w:rFonts w:ascii="Times New Roman" w:hAnsi="Times New Roman" w:cs="Times New Roman" w:eastAsia="Times New Roman"/>
          <w:color w:val="222222"/>
          <w:spacing w:val="0"/>
          <w:position w:val="0"/>
          <w:sz w:val="24"/>
          <w:shd w:fill="FFFFFF" w:val="clear"/>
        </w:rPr>
        <w:t xml:space="preserve"> SWOT analysis</w:t>
      </w:r>
    </w:p>
    <w:tbl>
      <w:tblPr/>
      <w:tblGrid>
        <w:gridCol w:w="4621"/>
        <w:gridCol w:w="4621"/>
      </w:tblGrid>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Strengths</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Weaknesses</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0"/>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Strong presence </w:t>
            </w:r>
          </w:p>
          <w:p>
            <w:pPr>
              <w:numPr>
                <w:ilvl w:val="0"/>
                <w:numId w:val="10"/>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Largest hotel chain </w:t>
            </w:r>
          </w:p>
          <w:p>
            <w:pPr>
              <w:numPr>
                <w:ilvl w:val="0"/>
                <w:numId w:val="10"/>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Diversified services </w:t>
            </w:r>
          </w:p>
          <w:p>
            <w:pPr>
              <w:numPr>
                <w:ilvl w:val="0"/>
                <w:numId w:val="10"/>
              </w:numPr>
              <w:spacing w:before="90" w:after="90" w:line="360"/>
              <w:ind w:right="0" w:left="720" w:hanging="360"/>
              <w:jc w:val="both"/>
              <w:rPr>
                <w:spacing w:val="0"/>
                <w:position w:val="0"/>
              </w:rPr>
            </w:pPr>
            <w:r>
              <w:rPr>
                <w:rFonts w:ascii="Times New Roman" w:hAnsi="Times New Roman" w:cs="Times New Roman" w:eastAsia="Times New Roman"/>
                <w:color w:val="222222"/>
                <w:spacing w:val="0"/>
                <w:position w:val="0"/>
                <w:sz w:val="24"/>
                <w:shd w:fill="auto" w:val="clear"/>
              </w:rPr>
              <w:t xml:space="preserve">Strong brand image (</w:t>
            </w:r>
            <w:r>
              <w:rPr>
                <w:rFonts w:ascii="Times New Roman" w:hAnsi="Times New Roman" w:cs="Times New Roman" w:eastAsia="Times New Roman"/>
                <w:color w:val="222222"/>
                <w:spacing w:val="0"/>
                <w:position w:val="0"/>
                <w:sz w:val="24"/>
                <w:shd w:fill="FFFFFF" w:val="clear"/>
              </w:rPr>
              <w:t xml:space="preserve">George 2021)</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0"/>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Limited global presence</w:t>
            </w:r>
          </w:p>
          <w:p>
            <w:pPr>
              <w:numPr>
                <w:ilvl w:val="0"/>
                <w:numId w:val="10"/>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Customer complaint</w:t>
            </w:r>
          </w:p>
          <w:p>
            <w:pPr>
              <w:numPr>
                <w:ilvl w:val="0"/>
                <w:numId w:val="10"/>
              </w:numPr>
              <w:spacing w:before="90" w:after="90" w:line="360"/>
              <w:ind w:right="0" w:left="720" w:hanging="360"/>
              <w:jc w:val="both"/>
              <w:rPr>
                <w:spacing w:val="0"/>
                <w:position w:val="0"/>
              </w:rPr>
            </w:pPr>
            <w:r>
              <w:rPr>
                <w:rFonts w:ascii="Times New Roman" w:hAnsi="Times New Roman" w:cs="Times New Roman" w:eastAsia="Times New Roman"/>
                <w:color w:val="222222"/>
                <w:spacing w:val="0"/>
                <w:position w:val="0"/>
                <w:sz w:val="24"/>
                <w:shd w:fill="auto" w:val="clear"/>
              </w:rPr>
              <w:t xml:space="preserve">Issues with services (</w:t>
            </w:r>
            <w:r>
              <w:rPr>
                <w:rFonts w:ascii="Times New Roman" w:hAnsi="Times New Roman" w:cs="Times New Roman" w:eastAsia="Times New Roman"/>
                <w:color w:val="222222"/>
                <w:spacing w:val="0"/>
                <w:position w:val="0"/>
                <w:sz w:val="24"/>
                <w:shd w:fill="FFFFFF" w:val="clear"/>
              </w:rPr>
              <w:t xml:space="preserve">Tarrant 2018)</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Opportunities</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Threats </w:t>
            </w:r>
          </w:p>
        </w:tc>
      </w:tr>
      <w:tr>
        <w:trPr>
          <w:trHeight w:val="1" w:hRule="atLeast"/>
          <w:jc w:val="left"/>
        </w:trPr>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4"/>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Market development</w:t>
            </w:r>
          </w:p>
          <w:p>
            <w:pPr>
              <w:numPr>
                <w:ilvl w:val="0"/>
                <w:numId w:val="14"/>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Invest in digital marketing</w:t>
            </w:r>
          </w:p>
          <w:p>
            <w:pPr>
              <w:numPr>
                <w:ilvl w:val="0"/>
                <w:numId w:val="14"/>
              </w:numPr>
              <w:spacing w:before="90" w:after="90" w:line="360"/>
              <w:ind w:right="0" w:left="720" w:hanging="36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The building value of the brand through customer experience </w:t>
            </w:r>
          </w:p>
        </w:tc>
        <w:tc>
          <w:tcPr>
            <w:tcW w:w="4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4"/>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Intense competition (</w:t>
            </w:r>
            <w:r>
              <w:rPr>
                <w:rFonts w:ascii="Times New Roman" w:hAnsi="Times New Roman" w:cs="Times New Roman" w:eastAsia="Times New Roman"/>
                <w:color w:val="222222"/>
                <w:spacing w:val="0"/>
                <w:position w:val="0"/>
                <w:sz w:val="24"/>
                <w:shd w:fill="FFFFFF" w:val="clear"/>
              </w:rPr>
              <w:t xml:space="preserve">Rashideh, 2020)</w:t>
            </w:r>
          </w:p>
          <w:p>
            <w:pPr>
              <w:numPr>
                <w:ilvl w:val="0"/>
                <w:numId w:val="14"/>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Risk of legal threats </w:t>
            </w:r>
          </w:p>
          <w:p>
            <w:pPr>
              <w:spacing w:before="90" w:after="90" w:line="360"/>
              <w:ind w:right="0" w:left="360" w:firstLine="0"/>
              <w:jc w:val="both"/>
              <w:rPr>
                <w:spacing w:val="0"/>
                <w:position w:val="0"/>
              </w:rPr>
            </w:pPr>
          </w:p>
        </w:tc>
      </w:tr>
    </w:tbl>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Customers:</w:t>
      </w:r>
      <w:r>
        <w:rPr>
          <w:rFonts w:ascii="Times New Roman" w:hAnsi="Times New Roman" w:cs="Times New Roman" w:eastAsia="Times New Roman"/>
          <w:color w:val="222222"/>
          <w:spacing w:val="0"/>
          <w:position w:val="0"/>
          <w:sz w:val="24"/>
          <w:shd w:fill="FFFFFF" w:val="clear"/>
        </w:rPr>
        <w:t xml:space="preserve"> Segmentation and Targeting/ Customer profiles'</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target customers for the developed marketing plan will be individual travellers and families. People who prefer luxurious services but in a budget-friendly manner. The brand will position itself as a business that provides high-quality services with a luxurious stay. The target market will be the people who prefer the quality of services and experience but in a reasonable price range (Freeman 2020). </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Competitors:</w:t>
      </w:r>
      <w:r>
        <w:rPr>
          <w:rFonts w:ascii="Times New Roman" w:hAnsi="Times New Roman" w:cs="Times New Roman" w:eastAsia="Times New Roman"/>
          <w:color w:val="222222"/>
          <w:spacing w:val="0"/>
          <w:position w:val="0"/>
          <w:sz w:val="24"/>
          <w:shd w:fill="FFFFFF" w:val="clear"/>
        </w:rPr>
        <w:t xml:space="preserve"> Porter's five forces</w:t>
      </w:r>
    </w:p>
    <w:tbl>
      <w:tblPr/>
      <w:tblGrid>
        <w:gridCol w:w="2898"/>
        <w:gridCol w:w="6344"/>
      </w:tblGrid>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The threat of new entrants  (Low)</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0"/>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Huge capital is required</w:t>
            </w:r>
          </w:p>
          <w:p>
            <w:pPr>
              <w:numPr>
                <w:ilvl w:val="0"/>
                <w:numId w:val="20"/>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Already existing brands</w:t>
            </w:r>
          </w:p>
          <w:p>
            <w:pPr>
              <w:numPr>
                <w:ilvl w:val="0"/>
                <w:numId w:val="20"/>
              </w:numPr>
              <w:spacing w:before="90" w:after="90" w:line="360"/>
              <w:ind w:right="0" w:left="720" w:hanging="360"/>
              <w:jc w:val="both"/>
              <w:rPr>
                <w:spacing w:val="0"/>
                <w:position w:val="0"/>
              </w:rPr>
            </w:pPr>
            <w:r>
              <w:rPr>
                <w:rFonts w:ascii="Times New Roman" w:hAnsi="Times New Roman" w:cs="Times New Roman" w:eastAsia="Times New Roman"/>
                <w:color w:val="222222"/>
                <w:spacing w:val="0"/>
                <w:position w:val="0"/>
                <w:sz w:val="24"/>
                <w:shd w:fill="auto" w:val="clear"/>
              </w:rPr>
              <w:t xml:space="preserve">Investment required in innovation (</w:t>
            </w:r>
            <w:r>
              <w:rPr>
                <w:rFonts w:ascii="Times New Roman" w:hAnsi="Times New Roman" w:cs="Times New Roman" w:eastAsia="Times New Roman"/>
                <w:color w:val="222222"/>
                <w:spacing w:val="0"/>
                <w:position w:val="0"/>
                <w:sz w:val="24"/>
                <w:shd w:fill="FFFFFF" w:val="clear"/>
              </w:rPr>
              <w:t xml:space="preserve">Lu and Tabari 2019)</w:t>
            </w:r>
          </w:p>
        </w:tc>
      </w:tr>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Power of suppliers (Low)</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4"/>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Many suppliers are present</w:t>
            </w:r>
          </w:p>
          <w:p>
            <w:pPr>
              <w:numPr>
                <w:ilvl w:val="0"/>
                <w:numId w:val="24"/>
              </w:numPr>
              <w:spacing w:before="90" w:after="90" w:line="360"/>
              <w:ind w:right="0" w:left="720" w:hanging="360"/>
              <w:jc w:val="both"/>
              <w:rPr>
                <w:spacing w:val="0"/>
                <w:position w:val="0"/>
              </w:rPr>
            </w:pPr>
            <w:r>
              <w:rPr>
                <w:rFonts w:ascii="Times New Roman" w:hAnsi="Times New Roman" w:cs="Times New Roman" w:eastAsia="Times New Roman"/>
                <w:color w:val="222222"/>
                <w:spacing w:val="0"/>
                <w:position w:val="0"/>
                <w:sz w:val="24"/>
                <w:shd w:fill="auto" w:val="clear"/>
              </w:rPr>
              <w:t xml:space="preserve">Quality of service majorly depends on trained staff (</w:t>
            </w:r>
            <w:r>
              <w:rPr>
                <w:rFonts w:ascii="Times New Roman" w:hAnsi="Times New Roman" w:cs="Times New Roman" w:eastAsia="Times New Roman"/>
                <w:color w:val="222222"/>
                <w:spacing w:val="0"/>
                <w:position w:val="0"/>
                <w:sz w:val="24"/>
                <w:shd w:fill="FFFFFF" w:val="clear"/>
              </w:rPr>
              <w:t xml:space="preserve">Huang Yin, Goh and Law 2019)</w:t>
            </w:r>
          </w:p>
        </w:tc>
      </w:tr>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Power of buyer (high) </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7"/>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Many options are available</w:t>
            </w:r>
          </w:p>
          <w:p>
            <w:pPr>
              <w:numPr>
                <w:ilvl w:val="0"/>
                <w:numId w:val="27"/>
              </w:numPr>
              <w:spacing w:before="90" w:after="90" w:line="360"/>
              <w:ind w:right="0" w:left="720" w:hanging="36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Third-party like tour operators and airlines are involved</w:t>
            </w:r>
          </w:p>
        </w:tc>
      </w:tr>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The threat of substitute (High)</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0"/>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Substitutes are available</w:t>
            </w:r>
          </w:p>
          <w:p>
            <w:pPr>
              <w:numPr>
                <w:ilvl w:val="0"/>
                <w:numId w:val="30"/>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Low-cost hotels and motels options (</w:t>
            </w:r>
            <w:r>
              <w:rPr>
                <w:rFonts w:ascii="Times New Roman" w:hAnsi="Times New Roman" w:cs="Times New Roman" w:eastAsia="Times New Roman"/>
                <w:color w:val="222222"/>
                <w:spacing w:val="0"/>
                <w:position w:val="0"/>
                <w:sz w:val="24"/>
                <w:shd w:fill="FFFFFF" w:val="clear"/>
              </w:rPr>
              <w:t xml:space="preserve">Ofori and Appiah-Nimo 2022)</w:t>
            </w:r>
          </w:p>
          <w:p>
            <w:pPr>
              <w:numPr>
                <w:ilvl w:val="0"/>
                <w:numId w:val="30"/>
              </w:numPr>
              <w:spacing w:before="90" w:after="90" w:line="360"/>
              <w:ind w:right="0" w:left="720" w:hanging="360"/>
              <w:jc w:val="both"/>
              <w:rPr>
                <w:spacing w:val="0"/>
                <w:position w:val="0"/>
              </w:rPr>
            </w:pPr>
            <w:r>
              <w:rPr>
                <w:rFonts w:ascii="Times New Roman" w:hAnsi="Times New Roman" w:cs="Times New Roman" w:eastAsia="Times New Roman"/>
                <w:color w:val="222222"/>
                <w:spacing w:val="0"/>
                <w:position w:val="0"/>
                <w:sz w:val="24"/>
                <w:shd w:fill="auto" w:val="clear"/>
              </w:rPr>
              <w:t xml:space="preserve">Switching cost is low </w:t>
            </w:r>
          </w:p>
        </w:tc>
      </w:tr>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Competition in the industry (High)</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3"/>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Many brands are available </w:t>
            </w:r>
          </w:p>
          <w:p>
            <w:pPr>
              <w:numPr>
                <w:ilvl w:val="0"/>
                <w:numId w:val="33"/>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Have a loyal customer base</w:t>
            </w:r>
          </w:p>
          <w:p>
            <w:pPr>
              <w:numPr>
                <w:ilvl w:val="0"/>
                <w:numId w:val="33"/>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The cost of product differentiation is low</w:t>
            </w:r>
          </w:p>
          <w:p>
            <w:pPr>
              <w:numPr>
                <w:ilvl w:val="0"/>
                <w:numId w:val="33"/>
              </w:numPr>
              <w:spacing w:before="90" w:after="90" w:line="360"/>
              <w:ind w:right="0" w:left="720" w:hanging="360"/>
              <w:jc w:val="both"/>
              <w:rPr>
                <w:spacing w:val="0"/>
                <w:position w:val="0"/>
              </w:rPr>
            </w:pPr>
            <w:r>
              <w:rPr>
                <w:rFonts w:ascii="Times New Roman" w:hAnsi="Times New Roman" w:cs="Times New Roman" w:eastAsia="Times New Roman"/>
                <w:color w:val="222222"/>
                <w:spacing w:val="0"/>
                <w:position w:val="0"/>
                <w:sz w:val="24"/>
                <w:shd w:fill="auto" w:val="clear"/>
              </w:rPr>
              <w:t xml:space="preserve">Low switching cost (</w:t>
            </w:r>
            <w:r>
              <w:rPr>
                <w:rFonts w:ascii="Times New Roman" w:hAnsi="Times New Roman" w:cs="Times New Roman" w:eastAsia="Times New Roman"/>
                <w:color w:val="222222"/>
                <w:spacing w:val="0"/>
                <w:position w:val="0"/>
                <w:sz w:val="24"/>
                <w:shd w:fill="FFFFFF" w:val="clear"/>
              </w:rPr>
              <w:t xml:space="preserve">Singjai, Winant and Kumme 2018)</w:t>
            </w:r>
          </w:p>
        </w:tc>
      </w:tr>
    </w:tbl>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Collaborators:</w:t>
      </w:r>
      <w:r>
        <w:rPr>
          <w:rFonts w:ascii="Times New Roman" w:hAnsi="Times New Roman" w:cs="Times New Roman" w:eastAsia="Times New Roman"/>
          <w:color w:val="222222"/>
          <w:spacing w:val="0"/>
          <w:position w:val="0"/>
          <w:sz w:val="24"/>
          <w:shd w:fill="FFFFFF" w:val="clear"/>
        </w:rPr>
        <w:t xml:space="preserve"> </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primary aim of Premier Inn is to develop long-term relationships with its customers, which is done through providing high-quality services. This is helpful in maintaining a strong position in the market. Along with this, the focus is also given to effective communication between the different teams in order to make sure that high performance should be maintained. </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color w:val="222222"/>
          <w:spacing w:val="0"/>
          <w:position w:val="0"/>
          <w:sz w:val="24"/>
          <w:u w:val="single"/>
          <w:shd w:fill="FFFFFF" w:val="clear"/>
        </w:rPr>
      </w:pPr>
      <w:r>
        <w:rPr>
          <w:rFonts w:ascii="Times New Roman" w:hAnsi="Times New Roman" w:cs="Times New Roman" w:eastAsia="Times New Roman"/>
          <w:b/>
          <w:color w:val="222222"/>
          <w:spacing w:val="0"/>
          <w:position w:val="0"/>
          <w:sz w:val="24"/>
          <w:shd w:fill="FFFFFF" w:val="clear"/>
        </w:rPr>
        <w:t xml:space="preserve">Climate:</w:t>
      </w:r>
      <w:r>
        <w:rPr>
          <w:rFonts w:ascii="Times New Roman" w:hAnsi="Times New Roman" w:cs="Times New Roman" w:eastAsia="Times New Roman"/>
          <w:color w:val="222222"/>
          <w:spacing w:val="0"/>
          <w:position w:val="0"/>
          <w:sz w:val="24"/>
          <w:shd w:fill="FFFFFF" w:val="clear"/>
        </w:rPr>
        <w:t xml:space="preserve"> PESTLE</w:t>
      </w:r>
    </w:p>
    <w:tbl>
      <w:tblPr/>
      <w:tblGrid>
        <w:gridCol w:w="2898"/>
        <w:gridCol w:w="6344"/>
      </w:tblGrid>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Political factors</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8"/>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Change in government regulations and policies</w:t>
            </w:r>
          </w:p>
          <w:p>
            <w:pPr>
              <w:numPr>
                <w:ilvl w:val="0"/>
                <w:numId w:val="38"/>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Stable political condition</w:t>
            </w:r>
          </w:p>
          <w:p>
            <w:pPr>
              <w:numPr>
                <w:ilvl w:val="0"/>
                <w:numId w:val="38"/>
              </w:numPr>
              <w:spacing w:before="90" w:after="90" w:line="360"/>
              <w:ind w:right="0" w:left="720" w:hanging="360"/>
              <w:jc w:val="both"/>
              <w:rPr>
                <w:spacing w:val="0"/>
                <w:position w:val="0"/>
              </w:rPr>
            </w:pPr>
            <w:r>
              <w:rPr>
                <w:rFonts w:ascii="Times New Roman" w:hAnsi="Times New Roman" w:cs="Times New Roman" w:eastAsia="Times New Roman"/>
                <w:color w:val="222222"/>
                <w:spacing w:val="0"/>
                <w:position w:val="0"/>
                <w:sz w:val="24"/>
                <w:shd w:fill="auto" w:val="clear"/>
              </w:rPr>
              <w:t xml:space="preserve">Tax reforms (</w:t>
            </w:r>
            <w:r>
              <w:rPr>
                <w:rFonts w:ascii="Times New Roman" w:hAnsi="Times New Roman" w:cs="Times New Roman" w:eastAsia="Times New Roman"/>
                <w:color w:val="222222"/>
                <w:spacing w:val="0"/>
                <w:position w:val="0"/>
                <w:sz w:val="24"/>
                <w:shd w:fill="FFFFFF" w:val="clear"/>
              </w:rPr>
              <w:t xml:space="preserve">Churchman and Longhurst 2022)</w:t>
            </w:r>
          </w:p>
        </w:tc>
      </w:tr>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Economic factors</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2"/>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Stable economic environment</w:t>
            </w:r>
          </w:p>
          <w:p>
            <w:pPr>
              <w:numPr>
                <w:ilvl w:val="0"/>
                <w:numId w:val="42"/>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Decrease in pound value</w:t>
            </w:r>
          </w:p>
          <w:p>
            <w:pPr>
              <w:numPr>
                <w:ilvl w:val="0"/>
                <w:numId w:val="42"/>
              </w:numPr>
              <w:spacing w:before="90" w:after="90" w:line="360"/>
              <w:ind w:right="0" w:left="720" w:hanging="360"/>
              <w:jc w:val="both"/>
              <w:rPr>
                <w:spacing w:val="0"/>
                <w:position w:val="0"/>
              </w:rPr>
            </w:pPr>
            <w:r>
              <w:rPr>
                <w:rFonts w:ascii="Times New Roman" w:hAnsi="Times New Roman" w:cs="Times New Roman" w:eastAsia="Times New Roman"/>
                <w:color w:val="222222"/>
                <w:spacing w:val="0"/>
                <w:position w:val="0"/>
                <w:sz w:val="24"/>
                <w:shd w:fill="auto" w:val="clear"/>
              </w:rPr>
              <w:t xml:space="preserve">Decrease in the inflation rate (</w:t>
            </w:r>
            <w:r>
              <w:rPr>
                <w:rFonts w:ascii="Times New Roman" w:hAnsi="Times New Roman" w:cs="Times New Roman" w:eastAsia="Times New Roman"/>
                <w:color w:val="222222"/>
                <w:spacing w:val="0"/>
                <w:position w:val="0"/>
                <w:sz w:val="24"/>
                <w:shd w:fill="FFFFFF" w:val="clear"/>
              </w:rPr>
              <w:t xml:space="preserve">Walker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2019)</w:t>
            </w:r>
          </w:p>
        </w:tc>
      </w:tr>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Social factors</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5"/>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The travel ban had lifted</w:t>
            </w:r>
          </w:p>
          <w:p>
            <w:pPr>
              <w:numPr>
                <w:ilvl w:val="0"/>
                <w:numId w:val="45"/>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People have started travelling</w:t>
            </w:r>
          </w:p>
          <w:p>
            <w:pPr>
              <w:numPr>
                <w:ilvl w:val="0"/>
                <w:numId w:val="45"/>
              </w:numPr>
              <w:spacing w:before="90" w:after="90" w:line="360"/>
              <w:ind w:right="0" w:left="720" w:hanging="36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Looking for a safe and secure environment</w:t>
            </w:r>
          </w:p>
        </w:tc>
      </w:tr>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Technological factors</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8"/>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Advancement in technology</w:t>
            </w:r>
          </w:p>
          <w:p>
            <w:pPr>
              <w:numPr>
                <w:ilvl w:val="0"/>
                <w:numId w:val="48"/>
              </w:numPr>
              <w:spacing w:before="90" w:after="90" w:line="360"/>
              <w:ind w:right="0" w:left="720" w:hanging="360"/>
              <w:jc w:val="both"/>
              <w:rPr>
                <w:spacing w:val="0"/>
                <w:position w:val="0"/>
              </w:rPr>
            </w:pPr>
            <w:r>
              <w:rPr>
                <w:rFonts w:ascii="Times New Roman" w:hAnsi="Times New Roman" w:cs="Times New Roman" w:eastAsia="Times New Roman"/>
                <w:color w:val="222222"/>
                <w:spacing w:val="0"/>
                <w:position w:val="0"/>
                <w:sz w:val="24"/>
                <w:shd w:fill="auto" w:val="clear"/>
              </w:rPr>
              <w:t xml:space="preserve">Leads to innovation (</w:t>
            </w:r>
            <w:r>
              <w:rPr>
                <w:rFonts w:ascii="Times New Roman" w:hAnsi="Times New Roman" w:cs="Times New Roman" w:eastAsia="Times New Roman"/>
                <w:color w:val="222222"/>
                <w:spacing w:val="0"/>
                <w:position w:val="0"/>
                <w:sz w:val="24"/>
                <w:shd w:fill="FFFFFF" w:val="clear"/>
              </w:rPr>
              <w:t xml:space="preserve">Yang, Petersen and Qualter, 2022)</w:t>
            </w:r>
          </w:p>
        </w:tc>
      </w:tr>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Legal factors</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51"/>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Labour laws and regulations</w:t>
            </w:r>
          </w:p>
          <w:p>
            <w:pPr>
              <w:numPr>
                <w:ilvl w:val="0"/>
                <w:numId w:val="51"/>
              </w:numPr>
              <w:spacing w:before="90" w:after="90" w:line="360"/>
              <w:ind w:right="0" w:left="720" w:hanging="36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Focus on equal pay and discrimination law</w:t>
            </w:r>
          </w:p>
        </w:tc>
      </w:tr>
      <w:tr>
        <w:trPr>
          <w:trHeight w:val="1" w:hRule="atLeast"/>
          <w:jc w:val="left"/>
        </w:trPr>
        <w:tc>
          <w:tcPr>
            <w:tcW w:w="28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90" w:after="90" w:line="360"/>
              <w:ind w:right="0" w:left="0" w:firstLine="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Environmental factors </w:t>
            </w:r>
          </w:p>
        </w:tc>
        <w:tc>
          <w:tcPr>
            <w:tcW w:w="6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54"/>
              </w:numPr>
              <w:spacing w:before="90" w:after="90" w:line="360"/>
              <w:ind w:right="0" w:left="720" w:hanging="36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Ensure sustainability</w:t>
            </w:r>
          </w:p>
          <w:p>
            <w:pPr>
              <w:numPr>
                <w:ilvl w:val="0"/>
                <w:numId w:val="54"/>
              </w:numPr>
              <w:spacing w:before="90" w:after="90" w:line="360"/>
              <w:ind w:right="0" w:left="720" w:hanging="360"/>
              <w:jc w:val="both"/>
              <w:rPr>
                <w:spacing w:val="0"/>
                <w:position w:val="0"/>
                <w:shd w:fill="auto" w:val="clear"/>
              </w:rPr>
            </w:pPr>
            <w:r>
              <w:rPr>
                <w:rFonts w:ascii="Times New Roman" w:hAnsi="Times New Roman" w:cs="Times New Roman" w:eastAsia="Times New Roman"/>
                <w:color w:val="222222"/>
                <w:spacing w:val="0"/>
                <w:position w:val="0"/>
                <w:sz w:val="24"/>
                <w:shd w:fill="auto" w:val="clear"/>
              </w:rPr>
              <w:t xml:space="preserve">Reduce carbon emission </w:t>
            </w:r>
          </w:p>
        </w:tc>
      </w:tr>
    </w:tbl>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Objectives</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-SMART target:</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primary aim of the marketing plan is to increase customer engagement with the brand. This will be helpful in increasing sales and building a strong brand value in the market. Following are some of the objectives that would be accomplished with the marketing plan.</w:t>
      </w:r>
    </w:p>
    <w:p>
      <w:pPr>
        <w:numPr>
          <w:ilvl w:val="0"/>
          <w:numId w:val="57"/>
        </w:numPr>
        <w:spacing w:before="90" w:after="90" w:line="360"/>
        <w:ind w:right="0" w:left="720" w:hanging="36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To increase customer engagement on social media by 5% by mid of 2023.</w:t>
      </w:r>
    </w:p>
    <w:p>
      <w:pPr>
        <w:numPr>
          <w:ilvl w:val="0"/>
          <w:numId w:val="57"/>
        </w:numPr>
        <w:spacing w:before="90" w:after="90" w:line="360"/>
        <w:ind w:right="0" w:left="720" w:hanging="36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To increase online traffic on different social media by 10% by the end of 2023. </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Strategy</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In terms of value proposition, Premier Inn focuses on its customers and makes sure that high-quality services should be provided. With that, the emphasis is on striving to perform at their best in every operation (Freeman 2020). Along with this, the management of the brand makes sure that each customer should have a unique experience and should be provided with quality services. In addition to this, the high quality of services is provided in a budget-friendly manner. Taking into consideration the Bowman strategic clock, Premier Inn falls under the category of Hybrid. This means that the brand adopts low prices and, with that, also focuses on differentiation. With that, the focus is on making sure that the price is competitive alongside providing added value to the customers in order to ensure that they are satisfied with the brand. With that, the management ensures that the customers should be provided with quality care and services as it shall be helpful in building strong brand value and eventually leads to an increase in the customer base. </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Tactics</w:t>
      </w: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Marketing mix: </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100" w:after="10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-Product –</w:t>
      </w: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Premier Inn offer its customers high-quality services, which are both tangible and intangible. The different services provided are the primary product of the brand; some of the major services include lodging, restaurants, a swimming pool, a gym and auxiliary services. With that there are different rooms also available, for example, family room, single room and deluxe room, different services are available at different prices. </w:t>
      </w: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-Place (Distribution) – </w:t>
      </w: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brand is operating in different cities in the United Kingdom alongside some other countries as well (Page 2019). Referring to distribution Premier Inn uses both direct and indirect methods. With an indirect approach, the different players include wholesalers, online parties and travel agencies. Along with this, airline companies also book rooms for their travellers in case of a missed flight or any other issue. Furthermore, through a direct approach, bookings can be made through the official website alongside the mobile application. </w:t>
      </w: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-Price –</w:t>
      </w: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In terms of pricing, Premier Inn focuses on the level of demand for setting their prices for rooms. Along with this, if rooms are booked earlier, saver rates are also provided. This can be checked on the official website of the hotel alongside the different social media platforms. Moreover, in peak sessions, competitive pricing is also adopted, which means that prices are set by taking into consideration the prices which are offered by the other major players in the market. </w:t>
      </w: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-Promotion –</w:t>
      </w:r>
      <w:r>
        <w:rPr>
          <w:rFonts w:ascii="Times New Roman" w:hAnsi="Times New Roman" w:cs="Times New Roman" w:eastAsia="Times New Roman"/>
          <w:color w:val="222222"/>
          <w:spacing w:val="0"/>
          <w:position w:val="0"/>
          <w:sz w:val="24"/>
          <w:shd w:fill="FFFFFF" w:val="clear"/>
        </w:rPr>
        <w:t xml:space="preserve"> </w:t>
      </w: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For the promotion strategies, the focus will be majorly given on the social media platforms; the majority of the activities will be done on the different social media pages. The promotion strategies will be largely implemented by taking into consideration the RACE model. This means that firstly the primary goal will be set for the current marketing plan to increase customer engagement; in the next step, the focus will be growing the customer base. Along with this, different mediums and activities will be used to increase interactions with the target audience. This shall be helpful in increasing online traffic on the different social media platforms and eventually leads to increased customer engagement. </w:t>
      </w:r>
    </w:p>
    <w:p>
      <w:pPr>
        <w:spacing w:before="100" w:after="10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222222"/>
          <w:spacing w:val="0"/>
          <w:position w:val="0"/>
          <w:sz w:val="24"/>
          <w:shd w:fill="auto"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Action</w: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object w:dxaOrig="8664" w:dyaOrig="2697">
          <v:rect xmlns:o="urn:schemas-microsoft-com:office:office" xmlns:v="urn:schemas-microsoft-com:vml" id="rectole0000000001" style="width:433.200000pt;height:134.8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primary marketing channel adopted for the plan is social media channels, one of the major reasons for selecting the particular medium is because of its increasing demand. According to Li, Larimo and Leonidou (2021), many customers are seeking hotel information and its related services on their social media pages. Referring to this, Ebrahim (2020) mentioned that without effective marketing on social media, it is most likely that the inbound traffic would be limited to the usual customers. Effective marketing strategies and adequate use of social media would be helpful in increasing online traffic, which will eventually lead to increased customer engagement. </w:t>
      </w: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Control</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The USP of the brand is its high quality of services alongside the primary focus on the customers. The brand believes that they should provide services and experiences to the customers that they will remember for a long time and should visit the hotel again. Customised customer experience will be the primary focus of the brand. Success can be measured through the repeat visits of the customers along with this positive feedback can also be helpful in measuring success. An increase in online users would also be helpful in measuring the success level of the overall marketing plan.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b/>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Conclusion</w:t>
      </w: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With the analysis, it is concluded that Premier Inn is focusing on providing effective services to its target customers. Along with this, in order to maintain its position and increase its sales, it is necessary that focus should be given to increasing customer engagement. In order to do so, it is suggested that social media platforms should be used. This shall be helpful in increasing awareness alongside would also be helpful in building a strong relationship with the customers. </w:t>
      </w: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100" w:after="10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100" w:after="10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222222"/>
          <w:spacing w:val="0"/>
          <w:position w:val="0"/>
          <w:sz w:val="24"/>
          <w:shd w:fill="auto" w:val="clear"/>
        </w:rPr>
      </w:pP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References</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Churchman, P. and Longhurst, N., 2022. Where is our delivery? The political and socio-technical roadblocks to decarbonising United Kingdom road freight. </w:t>
      </w:r>
      <w:r>
        <w:rPr>
          <w:rFonts w:ascii="Times New Roman" w:hAnsi="Times New Roman" w:cs="Times New Roman" w:eastAsia="Times New Roman"/>
          <w:i/>
          <w:color w:val="222222"/>
          <w:spacing w:val="0"/>
          <w:position w:val="0"/>
          <w:sz w:val="24"/>
          <w:shd w:fill="FFFFFF" w:val="clear"/>
        </w:rPr>
        <w:t xml:space="preserve">Energy Research &amp; Social Science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83</w:t>
      </w:r>
      <w:r>
        <w:rPr>
          <w:rFonts w:ascii="Times New Roman" w:hAnsi="Times New Roman" w:cs="Times New Roman" w:eastAsia="Times New Roman"/>
          <w:color w:val="222222"/>
          <w:spacing w:val="0"/>
          <w:position w:val="0"/>
          <w:sz w:val="24"/>
          <w:shd w:fill="FFFFFF" w:val="clear"/>
        </w:rPr>
        <w:t xml:space="preserve">, p.102330.</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Ebrahim, R.S., 2020. The role of trust in understanding the impact of social media marketing on brand equity and brand loyalty. </w:t>
      </w:r>
      <w:r>
        <w:rPr>
          <w:rFonts w:ascii="Times New Roman" w:hAnsi="Times New Roman" w:cs="Times New Roman" w:eastAsia="Times New Roman"/>
          <w:i/>
          <w:color w:val="222222"/>
          <w:spacing w:val="0"/>
          <w:position w:val="0"/>
          <w:sz w:val="24"/>
          <w:shd w:fill="FFFFFF" w:val="clear"/>
        </w:rPr>
        <w:t xml:space="preserve">Journal of Relationship Marketing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19</w:t>
      </w:r>
      <w:r>
        <w:rPr>
          <w:rFonts w:ascii="Times New Roman" w:hAnsi="Times New Roman" w:cs="Times New Roman" w:eastAsia="Times New Roman"/>
          <w:color w:val="222222"/>
          <w:spacing w:val="0"/>
          <w:position w:val="0"/>
          <w:sz w:val="24"/>
          <w:shd w:fill="FFFFFF" w:val="clear"/>
        </w:rPr>
        <w:t xml:space="preserve">(4), pp.287-308.</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Freeman, J., 2020. On Determining the Value of Online Customer Satisfaction Ratings–A Case‐based Appraisal. </w:t>
      </w:r>
      <w:r>
        <w:rPr>
          <w:rFonts w:ascii="Times New Roman" w:hAnsi="Times New Roman" w:cs="Times New Roman" w:eastAsia="Times New Roman"/>
          <w:i/>
          <w:color w:val="222222"/>
          <w:spacing w:val="0"/>
          <w:position w:val="0"/>
          <w:sz w:val="24"/>
          <w:shd w:fill="FFFFFF" w:val="clear"/>
        </w:rPr>
        <w:t xml:space="preserve">Data Analysis and Applications 3: Computational, Classification, Financial, Statistical and Stochastic Methods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w:t>
      </w:r>
      <w:r>
        <w:rPr>
          <w:rFonts w:ascii="Times New Roman" w:hAnsi="Times New Roman" w:cs="Times New Roman" w:eastAsia="Times New Roman"/>
          <w:color w:val="222222"/>
          <w:spacing w:val="0"/>
          <w:position w:val="0"/>
          <w:sz w:val="24"/>
          <w:shd w:fill="FFFFFF" w:val="clear"/>
        </w:rPr>
        <w:t xml:space="preserve">, pp.195-214.</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Freeman, J., 2020. On Determining the Value of Online Customer Satisfaction Ratings–A Case‐based Appraisal. </w:t>
      </w:r>
      <w:r>
        <w:rPr>
          <w:rFonts w:ascii="Times New Roman" w:hAnsi="Times New Roman" w:cs="Times New Roman" w:eastAsia="Times New Roman"/>
          <w:i/>
          <w:color w:val="222222"/>
          <w:spacing w:val="0"/>
          <w:position w:val="0"/>
          <w:sz w:val="24"/>
          <w:shd w:fill="FFFFFF" w:val="clear"/>
        </w:rPr>
        <w:t xml:space="preserve">Data Analysis and Applications 3: Computational, Classification, Financial, Statistical and Stochastic Methods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w:t>
      </w:r>
      <w:r>
        <w:rPr>
          <w:rFonts w:ascii="Times New Roman" w:hAnsi="Times New Roman" w:cs="Times New Roman" w:eastAsia="Times New Roman"/>
          <w:color w:val="222222"/>
          <w:spacing w:val="0"/>
          <w:position w:val="0"/>
          <w:sz w:val="24"/>
          <w:shd w:fill="FFFFFF" w:val="clear"/>
        </w:rPr>
        <w:t xml:space="preserve">, pp.195-214.</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George, R., 2021. Tourism and Hospitality Marketing Planning. In </w:t>
      </w:r>
      <w:r>
        <w:rPr>
          <w:rFonts w:ascii="Times New Roman" w:hAnsi="Times New Roman" w:cs="Times New Roman" w:eastAsia="Times New Roman"/>
          <w:i/>
          <w:color w:val="222222"/>
          <w:spacing w:val="0"/>
          <w:position w:val="0"/>
          <w:sz w:val="24"/>
          <w:shd w:fill="FFFFFF" w:val="clear"/>
        </w:rPr>
        <w:t xml:space="preserve">Marketing Tourism and Hospitality</w:t>
      </w:r>
      <w:r>
        <w:rPr>
          <w:rFonts w:ascii="Times New Roman" w:hAnsi="Times New Roman" w:cs="Times New Roman" w:eastAsia="Times New Roman"/>
          <w:color w:val="222222"/>
          <w:spacing w:val="0"/>
          <w:position w:val="0"/>
          <w:sz w:val="24"/>
          <w:shd w:fill="FFFFFF" w:val="clear"/>
        </w:rPr>
        <w:t xml:space="preserve"> (pp. 149-182). </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Huang Yin, C., Goh, E. and Law, R., 2019. Developing inter-organisational relationships with online travel agencies (OTAs) and the hotel industry. </w:t>
      </w:r>
      <w:r>
        <w:rPr>
          <w:rFonts w:ascii="Times New Roman" w:hAnsi="Times New Roman" w:cs="Times New Roman" w:eastAsia="Times New Roman"/>
          <w:i/>
          <w:color w:val="222222"/>
          <w:spacing w:val="0"/>
          <w:position w:val="0"/>
          <w:sz w:val="24"/>
          <w:shd w:fill="FFFFFF" w:val="clear"/>
        </w:rPr>
        <w:t xml:space="preserve">Journal of Travel &amp; Tourism Marketing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36</w:t>
      </w:r>
      <w:r>
        <w:rPr>
          <w:rFonts w:ascii="Times New Roman" w:hAnsi="Times New Roman" w:cs="Times New Roman" w:eastAsia="Times New Roman"/>
          <w:color w:val="222222"/>
          <w:spacing w:val="0"/>
          <w:position w:val="0"/>
          <w:sz w:val="24"/>
          <w:shd w:fill="FFFFFF" w:val="clear"/>
        </w:rPr>
        <w:t xml:space="preserve">(4), pp.428-442.</w:t>
      </w:r>
    </w:p>
    <w:p>
      <w:pPr>
        <w:spacing w:before="0" w:after="160" w:line="360"/>
        <w:ind w:right="0" w:left="720" w:hanging="72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222222"/>
          <w:spacing w:val="0"/>
          <w:position w:val="0"/>
          <w:sz w:val="24"/>
          <w:shd w:fill="auto" w:val="clear"/>
        </w:rPr>
        <w:t xml:space="preserve">Li, F., Larimo, J. and Leonidou, L.C., 2021. Social media marketing strategy: definition, conceptualisation, taxonomy, validation, and future agenda. </w:t>
      </w:r>
      <w:r>
        <w:rPr>
          <w:rFonts w:ascii="Times New Roman" w:hAnsi="Times New Roman" w:cs="Times New Roman" w:eastAsia="Times New Roman"/>
          <w:i/>
          <w:color w:val="222222"/>
          <w:spacing w:val="0"/>
          <w:position w:val="0"/>
          <w:sz w:val="24"/>
          <w:shd w:fill="auto" w:val="clear"/>
        </w:rPr>
        <w:t xml:space="preserve">Journal of the Academy of Marketing Science</w:t>
      </w:r>
      <w:r>
        <w:rPr>
          <w:rFonts w:ascii="Times New Roman" w:hAnsi="Times New Roman" w:cs="Times New Roman" w:eastAsia="Times New Roman"/>
          <w:color w:val="222222"/>
          <w:spacing w:val="0"/>
          <w:position w:val="0"/>
          <w:sz w:val="24"/>
          <w:shd w:fill="auto" w:val="clear"/>
        </w:rPr>
        <w:t xml:space="preserve">, </w:t>
      </w:r>
      <w:r>
        <w:rPr>
          <w:rFonts w:ascii="Times New Roman" w:hAnsi="Times New Roman" w:cs="Times New Roman" w:eastAsia="Times New Roman"/>
          <w:i/>
          <w:color w:val="222222"/>
          <w:spacing w:val="0"/>
          <w:position w:val="0"/>
          <w:sz w:val="24"/>
          <w:shd w:fill="auto" w:val="clear"/>
        </w:rPr>
        <w:t xml:space="preserve">49</w:t>
      </w:r>
      <w:r>
        <w:rPr>
          <w:rFonts w:ascii="Times New Roman" w:hAnsi="Times New Roman" w:cs="Times New Roman" w:eastAsia="Times New Roman"/>
          <w:color w:val="222222"/>
          <w:spacing w:val="0"/>
          <w:position w:val="0"/>
          <w:sz w:val="24"/>
          <w:shd w:fill="auto" w:val="clear"/>
        </w:rPr>
        <w:t xml:space="preserve">(1), pp.51-70.</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Lu, L. and Tabari, S., 2019. Impact of Airbnb on customers' behaviour in the UK hotel industry. </w:t>
      </w:r>
      <w:r>
        <w:rPr>
          <w:rFonts w:ascii="Times New Roman" w:hAnsi="Times New Roman" w:cs="Times New Roman" w:eastAsia="Times New Roman"/>
          <w:i/>
          <w:color w:val="222222"/>
          <w:spacing w:val="0"/>
          <w:position w:val="0"/>
          <w:sz w:val="24"/>
          <w:shd w:fill="FFFFFF" w:val="clear"/>
        </w:rPr>
        <w:t xml:space="preserve">Tourism Analysis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24</w:t>
      </w:r>
      <w:r>
        <w:rPr>
          <w:rFonts w:ascii="Times New Roman" w:hAnsi="Times New Roman" w:cs="Times New Roman" w:eastAsia="Times New Roman"/>
          <w:color w:val="222222"/>
          <w:spacing w:val="0"/>
          <w:position w:val="0"/>
          <w:sz w:val="24"/>
          <w:shd w:fill="FFFFFF" w:val="clear"/>
        </w:rPr>
        <w:t xml:space="preserve">(1), pp.13-26.</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Ofori, D. and Appiah-Nimo, C., 2022. Relationship management, competitive advantage and performance of hotels: A resource-based view. </w:t>
      </w:r>
      <w:r>
        <w:rPr>
          <w:rFonts w:ascii="Times New Roman" w:hAnsi="Times New Roman" w:cs="Times New Roman" w:eastAsia="Times New Roman"/>
          <w:i/>
          <w:color w:val="222222"/>
          <w:spacing w:val="0"/>
          <w:position w:val="0"/>
          <w:sz w:val="24"/>
          <w:shd w:fill="FFFFFF" w:val="clear"/>
        </w:rPr>
        <w:t xml:space="preserve">Journal of African Business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23</w:t>
      </w:r>
      <w:r>
        <w:rPr>
          <w:rFonts w:ascii="Times New Roman" w:hAnsi="Times New Roman" w:cs="Times New Roman" w:eastAsia="Times New Roman"/>
          <w:color w:val="222222"/>
          <w:spacing w:val="0"/>
          <w:position w:val="0"/>
          <w:sz w:val="24"/>
          <w:shd w:fill="FFFFFF" w:val="clear"/>
        </w:rPr>
        <w:t xml:space="preserve">(3), pp.712-730.</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Page, S.J., 2019. Accommodation and hospitality services. In </w:t>
      </w:r>
      <w:r>
        <w:rPr>
          <w:rFonts w:ascii="Times New Roman" w:hAnsi="Times New Roman" w:cs="Times New Roman" w:eastAsia="Times New Roman"/>
          <w:i/>
          <w:color w:val="222222"/>
          <w:spacing w:val="0"/>
          <w:position w:val="0"/>
          <w:sz w:val="24"/>
          <w:shd w:fill="FFFFFF" w:val="clear"/>
        </w:rPr>
        <w:t xml:space="preserve">Tourism Management</w:t>
      </w:r>
      <w:r>
        <w:rPr>
          <w:rFonts w:ascii="Times New Roman" w:hAnsi="Times New Roman" w:cs="Times New Roman" w:eastAsia="Times New Roman"/>
          <w:color w:val="222222"/>
          <w:spacing w:val="0"/>
          <w:position w:val="0"/>
          <w:sz w:val="24"/>
          <w:shd w:fill="FFFFFF" w:val="clear"/>
        </w:rPr>
        <w:t xml:space="preserve"> (pp. 205-243). Routledge.</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Rashideh, W., 2020. Blockchain technology framework: current and future perspectives for the tourism industry. </w:t>
      </w:r>
      <w:r>
        <w:rPr>
          <w:rFonts w:ascii="Times New Roman" w:hAnsi="Times New Roman" w:cs="Times New Roman" w:eastAsia="Times New Roman"/>
          <w:i/>
          <w:color w:val="222222"/>
          <w:spacing w:val="0"/>
          <w:position w:val="0"/>
          <w:sz w:val="24"/>
          <w:shd w:fill="FFFFFF" w:val="clear"/>
        </w:rPr>
        <w:t xml:space="preserve">Tourism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80</w:t>
      </w:r>
      <w:r>
        <w:rPr>
          <w:rFonts w:ascii="Times New Roman" w:hAnsi="Times New Roman" w:cs="Times New Roman" w:eastAsia="Times New Roman"/>
          <w:color w:val="222222"/>
          <w:spacing w:val="0"/>
          <w:position w:val="0"/>
          <w:sz w:val="24"/>
          <w:shd w:fill="FFFFFF" w:val="clear"/>
        </w:rPr>
        <w:t xml:space="preserve">, p.104125.</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Singjai, K., Winata, L. and Kummer, T.F., 2018. Green initiatives and their competitive advantage for the hotel industry in developing countries. </w:t>
      </w:r>
      <w:r>
        <w:rPr>
          <w:rFonts w:ascii="Times New Roman" w:hAnsi="Times New Roman" w:cs="Times New Roman" w:eastAsia="Times New Roman"/>
          <w:i/>
          <w:color w:val="222222"/>
          <w:spacing w:val="0"/>
          <w:position w:val="0"/>
          <w:sz w:val="24"/>
          <w:shd w:fill="FFFFFF" w:val="clear"/>
        </w:rPr>
        <w:t xml:space="preserve">International Journal of Hospitality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75</w:t>
      </w:r>
      <w:r>
        <w:rPr>
          <w:rFonts w:ascii="Times New Roman" w:hAnsi="Times New Roman" w:cs="Times New Roman" w:eastAsia="Times New Roman"/>
          <w:color w:val="222222"/>
          <w:spacing w:val="0"/>
          <w:position w:val="0"/>
          <w:sz w:val="24"/>
          <w:shd w:fill="FFFFFF" w:val="clear"/>
        </w:rPr>
        <w:t xml:space="preserve">, pp.131-143.</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Tarrant, C., 2018. Never mind the love, smell the money: What is the 'value-add of a brand?. </w:t>
      </w:r>
      <w:r>
        <w:rPr>
          <w:rFonts w:ascii="Times New Roman" w:hAnsi="Times New Roman" w:cs="Times New Roman" w:eastAsia="Times New Roman"/>
          <w:i/>
          <w:color w:val="222222"/>
          <w:spacing w:val="0"/>
          <w:position w:val="0"/>
          <w:sz w:val="24"/>
          <w:shd w:fill="FFFFFF" w:val="clear"/>
        </w:rPr>
        <w:t xml:space="preserve">Journal of Brand Strategy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(1), pp.54-68.</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Walker, N.L., Norton, A., Harris, I., Williams, A.P. and Styles, D., 2019. Economic and environmental efficiency of UK and Ireland water companies: Influence of exogenous factors and rurality. </w:t>
      </w:r>
      <w:r>
        <w:rPr>
          <w:rFonts w:ascii="Times New Roman" w:hAnsi="Times New Roman" w:cs="Times New Roman" w:eastAsia="Times New Roman"/>
          <w:i/>
          <w:color w:val="222222"/>
          <w:spacing w:val="0"/>
          <w:position w:val="0"/>
          <w:sz w:val="24"/>
          <w:shd w:fill="FFFFFF" w:val="clear"/>
        </w:rPr>
        <w:t xml:space="preserve">Journal of Environmental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241</w:t>
      </w:r>
      <w:r>
        <w:rPr>
          <w:rFonts w:ascii="Times New Roman" w:hAnsi="Times New Roman" w:cs="Times New Roman" w:eastAsia="Times New Roman"/>
          <w:color w:val="222222"/>
          <w:spacing w:val="0"/>
          <w:position w:val="0"/>
          <w:sz w:val="24"/>
          <w:shd w:fill="FFFFFF" w:val="clear"/>
        </w:rPr>
        <w:t xml:space="preserve">, pp.363-373.</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Yang, K., Petersen, K.J. and Qualter, P., 2022. Undesirable social relations as risk factors for loneliness among 14-year-olds in the UK: Findings from the Millennium Cohort Study. </w:t>
      </w:r>
      <w:r>
        <w:rPr>
          <w:rFonts w:ascii="Times New Roman" w:hAnsi="Times New Roman" w:cs="Times New Roman" w:eastAsia="Times New Roman"/>
          <w:i/>
          <w:color w:val="222222"/>
          <w:spacing w:val="0"/>
          <w:position w:val="0"/>
          <w:sz w:val="24"/>
          <w:shd w:fill="FFFFFF" w:val="clear"/>
        </w:rPr>
        <w:t xml:space="preserve">International Journal of Behavioral Development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46</w:t>
      </w:r>
      <w:r>
        <w:rPr>
          <w:rFonts w:ascii="Times New Roman" w:hAnsi="Times New Roman" w:cs="Times New Roman" w:eastAsia="Times New Roman"/>
          <w:color w:val="222222"/>
          <w:spacing w:val="0"/>
          <w:position w:val="0"/>
          <w:sz w:val="24"/>
          <w:shd w:fill="FFFFFF" w:val="clear"/>
        </w:rPr>
        <w:t xml:space="preserve">(1), pp.3-9.</w:t>
      </w: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160" w:line="259"/>
        <w:ind w:right="0" w:left="0" w:firstLine="0"/>
        <w:jc w:val="left"/>
        <w:rPr>
          <w:rFonts w:ascii="Times New Roman" w:hAnsi="Times New Roman" w:cs="Times New Roman" w:eastAsia="Times New Roman"/>
          <w:color w:val="222222"/>
          <w:spacing w:val="0"/>
          <w:position w:val="0"/>
          <w:sz w:val="24"/>
          <w:shd w:fill="FFFFFF" w:val="clear"/>
        </w:rPr>
      </w:pPr>
    </w:p>
    <w:p>
      <w:pPr>
        <w:spacing w:before="0" w:after="160" w:line="360"/>
        <w:ind w:right="0" w:left="720" w:hanging="720"/>
        <w:jc w:val="both"/>
        <w:rPr>
          <w:rFonts w:ascii="Times New Roman" w:hAnsi="Times New Roman" w:cs="Times New Roman" w:eastAsia="Times New Roman"/>
          <w:color w:val="222222"/>
          <w:spacing w:val="0"/>
          <w:position w:val="0"/>
          <w:sz w:val="24"/>
          <w:shd w:fill="FFFFFF" w:val="clear"/>
        </w:rPr>
      </w:pPr>
    </w:p>
    <w:p>
      <w:pPr>
        <w:spacing w:before="90" w:after="9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b/>
          <w:color w:val="222222"/>
          <w:spacing w:val="0"/>
          <w:position w:val="0"/>
          <w:sz w:val="24"/>
          <w:shd w:fill="FFFFFF" w:val="clear"/>
        </w:rPr>
        <w:t xml:space="preserve">Appendices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2" style="width:433.200000pt;height:243.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r>
        <w:object w:dxaOrig="8664" w:dyaOrig="4873">
          <v:rect xmlns:o="urn:schemas-microsoft-com:office:office" xmlns:v="urn:schemas-microsoft-com:vml" id="rectole0000000003" style="width:433.200000pt;height:243.6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r>
        <w:object w:dxaOrig="8664" w:dyaOrig="4873">
          <v:rect xmlns:o="urn:schemas-microsoft-com:office:office" xmlns:v="urn:schemas-microsoft-com:vml" id="rectole0000000004" style="width:433.200000pt;height:243.6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r>
        <w:object w:dxaOrig="8664" w:dyaOrig="4873">
          <v:rect xmlns:o="urn:schemas-microsoft-com:office:office" xmlns:v="urn:schemas-microsoft-com:vml" id="rectole0000000005" style="width:433.200000pt;height:243.6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r>
        <w:object w:dxaOrig="8664" w:dyaOrig="4873">
          <v:rect xmlns:o="urn:schemas-microsoft-com:office:office" xmlns:v="urn:schemas-microsoft-com:vml" id="rectole0000000006" style="width:433.200000pt;height:243.6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r>
        <w:object w:dxaOrig="8664" w:dyaOrig="4873">
          <v:rect xmlns:o="urn:schemas-microsoft-com:office:office" xmlns:v="urn:schemas-microsoft-com:vml" id="rectole0000000007" style="width:433.200000pt;height:243.6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r>
        <w:object w:dxaOrig="8664" w:dyaOrig="4873">
          <v:rect xmlns:o="urn:schemas-microsoft-com:office:office" xmlns:v="urn:schemas-microsoft-com:vml" id="rectole0000000008" style="width:433.200000pt;height:243.6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r>
        <w:object w:dxaOrig="8664" w:dyaOrig="4873">
          <v:rect xmlns:o="urn:schemas-microsoft-com:office:office" xmlns:v="urn:schemas-microsoft-com:vml" id="rectole0000000009" style="width:433.200000pt;height:243.6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r>
        <w:object w:dxaOrig="8664" w:dyaOrig="4873">
          <v:rect xmlns:o="urn:schemas-microsoft-com:office:office" xmlns:v="urn:schemas-microsoft-com:vml" id="rectole0000000010" style="width:433.200000pt;height:243.65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r>
        <w:object w:dxaOrig="8664" w:dyaOrig="4873">
          <v:rect xmlns:o="urn:schemas-microsoft-com:office:office" xmlns:v="urn:schemas-microsoft-com:vml" id="rectole0000000011" style="width:433.200000pt;height:243.6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r>
        <w:object w:dxaOrig="8664" w:dyaOrig="4873">
          <v:rect xmlns:o="urn:schemas-microsoft-com:office:office" xmlns:v="urn:schemas-microsoft-com:vml" id="rectole0000000012" style="width:433.200000pt;height:243.6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r>
        <w:object w:dxaOrig="8664" w:dyaOrig="4873">
          <v:rect xmlns:o="urn:schemas-microsoft-com:office:office" xmlns:v="urn:schemas-microsoft-com:vml" id="rectole0000000013" style="width:433.200000pt;height:243.65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13" ShapeID="rectole0000000013" r:id="docRId26"/>
        </w:object>
      </w:r>
      <w:r>
        <w:object w:dxaOrig="8664" w:dyaOrig="4873">
          <v:rect xmlns:o="urn:schemas-microsoft-com:office:office" xmlns:v="urn:schemas-microsoft-com:vml" id="rectole0000000014" style="width:433.200000pt;height:243.650000pt" o:preferrelative="t" o:ole="">
            <o:lock v:ext="edit"/>
            <v:imagedata xmlns:r="http://schemas.openxmlformats.org/officeDocument/2006/relationships" r:id="docRId29" o:title=""/>
          </v:rect>
          <o:OLEObject xmlns:r="http://schemas.openxmlformats.org/officeDocument/2006/relationships" xmlns:o="urn:schemas-microsoft-com:office:office" Type="Embed" ProgID="StaticMetafile" DrawAspect="Content" ObjectID="0000000014" ShapeID="rectole0000000014" r:id="docRId28"/>
        </w:object>
      </w:r>
      <w:r>
        <w:object w:dxaOrig="8664" w:dyaOrig="4873">
          <v:rect xmlns:o="urn:schemas-microsoft-com:office:office" xmlns:v="urn:schemas-microsoft-com:vml" id="rectole0000000015" style="width:433.200000pt;height:243.650000pt" o:preferrelative="t" o:ole="">
            <o:lock v:ext="edit"/>
            <v:imagedata xmlns:r="http://schemas.openxmlformats.org/officeDocument/2006/relationships" r:id="docRId31" o:title=""/>
          </v:rect>
          <o:OLEObject xmlns:r="http://schemas.openxmlformats.org/officeDocument/2006/relationships" xmlns:o="urn:schemas-microsoft-com:office:office" Type="Embed" ProgID="StaticMetafile" DrawAspect="Content" ObjectID="0000000015" ShapeID="rectole0000000015" r:id="docRId30"/>
        </w:object>
      </w:r>
      <w:r>
        <w:object w:dxaOrig="8664" w:dyaOrig="4873">
          <v:rect xmlns:o="urn:schemas-microsoft-com:office:office" xmlns:v="urn:schemas-microsoft-com:vml" id="rectole0000000016" style="width:433.200000pt;height:243.650000pt" o:preferrelative="t" o:ole="">
            <o:lock v:ext="edit"/>
            <v:imagedata xmlns:r="http://schemas.openxmlformats.org/officeDocument/2006/relationships" r:id="docRId33" o:title=""/>
          </v:rect>
          <o:OLEObject xmlns:r="http://schemas.openxmlformats.org/officeDocument/2006/relationships" xmlns:o="urn:schemas-microsoft-com:office:office" Type="Embed" ProgID="StaticMetafile" DrawAspect="Content" ObjectID="0000000016" ShapeID="rectole0000000016" r:id="docRId32"/>
        </w:object>
      </w:r>
      <w:r>
        <w:object w:dxaOrig="8664" w:dyaOrig="4873">
          <v:rect xmlns:o="urn:schemas-microsoft-com:office:office" xmlns:v="urn:schemas-microsoft-com:vml" id="rectole0000000017" style="width:433.200000pt;height:243.650000pt" o:preferrelative="t" o:ole="">
            <o:lock v:ext="edit"/>
            <v:imagedata xmlns:r="http://schemas.openxmlformats.org/officeDocument/2006/relationships" r:id="docRId35" o:title=""/>
          </v:rect>
          <o:OLEObject xmlns:r="http://schemas.openxmlformats.org/officeDocument/2006/relationships" xmlns:o="urn:schemas-microsoft-com:office:office" Type="Embed" ProgID="StaticMetafile" DrawAspect="Content" ObjectID="0000000017" ShapeID="rectole0000000017" r:id="docRId34"/>
        </w:object>
      </w:r>
      <w:r>
        <w:object w:dxaOrig="8664" w:dyaOrig="4873">
          <v:rect xmlns:o="urn:schemas-microsoft-com:office:office" xmlns:v="urn:schemas-microsoft-com:vml" id="rectole0000000018" style="width:433.200000pt;height:243.650000pt" o:preferrelative="t" o:ole="">
            <o:lock v:ext="edit"/>
            <v:imagedata xmlns:r="http://schemas.openxmlformats.org/officeDocument/2006/relationships" r:id="docRId37" o:title=""/>
          </v:rect>
          <o:OLEObject xmlns:r="http://schemas.openxmlformats.org/officeDocument/2006/relationships" xmlns:o="urn:schemas-microsoft-com:office:office" Type="Embed" ProgID="StaticMetafile" DrawAspect="Content" ObjectID="0000000018" ShapeID="rectole0000000018" r:id="docRId36"/>
        </w:object>
      </w:r>
      <w:r>
        <w:object w:dxaOrig="8664" w:dyaOrig="4873">
          <v:rect xmlns:o="urn:schemas-microsoft-com:office:office" xmlns:v="urn:schemas-microsoft-com:vml" id="rectole0000000019" style="width:433.200000pt;height:243.650000pt" o:preferrelative="t" o:ole="">
            <o:lock v:ext="edit"/>
            <v:imagedata xmlns:r="http://schemas.openxmlformats.org/officeDocument/2006/relationships" r:id="docRId39" o:title=""/>
          </v:rect>
          <o:OLEObject xmlns:r="http://schemas.openxmlformats.org/officeDocument/2006/relationships" xmlns:o="urn:schemas-microsoft-com:office:office" Type="Embed" ProgID="StaticMetafile" DrawAspect="Content" ObjectID="0000000019" ShapeID="rectole0000000019" r:id="docRId38"/>
        </w:object>
      </w:r>
      <w:r>
        <w:object w:dxaOrig="8664" w:dyaOrig="4873">
          <v:rect xmlns:o="urn:schemas-microsoft-com:office:office" xmlns:v="urn:schemas-microsoft-com:vml" id="rectole0000000020" style="width:433.200000pt;height:243.650000pt" o:preferrelative="t" o:ole="">
            <o:lock v:ext="edit"/>
            <v:imagedata xmlns:r="http://schemas.openxmlformats.org/officeDocument/2006/relationships" r:id="docRId41" o:title=""/>
          </v:rect>
          <o:OLEObject xmlns:r="http://schemas.openxmlformats.org/officeDocument/2006/relationships" xmlns:o="urn:schemas-microsoft-com:office:office" Type="Embed" ProgID="StaticMetafile" DrawAspect="Content" ObjectID="0000000020" ShapeID="rectole0000000020" r:id="docRId40"/>
        </w:objec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num w:numId="10">
    <w:abstractNumId w:val="78"/>
  </w:num>
  <w:num w:numId="14">
    <w:abstractNumId w:val="72"/>
  </w:num>
  <w:num w:numId="20">
    <w:abstractNumId w:val="66"/>
  </w:num>
  <w:num w:numId="24">
    <w:abstractNumId w:val="60"/>
  </w:num>
  <w:num w:numId="27">
    <w:abstractNumId w:val="54"/>
  </w:num>
  <w:num w:numId="30">
    <w:abstractNumId w:val="48"/>
  </w:num>
  <w:num w:numId="33">
    <w:abstractNumId w:val="42"/>
  </w:num>
  <w:num w:numId="38">
    <w:abstractNumId w:val="36"/>
  </w:num>
  <w:num w:numId="42">
    <w:abstractNumId w:val="30"/>
  </w:num>
  <w:num w:numId="45">
    <w:abstractNumId w:val="24"/>
  </w:num>
  <w:num w:numId="48">
    <w:abstractNumId w:val="18"/>
  </w:num>
  <w:num w:numId="51">
    <w:abstractNumId w:val="12"/>
  </w:num>
  <w:num w:numId="54">
    <w:abstractNumId w:val="6"/>
  </w:num>
  <w:num w:numId="57">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3.wmf" Id="docRId7" Type="http://schemas.openxmlformats.org/officeDocument/2006/relationships/image"/><Relationship Target="embeddings/oleObject7.bin" Id="docRId14" Type="http://schemas.openxmlformats.org/officeDocument/2006/relationships/oleObject"/><Relationship Target="embeddings/oleObject17.bin" Id="docRId34" Type="http://schemas.openxmlformats.org/officeDocument/2006/relationships/oleObject"/><Relationship Target="embeddings/oleObject11.bin" Id="docRId22" Type="http://schemas.openxmlformats.org/officeDocument/2006/relationships/oleObject"/><Relationship Target="media/image4.wmf" Id="docRId9" Type="http://schemas.openxmlformats.org/officeDocument/2006/relationships/image"/><Relationship Target="embeddings/oleObject0.bin" Id="docRId0" Type="http://schemas.openxmlformats.org/officeDocument/2006/relationships/oleObject"/><Relationship Target="embeddings/oleObject6.bin" Id="docRId12" Type="http://schemas.openxmlformats.org/officeDocument/2006/relationships/oleObject"/><Relationship Target="media/image10.wmf" Id="docRId21" Type="http://schemas.openxmlformats.org/officeDocument/2006/relationships/image"/><Relationship Target="media/image14.wmf" Id="docRId29" Type="http://schemas.openxmlformats.org/officeDocument/2006/relationships/image"/><Relationship Target="embeddings/oleObject18.bin" Id="docRId36" Type="http://schemas.openxmlformats.org/officeDocument/2006/relationships/oleObject"/><Relationship Target="media/image20.wmf" Id="docRId41" Type="http://schemas.openxmlformats.org/officeDocument/2006/relationships/image"/><Relationship Target="embeddings/oleObject4.bin" Id="docRId8" Type="http://schemas.openxmlformats.org/officeDocument/2006/relationships/oleObject"/><Relationship Target="media/image6.wmf" Id="docRId13" Type="http://schemas.openxmlformats.org/officeDocument/2006/relationships/image"/><Relationship Target="embeddings/oleObject10.bin" Id="docRId20" Type="http://schemas.openxmlformats.org/officeDocument/2006/relationships/oleObject"/><Relationship Target="embeddings/oleObject14.bin" Id="docRId28" Type="http://schemas.openxmlformats.org/officeDocument/2006/relationships/oleObject"/><Relationship Target="media/image1.wmf" Id="docRId3" Type="http://schemas.openxmlformats.org/officeDocument/2006/relationships/image"/><Relationship Target="media/image18.wmf" Id="docRId37" Type="http://schemas.openxmlformats.org/officeDocument/2006/relationships/image"/><Relationship Target="embeddings/oleObject20.bin" Id="docRId40" Type="http://schemas.openxmlformats.org/officeDocument/2006/relationships/oleObject"/><Relationship Target="embeddings/oleObject5.bin" Id="docRId10" Type="http://schemas.openxmlformats.org/officeDocument/2006/relationships/oleObject"/><Relationship Target="embeddings/oleObject9.bin" Id="docRId18" Type="http://schemas.openxmlformats.org/officeDocument/2006/relationships/oleObject"/><Relationship Target="embeddings/oleObject1.bin" Id="docRId2" Type="http://schemas.openxmlformats.org/officeDocument/2006/relationships/oleObject"/><Relationship Target="media/image13.wmf" Id="docRId27" Type="http://schemas.openxmlformats.org/officeDocument/2006/relationships/image"/><Relationship Target="embeddings/oleObject15.bin" Id="docRId30" Type="http://schemas.openxmlformats.org/officeDocument/2006/relationships/oleObject"/><Relationship Target="embeddings/oleObject19.bin" Id="docRId38" Type="http://schemas.openxmlformats.org/officeDocument/2006/relationships/oleObject"/><Relationship Target="styles.xml" Id="docRId43" Type="http://schemas.openxmlformats.org/officeDocument/2006/relationships/styles"/><Relationship Target="media/image5.wmf" Id="docRId11" Type="http://schemas.openxmlformats.org/officeDocument/2006/relationships/image"/><Relationship Target="media/image9.wmf" Id="docRId19" Type="http://schemas.openxmlformats.org/officeDocument/2006/relationships/image"/><Relationship Target="embeddings/oleObject13.bin" Id="docRId26" Type="http://schemas.openxmlformats.org/officeDocument/2006/relationships/oleObject"/><Relationship Target="media/image15.wmf" Id="docRId31" Type="http://schemas.openxmlformats.org/officeDocument/2006/relationships/image"/><Relationship Target="media/image19.wmf" Id="docRId39" Type="http://schemas.openxmlformats.org/officeDocument/2006/relationships/image"/><Relationship Target="numbering.xml" Id="docRId42" Type="http://schemas.openxmlformats.org/officeDocument/2006/relationships/numbering"/><Relationship Target="media/image2.wmf" Id="docRId5" Type="http://schemas.openxmlformats.org/officeDocument/2006/relationships/image"/><Relationship Target="embeddings/oleObject8.bin" Id="docRId16" Type="http://schemas.openxmlformats.org/officeDocument/2006/relationships/oleObject"/><Relationship Target="media/image12.wmf" Id="docRId25" Type="http://schemas.openxmlformats.org/officeDocument/2006/relationships/image"/><Relationship Target="embeddings/oleObject16.bin" Id="docRId32" Type="http://schemas.openxmlformats.org/officeDocument/2006/relationships/oleObject"/><Relationship Target="embeddings/oleObject2.bin" Id="docRId4" Type="http://schemas.openxmlformats.org/officeDocument/2006/relationships/oleObject"/><Relationship Target="media/image8.wmf" Id="docRId17" Type="http://schemas.openxmlformats.org/officeDocument/2006/relationships/image"/><Relationship Target="embeddings/oleObject12.bin" Id="docRId24" Type="http://schemas.openxmlformats.org/officeDocument/2006/relationships/oleObject"/><Relationship Target="media/image16.wmf" Id="docRId33" Type="http://schemas.openxmlformats.org/officeDocument/2006/relationships/image"/><Relationship Target="media/image11.wmf" Id="docRId23" Type="http://schemas.openxmlformats.org/officeDocument/2006/relationships/image"/><Relationship Target="embeddings/oleObject3.bin" Id="docRId6" Type="http://schemas.openxmlformats.org/officeDocument/2006/relationships/oleObject"/><Relationship Target="media/image0.wmf" Id="docRId1" Type="http://schemas.openxmlformats.org/officeDocument/2006/relationships/image"/><Relationship Target="media/image7.wmf" Id="docRId15" Type="http://schemas.openxmlformats.org/officeDocument/2006/relationships/image"/><Relationship Target="media/image17.wmf" Id="docRId35" Type="http://schemas.openxmlformats.org/officeDocument/2006/relationships/image"/></Relationships>
</file>