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CFBA27" w14:textId="507BE07E" w:rsidR="00B32858" w:rsidRDefault="008B5E41" w:rsidP="008B5E41">
      <w:pPr>
        <w:jc w:val="center"/>
      </w:pPr>
      <w:r>
        <w:rPr>
          <w:b/>
          <w:bCs/>
        </w:rPr>
        <w:t>Commodity Exchange of Pottery</w:t>
      </w:r>
    </w:p>
    <w:p w14:paraId="14CBCB1D" w14:textId="693BD87F" w:rsidR="00FA65F8" w:rsidRDefault="00FA65F8" w:rsidP="00FA65F8"/>
    <w:p w14:paraId="5A272860" w14:textId="781A5F6E" w:rsidR="00892D5D" w:rsidRDefault="00892D5D" w:rsidP="00892D5D">
      <w:pPr>
        <w:rPr>
          <w:rFonts w:eastAsia="Calibri"/>
          <w:szCs w:val="24"/>
        </w:rPr>
      </w:pPr>
      <w:r w:rsidRPr="00B42840">
        <w:rPr>
          <w:rFonts w:eastAsia="Calibri"/>
          <w:szCs w:val="24"/>
        </w:rPr>
        <w:t>Objects have no intrinsic value; this is socially ascribed, especially within context of mobility and exchange</w:t>
      </w:r>
      <w:r>
        <w:rPr>
          <w:rFonts w:eastAsia="Calibri"/>
          <w:szCs w:val="24"/>
        </w:rPr>
        <w:t>. O</w:t>
      </w:r>
      <w:r w:rsidRPr="00B42840">
        <w:rPr>
          <w:rFonts w:eastAsia="Calibri"/>
          <w:szCs w:val="24"/>
        </w:rPr>
        <w:t>bject</w:t>
      </w:r>
      <w:r>
        <w:rPr>
          <w:rFonts w:eastAsia="Calibri"/>
          <w:szCs w:val="24"/>
        </w:rPr>
        <w:t>s</w:t>
      </w:r>
      <w:r w:rsidRPr="00B42840">
        <w:rPr>
          <w:rFonts w:eastAsia="Calibri"/>
          <w:szCs w:val="24"/>
        </w:rPr>
        <w:t xml:space="preserve"> pass through different phases in </w:t>
      </w:r>
      <w:r>
        <w:rPr>
          <w:rFonts w:eastAsia="Calibri"/>
          <w:szCs w:val="24"/>
        </w:rPr>
        <w:t>their</w:t>
      </w:r>
      <w:r w:rsidRPr="00B42840">
        <w:rPr>
          <w:rFonts w:eastAsia="Calibri"/>
          <w:szCs w:val="24"/>
        </w:rPr>
        <w:t xml:space="preserve"> existence</w:t>
      </w:r>
      <w:r>
        <w:rPr>
          <w:rFonts w:eastAsia="Calibri"/>
          <w:szCs w:val="24"/>
        </w:rPr>
        <w:t xml:space="preserve">. </w:t>
      </w:r>
      <w:r w:rsidRPr="00B42840">
        <w:rPr>
          <w:rFonts w:eastAsia="Calibri"/>
          <w:szCs w:val="24"/>
        </w:rPr>
        <w:t>While an object might have been intentionally produced as a commodity</w:t>
      </w:r>
      <w:r>
        <w:rPr>
          <w:rFonts w:eastAsia="Calibri"/>
          <w:szCs w:val="24"/>
        </w:rPr>
        <w:t xml:space="preserve">, </w:t>
      </w:r>
      <w:r w:rsidRPr="00B42840">
        <w:rPr>
          <w:rFonts w:eastAsia="Calibri"/>
          <w:szCs w:val="24"/>
        </w:rPr>
        <w:t>produced specifically for exchange</w:t>
      </w:r>
      <w:r>
        <w:rPr>
          <w:rFonts w:eastAsia="Calibri"/>
          <w:szCs w:val="24"/>
        </w:rPr>
        <w:t>. O</w:t>
      </w:r>
      <w:r w:rsidRPr="00B42840">
        <w:rPr>
          <w:rFonts w:eastAsia="Calibri"/>
          <w:szCs w:val="24"/>
        </w:rPr>
        <w:t xml:space="preserve">nce it enters a system of circulation it might undergo a number of transformations, from commodity to gift to valued possession. Appadurai (1986: 16) </w:t>
      </w:r>
      <w:r>
        <w:rPr>
          <w:rFonts w:eastAsia="Calibri"/>
          <w:szCs w:val="24"/>
        </w:rPr>
        <w:t>divides</w:t>
      </w:r>
      <w:r w:rsidRPr="00B42840">
        <w:rPr>
          <w:rFonts w:eastAsia="Calibri"/>
          <w:szCs w:val="24"/>
        </w:rPr>
        <w:t xml:space="preserve"> commodities into four types:</w:t>
      </w:r>
    </w:p>
    <w:p w14:paraId="7D4151BC" w14:textId="54D9B52A" w:rsidR="00892D5D" w:rsidRPr="00892D5D" w:rsidRDefault="00892D5D" w:rsidP="00892D5D">
      <w:pPr>
        <w:pStyle w:val="ListParagraph"/>
        <w:numPr>
          <w:ilvl w:val="0"/>
          <w:numId w:val="3"/>
        </w:numPr>
        <w:rPr>
          <w:rFonts w:eastAsia="Calibri"/>
          <w:szCs w:val="24"/>
        </w:rPr>
      </w:pPr>
      <w:r w:rsidRPr="00892D5D">
        <w:rPr>
          <w:rFonts w:eastAsia="Calibri"/>
          <w:szCs w:val="24"/>
        </w:rPr>
        <w:t>commodities by destination</w:t>
      </w:r>
    </w:p>
    <w:p w14:paraId="1781605A" w14:textId="21C72D1D" w:rsidR="00892D5D" w:rsidRPr="00892D5D" w:rsidRDefault="00892D5D" w:rsidP="00892D5D">
      <w:pPr>
        <w:pStyle w:val="ListParagraph"/>
        <w:numPr>
          <w:ilvl w:val="0"/>
          <w:numId w:val="3"/>
        </w:numPr>
        <w:rPr>
          <w:rFonts w:eastAsia="Calibri"/>
          <w:szCs w:val="24"/>
        </w:rPr>
      </w:pPr>
      <w:r w:rsidRPr="00892D5D">
        <w:rPr>
          <w:rFonts w:eastAsia="Calibri"/>
          <w:szCs w:val="24"/>
        </w:rPr>
        <w:t>commodities by metamorphosis</w:t>
      </w:r>
    </w:p>
    <w:p w14:paraId="320DE0B8" w14:textId="4BD75CEA" w:rsidR="00892D5D" w:rsidRPr="00892D5D" w:rsidRDefault="00892D5D" w:rsidP="00892D5D">
      <w:pPr>
        <w:pStyle w:val="ListParagraph"/>
        <w:numPr>
          <w:ilvl w:val="0"/>
          <w:numId w:val="3"/>
        </w:numPr>
        <w:rPr>
          <w:rFonts w:eastAsia="Calibri"/>
          <w:szCs w:val="24"/>
        </w:rPr>
      </w:pPr>
      <w:r w:rsidRPr="00892D5D">
        <w:rPr>
          <w:rFonts w:eastAsia="Calibri"/>
          <w:szCs w:val="24"/>
        </w:rPr>
        <w:t>commodities by diversion</w:t>
      </w:r>
    </w:p>
    <w:p w14:paraId="306BA906" w14:textId="3764D360" w:rsidR="00892D5D" w:rsidRPr="00892D5D" w:rsidRDefault="00892D5D" w:rsidP="00892D5D">
      <w:pPr>
        <w:pStyle w:val="ListParagraph"/>
        <w:numPr>
          <w:ilvl w:val="0"/>
          <w:numId w:val="3"/>
        </w:numPr>
        <w:rPr>
          <w:rFonts w:eastAsia="Calibri"/>
          <w:szCs w:val="24"/>
        </w:rPr>
      </w:pPr>
      <w:r w:rsidRPr="00892D5D">
        <w:rPr>
          <w:rFonts w:eastAsia="Calibri"/>
          <w:szCs w:val="24"/>
        </w:rPr>
        <w:t xml:space="preserve">ex-commodities. </w:t>
      </w:r>
    </w:p>
    <w:p w14:paraId="3E1B17C5" w14:textId="77777777" w:rsidR="00892D5D" w:rsidRPr="008B5E41" w:rsidRDefault="00892D5D" w:rsidP="00892D5D"/>
    <w:p w14:paraId="2A679D8D" w14:textId="77777777" w:rsidR="00FA65F8" w:rsidRDefault="00FA65F8" w:rsidP="00FA65F8">
      <w:r>
        <w:t>Characterising commodities:</w:t>
      </w:r>
    </w:p>
    <w:p w14:paraId="6413EF28" w14:textId="21B886DB" w:rsidR="00FA65F8" w:rsidRDefault="00FA65F8" w:rsidP="00FA65F8">
      <w:pPr>
        <w:pStyle w:val="ListParagraph"/>
        <w:numPr>
          <w:ilvl w:val="0"/>
          <w:numId w:val="1"/>
        </w:numPr>
      </w:pPr>
      <w:r>
        <w:t>Emphasises the exchange value of objects – things that are produced specifically to be exchanged;</w:t>
      </w:r>
    </w:p>
    <w:p w14:paraId="6BCAAF90" w14:textId="77777777" w:rsidR="00FA65F8" w:rsidRPr="00D62A21" w:rsidRDefault="00FA65F8" w:rsidP="00FA65F8">
      <w:pPr>
        <w:pStyle w:val="ListParagraph"/>
        <w:numPr>
          <w:ilvl w:val="0"/>
          <w:numId w:val="1"/>
        </w:numPr>
      </w:pPr>
      <w:r w:rsidRPr="00D62A21">
        <w:t xml:space="preserve"> “</w:t>
      </w:r>
      <w:proofErr w:type="spellStart"/>
      <w:proofErr w:type="gramStart"/>
      <w:r w:rsidRPr="00D62A21">
        <w:t>its</w:t>
      </w:r>
      <w:proofErr w:type="spellEnd"/>
      <w:proofErr w:type="gramEnd"/>
      <w:r w:rsidRPr="00D62A21">
        <w:t xml:space="preserve"> exchangeability… for some other thing is its socially re</w:t>
      </w:r>
      <w:r>
        <w:t xml:space="preserve">levant feature” (Appadurai 1986, </w:t>
      </w:r>
      <w:r w:rsidRPr="00D62A21">
        <w:t>13)</w:t>
      </w:r>
    </w:p>
    <w:p w14:paraId="59BE25F1" w14:textId="77777777" w:rsidR="00FA65F8" w:rsidRDefault="00FA65F8" w:rsidP="00FA65F8">
      <w:pPr>
        <w:pStyle w:val="ListParagraph"/>
        <w:numPr>
          <w:ilvl w:val="0"/>
          <w:numId w:val="1"/>
        </w:numPr>
      </w:pPr>
      <w:r>
        <w:t>Commodities become alienable at their point of exchange and are totally separate from embedded social relations.</w:t>
      </w:r>
    </w:p>
    <w:p w14:paraId="7B96B682" w14:textId="77777777" w:rsidR="006976CD" w:rsidRDefault="006976CD" w:rsidP="006976CD">
      <w:pPr>
        <w:rPr>
          <w:rFonts w:eastAsia="Calibri"/>
          <w:szCs w:val="24"/>
        </w:rPr>
      </w:pPr>
    </w:p>
    <w:p w14:paraId="78787096" w14:textId="6547704E" w:rsidR="00E22321" w:rsidRDefault="0063495B" w:rsidP="006976CD">
      <w:pPr>
        <w:rPr>
          <w:rFonts w:eastAsia="Calibri"/>
          <w:szCs w:val="24"/>
        </w:rPr>
      </w:pPr>
      <w:r>
        <w:rPr>
          <w:rFonts w:eastAsia="Calibri"/>
          <w:szCs w:val="24"/>
        </w:rPr>
        <w:t>Think about the following examples of traded pottery. Are these being</w:t>
      </w:r>
      <w:r w:rsidR="00892D5D" w:rsidRPr="006976CD">
        <w:rPr>
          <w:rFonts w:eastAsia="Calibri"/>
          <w:szCs w:val="24"/>
        </w:rPr>
        <w:t xml:space="preserve"> exchanged in </w:t>
      </w:r>
      <w:r>
        <w:rPr>
          <w:rFonts w:eastAsia="Calibri"/>
          <w:szCs w:val="24"/>
        </w:rPr>
        <w:t>their own</w:t>
      </w:r>
      <w:r w:rsidR="00892D5D" w:rsidRPr="006976CD">
        <w:rPr>
          <w:rFonts w:eastAsia="Calibri"/>
          <w:szCs w:val="24"/>
        </w:rPr>
        <w:t xml:space="preserve"> right</w:t>
      </w:r>
      <w:r>
        <w:rPr>
          <w:rFonts w:eastAsia="Calibri"/>
          <w:szCs w:val="24"/>
        </w:rPr>
        <w:t>, as desirable vessels,</w:t>
      </w:r>
      <w:r w:rsidR="00892D5D" w:rsidRPr="006976CD">
        <w:rPr>
          <w:rFonts w:eastAsia="Calibri"/>
          <w:szCs w:val="24"/>
        </w:rPr>
        <w:t xml:space="preserve"> or for </w:t>
      </w:r>
      <w:r>
        <w:rPr>
          <w:rFonts w:eastAsia="Calibri"/>
          <w:szCs w:val="24"/>
        </w:rPr>
        <w:t>their</w:t>
      </w:r>
      <w:r w:rsidR="00892D5D" w:rsidRPr="006976CD">
        <w:rPr>
          <w:rFonts w:eastAsia="Calibri"/>
          <w:szCs w:val="24"/>
        </w:rPr>
        <w:t xml:space="preserve"> contents? How do you situate </w:t>
      </w:r>
      <w:r>
        <w:rPr>
          <w:rFonts w:eastAsia="Calibri"/>
          <w:szCs w:val="24"/>
        </w:rPr>
        <w:t>the</w:t>
      </w:r>
      <w:r w:rsidR="00892D5D" w:rsidRPr="006976CD">
        <w:rPr>
          <w:rFonts w:eastAsia="Calibri"/>
          <w:szCs w:val="24"/>
        </w:rPr>
        <w:t xml:space="preserve"> value</w:t>
      </w:r>
      <w:r>
        <w:rPr>
          <w:rFonts w:eastAsia="Calibri"/>
          <w:szCs w:val="24"/>
        </w:rPr>
        <w:t xml:space="preserve"> of the vessel</w:t>
      </w:r>
      <w:r w:rsidR="00892D5D" w:rsidRPr="006976CD">
        <w:rPr>
          <w:rFonts w:eastAsia="Calibri"/>
          <w:szCs w:val="24"/>
        </w:rPr>
        <w:t>?</w:t>
      </w:r>
      <w:r>
        <w:rPr>
          <w:rFonts w:eastAsia="Calibri"/>
          <w:szCs w:val="24"/>
        </w:rPr>
        <w:t xml:space="preserve"> Also think about commodity branding: how does the importing community know what is the pottery contains? How can they be assured of its quality and authenticity? (</w:t>
      </w:r>
      <w:proofErr w:type="gramStart"/>
      <w:r>
        <w:rPr>
          <w:rFonts w:eastAsia="Calibri"/>
          <w:szCs w:val="24"/>
        </w:rPr>
        <w:t>think</w:t>
      </w:r>
      <w:proofErr w:type="gramEnd"/>
      <w:r>
        <w:rPr>
          <w:rFonts w:eastAsia="Calibri"/>
          <w:szCs w:val="24"/>
        </w:rPr>
        <w:t xml:space="preserve"> packaging and symbolic communication)</w:t>
      </w:r>
      <w:r w:rsidR="00E22321">
        <w:rPr>
          <w:rFonts w:eastAsia="Calibri"/>
          <w:szCs w:val="24"/>
        </w:rPr>
        <w:t>.</w:t>
      </w:r>
    </w:p>
    <w:p w14:paraId="00AC41BF" w14:textId="45BBA98B" w:rsidR="00E22321" w:rsidRDefault="00E22321" w:rsidP="006976CD">
      <w:pPr>
        <w:rPr>
          <w:rFonts w:eastAsia="Calibri"/>
          <w:szCs w:val="24"/>
        </w:rPr>
      </w:pPr>
      <w:r>
        <w:rPr>
          <w:rFonts w:eastAsia="Calibri"/>
          <w:szCs w:val="24"/>
        </w:rPr>
        <w:t>What criteria are you using to make these designations?</w:t>
      </w:r>
    </w:p>
    <w:p w14:paraId="7D5EEBBF" w14:textId="77777777" w:rsidR="00E22321" w:rsidRDefault="00E22321">
      <w:pPr>
        <w:rPr>
          <w:rFonts w:eastAsia="Calibri"/>
          <w:szCs w:val="24"/>
        </w:rPr>
      </w:pPr>
      <w:r>
        <w:rPr>
          <w:rFonts w:eastAsia="Calibri"/>
          <w:szCs w:val="24"/>
        </w:rPr>
        <w:br w:type="page"/>
      </w:r>
    </w:p>
    <w:p w14:paraId="6DFE75C4" w14:textId="4FEDD5C4" w:rsidR="00E22321" w:rsidRDefault="00E22321">
      <w:r w:rsidRPr="00E22321">
        <w:lastRenderedPageBreak/>
        <w:drawing>
          <wp:inline distT="0" distB="0" distL="0" distR="0" wp14:anchorId="41CDDFB3" wp14:editId="170885F6">
            <wp:extent cx="2230502" cy="3121760"/>
            <wp:effectExtent l="0" t="0" r="0" b="2540"/>
            <wp:docPr id="1026" name="Picture 2" descr="Canaanite Jar« from Maa-Palaeokastro. – (After Karageorghis / Demas... |  Download Scientific Diagram">
              <a:extLst xmlns:a="http://schemas.openxmlformats.org/drawingml/2006/main">
                <a:ext uri="{FF2B5EF4-FFF2-40B4-BE49-F238E27FC236}">
                  <a16:creationId xmlns:a16="http://schemas.microsoft.com/office/drawing/2014/main" id="{8E302B28-E972-41E8-8A17-E424A2BDE92F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Canaanite Jar« from Maa-Palaeokastro. – (After Karageorghis / Demas... |  Download Scientific Diagram">
                      <a:extLst>
                        <a:ext uri="{FF2B5EF4-FFF2-40B4-BE49-F238E27FC236}">
                          <a16:creationId xmlns:a16="http://schemas.microsoft.com/office/drawing/2014/main" id="{8E302B28-E972-41E8-8A17-E424A2BDE92F}"/>
                        </a:ext>
                      </a:extLst>
                    </pic:cNvPr>
                    <pic:cNvPicPr>
                      <a:picLocks noGrp="1"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5888" cy="312929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tab/>
      </w:r>
      <w:r>
        <w:tab/>
      </w:r>
      <w:r>
        <w:rPr>
          <w:noProof/>
        </w:rPr>
        <w:drawing>
          <wp:inline distT="0" distB="0" distL="0" distR="0" wp14:anchorId="74E6B946" wp14:editId="11F50BCA">
            <wp:extent cx="2281535" cy="3388037"/>
            <wp:effectExtent l="0" t="0" r="5080" b="3175"/>
            <wp:docPr id="2" name="Picture 2" descr="Ministry of Culture and Sports | Archaeological Museum of Theb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Ministry of Culture and Sports | Archaeological Museum of Thebes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5633" cy="34089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6945F9" w14:textId="6E8474E7" w:rsidR="0009095D" w:rsidRDefault="0009095D" w:rsidP="0009095D">
      <w:r>
        <w:t xml:space="preserve">1. </w:t>
      </w:r>
      <w:r w:rsidR="00E22321">
        <w:t>Canaanite jar</w:t>
      </w:r>
      <w:r w:rsidR="00E22321">
        <w:tab/>
      </w:r>
      <w:r w:rsidR="00E22321">
        <w:tab/>
      </w:r>
      <w:r w:rsidR="00E22321">
        <w:tab/>
      </w:r>
      <w:r w:rsidR="00E22321">
        <w:tab/>
      </w:r>
      <w:r>
        <w:t xml:space="preserve">2. </w:t>
      </w:r>
      <w:r w:rsidR="00E22321">
        <w:t>Stirrup jar, Thebes (Boeotia) (</w:t>
      </w:r>
      <w:proofErr w:type="spellStart"/>
      <w:r w:rsidR="00E13DCE">
        <w:t>Ht</w:t>
      </w:r>
      <w:proofErr w:type="spellEnd"/>
      <w:r w:rsidR="00E13DCE">
        <w:t xml:space="preserve">: </w:t>
      </w:r>
      <w:r w:rsidR="00E22321">
        <w:t>45cm</w:t>
      </w:r>
      <w:r>
        <w:t>)</w:t>
      </w:r>
    </w:p>
    <w:p w14:paraId="43B3816C" w14:textId="0636B3A8" w:rsidR="0009095D" w:rsidRDefault="0009095D" w:rsidP="0009095D">
      <w:r>
        <w:rPr>
          <w:noProof/>
        </w:rPr>
        <w:drawing>
          <wp:inline distT="0" distB="0" distL="0" distR="0" wp14:anchorId="3DAEE0BD" wp14:editId="762BB843">
            <wp:extent cx="2901027" cy="3435207"/>
            <wp:effectExtent l="0" t="0" r="0" b="0"/>
            <wp:docPr id="3" name="Picture 3" descr="Terracotta chariot krater | Helladic, Mycenaean | Late Helladic IIIA:1 |  The Metropolitan Museum of 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Terracotta chariot krater | Helladic, Mycenaean | Late Helladic IIIA:1 |  The Metropolitan Museum of Art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06779" cy="34420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13DCE" w:rsidRPr="00E13DCE">
        <w:t xml:space="preserve"> </w:t>
      </w:r>
      <w:r w:rsidR="00E13DCE">
        <w:rPr>
          <w:noProof/>
        </w:rPr>
        <w:drawing>
          <wp:inline distT="0" distB="0" distL="0" distR="0" wp14:anchorId="1D9ECFB8" wp14:editId="2BEB8AC0">
            <wp:extent cx="2399665" cy="1903095"/>
            <wp:effectExtent l="0" t="0" r="635" b="190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99665" cy="19030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641D74" w14:textId="00D20D24" w:rsidR="0009095D" w:rsidRDefault="0009095D" w:rsidP="0009095D">
      <w:r>
        <w:t>3. Mycenaean krater, Cyprus</w:t>
      </w:r>
      <w:r w:rsidR="00E13DCE">
        <w:t xml:space="preserve"> (</w:t>
      </w:r>
      <w:proofErr w:type="spellStart"/>
      <w:r w:rsidR="00E13DCE">
        <w:t>Ht</w:t>
      </w:r>
      <w:proofErr w:type="spellEnd"/>
      <w:r w:rsidR="00E13DCE">
        <w:t>: 37cm)</w:t>
      </w:r>
      <w:r w:rsidR="00E13DCE">
        <w:tab/>
      </w:r>
      <w:r w:rsidR="00E13DCE">
        <w:tab/>
        <w:t>4. Base Ring bull, Jordan</w:t>
      </w:r>
    </w:p>
    <w:p w14:paraId="154EDFDE" w14:textId="224E81A7" w:rsidR="00E13DCE" w:rsidRDefault="00E13DCE" w:rsidP="0009095D">
      <w:r>
        <w:rPr>
          <w:noProof/>
        </w:rPr>
        <w:lastRenderedPageBreak/>
        <w:drawing>
          <wp:inline distT="0" distB="0" distL="0" distR="0" wp14:anchorId="5C0B09D2" wp14:editId="0365CDB3">
            <wp:extent cx="2538648" cy="2478459"/>
            <wp:effectExtent l="0" t="0" r="0" b="0"/>
            <wp:docPr id="5" name="Picture 5" descr="Base Ring I juglets from the Late Bronze IIA (fourteenth century BC) Canaanite 'palace' at Tel Beth-Shemesh (photograph: Studio M. Fishbain). 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Base Ring I juglets from the Late Bronze IIA (fourteenth century BC) Canaanite 'palace' at Tel Beth-Shemesh (photograph: Studio M. Fishbain). 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50586" cy="24901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ab/>
      </w:r>
      <w:r w:rsidRPr="00E13DCE">
        <w:drawing>
          <wp:inline distT="0" distB="0" distL="0" distR="0" wp14:anchorId="23763FC7" wp14:editId="0133F480">
            <wp:extent cx="2760543" cy="2050195"/>
            <wp:effectExtent l="0" t="0" r="1905" b="7620"/>
            <wp:docPr id="12" name="Content Placeholder 11" descr="armant alabastron.jpg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Content Placeholder 11" descr="armant alabastron.jpg"/>
                    <pic:cNvPicPr>
                      <a:picLocks noGrp="1" noChangeAspect="1"/>
                    </pic:cNvPicPr>
                  </pic:nvPicPr>
                  <pic:blipFill rotWithShape="1">
                    <a:blip r:embed="rId10" cstate="email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4539" b="11193"/>
                    <a:stretch/>
                  </pic:blipFill>
                  <pic:spPr bwMode="auto">
                    <a:xfrm>
                      <a:off x="0" y="0"/>
                      <a:ext cx="2779935" cy="20645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C02F0E9" w14:textId="59C73827" w:rsidR="00E13DCE" w:rsidRDefault="00E13DCE" w:rsidP="0009095D">
      <w:r>
        <w:t>5. Base Ring juglets, Beth Shemesh (palace)</w:t>
      </w:r>
      <w:r>
        <w:tab/>
      </w:r>
      <w:r w:rsidR="00EB6C15">
        <w:t>6</w:t>
      </w:r>
      <w:r>
        <w:t>. Mycenaean</w:t>
      </w:r>
      <w:r w:rsidR="00EB6C15">
        <w:t xml:space="preserve"> alabastron, </w:t>
      </w:r>
      <w:proofErr w:type="spellStart"/>
      <w:r w:rsidR="00EB6C15">
        <w:t>Armant</w:t>
      </w:r>
      <w:proofErr w:type="spellEnd"/>
      <w:r w:rsidR="00EB6C15">
        <w:t xml:space="preserve"> (Egypt)</w:t>
      </w:r>
    </w:p>
    <w:p w14:paraId="0B7489FA" w14:textId="1A4E83A9" w:rsidR="00EB6C15" w:rsidRDefault="00EB6C15" w:rsidP="0009095D">
      <w:r w:rsidRPr="00EB6C15">
        <w:drawing>
          <wp:inline distT="0" distB="0" distL="0" distR="0" wp14:anchorId="6CF835CF" wp14:editId="4A2576E1">
            <wp:extent cx="5238428" cy="1760088"/>
            <wp:effectExtent l="0" t="0" r="635" b="0"/>
            <wp:docPr id="10" name="Picture 9">
              <a:extLst xmlns:a="http://schemas.openxmlformats.org/drawingml/2006/main">
                <a:ext uri="{FF2B5EF4-FFF2-40B4-BE49-F238E27FC236}">
                  <a16:creationId xmlns:a16="http://schemas.microsoft.com/office/drawing/2014/main" id="{EFF38D59-79B2-4DCD-948C-FDC44278AC7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9">
                      <a:extLst>
                        <a:ext uri="{FF2B5EF4-FFF2-40B4-BE49-F238E27FC236}">
                          <a16:creationId xmlns:a16="http://schemas.microsoft.com/office/drawing/2014/main" id="{EFF38D59-79B2-4DCD-948C-FDC44278AC7E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>
                    <a:xfrm>
                      <a:off x="0" y="0"/>
                      <a:ext cx="5264960" cy="17690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1DAFC7" w14:textId="787982A5" w:rsidR="00EB6C15" w:rsidRPr="008B5E41" w:rsidRDefault="00EB6C15" w:rsidP="0009095D">
      <w:r>
        <w:t>7. Red Lustrous arm-shaped vessels</w:t>
      </w:r>
    </w:p>
    <w:sectPr w:rsidR="00EB6C15" w:rsidRPr="008B5E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B27EE3"/>
    <w:multiLevelType w:val="hybridMultilevel"/>
    <w:tmpl w:val="35C4E9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EF77C14"/>
    <w:multiLevelType w:val="hybridMultilevel"/>
    <w:tmpl w:val="B206051E"/>
    <w:lvl w:ilvl="0" w:tplc="C7CA35E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B8064146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1DC07DC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F440BCE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18609848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3268C26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0F8E700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A229DCC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35DCC8EA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4F9443A"/>
    <w:multiLevelType w:val="hybridMultilevel"/>
    <w:tmpl w:val="3A068A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9722162"/>
    <w:multiLevelType w:val="hybridMultilevel"/>
    <w:tmpl w:val="D4820B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5E41"/>
    <w:rsid w:val="0009095D"/>
    <w:rsid w:val="0063495B"/>
    <w:rsid w:val="006976CD"/>
    <w:rsid w:val="007E242D"/>
    <w:rsid w:val="00892D5D"/>
    <w:rsid w:val="008B5E41"/>
    <w:rsid w:val="00B32858"/>
    <w:rsid w:val="00E13DCE"/>
    <w:rsid w:val="00E22321"/>
    <w:rsid w:val="00EB6C15"/>
    <w:rsid w:val="00FA65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0E87AE"/>
  <w15:chartTrackingRefBased/>
  <w15:docId w15:val="{008ACD8F-82E0-4C8E-BF53-2AC9774F2E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sz w:val="24"/>
        <w:szCs w:val="22"/>
        <w:lang w:val="en-GB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A65F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78712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5156311">
          <w:marLeft w:val="115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pn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246</Words>
  <Characters>1407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2</cp:revision>
  <dcterms:created xsi:type="dcterms:W3CDTF">2022-02-24T07:20:00Z</dcterms:created>
  <dcterms:modified xsi:type="dcterms:W3CDTF">2022-02-24T07:20:00Z</dcterms:modified>
</cp:coreProperties>
</file>