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3619B5" w14:textId="10964285" w:rsidR="00720FD5" w:rsidRDefault="00720FD5" w:rsidP="009239AC">
      <w:pPr>
        <w:pStyle w:val="Heading1"/>
      </w:pPr>
    </w:p>
    <w:p w14:paraId="41A159AA" w14:textId="36589084" w:rsidR="00FD0440" w:rsidRDefault="00FD0440" w:rsidP="00052F3A">
      <w:pPr>
        <w:pStyle w:val="Heading1"/>
        <w:rPr>
          <w:rFonts w:eastAsia="Times New Roman"/>
          <w:lang w:eastAsia="en-GB"/>
        </w:rPr>
      </w:pPr>
      <w:r w:rsidRPr="00FD0440">
        <w:rPr>
          <w:rFonts w:eastAsia="Times New Roman"/>
          <w:color w:val="auto"/>
          <w:lang w:eastAsia="en-GB"/>
        </w:rPr>
        <w:t>Childhood Overweight and Socioeconomic Inequalities in the UK: A Scoping Review Proposal</w:t>
      </w:r>
      <w:r w:rsidR="00D9675A">
        <w:rPr>
          <w:rFonts w:eastAsia="Times New Roman"/>
          <w:lang w:eastAsia="en-GB"/>
        </w:rPr>
        <w:t xml:space="preserve"> to identify existing evidence, gaps, and patterns related to socioeconomic factors influencing childhood obesity.</w:t>
      </w:r>
    </w:p>
    <w:p w14:paraId="0E02FAE9" w14:textId="77777777" w:rsidR="00BA0ADB" w:rsidRPr="00BA0ADB" w:rsidRDefault="00BA0ADB" w:rsidP="00BA0ADB">
      <w:pPr>
        <w:rPr>
          <w:lang w:eastAsia="en-GB"/>
        </w:rPr>
      </w:pPr>
    </w:p>
    <w:p w14:paraId="4FD1D535" w14:textId="14876D5D" w:rsidR="00962806" w:rsidRDefault="00962806" w:rsidP="009619F5">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Introduction</w:t>
      </w:r>
    </w:p>
    <w:p w14:paraId="2A6FF9B4" w14:textId="5B80763E" w:rsidR="00C65AAF" w:rsidRDefault="00FD0440" w:rsidP="009619F5">
      <w:pPr>
        <w:spacing w:after="0" w:line="360" w:lineRule="auto"/>
        <w:jc w:val="both"/>
        <w:rPr>
          <w:rFonts w:ascii="Arial" w:eastAsia="Times New Roman" w:hAnsi="Arial" w:cs="Arial"/>
          <w:kern w:val="0"/>
          <w:lang w:eastAsia="en-GB"/>
          <w14:ligatures w14:val="none"/>
        </w:rPr>
      </w:pPr>
      <w:r w:rsidRPr="009619F5">
        <w:rPr>
          <w:rFonts w:ascii="Arial" w:eastAsia="Times New Roman" w:hAnsi="Arial" w:cs="Arial"/>
          <w:kern w:val="0"/>
          <w:lang w:eastAsia="en-GB"/>
          <w14:ligatures w14:val="none"/>
        </w:rPr>
        <w:t>This proposed secondary research will explore the relationship between socioeconomic inequalities and childhood overweight and obesity in the UK. Evidence from a UK cohort study found that children from poorer families had a higher risk of becoming obese and that the inequality widened as children grew older, emphasising the importance of early intervention (Goisis, Sacker, and Kelly, 2015).</w:t>
      </w:r>
      <w:r w:rsidR="0057067E">
        <w:rPr>
          <w:rFonts w:ascii="Arial" w:eastAsia="Times New Roman" w:hAnsi="Arial" w:cs="Arial"/>
          <w:kern w:val="0"/>
          <w:lang w:eastAsia="en-GB"/>
          <w14:ligatures w14:val="none"/>
        </w:rPr>
        <w:t xml:space="preserve"> </w:t>
      </w:r>
      <w:r w:rsidR="00B8445E">
        <w:rPr>
          <w:rFonts w:ascii="Arial" w:eastAsia="Times New Roman" w:hAnsi="Arial" w:cs="Arial"/>
          <w:kern w:val="0"/>
          <w:lang w:eastAsia="en-GB"/>
          <w14:ligatures w14:val="none"/>
        </w:rPr>
        <w:t xml:space="preserve">This can lead to </w:t>
      </w:r>
      <w:r w:rsidR="0057067E">
        <w:rPr>
          <w:rFonts w:ascii="Arial" w:eastAsia="Times New Roman" w:hAnsi="Arial" w:cs="Arial"/>
          <w:kern w:val="0"/>
          <w:lang w:eastAsia="en-GB"/>
          <w14:ligatures w14:val="none"/>
        </w:rPr>
        <w:t>diseases such as joint problems,</w:t>
      </w:r>
      <w:r w:rsidR="00B8445E">
        <w:rPr>
          <w:rFonts w:ascii="Arial" w:eastAsia="Times New Roman" w:hAnsi="Arial" w:cs="Arial"/>
          <w:kern w:val="0"/>
          <w:lang w:eastAsia="en-GB"/>
          <w14:ligatures w14:val="none"/>
        </w:rPr>
        <w:t xml:space="preserve"> </w:t>
      </w:r>
      <w:r w:rsidR="0057067E">
        <w:rPr>
          <w:rFonts w:ascii="Arial" w:eastAsia="Times New Roman" w:hAnsi="Arial" w:cs="Arial"/>
          <w:kern w:val="0"/>
          <w:lang w:eastAsia="en-GB"/>
          <w14:ligatures w14:val="none"/>
        </w:rPr>
        <w:t>asthma, liver disease and type 2 diabetes.</w:t>
      </w:r>
    </w:p>
    <w:p w14:paraId="24C73ACF" w14:textId="77777777" w:rsidR="00C65AAF" w:rsidRDefault="00C65AAF" w:rsidP="009619F5">
      <w:pPr>
        <w:spacing w:after="0" w:line="360" w:lineRule="auto"/>
        <w:jc w:val="both"/>
        <w:rPr>
          <w:rFonts w:ascii="Arial" w:eastAsia="Times New Roman" w:hAnsi="Arial" w:cs="Arial"/>
          <w:kern w:val="0"/>
          <w:lang w:eastAsia="en-GB"/>
          <w14:ligatures w14:val="none"/>
        </w:rPr>
      </w:pPr>
    </w:p>
    <w:p w14:paraId="67C95891" w14:textId="24CB429D" w:rsidR="00962806" w:rsidRDefault="00962806" w:rsidP="009619F5">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Rationale</w:t>
      </w:r>
    </w:p>
    <w:p w14:paraId="372D1717" w14:textId="5B9E6D06" w:rsidR="00FD0440" w:rsidRPr="009619F5" w:rsidRDefault="00FD0440" w:rsidP="009619F5">
      <w:pPr>
        <w:spacing w:after="0" w:line="360" w:lineRule="auto"/>
        <w:jc w:val="both"/>
        <w:rPr>
          <w:rFonts w:ascii="Arial" w:eastAsia="Times New Roman" w:hAnsi="Arial" w:cs="Arial"/>
          <w:kern w:val="0"/>
          <w:lang w:eastAsia="en-GB"/>
          <w14:ligatures w14:val="none"/>
        </w:rPr>
      </w:pPr>
      <w:r w:rsidRPr="009619F5">
        <w:rPr>
          <w:rFonts w:ascii="Arial" w:eastAsia="Times New Roman" w:hAnsi="Arial" w:cs="Arial"/>
          <w:kern w:val="0"/>
          <w:lang w:eastAsia="en-GB"/>
          <w14:ligatures w14:val="none"/>
        </w:rPr>
        <w:t xml:space="preserve">This topic has been selected because socioeconomic circumstances strongly influence opportunities for good health. Income deprivation, parental education, housing quality, neighbourhood conditions, access to healthy food, and opportunities for physical activity may all shape children's health outcomes. </w:t>
      </w:r>
      <w:r w:rsidR="00D0089D" w:rsidRPr="009619F5">
        <w:rPr>
          <w:rFonts w:ascii="Arial" w:eastAsia="Times New Roman" w:hAnsi="Arial" w:cs="Arial"/>
          <w:kern w:val="0"/>
          <w:lang w:eastAsia="en-GB"/>
          <w14:ligatures w14:val="none"/>
        </w:rPr>
        <w:t>Addressing these social conditions can help reduce childhood obesity disparities and promote social justice</w:t>
      </w:r>
      <w:r w:rsidRPr="009619F5">
        <w:rPr>
          <w:rFonts w:ascii="Arial" w:eastAsia="Times New Roman" w:hAnsi="Arial" w:cs="Arial"/>
          <w:kern w:val="0"/>
          <w:lang w:eastAsia="en-GB"/>
          <w14:ligatures w14:val="none"/>
        </w:rPr>
        <w:t xml:space="preserve"> (Marmot et al.,2020).</w:t>
      </w:r>
    </w:p>
    <w:p w14:paraId="1083522A" w14:textId="77777777" w:rsidR="00C87C85" w:rsidRPr="009619F5" w:rsidRDefault="00C87C85" w:rsidP="009619F5">
      <w:pPr>
        <w:spacing w:after="0" w:line="360" w:lineRule="auto"/>
        <w:jc w:val="both"/>
        <w:rPr>
          <w:rFonts w:ascii="Arial" w:eastAsia="Times New Roman" w:hAnsi="Arial" w:cs="Arial"/>
          <w:kern w:val="0"/>
          <w:lang w:eastAsia="en-GB"/>
          <w14:ligatures w14:val="none"/>
        </w:rPr>
      </w:pPr>
    </w:p>
    <w:p w14:paraId="57DB9656" w14:textId="0363DCD4" w:rsidR="00FD0440" w:rsidRPr="009619F5" w:rsidRDefault="00FD0440" w:rsidP="009619F5">
      <w:pPr>
        <w:spacing w:after="0" w:line="360" w:lineRule="auto"/>
        <w:jc w:val="both"/>
        <w:rPr>
          <w:rFonts w:ascii="Arial" w:eastAsia="Times New Roman" w:hAnsi="Arial" w:cs="Arial"/>
          <w:kern w:val="0"/>
          <w:lang w:eastAsia="en-GB"/>
          <w14:ligatures w14:val="none"/>
        </w:rPr>
      </w:pPr>
      <w:r w:rsidRPr="009619F5">
        <w:rPr>
          <w:rFonts w:ascii="Arial" w:eastAsia="Times New Roman" w:hAnsi="Arial" w:cs="Arial"/>
          <w:kern w:val="0"/>
          <w:lang w:eastAsia="en-GB"/>
          <w14:ligatures w14:val="none"/>
        </w:rPr>
        <w:t xml:space="preserve">Recent research has examined changes in inequalities in childhood overweight and obesity in England </w:t>
      </w:r>
      <w:r w:rsidR="00A2245A" w:rsidRPr="009619F5">
        <w:rPr>
          <w:rFonts w:ascii="Arial" w:eastAsia="Times New Roman" w:hAnsi="Arial" w:cs="Arial"/>
          <w:kern w:val="0"/>
          <w:lang w:eastAsia="en-GB"/>
          <w14:ligatures w14:val="none"/>
        </w:rPr>
        <w:t xml:space="preserve">by socioeconomic position and ethnicity </w:t>
      </w:r>
      <w:r w:rsidR="0057067E" w:rsidRPr="009619F5">
        <w:rPr>
          <w:rFonts w:ascii="Arial" w:eastAsia="Times New Roman" w:hAnsi="Arial" w:cs="Arial"/>
          <w:kern w:val="0"/>
          <w:lang w:eastAsia="en-GB"/>
          <w14:ligatures w14:val="none"/>
        </w:rPr>
        <w:t>(</w:t>
      </w:r>
      <w:r w:rsidR="0057067E">
        <w:rPr>
          <w:rFonts w:ascii="Arial" w:eastAsia="Times New Roman" w:hAnsi="Arial" w:cs="Arial"/>
          <w:kern w:val="0"/>
          <w:lang w:eastAsia="en-GB"/>
          <w14:ligatures w14:val="none"/>
        </w:rPr>
        <w:t>Broadbent et al.,2024)</w:t>
      </w:r>
      <w:r w:rsidRPr="009619F5">
        <w:rPr>
          <w:rFonts w:ascii="Arial" w:eastAsia="Times New Roman" w:hAnsi="Arial" w:cs="Arial"/>
          <w:kern w:val="0"/>
          <w:lang w:eastAsia="en-GB"/>
          <w14:ligatures w14:val="none"/>
        </w:rPr>
        <w:t xml:space="preserve">. Reviewing this evidence may clarify whether differences have narrowed, remained stable, or increased over time, and whether </w:t>
      </w:r>
      <w:r w:rsidR="00DC0F56" w:rsidRPr="009619F5">
        <w:rPr>
          <w:rFonts w:ascii="Arial" w:eastAsia="Times New Roman" w:hAnsi="Arial" w:cs="Arial"/>
          <w:kern w:val="0"/>
          <w:lang w:eastAsia="en-GB"/>
          <w14:ligatures w14:val="none"/>
        </w:rPr>
        <w:t>groups</w:t>
      </w:r>
      <w:r w:rsidRPr="009619F5">
        <w:rPr>
          <w:rFonts w:ascii="Arial" w:eastAsia="Times New Roman" w:hAnsi="Arial" w:cs="Arial"/>
          <w:kern w:val="0"/>
          <w:lang w:eastAsia="en-GB"/>
          <w14:ligatures w14:val="none"/>
        </w:rPr>
        <w:t xml:space="preserve"> experience disproportionate risks.</w:t>
      </w:r>
    </w:p>
    <w:p w14:paraId="1E2337F0" w14:textId="48C8E93B" w:rsidR="00FD0440" w:rsidRPr="009619F5" w:rsidRDefault="00FD0440" w:rsidP="009619F5">
      <w:pPr>
        <w:spacing w:after="0" w:line="360" w:lineRule="auto"/>
        <w:jc w:val="both"/>
        <w:rPr>
          <w:rFonts w:ascii="Arial" w:eastAsia="Times New Roman" w:hAnsi="Arial" w:cs="Arial"/>
          <w:kern w:val="0"/>
          <w:lang w:eastAsia="en-GB"/>
          <w14:ligatures w14:val="none"/>
        </w:rPr>
      </w:pPr>
      <w:r w:rsidRPr="009619F5">
        <w:rPr>
          <w:rFonts w:ascii="Arial" w:eastAsia="Times New Roman" w:hAnsi="Arial" w:cs="Arial"/>
          <w:kern w:val="0"/>
          <w:lang w:eastAsia="en-GB"/>
          <w14:ligatures w14:val="none"/>
        </w:rPr>
        <w:t>Understanding these inequalities is important for health and social care professionals. A clearer evidence base can support equitable assessment, targeted health promotion, sensitive communication, and appropriate support for children and families. The topic remains highly relevant because childhood overweight continues to be a major public health concern, especially in disadvantaged communities (B</w:t>
      </w:r>
      <w:r w:rsidR="0057067E">
        <w:rPr>
          <w:rFonts w:ascii="Arial" w:eastAsia="Times New Roman" w:hAnsi="Arial" w:cs="Arial"/>
          <w:kern w:val="0"/>
          <w:lang w:eastAsia="en-GB"/>
          <w14:ligatures w14:val="none"/>
        </w:rPr>
        <w:t xml:space="preserve">roadbent </w:t>
      </w:r>
      <w:r w:rsidRPr="009619F5">
        <w:rPr>
          <w:rFonts w:ascii="Arial" w:eastAsia="Times New Roman" w:hAnsi="Arial" w:cs="Arial"/>
          <w:kern w:val="0"/>
          <w:lang w:eastAsia="en-GB"/>
          <w14:ligatures w14:val="none"/>
        </w:rPr>
        <w:t>et al.,2024).</w:t>
      </w:r>
    </w:p>
    <w:p w14:paraId="13BD8DA5" w14:textId="77777777" w:rsidR="00C65AAF" w:rsidRDefault="00C65AAF" w:rsidP="009619F5">
      <w:pPr>
        <w:spacing w:after="0" w:line="360" w:lineRule="auto"/>
        <w:jc w:val="both"/>
        <w:rPr>
          <w:rFonts w:ascii="Arial" w:eastAsia="Times New Roman" w:hAnsi="Arial" w:cs="Arial"/>
          <w:kern w:val="0"/>
          <w:lang w:eastAsia="en-GB"/>
          <w14:ligatures w14:val="none"/>
        </w:rPr>
      </w:pPr>
    </w:p>
    <w:p w14:paraId="4825ABBB" w14:textId="301AEB31" w:rsidR="00FD0440" w:rsidRPr="009619F5" w:rsidRDefault="00FD0440" w:rsidP="009619F5">
      <w:pPr>
        <w:spacing w:after="0" w:line="360" w:lineRule="auto"/>
        <w:jc w:val="both"/>
        <w:rPr>
          <w:rFonts w:ascii="Arial" w:eastAsia="Times New Roman" w:hAnsi="Arial" w:cs="Arial"/>
          <w:kern w:val="0"/>
          <w:lang w:eastAsia="en-GB"/>
          <w14:ligatures w14:val="none"/>
        </w:rPr>
      </w:pPr>
      <w:r w:rsidRPr="009619F5">
        <w:rPr>
          <w:rFonts w:ascii="Arial" w:eastAsia="Times New Roman" w:hAnsi="Arial" w:cs="Arial"/>
          <w:kern w:val="0"/>
          <w:lang w:eastAsia="en-GB"/>
          <w14:ligatures w14:val="none"/>
        </w:rPr>
        <w:lastRenderedPageBreak/>
        <w:t>The report aims to identify how childhood obesity varies by income deprivation and parental education. It will also explore how this relationship has changed over time, examine whether inequalities differ by age, sex, or ethnicity, and identify gaps or limitations in the existing UK evidence.</w:t>
      </w:r>
    </w:p>
    <w:p w14:paraId="67B8A774" w14:textId="77777777" w:rsidR="00962806" w:rsidRDefault="00962806" w:rsidP="009619F5">
      <w:pPr>
        <w:spacing w:after="0" w:line="360" w:lineRule="auto"/>
        <w:jc w:val="both"/>
        <w:rPr>
          <w:rFonts w:ascii="Arial" w:eastAsia="Times New Roman" w:hAnsi="Arial" w:cs="Arial"/>
          <w:kern w:val="0"/>
          <w:lang w:eastAsia="en-GB"/>
          <w14:ligatures w14:val="none"/>
        </w:rPr>
      </w:pPr>
    </w:p>
    <w:p w14:paraId="316C5B0E" w14:textId="77777777" w:rsidR="00962806" w:rsidRDefault="00962806" w:rsidP="009619F5">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Methodology </w:t>
      </w:r>
    </w:p>
    <w:p w14:paraId="683A11F4" w14:textId="0F508DC4" w:rsidR="00FD0440" w:rsidRDefault="00FD0440" w:rsidP="009619F5">
      <w:pPr>
        <w:spacing w:after="0" w:line="360" w:lineRule="auto"/>
        <w:jc w:val="both"/>
        <w:rPr>
          <w:rFonts w:ascii="Arial" w:eastAsia="Times New Roman" w:hAnsi="Arial" w:cs="Arial"/>
          <w:kern w:val="0"/>
          <w:lang w:eastAsia="en-GB"/>
          <w14:ligatures w14:val="none"/>
        </w:rPr>
      </w:pPr>
      <w:r w:rsidRPr="009619F5">
        <w:rPr>
          <w:rFonts w:ascii="Arial" w:eastAsia="Times New Roman" w:hAnsi="Arial" w:cs="Arial"/>
          <w:kern w:val="0"/>
          <w:lang w:eastAsia="en-GB"/>
          <w14:ligatures w14:val="none"/>
        </w:rPr>
        <w:t xml:space="preserve">A scoping review </w:t>
      </w:r>
      <w:r w:rsidR="00962806">
        <w:rPr>
          <w:rFonts w:ascii="Arial" w:eastAsia="Times New Roman" w:hAnsi="Arial" w:cs="Arial"/>
          <w:kern w:val="0"/>
          <w:lang w:eastAsia="en-GB"/>
          <w14:ligatures w14:val="none"/>
        </w:rPr>
        <w:t>(</w:t>
      </w:r>
      <w:r w:rsidR="0057067E">
        <w:rPr>
          <w:rFonts w:ascii="Arial" w:eastAsia="Times New Roman" w:hAnsi="Arial" w:cs="Arial"/>
          <w:kern w:val="0"/>
          <w:lang w:eastAsia="en-GB"/>
          <w14:ligatures w14:val="none"/>
        </w:rPr>
        <w:t>Arksey</w:t>
      </w:r>
      <w:r w:rsidR="00962806">
        <w:rPr>
          <w:rFonts w:ascii="Arial" w:eastAsia="Times New Roman" w:hAnsi="Arial" w:cs="Arial"/>
          <w:kern w:val="0"/>
          <w:lang w:eastAsia="en-GB"/>
          <w14:ligatures w14:val="none"/>
        </w:rPr>
        <w:t xml:space="preserve"> and </w:t>
      </w:r>
      <w:r w:rsidR="0057067E">
        <w:rPr>
          <w:rFonts w:ascii="Arial" w:eastAsia="Times New Roman" w:hAnsi="Arial" w:cs="Arial"/>
          <w:kern w:val="0"/>
          <w:lang w:eastAsia="en-GB"/>
          <w14:ligatures w14:val="none"/>
        </w:rPr>
        <w:t>O’Malley</w:t>
      </w:r>
      <w:r w:rsidR="00962806">
        <w:rPr>
          <w:rFonts w:ascii="Arial" w:eastAsia="Times New Roman" w:hAnsi="Arial" w:cs="Arial"/>
          <w:kern w:val="0"/>
          <w:lang w:eastAsia="en-GB"/>
          <w14:ligatures w14:val="none"/>
        </w:rPr>
        <w:t xml:space="preserve">, 2005) </w:t>
      </w:r>
      <w:r w:rsidRPr="009619F5">
        <w:rPr>
          <w:rFonts w:ascii="Arial" w:eastAsia="Times New Roman" w:hAnsi="Arial" w:cs="Arial"/>
          <w:kern w:val="0"/>
          <w:lang w:eastAsia="en-GB"/>
          <w14:ligatures w14:val="none"/>
        </w:rPr>
        <w:t xml:space="preserve">will </w:t>
      </w:r>
      <w:r w:rsidR="00CE0BED" w:rsidRPr="009619F5">
        <w:rPr>
          <w:rFonts w:ascii="Arial" w:eastAsia="Times New Roman" w:hAnsi="Arial" w:cs="Arial"/>
          <w:kern w:val="0"/>
          <w:lang w:eastAsia="en-GB"/>
          <w14:ligatures w14:val="none"/>
        </w:rPr>
        <w:t xml:space="preserve">outline the </w:t>
      </w:r>
      <w:r w:rsidR="0019154A" w:rsidRPr="009619F5">
        <w:rPr>
          <w:rFonts w:ascii="Arial" w:eastAsia="Times New Roman" w:hAnsi="Arial" w:cs="Arial"/>
          <w:kern w:val="0"/>
          <w:lang w:eastAsia="en-GB"/>
          <w14:ligatures w14:val="none"/>
        </w:rPr>
        <w:t>range</w:t>
      </w:r>
      <w:r w:rsidRPr="009619F5">
        <w:rPr>
          <w:rFonts w:ascii="Arial" w:eastAsia="Times New Roman" w:hAnsi="Arial" w:cs="Arial"/>
          <w:kern w:val="0"/>
          <w:lang w:eastAsia="en-GB"/>
          <w14:ligatures w14:val="none"/>
        </w:rPr>
        <w:t xml:space="preserve"> and nature of existing evidence. Searches will be undertaken in PubMed, Google Scholar, ScienceDirect, BMJ Open, and the university's Primo database. Search terms will include childhood, overweight, obesity, socioeconomic inequalities, deprivation, poverty, UK, and children. Relevant studies will be screened against defined inclusion and exclusion criteria. Data will be charted</w:t>
      </w:r>
      <w:r w:rsidR="000233A6" w:rsidRPr="009619F5">
        <w:rPr>
          <w:rFonts w:ascii="Arial" w:eastAsia="Times New Roman" w:hAnsi="Arial" w:cs="Arial"/>
          <w:kern w:val="0"/>
          <w:lang w:eastAsia="en-GB"/>
          <w14:ligatures w14:val="none"/>
        </w:rPr>
        <w:t xml:space="preserve">, </w:t>
      </w:r>
      <w:r w:rsidR="00C87C85" w:rsidRPr="009619F5">
        <w:rPr>
          <w:rFonts w:ascii="Arial" w:eastAsia="Times New Roman" w:hAnsi="Arial" w:cs="Arial"/>
          <w:kern w:val="0"/>
          <w:lang w:eastAsia="en-GB"/>
          <w14:ligatures w14:val="none"/>
        </w:rPr>
        <w:t>then analysed thematically</w:t>
      </w:r>
      <w:r w:rsidRPr="009619F5">
        <w:rPr>
          <w:rFonts w:ascii="Arial" w:eastAsia="Times New Roman" w:hAnsi="Arial" w:cs="Arial"/>
          <w:kern w:val="0"/>
          <w:lang w:eastAsia="en-GB"/>
          <w14:ligatures w14:val="none"/>
        </w:rPr>
        <w:t xml:space="preserve"> </w:t>
      </w:r>
      <w:r w:rsidR="0045717B">
        <w:rPr>
          <w:rFonts w:ascii="Arial" w:eastAsia="Times New Roman" w:hAnsi="Arial" w:cs="Arial"/>
          <w:kern w:val="0"/>
          <w:lang w:eastAsia="en-GB"/>
          <w14:ligatures w14:val="none"/>
        </w:rPr>
        <w:t xml:space="preserve">(Aveyard, 2007) </w:t>
      </w:r>
      <w:r w:rsidRPr="009619F5">
        <w:rPr>
          <w:rFonts w:ascii="Arial" w:eastAsia="Times New Roman" w:hAnsi="Arial" w:cs="Arial"/>
          <w:kern w:val="0"/>
          <w:lang w:eastAsia="en-GB"/>
          <w14:ligatures w14:val="none"/>
        </w:rPr>
        <w:t>to identify recurring patterns.</w:t>
      </w:r>
    </w:p>
    <w:p w14:paraId="25CA3B15" w14:textId="77777777" w:rsidR="00920346" w:rsidRDefault="00920346" w:rsidP="009619F5">
      <w:pPr>
        <w:spacing w:after="0" w:line="360" w:lineRule="auto"/>
        <w:jc w:val="both"/>
        <w:rPr>
          <w:rFonts w:ascii="Arial" w:eastAsia="Times New Roman" w:hAnsi="Arial" w:cs="Arial"/>
          <w:kern w:val="0"/>
          <w:lang w:eastAsia="en-GB"/>
          <w14:ligatures w14:val="none"/>
        </w:rPr>
      </w:pPr>
    </w:p>
    <w:tbl>
      <w:tblPr>
        <w:tblStyle w:val="TableGrid"/>
        <w:tblpPr w:leftFromText="180" w:rightFromText="180" w:vertAnchor="text" w:tblpY="1"/>
        <w:tblOverlap w:val="never"/>
        <w:tblW w:w="0" w:type="auto"/>
        <w:tblLook w:val="04A0" w:firstRow="1" w:lastRow="0" w:firstColumn="1" w:lastColumn="0" w:noHBand="0" w:noVBand="1"/>
      </w:tblPr>
      <w:tblGrid>
        <w:gridCol w:w="4508"/>
        <w:gridCol w:w="4508"/>
      </w:tblGrid>
      <w:tr w:rsidR="0045717B" w14:paraId="2304C9CD" w14:textId="77777777" w:rsidTr="00B8445E">
        <w:tc>
          <w:tcPr>
            <w:tcW w:w="4508" w:type="dxa"/>
          </w:tcPr>
          <w:p w14:paraId="75982FCA" w14:textId="314296CE" w:rsidR="0045717B" w:rsidRDefault="00B8445E" w:rsidP="00B8445E">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In</w:t>
            </w:r>
            <w:r w:rsidR="0045717B">
              <w:rPr>
                <w:rFonts w:ascii="Arial" w:eastAsia="Times New Roman" w:hAnsi="Arial" w:cs="Arial"/>
                <w:kern w:val="0"/>
                <w:lang w:eastAsia="en-GB"/>
                <w14:ligatures w14:val="none"/>
              </w:rPr>
              <w:t>clusion</w:t>
            </w:r>
          </w:p>
        </w:tc>
        <w:tc>
          <w:tcPr>
            <w:tcW w:w="4508" w:type="dxa"/>
          </w:tcPr>
          <w:p w14:paraId="6A6E42C7" w14:textId="047C4D7C" w:rsidR="0045717B" w:rsidRDefault="0045717B" w:rsidP="00B8445E">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Exclusion</w:t>
            </w:r>
          </w:p>
        </w:tc>
      </w:tr>
      <w:tr w:rsidR="0045717B" w14:paraId="20822B3D" w14:textId="77777777" w:rsidTr="00B8445E">
        <w:tc>
          <w:tcPr>
            <w:tcW w:w="4508" w:type="dxa"/>
          </w:tcPr>
          <w:p w14:paraId="6E481218" w14:textId="37E29692" w:rsidR="0045717B" w:rsidRDefault="00C65AAF" w:rsidP="00B8445E">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Dates within 10 </w:t>
            </w:r>
            <w:r w:rsidR="00B8445E">
              <w:rPr>
                <w:rFonts w:ascii="Arial" w:eastAsia="Times New Roman" w:hAnsi="Arial" w:cs="Arial"/>
                <w:kern w:val="0"/>
                <w:lang w:eastAsia="en-GB"/>
                <w14:ligatures w14:val="none"/>
              </w:rPr>
              <w:t>years</w:t>
            </w:r>
          </w:p>
        </w:tc>
        <w:tc>
          <w:tcPr>
            <w:tcW w:w="4508" w:type="dxa"/>
          </w:tcPr>
          <w:p w14:paraId="5DEB21F2" w14:textId="56F81145" w:rsidR="00C65AAF" w:rsidRDefault="00C65AAF" w:rsidP="00B8445E">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Without peer review</w:t>
            </w:r>
          </w:p>
        </w:tc>
      </w:tr>
      <w:tr w:rsidR="0045717B" w14:paraId="0C4675FB" w14:textId="77777777" w:rsidTr="00B8445E">
        <w:tc>
          <w:tcPr>
            <w:tcW w:w="4508" w:type="dxa"/>
          </w:tcPr>
          <w:p w14:paraId="3CC19355" w14:textId="7BA7723D" w:rsidR="0045717B" w:rsidRDefault="00C65AAF" w:rsidP="00B8445E">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Uk based</w:t>
            </w:r>
          </w:p>
        </w:tc>
        <w:tc>
          <w:tcPr>
            <w:tcW w:w="4508" w:type="dxa"/>
          </w:tcPr>
          <w:p w14:paraId="693E0B5A" w14:textId="006A8F04" w:rsidR="0045717B" w:rsidRDefault="00C65AAF" w:rsidP="00B8445E">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Outside of the UK</w:t>
            </w:r>
          </w:p>
        </w:tc>
      </w:tr>
      <w:tr w:rsidR="0045717B" w14:paraId="065E9714" w14:textId="77777777" w:rsidTr="00B8445E">
        <w:tc>
          <w:tcPr>
            <w:tcW w:w="4508" w:type="dxa"/>
          </w:tcPr>
          <w:p w14:paraId="0628E272" w14:textId="0DF94706" w:rsidR="0045717B" w:rsidRDefault="00C65AAF" w:rsidP="00B8445E">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Socioeconomic factors </w:t>
            </w:r>
          </w:p>
        </w:tc>
        <w:tc>
          <w:tcPr>
            <w:tcW w:w="4508" w:type="dxa"/>
          </w:tcPr>
          <w:p w14:paraId="6983F518" w14:textId="7C0B6E51" w:rsidR="0045717B" w:rsidRDefault="00DA2CCF" w:rsidP="00B8445E">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Adults</w:t>
            </w:r>
          </w:p>
        </w:tc>
      </w:tr>
    </w:tbl>
    <w:tbl>
      <w:tblPr>
        <w:tblStyle w:val="TableGrid"/>
        <w:tblW w:w="0" w:type="auto"/>
        <w:tblInd w:w="-5" w:type="dxa"/>
        <w:tblLook w:val="04A0" w:firstRow="1" w:lastRow="0" w:firstColumn="1" w:lastColumn="0" w:noHBand="0" w:noVBand="1"/>
      </w:tblPr>
      <w:tblGrid>
        <w:gridCol w:w="4513"/>
        <w:gridCol w:w="4508"/>
      </w:tblGrid>
      <w:tr w:rsidR="00C65AAF" w14:paraId="07FAC2F5" w14:textId="77777777" w:rsidTr="00B8445E">
        <w:trPr>
          <w:trHeight w:val="391"/>
        </w:trPr>
        <w:tc>
          <w:tcPr>
            <w:tcW w:w="4513" w:type="dxa"/>
          </w:tcPr>
          <w:p w14:paraId="6D2A5BA9" w14:textId="77777777" w:rsidR="00C65AAF" w:rsidRDefault="00C65AAF" w:rsidP="00315D32">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Peer reviewed</w:t>
            </w:r>
          </w:p>
        </w:tc>
        <w:tc>
          <w:tcPr>
            <w:tcW w:w="4508" w:type="dxa"/>
          </w:tcPr>
          <w:p w14:paraId="0D0B5CFB" w14:textId="77777777" w:rsidR="00C65AAF" w:rsidRDefault="00C65AAF" w:rsidP="00315D32">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More than 10 yrs </w:t>
            </w:r>
          </w:p>
        </w:tc>
      </w:tr>
    </w:tbl>
    <w:p w14:paraId="50E7513B" w14:textId="77777777" w:rsidR="00962806" w:rsidRDefault="00962806" w:rsidP="009619F5">
      <w:pPr>
        <w:spacing w:after="0" w:line="360" w:lineRule="auto"/>
        <w:jc w:val="both"/>
        <w:rPr>
          <w:rFonts w:ascii="Arial" w:eastAsia="Times New Roman" w:hAnsi="Arial" w:cs="Arial"/>
          <w:kern w:val="0"/>
          <w:lang w:eastAsia="en-GB"/>
          <w14:ligatures w14:val="none"/>
        </w:rPr>
      </w:pPr>
    </w:p>
    <w:p w14:paraId="56BBF613" w14:textId="33D710D7" w:rsidR="00962806" w:rsidRPr="009619F5" w:rsidRDefault="00962806" w:rsidP="009619F5">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Ethics</w:t>
      </w:r>
    </w:p>
    <w:p w14:paraId="16CFA27F" w14:textId="7AA3E834" w:rsidR="00FD0440" w:rsidRPr="009619F5" w:rsidRDefault="00B8445E" w:rsidP="009619F5">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As this research is based on secondary evidence there will be no direct contact with any participants. </w:t>
      </w:r>
      <w:r w:rsidR="00FD0440" w:rsidRPr="009619F5">
        <w:rPr>
          <w:rFonts w:ascii="Arial" w:eastAsia="Times New Roman" w:hAnsi="Arial" w:cs="Arial"/>
          <w:kern w:val="0"/>
          <w:lang w:eastAsia="en-GB"/>
          <w14:ligatures w14:val="none"/>
        </w:rPr>
        <w:t xml:space="preserve">Ethical practice will involve accurate reporting, avoiding plagiarism, </w:t>
      </w:r>
      <w:r w:rsidR="00C87C85" w:rsidRPr="009619F5">
        <w:rPr>
          <w:rFonts w:ascii="Arial" w:eastAsia="Times New Roman" w:hAnsi="Arial" w:cs="Arial"/>
          <w:kern w:val="0"/>
          <w:lang w:eastAsia="en-GB"/>
          <w14:ligatures w14:val="none"/>
        </w:rPr>
        <w:t>using Har</w:t>
      </w:r>
      <w:r w:rsidR="006757E5">
        <w:rPr>
          <w:rFonts w:ascii="Arial" w:eastAsia="Times New Roman" w:hAnsi="Arial" w:cs="Arial"/>
          <w:kern w:val="0"/>
          <w:lang w:eastAsia="en-GB"/>
          <w14:ligatures w14:val="none"/>
        </w:rPr>
        <w:t>v</w:t>
      </w:r>
      <w:r w:rsidR="00C87C85" w:rsidRPr="009619F5">
        <w:rPr>
          <w:rFonts w:ascii="Arial" w:eastAsia="Times New Roman" w:hAnsi="Arial" w:cs="Arial"/>
          <w:kern w:val="0"/>
          <w:lang w:eastAsia="en-GB"/>
          <w14:ligatures w14:val="none"/>
        </w:rPr>
        <w:t>a</w:t>
      </w:r>
      <w:r w:rsidR="006757E5">
        <w:rPr>
          <w:rFonts w:ascii="Arial" w:eastAsia="Times New Roman" w:hAnsi="Arial" w:cs="Arial"/>
          <w:kern w:val="0"/>
          <w:lang w:eastAsia="en-GB"/>
          <w14:ligatures w14:val="none"/>
        </w:rPr>
        <w:t xml:space="preserve">rd </w:t>
      </w:r>
      <w:r w:rsidR="00C87C85" w:rsidRPr="009619F5">
        <w:rPr>
          <w:rFonts w:ascii="Arial" w:eastAsia="Times New Roman" w:hAnsi="Arial" w:cs="Arial"/>
          <w:kern w:val="0"/>
          <w:lang w:eastAsia="en-GB"/>
          <w14:ligatures w14:val="none"/>
        </w:rPr>
        <w:t xml:space="preserve">referencing, and </w:t>
      </w:r>
      <w:r w:rsidR="004633D8">
        <w:rPr>
          <w:rFonts w:ascii="Arial" w:eastAsia="Times New Roman" w:hAnsi="Arial" w:cs="Arial"/>
          <w:kern w:val="0"/>
          <w:lang w:eastAsia="en-GB"/>
          <w14:ligatures w14:val="none"/>
        </w:rPr>
        <w:t>carefully interpreting findings</w:t>
      </w:r>
      <w:r w:rsidR="00C65AAF">
        <w:rPr>
          <w:rFonts w:ascii="Arial" w:eastAsia="Times New Roman" w:hAnsi="Arial" w:cs="Arial"/>
          <w:kern w:val="0"/>
          <w:lang w:eastAsia="en-GB"/>
          <w14:ligatures w14:val="none"/>
        </w:rPr>
        <w:t>.</w:t>
      </w:r>
    </w:p>
    <w:p w14:paraId="45B0A5F7" w14:textId="098D6823" w:rsidR="002A62DD" w:rsidRDefault="002A62DD" w:rsidP="009619F5">
      <w:pPr>
        <w:spacing w:line="360" w:lineRule="auto"/>
        <w:jc w:val="both"/>
        <w:rPr>
          <w:rFonts w:ascii="Arial" w:hAnsi="Arial" w:cs="Arial"/>
        </w:rPr>
      </w:pPr>
    </w:p>
    <w:p w14:paraId="10E0CA61" w14:textId="77777777" w:rsidR="002A62DD" w:rsidRDefault="002A62DD">
      <w:pPr>
        <w:rPr>
          <w:rFonts w:ascii="Arial" w:hAnsi="Arial" w:cs="Arial"/>
        </w:rPr>
      </w:pPr>
      <w:r>
        <w:rPr>
          <w:rFonts w:ascii="Arial" w:hAnsi="Arial" w:cs="Arial"/>
        </w:rPr>
        <w:br w:type="page"/>
      </w:r>
    </w:p>
    <w:p w14:paraId="02C03C92" w14:textId="77777777" w:rsidR="00214D8B" w:rsidRPr="00214D8B" w:rsidRDefault="00214D8B" w:rsidP="00214D8B">
      <w:pPr>
        <w:spacing w:line="360" w:lineRule="auto"/>
        <w:jc w:val="both"/>
        <w:rPr>
          <w:rFonts w:ascii="Arial" w:hAnsi="Arial" w:cs="Arial"/>
          <w:b/>
          <w:bCs/>
        </w:rPr>
      </w:pPr>
      <w:r w:rsidRPr="00214D8B">
        <w:rPr>
          <w:rFonts w:ascii="Arial" w:hAnsi="Arial" w:cs="Arial"/>
          <w:b/>
          <w:bCs/>
        </w:rPr>
        <w:lastRenderedPageBreak/>
        <w:t>Reference list</w:t>
      </w:r>
    </w:p>
    <w:p w14:paraId="23E0622A" w14:textId="28C57964" w:rsidR="00214D8B" w:rsidRPr="00214D8B" w:rsidRDefault="00214D8B" w:rsidP="00214D8B">
      <w:pPr>
        <w:spacing w:line="360" w:lineRule="auto"/>
        <w:jc w:val="both"/>
        <w:rPr>
          <w:rFonts w:ascii="Arial" w:hAnsi="Arial" w:cs="Arial"/>
        </w:rPr>
      </w:pPr>
      <w:r w:rsidRPr="00214D8B">
        <w:rPr>
          <w:rFonts w:ascii="Arial" w:hAnsi="Arial" w:cs="Arial"/>
        </w:rPr>
        <w:t xml:space="preserve">Arksey, H. and O’Malley, L. (2005). Scoping studies: Towards a methodological framework - white rose research online. </w:t>
      </w:r>
      <w:r w:rsidRPr="00214D8B">
        <w:rPr>
          <w:rFonts w:ascii="Arial" w:hAnsi="Arial" w:cs="Arial"/>
          <w:i/>
          <w:iCs/>
        </w:rPr>
        <w:t>Whiterose.ac.uk</w:t>
      </w:r>
      <w:r w:rsidRPr="00214D8B">
        <w:rPr>
          <w:rFonts w:ascii="Arial" w:hAnsi="Arial" w:cs="Arial"/>
        </w:rPr>
        <w:t xml:space="preserve">, [online] 1. </w:t>
      </w:r>
      <w:proofErr w:type="spellStart"/>
      <w:r w:rsidR="00C47B51" w:rsidRPr="00214D8B">
        <w:rPr>
          <w:rFonts w:ascii="Arial" w:hAnsi="Arial" w:cs="Arial"/>
        </w:rPr>
        <w:t>doi</w:t>
      </w:r>
      <w:proofErr w:type="spellEnd"/>
      <w:r w:rsidR="00C47B51" w:rsidRPr="00214D8B">
        <w:rPr>
          <w:rFonts w:ascii="Arial" w:hAnsi="Arial" w:cs="Arial"/>
        </w:rPr>
        <w:t>: https://eprints.whiterose.ac.uk/id/eprint/1618/1/Scopingstudies.pdf</w:t>
      </w:r>
      <w:r w:rsidRPr="00214D8B">
        <w:rPr>
          <w:rFonts w:ascii="Arial" w:hAnsi="Arial" w:cs="Arial"/>
        </w:rPr>
        <w:t>.</w:t>
      </w:r>
    </w:p>
    <w:p w14:paraId="7222B6C8" w14:textId="60109AAC" w:rsidR="00214D8B" w:rsidRPr="00214D8B" w:rsidRDefault="00214D8B" w:rsidP="00214D8B">
      <w:pPr>
        <w:spacing w:line="360" w:lineRule="auto"/>
        <w:jc w:val="both"/>
        <w:rPr>
          <w:rFonts w:ascii="Arial" w:hAnsi="Arial" w:cs="Arial"/>
        </w:rPr>
      </w:pPr>
      <w:r w:rsidRPr="00214D8B">
        <w:rPr>
          <w:rFonts w:ascii="Arial" w:hAnsi="Arial" w:cs="Arial"/>
        </w:rPr>
        <w:t xml:space="preserve">Broadbent, P., Shen, Y., Pearce, A. and </w:t>
      </w:r>
      <w:proofErr w:type="spellStart"/>
      <w:r w:rsidRPr="00214D8B">
        <w:rPr>
          <w:rFonts w:ascii="Arial" w:hAnsi="Arial" w:cs="Arial"/>
        </w:rPr>
        <w:t>Katikireddi</w:t>
      </w:r>
      <w:proofErr w:type="spellEnd"/>
      <w:r w:rsidRPr="00214D8B">
        <w:rPr>
          <w:rFonts w:ascii="Arial" w:hAnsi="Arial" w:cs="Arial"/>
        </w:rPr>
        <w:t xml:space="preserve">, S.V. (2024). Trends in inequalities in childhood overweight and obesity prevalence: A repeat cross-sectional analysis of the </w:t>
      </w:r>
      <w:r w:rsidR="00C47B51">
        <w:rPr>
          <w:rFonts w:ascii="Arial" w:hAnsi="Arial" w:cs="Arial"/>
        </w:rPr>
        <w:t>Health Survey</w:t>
      </w:r>
      <w:r w:rsidRPr="00214D8B">
        <w:rPr>
          <w:rFonts w:ascii="Arial" w:hAnsi="Arial" w:cs="Arial"/>
        </w:rPr>
        <w:t xml:space="preserve"> for England. </w:t>
      </w:r>
      <w:r w:rsidRPr="00214D8B">
        <w:rPr>
          <w:rFonts w:ascii="Arial" w:hAnsi="Arial" w:cs="Arial"/>
          <w:i/>
          <w:iCs/>
        </w:rPr>
        <w:t>Archives of Disease in Childhood</w:t>
      </w:r>
      <w:r w:rsidRPr="00214D8B">
        <w:rPr>
          <w:rFonts w:ascii="Arial" w:hAnsi="Arial" w:cs="Arial"/>
        </w:rPr>
        <w:t>, [online] 109(3). doi:10.1136/archdischild-2023-325844.</w:t>
      </w:r>
    </w:p>
    <w:p w14:paraId="38CAF91D" w14:textId="77777777" w:rsidR="00214D8B" w:rsidRPr="00214D8B" w:rsidRDefault="00214D8B" w:rsidP="00214D8B">
      <w:pPr>
        <w:spacing w:line="360" w:lineRule="auto"/>
        <w:jc w:val="both"/>
        <w:rPr>
          <w:rFonts w:ascii="Arial" w:hAnsi="Arial" w:cs="Arial"/>
        </w:rPr>
      </w:pPr>
      <w:proofErr w:type="spellStart"/>
      <w:r w:rsidRPr="00214D8B">
        <w:rPr>
          <w:rFonts w:ascii="Arial" w:hAnsi="Arial" w:cs="Arial"/>
        </w:rPr>
        <w:t>Goisis</w:t>
      </w:r>
      <w:proofErr w:type="spellEnd"/>
      <w:r w:rsidRPr="00214D8B">
        <w:rPr>
          <w:rFonts w:ascii="Arial" w:hAnsi="Arial" w:cs="Arial"/>
        </w:rPr>
        <w:t xml:space="preserve">, A., Sacker, A. and Kelly, Y. (2015). Why are poorer children at higher risk of obesity and overweight? A UK cohort study. </w:t>
      </w:r>
      <w:r w:rsidRPr="00214D8B">
        <w:rPr>
          <w:rFonts w:ascii="Arial" w:hAnsi="Arial" w:cs="Arial"/>
          <w:i/>
          <w:iCs/>
        </w:rPr>
        <w:t>The European Journal of Public Health</w:t>
      </w:r>
      <w:r w:rsidRPr="00214D8B">
        <w:rPr>
          <w:rFonts w:ascii="Arial" w:hAnsi="Arial" w:cs="Arial"/>
        </w:rPr>
        <w:t>, [online] 26(1), pp.7–13. doi:10.1093/</w:t>
      </w:r>
      <w:proofErr w:type="spellStart"/>
      <w:r w:rsidRPr="00214D8B">
        <w:rPr>
          <w:rFonts w:ascii="Arial" w:hAnsi="Arial" w:cs="Arial"/>
        </w:rPr>
        <w:t>eurpub</w:t>
      </w:r>
      <w:proofErr w:type="spellEnd"/>
      <w:r w:rsidRPr="00214D8B">
        <w:rPr>
          <w:rFonts w:ascii="Arial" w:hAnsi="Arial" w:cs="Arial"/>
        </w:rPr>
        <w:t>/ckv219.</w:t>
      </w:r>
    </w:p>
    <w:p w14:paraId="5DC39B16" w14:textId="231D1B8D" w:rsidR="00214D8B" w:rsidRPr="00214D8B" w:rsidRDefault="00214D8B" w:rsidP="00214D8B">
      <w:pPr>
        <w:spacing w:line="360" w:lineRule="auto"/>
        <w:jc w:val="both"/>
        <w:rPr>
          <w:rFonts w:ascii="Arial" w:hAnsi="Arial" w:cs="Arial"/>
        </w:rPr>
      </w:pPr>
      <w:r w:rsidRPr="00214D8B">
        <w:rPr>
          <w:rFonts w:ascii="Arial" w:hAnsi="Arial" w:cs="Arial"/>
        </w:rPr>
        <w:t xml:space="preserve">Internet Archive. (2022). </w:t>
      </w:r>
      <w:r w:rsidRPr="00214D8B">
        <w:rPr>
          <w:rFonts w:ascii="Arial" w:hAnsi="Arial" w:cs="Arial"/>
          <w:i/>
          <w:iCs/>
        </w:rPr>
        <w:t xml:space="preserve">Doing a literature review in health and social care: A practical guide: Aveyard, Helen: Free download, borrow, and streaming: Internet </w:t>
      </w:r>
      <w:r w:rsidR="0069168C">
        <w:rPr>
          <w:rFonts w:ascii="Arial" w:hAnsi="Arial" w:cs="Arial"/>
          <w:i/>
          <w:iCs/>
        </w:rPr>
        <w:t>Archive</w:t>
      </w:r>
      <w:r w:rsidRPr="00214D8B">
        <w:rPr>
          <w:rFonts w:ascii="Arial" w:hAnsi="Arial" w:cs="Arial"/>
        </w:rPr>
        <w:t>. [online] Available at: https://archive.org/details/doingliteraturer0000avey_a3k1 [Accessed 1 Oct. 2026].</w:t>
      </w:r>
    </w:p>
    <w:p w14:paraId="342174C2" w14:textId="6749EAF4" w:rsidR="00214D8B" w:rsidRPr="00214D8B" w:rsidRDefault="00214D8B" w:rsidP="00214D8B">
      <w:pPr>
        <w:spacing w:line="360" w:lineRule="auto"/>
        <w:jc w:val="both"/>
        <w:rPr>
          <w:rFonts w:ascii="Arial" w:hAnsi="Arial" w:cs="Arial"/>
        </w:rPr>
      </w:pPr>
      <w:r w:rsidRPr="00214D8B">
        <w:rPr>
          <w:rFonts w:ascii="Arial" w:hAnsi="Arial" w:cs="Arial"/>
        </w:rPr>
        <w:t xml:space="preserve">Marmot, M., Allen, J., Boyce, T., Goldblatt, P. and Morrison, J. (2020). </w:t>
      </w:r>
      <w:r w:rsidRPr="00214D8B">
        <w:rPr>
          <w:rFonts w:ascii="Arial" w:hAnsi="Arial" w:cs="Arial"/>
          <w:i/>
          <w:iCs/>
        </w:rPr>
        <w:t xml:space="preserve">Health equity in England: The </w:t>
      </w:r>
      <w:r>
        <w:rPr>
          <w:rFonts w:ascii="Arial" w:hAnsi="Arial" w:cs="Arial"/>
          <w:i/>
          <w:iCs/>
        </w:rPr>
        <w:t>Marmot</w:t>
      </w:r>
      <w:r w:rsidRPr="00214D8B">
        <w:rPr>
          <w:rFonts w:ascii="Arial" w:hAnsi="Arial" w:cs="Arial"/>
          <w:i/>
          <w:iCs/>
        </w:rPr>
        <w:t xml:space="preserve"> review 10 years on</w:t>
      </w:r>
      <w:r w:rsidRPr="00214D8B">
        <w:rPr>
          <w:rFonts w:ascii="Arial" w:hAnsi="Arial" w:cs="Arial"/>
        </w:rPr>
        <w:t>. [online] The Health Foundation. Available at: https://www.health.org.uk/reports-and-analysis/reports/health-equity-in-england-the-marmot-review-10-years-on-0 [Accessed 22 Sept. 2026].</w:t>
      </w:r>
    </w:p>
    <w:p w14:paraId="7AB4EA4C" w14:textId="77777777" w:rsidR="00ED52C5" w:rsidRPr="009619F5" w:rsidRDefault="00ED52C5" w:rsidP="009619F5">
      <w:pPr>
        <w:spacing w:line="360" w:lineRule="auto"/>
        <w:jc w:val="both"/>
        <w:rPr>
          <w:rFonts w:ascii="Arial" w:hAnsi="Arial" w:cs="Arial"/>
        </w:rPr>
      </w:pPr>
    </w:p>
    <w:sectPr w:rsidR="00ED52C5" w:rsidRPr="009619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8B5"/>
    <w:rsid w:val="000156E8"/>
    <w:rsid w:val="000233A6"/>
    <w:rsid w:val="00052F3A"/>
    <w:rsid w:val="000602AC"/>
    <w:rsid w:val="000D0C97"/>
    <w:rsid w:val="001337EA"/>
    <w:rsid w:val="001777CF"/>
    <w:rsid w:val="0019154A"/>
    <w:rsid w:val="001B5B71"/>
    <w:rsid w:val="001D3165"/>
    <w:rsid w:val="001E00F6"/>
    <w:rsid w:val="0020629D"/>
    <w:rsid w:val="00214D8B"/>
    <w:rsid w:val="002313CB"/>
    <w:rsid w:val="00235F92"/>
    <w:rsid w:val="00287D0A"/>
    <w:rsid w:val="002A62DD"/>
    <w:rsid w:val="002B11D8"/>
    <w:rsid w:val="00303EED"/>
    <w:rsid w:val="00316ECD"/>
    <w:rsid w:val="0037462C"/>
    <w:rsid w:val="00382526"/>
    <w:rsid w:val="003A4C7D"/>
    <w:rsid w:val="003D7F6A"/>
    <w:rsid w:val="00415F74"/>
    <w:rsid w:val="004307FB"/>
    <w:rsid w:val="00454149"/>
    <w:rsid w:val="0045717B"/>
    <w:rsid w:val="004633D8"/>
    <w:rsid w:val="004963D6"/>
    <w:rsid w:val="004B32C3"/>
    <w:rsid w:val="004F7B15"/>
    <w:rsid w:val="005017ED"/>
    <w:rsid w:val="00526BD8"/>
    <w:rsid w:val="00540406"/>
    <w:rsid w:val="00560AFD"/>
    <w:rsid w:val="0057067E"/>
    <w:rsid w:val="0058410D"/>
    <w:rsid w:val="005B1D17"/>
    <w:rsid w:val="005D4DD3"/>
    <w:rsid w:val="00644E47"/>
    <w:rsid w:val="00646B98"/>
    <w:rsid w:val="00654026"/>
    <w:rsid w:val="006757E5"/>
    <w:rsid w:val="00687CF6"/>
    <w:rsid w:val="0069168C"/>
    <w:rsid w:val="00720FD5"/>
    <w:rsid w:val="00742253"/>
    <w:rsid w:val="0074371E"/>
    <w:rsid w:val="00787E1B"/>
    <w:rsid w:val="008960D8"/>
    <w:rsid w:val="008A59E3"/>
    <w:rsid w:val="008F26AC"/>
    <w:rsid w:val="00920346"/>
    <w:rsid w:val="009239AC"/>
    <w:rsid w:val="009619F5"/>
    <w:rsid w:val="00962806"/>
    <w:rsid w:val="009803BE"/>
    <w:rsid w:val="009B397F"/>
    <w:rsid w:val="009B7692"/>
    <w:rsid w:val="009C5668"/>
    <w:rsid w:val="009C75B3"/>
    <w:rsid w:val="009F3085"/>
    <w:rsid w:val="00A2245A"/>
    <w:rsid w:val="00A83BDF"/>
    <w:rsid w:val="00AE3374"/>
    <w:rsid w:val="00AF77FE"/>
    <w:rsid w:val="00B20FA9"/>
    <w:rsid w:val="00B513D6"/>
    <w:rsid w:val="00B526E7"/>
    <w:rsid w:val="00B67535"/>
    <w:rsid w:val="00B8445E"/>
    <w:rsid w:val="00BA0ADB"/>
    <w:rsid w:val="00BA1D72"/>
    <w:rsid w:val="00BD59E9"/>
    <w:rsid w:val="00C47B51"/>
    <w:rsid w:val="00C47F44"/>
    <w:rsid w:val="00C65AAF"/>
    <w:rsid w:val="00C87C85"/>
    <w:rsid w:val="00C90FB0"/>
    <w:rsid w:val="00CB4855"/>
    <w:rsid w:val="00CE0BED"/>
    <w:rsid w:val="00D0089D"/>
    <w:rsid w:val="00D9675A"/>
    <w:rsid w:val="00DA2CCF"/>
    <w:rsid w:val="00DC0F56"/>
    <w:rsid w:val="00DE6F8C"/>
    <w:rsid w:val="00DE7CB1"/>
    <w:rsid w:val="00DF31E8"/>
    <w:rsid w:val="00E7743D"/>
    <w:rsid w:val="00EC0F62"/>
    <w:rsid w:val="00ED1F48"/>
    <w:rsid w:val="00ED52C5"/>
    <w:rsid w:val="00EE57D5"/>
    <w:rsid w:val="00F54C9D"/>
    <w:rsid w:val="00F578B5"/>
    <w:rsid w:val="00FB5F3A"/>
    <w:rsid w:val="00FB6D7A"/>
    <w:rsid w:val="00FD0440"/>
    <w:rsid w:val="00FF3C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8E9EB"/>
  <w15:chartTrackingRefBased/>
  <w15:docId w15:val="{69DF447F-B03A-4526-8F7D-D1633C8EF5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78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578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78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78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78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78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78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78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78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78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578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78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78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78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78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78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78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78B5"/>
    <w:rPr>
      <w:rFonts w:eastAsiaTheme="majorEastAsia" w:cstheme="majorBidi"/>
      <w:color w:val="272727" w:themeColor="text1" w:themeTint="D8"/>
    </w:rPr>
  </w:style>
  <w:style w:type="paragraph" w:styleId="Title">
    <w:name w:val="Title"/>
    <w:basedOn w:val="Normal"/>
    <w:next w:val="Normal"/>
    <w:link w:val="TitleChar"/>
    <w:uiPriority w:val="10"/>
    <w:qFormat/>
    <w:rsid w:val="00F578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78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78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78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78B5"/>
    <w:pPr>
      <w:spacing w:before="160"/>
      <w:jc w:val="center"/>
    </w:pPr>
    <w:rPr>
      <w:i/>
      <w:iCs/>
      <w:color w:val="404040" w:themeColor="text1" w:themeTint="BF"/>
    </w:rPr>
  </w:style>
  <w:style w:type="character" w:customStyle="1" w:styleId="QuoteChar">
    <w:name w:val="Quote Char"/>
    <w:basedOn w:val="DefaultParagraphFont"/>
    <w:link w:val="Quote"/>
    <w:uiPriority w:val="29"/>
    <w:rsid w:val="00F578B5"/>
    <w:rPr>
      <w:i/>
      <w:iCs/>
      <w:color w:val="404040" w:themeColor="text1" w:themeTint="BF"/>
    </w:rPr>
  </w:style>
  <w:style w:type="paragraph" w:styleId="ListParagraph">
    <w:name w:val="List Paragraph"/>
    <w:basedOn w:val="Normal"/>
    <w:uiPriority w:val="34"/>
    <w:qFormat/>
    <w:rsid w:val="00F578B5"/>
    <w:pPr>
      <w:ind w:left="720"/>
      <w:contextualSpacing/>
    </w:pPr>
  </w:style>
  <w:style w:type="character" w:styleId="IntenseEmphasis">
    <w:name w:val="Intense Emphasis"/>
    <w:basedOn w:val="DefaultParagraphFont"/>
    <w:uiPriority w:val="21"/>
    <w:qFormat/>
    <w:rsid w:val="00F578B5"/>
    <w:rPr>
      <w:i/>
      <w:iCs/>
      <w:color w:val="0F4761" w:themeColor="accent1" w:themeShade="BF"/>
    </w:rPr>
  </w:style>
  <w:style w:type="paragraph" w:styleId="IntenseQuote">
    <w:name w:val="Intense Quote"/>
    <w:basedOn w:val="Normal"/>
    <w:next w:val="Normal"/>
    <w:link w:val="IntenseQuoteChar"/>
    <w:uiPriority w:val="30"/>
    <w:qFormat/>
    <w:rsid w:val="00F578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78B5"/>
    <w:rPr>
      <w:i/>
      <w:iCs/>
      <w:color w:val="0F4761" w:themeColor="accent1" w:themeShade="BF"/>
    </w:rPr>
  </w:style>
  <w:style w:type="character" w:styleId="IntenseReference">
    <w:name w:val="Intense Reference"/>
    <w:basedOn w:val="DefaultParagraphFont"/>
    <w:uiPriority w:val="32"/>
    <w:qFormat/>
    <w:rsid w:val="00F578B5"/>
    <w:rPr>
      <w:b/>
      <w:bCs/>
      <w:smallCaps/>
      <w:color w:val="0F4761" w:themeColor="accent1" w:themeShade="BF"/>
      <w:spacing w:val="5"/>
    </w:rPr>
  </w:style>
  <w:style w:type="table" w:styleId="TableGrid">
    <w:name w:val="Table Grid"/>
    <w:basedOn w:val="TableNormal"/>
    <w:uiPriority w:val="39"/>
    <w:rsid w:val="004571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669</Words>
  <Characters>3819</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Jayne Wilson (2422885)</dc:creator>
  <cp:keywords/>
  <dc:description/>
  <cp:lastModifiedBy>Samantha Jayne Wilson (2422885)</cp:lastModifiedBy>
  <cp:revision>2</cp:revision>
  <dcterms:created xsi:type="dcterms:W3CDTF">2026-10-01T16:23:00Z</dcterms:created>
  <dcterms:modified xsi:type="dcterms:W3CDTF">2026-10-01T16:23:00Z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34d1cf97-dfdf-4def-8483-2ab9cd3a7368</vt:lpwstr>
  </property>
</Properties>
</file>