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37683348"/>
        <w:docPartObj>
          <w:docPartGallery w:val="Cover Pages"/>
          <w:docPartUnique/>
        </w:docPartObj>
      </w:sdtPr>
      <w:sdtContent>
        <w:p w14:paraId="314820A9" w14:textId="1FB74E5A" w:rsidR="00C214B6" w:rsidRDefault="003F270E">
          <w:r>
            <w:rPr>
              <w:noProof/>
            </w:rPr>
            <mc:AlternateContent>
              <mc:Choice Requires="wps">
                <w:drawing>
                  <wp:anchor distT="0" distB="0" distL="114300" distR="114300" simplePos="0" relativeHeight="251660288" behindDoc="0" locked="0" layoutInCell="1" allowOverlap="1" wp14:anchorId="6D95BC97" wp14:editId="4586FF6C">
                    <wp:simplePos x="0" y="0"/>
                    <wp:positionH relativeFrom="page">
                      <wp:align>right</wp:align>
                    </wp:positionH>
                    <wp:positionV relativeFrom="page">
                      <wp:posOffset>213360</wp:posOffset>
                    </wp:positionV>
                    <wp:extent cx="2217420" cy="9655810"/>
                    <wp:effectExtent l="0" t="0" r="0" b="381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742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C82CD9" w14:textId="4BF17FD5" w:rsidR="00C214B6" w:rsidRDefault="002D1373">
                                <w:pPr>
                                  <w:pStyle w:val="Subtitle"/>
                                  <w:rPr>
                                    <w:rFonts w:cstheme="minorBidi"/>
                                    <w:color w:val="FFFFFF" w:themeColor="background1"/>
                                  </w:rPr>
                                </w:pPr>
                                <w:r>
                                  <w:rPr>
                                    <w:rFonts w:cstheme="minorBidi"/>
                                    <w:color w:val="FFFFFF" w:themeColor="background1"/>
                                  </w:rPr>
                                  <w:t xml:space="preserve">Managing </w:t>
                                </w:r>
                                <w:r w:rsidR="002679CE">
                                  <w:rPr>
                                    <w:rFonts w:cstheme="minorBidi"/>
                                    <w:color w:val="FFFFFF" w:themeColor="background1"/>
                                  </w:rPr>
                                  <w:t xml:space="preserve">Projects in </w:t>
                                </w:r>
                                <w:r w:rsidR="00A817C5">
                                  <w:rPr>
                                    <w:rFonts w:cstheme="minorBidi"/>
                                    <w:color w:val="FFFFFF" w:themeColor="background1"/>
                                  </w:rPr>
                                  <w:t xml:space="preserve">the </w:t>
                                </w:r>
                                <w:r w:rsidR="002679CE">
                                  <w:rPr>
                                    <w:rFonts w:cstheme="minorBidi"/>
                                    <w:color w:val="FFFFFF" w:themeColor="background1"/>
                                  </w:rPr>
                                  <w:t>Organisation</w:t>
                                </w:r>
                                <w:r w:rsidR="00A817C5">
                                  <w:rPr>
                                    <w:rFonts w:cstheme="minorBidi"/>
                                    <w:color w:val="FFFFFF" w:themeColor="background1"/>
                                  </w:rPr>
                                  <w:t xml:space="preserve"> (</w:t>
                                </w:r>
                                <w:r w:rsidR="00966E41">
                                  <w:rPr>
                                    <w:rFonts w:cstheme="minorBidi"/>
                                    <w:color w:val="FFFFFF" w:themeColor="background1"/>
                                  </w:rPr>
                                  <w:t>BMSW5009</w:t>
                                </w:r>
                                <w:r w:rsidR="00734514">
                                  <w:rPr>
                                    <w:rFonts w:cstheme="minorBidi"/>
                                    <w:color w:val="FFFFFF" w:themeColor="background1"/>
                                  </w:rPr>
                                  <w:t>_</w:t>
                                </w:r>
                                <w:r w:rsidR="003F270E">
                                  <w:rPr>
                                    <w:rFonts w:cstheme="minorBidi"/>
                                    <w:color w:val="FFFFFF" w:themeColor="background1"/>
                                  </w:rPr>
                                  <w:t>CARD)</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6D95BC97" id="Rectangle 268" o:spid="_x0000_s1026" style="position:absolute;margin-left:123.4pt;margin-top:16.8pt;width:174.6pt;height:760.3pt;z-index:251660288;visibility:visible;mso-wrap-style:square;mso-width-percent:0;mso-height-percent:960;mso-wrap-distance-left:9pt;mso-wrap-distance-top:0;mso-wrap-distance-right:9pt;mso-wrap-distance-bottom:0;mso-position-horizontal:right;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pcOkAIAAIUFAAAOAAAAZHJzL2Uyb0RvYy54bWysVMFu2zAMvQ/YPwi6r46Nps2MOkXQosOA&#10;oCvWDj0rslQbk0VNUmJnXz9Kst2uK3YY5oMhiuQj+UTy4nLoFDkI61rQFc1PFpQIzaFu9VNFvz3c&#10;fFhR4jzTNVOgRUWPwtHL9ft3F70pRQENqFpYgiDalb2paOO9KbPM8UZ0zJ2AERqVEmzHPIr2Kast&#10;6xG9U1mxWJxlPdjaWODCOby9Tkq6jvhSCu6/SOmEJ6qimJuPfxv/u/DP1hesfLLMNC0f02D/kEXH&#10;Wo1BZ6hr5hnZ2/YPqK7lFhxIf8Khy0DKlotYA1aTL15Vc98wI2ItSI4zM03u/8Hy28O9ubMhdWe2&#10;wL87ZCTrjStnTRDcaDNI2wVbTJwMkcXjzKIYPOF4WRT5+WmBZHPUfTxbLld55Dlj5eRurPOfBHQk&#10;HCpq8Zkie+ywdT4kwMrJJGYGqq1vWqWiEFpDXClLDgwf1Q9FeET0cC+tlA62GoJXUoebWFiqJVbl&#10;j0oEO6W/CknaOmQfE4n99xyEcS60z5OqYbVIsZcL/KboU1oxlwgYkCXGn7FHgMkygUzYKcvRPriK&#10;2L6z8+JviSXn2SNGBu1n567VYN8CUFjVGDnZTyQlagJLftgNaBKOO6iPd5ZYSHPkDL9p8QW3zPk7&#10;ZnFw8NVxGfgv+JMK+orCeKKkAfvzrftgj/2MWkp6HMSKuh97ZgUl6rPGTs9XxWoVRjdKp8vz0Fr2&#10;N9XupUrvuyvAxshx8Rgej8HBq+koLXSPuDU2IS6qmOYYvaLc20m48mlF4N7hYrOJZjivhvmtvjc8&#10;gAeKQ48+DI/MmrGRPc7ALUxjy8pX/Zxsg6eGzd6DbGOzPzM7ko+zHrto3EthmbyUo9Xz9lz/AgAA&#10;//8DAFBLAwQUAAYACAAAACEADKKtnd4AAAAIAQAADwAAAGRycy9kb3ducmV2LnhtbEyPQUvEMBSE&#10;74L/ITzBm5va7i61Nl0WQcGLrLV4TptnW2xeSpLdrf56nyc9DjPMfFPuFjuJE/owOlJwu0pAIHXO&#10;jNQraN4eb3IQIWoyenKECr4wwK66vCh1YdyZXvFUx15wCYVCKxhinAspQzeg1WHlZiT2Ppy3OrL0&#10;vTRen7ncTjJNkq20eiReGPSMDwN2n/XRKnhvnvP8cGjou35qbNq+tPl+8kpdXy37exARl/gXhl98&#10;RoeKmVp3JBPEpICPRAVZtgXBbra+S0G0HNts1inIqpT/D1Q/AAAA//8DAFBLAQItABQABgAIAAAA&#10;IQC2gziS/gAAAOEBAAATAAAAAAAAAAAAAAAAAAAAAABbQ29udGVudF9UeXBlc10ueG1sUEsBAi0A&#10;FAAGAAgAAAAhADj9If/WAAAAlAEAAAsAAAAAAAAAAAAAAAAALwEAAF9yZWxzLy5yZWxzUEsBAi0A&#10;FAAGAAgAAAAhAG1alw6QAgAAhQUAAA4AAAAAAAAAAAAAAAAALgIAAGRycy9lMm9Eb2MueG1sUEsB&#10;Ai0AFAAGAAgAAAAhAAyirZ3eAAAACAEAAA8AAAAAAAAAAAAAAAAA6gQAAGRycy9kb3ducmV2Lnht&#10;bFBLBQYAAAAABAAEAPMAAAD1BQAAAAA=&#10;" fillcolor="#0e2841 [3215]" stroked="f" strokeweight="1.5pt">
                    <v:textbox inset="14.4pt,,14.4pt">
                      <w:txbxContent>
                        <w:p w14:paraId="2BC82CD9" w14:textId="4BF17FD5" w:rsidR="00C214B6" w:rsidRDefault="002D1373">
                          <w:pPr>
                            <w:pStyle w:val="Subtitle"/>
                            <w:rPr>
                              <w:rFonts w:cstheme="minorBidi"/>
                              <w:color w:val="FFFFFF" w:themeColor="background1"/>
                            </w:rPr>
                          </w:pPr>
                          <w:r>
                            <w:rPr>
                              <w:rFonts w:cstheme="minorBidi"/>
                              <w:color w:val="FFFFFF" w:themeColor="background1"/>
                            </w:rPr>
                            <w:t xml:space="preserve">Managing </w:t>
                          </w:r>
                          <w:r w:rsidR="002679CE">
                            <w:rPr>
                              <w:rFonts w:cstheme="minorBidi"/>
                              <w:color w:val="FFFFFF" w:themeColor="background1"/>
                            </w:rPr>
                            <w:t xml:space="preserve">Projects in </w:t>
                          </w:r>
                          <w:r w:rsidR="00A817C5">
                            <w:rPr>
                              <w:rFonts w:cstheme="minorBidi"/>
                              <w:color w:val="FFFFFF" w:themeColor="background1"/>
                            </w:rPr>
                            <w:t xml:space="preserve">the </w:t>
                          </w:r>
                          <w:r w:rsidR="002679CE">
                            <w:rPr>
                              <w:rFonts w:cstheme="minorBidi"/>
                              <w:color w:val="FFFFFF" w:themeColor="background1"/>
                            </w:rPr>
                            <w:t>Organisation</w:t>
                          </w:r>
                          <w:r w:rsidR="00A817C5">
                            <w:rPr>
                              <w:rFonts w:cstheme="minorBidi"/>
                              <w:color w:val="FFFFFF" w:themeColor="background1"/>
                            </w:rPr>
                            <w:t xml:space="preserve"> (</w:t>
                          </w:r>
                          <w:r w:rsidR="00966E41">
                            <w:rPr>
                              <w:rFonts w:cstheme="minorBidi"/>
                              <w:color w:val="FFFFFF" w:themeColor="background1"/>
                            </w:rPr>
                            <w:t>BMSW5009</w:t>
                          </w:r>
                          <w:r w:rsidR="00734514">
                            <w:rPr>
                              <w:rFonts w:cstheme="minorBidi"/>
                              <w:color w:val="FFFFFF" w:themeColor="background1"/>
                            </w:rPr>
                            <w:t>_</w:t>
                          </w:r>
                          <w:r w:rsidR="003F270E">
                            <w:rPr>
                              <w:rFonts w:cstheme="minorBidi"/>
                              <w:color w:val="FFFFFF" w:themeColor="background1"/>
                            </w:rPr>
                            <w:t>CARD)</w:t>
                          </w:r>
                        </w:p>
                      </w:txbxContent>
                    </v:textbox>
                    <w10:wrap anchorx="page" anchory="page"/>
                  </v:rect>
                </w:pict>
              </mc:Fallback>
            </mc:AlternateContent>
          </w:r>
          <w:r w:rsidR="00C214B6">
            <w:rPr>
              <w:noProof/>
            </w:rPr>
            <mc:AlternateContent>
              <mc:Choice Requires="wps">
                <w:drawing>
                  <wp:anchor distT="0" distB="0" distL="114300" distR="114300" simplePos="0" relativeHeight="251659264" behindDoc="0" locked="0" layoutInCell="1" allowOverlap="1" wp14:anchorId="720BDDAD" wp14:editId="093E740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46F1D84" w14:textId="633E9CE8" w:rsidR="00C214B6" w:rsidRDefault="005434FD">
                                    <w:pPr>
                                      <w:pStyle w:val="Title"/>
                                      <w:jc w:val="right"/>
                                      <w:rPr>
                                        <w:caps/>
                                        <w:color w:val="FFFFFF" w:themeColor="background1"/>
                                        <w:sz w:val="80"/>
                                        <w:szCs w:val="80"/>
                                      </w:rPr>
                                    </w:pPr>
                                    <w:r w:rsidRPr="008F5F8E">
                                      <w:rPr>
                                        <w:color w:val="FFFFFF" w:themeColor="background1"/>
                                      </w:rPr>
                                      <w:t>A Critical Evaluation of Project Management Tools and Techniques in Practice: The Bucovina &amp; ROUCA Cultural Event</w:t>
                                    </w:r>
                                  </w:p>
                                </w:sdtContent>
                              </w:sdt>
                              <w:p w14:paraId="75CC37D4" w14:textId="77777777" w:rsidR="00C214B6" w:rsidRDefault="00C214B6">
                                <w:pPr>
                                  <w:spacing w:before="240"/>
                                  <w:ind w:left="720"/>
                                  <w:jc w:val="right"/>
                                  <w:rPr>
                                    <w:color w:val="FFFFFF" w:themeColor="background1"/>
                                  </w:rPr>
                                </w:pPr>
                              </w:p>
                              <w:sdt>
                                <w:sdtPr>
                                  <w:rPr>
                                    <w:color w:val="FFFFFF" w:themeColor="background1"/>
                                    <w:szCs w:val="22"/>
                                  </w:rPr>
                                  <w:alias w:val="Abstract"/>
                                  <w:id w:val="-1812170092"/>
                                  <w:dataBinding w:prefixMappings="xmlns:ns0='http://schemas.microsoft.com/office/2006/coverPageProps'" w:xpath="/ns0:CoverPageProperties[1]/ns0:Abstract[1]" w:storeItemID="{55AF091B-3C7A-41E3-B477-F2FDAA23CFDA}"/>
                                  <w:text/>
                                </w:sdtPr>
                                <w:sdtContent>
                                  <w:p w14:paraId="3686A8EB" w14:textId="356D51B3" w:rsidR="00C214B6" w:rsidRDefault="002067CA">
                                    <w:pPr>
                                      <w:spacing w:before="240"/>
                                      <w:ind w:left="1008"/>
                                      <w:jc w:val="right"/>
                                      <w:rPr>
                                        <w:color w:val="FFFFFF" w:themeColor="background1"/>
                                      </w:rPr>
                                    </w:pPr>
                                    <w:r w:rsidRPr="00C059E1">
                                      <w:rPr>
                                        <w:color w:val="FFFFFF" w:themeColor="background1"/>
                                        <w:szCs w:val="22"/>
                                      </w:rPr>
                                      <w:t>Jaroslav Demeter</w:t>
                                    </w:r>
                                    <w:r w:rsidR="0013108B" w:rsidRPr="00C059E1">
                                      <w:rPr>
                                        <w:color w:val="FFFFFF" w:themeColor="background1"/>
                                        <w:szCs w:val="22"/>
                                      </w:rPr>
                                      <w:t xml:space="preserve"> 2240603 University of </w:t>
                                    </w:r>
                                    <w:r w:rsidR="00C059E1" w:rsidRPr="00C059E1">
                                      <w:rPr>
                                        <w:color w:val="FFFFFF" w:themeColor="background1"/>
                                        <w:szCs w:val="22"/>
                                      </w:rPr>
                                      <w:t xml:space="preserve">Wales Trinity </w:t>
                                    </w:r>
                                    <w:r w:rsidR="00937C1E" w:rsidRPr="00C059E1">
                                      <w:rPr>
                                        <w:color w:val="FFFFFF" w:themeColor="background1"/>
                                        <w:szCs w:val="22"/>
                                      </w:rPr>
                                      <w:t>St. Davies</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20BDDAD"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o66gEAALkDAAAOAAAAZHJzL2Uyb0RvYy54bWysU8mO1DAQvSPxD5bvdJbemKjTIzSjQUjD&#10;Ig18gOM4HQvHZcruTpqvp+xeZoAb4mKlFj/Xe/WyuZ0Gww4KvQZb82KWc6ashFbbXc2/fX1485Yz&#10;H4RthQGran5Unt9uX7/ajK5SJfRgWoWMQKyvRlfzPgRXZZmXvRqEn4FTlood4CAChbjLWhQjoQ8m&#10;K/N8lY2ArUOQynvK3p+KfJvwu07J8LnrvArM1JxmC+nEdDbxzLYbUe1QuF7L8xjiH6YYhLb06BXq&#10;XgTB9qj/ghq0RPDQhZmEIYOu01IlDsSmyP9g89QLpxIXEse7q0z+/8HKT4cn9wXj6N49gvzuSZFs&#10;dL66VmLgqYc140doaYdiHyCRnToc4k2iwaak6fGqqZoCk5RczlfzsiDpJdVuVst5uU6qZ6K6XHfo&#10;w3sFA4sfNUdaWoIXh0cf4jiiurSkOcHo9kEbk4JoFHVnkB0ErVhIqWwo4lrpln/ZaWzstxBvnsox&#10;k6hGdtExvgpTMzHdkpMjRMw00B6JO8LJOmR1+ugBf3I2km1q7n/sBSrOzAdLeynXi3kZjZaim2Kx&#10;yCnC32pNihbLdWwUVhJazWXAS3AXTgbdO9S7np4rkhwW3pHwnU6SPI925kD+SJzPXo4GfBmnruc/&#10;bvsLAAD//wMAUEsDBBQABgAIAAAAIQAIW8pN2gAAAAYBAAAPAAAAZHJzL2Rvd25yZXYueG1sTI/B&#10;TsMwEETvSPyDtUhcKuo0hKhK41QIkTstfIATb5Oo9jrEThv+noULXEZazWjmbblfnBUXnMLgScFm&#10;nYBAar0ZqFPw8V4/bEGEqMlo6wkVfGGAfXV7U+rC+Csd8HKMneASCoVW0Mc4FlKGtkenw9qPSOyd&#10;/OR05HPqpJn0lcudlWmS5NLpgXih1yO+9Niej7NT8Gg/s9VKL3X3djq8NsHWMZ83St3fLc87EBGX&#10;+BeGH3xGh4qZGj+TCcIq4Efir7K3zbIcRMOhpzRJQVal/I9ffQMAAP//AwBQSwECLQAUAAYACAAA&#10;ACEAtoM4kv4AAADhAQAAEwAAAAAAAAAAAAAAAAAAAAAAW0NvbnRlbnRfVHlwZXNdLnhtbFBLAQIt&#10;ABQABgAIAAAAIQA4/SH/1gAAAJQBAAALAAAAAAAAAAAAAAAAAC8BAABfcmVscy8ucmVsc1BLAQIt&#10;ABQABgAIAAAAIQBUhGo66gEAALkDAAAOAAAAAAAAAAAAAAAAAC4CAABkcnMvZTJvRG9jLnhtbFBL&#10;AQItABQABgAIAAAAIQAIW8pN2gAAAAYBAAAPAAAAAAAAAAAAAAAAAEQEAABkcnMvZG93bnJldi54&#10;bWxQSwUGAAAAAAQABADzAAAASwUAAAAA&#10;" fillcolor="#156082 [3204]" stroked="f">
                    <v:textbox inset="21.6pt,1in,21.6pt">
                      <w:txbxContent>
                        <w:sdt>
                          <w:sdtPr>
                            <w:rPr>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46F1D84" w14:textId="633E9CE8" w:rsidR="00C214B6" w:rsidRDefault="005434FD">
                              <w:pPr>
                                <w:pStyle w:val="Title"/>
                                <w:jc w:val="right"/>
                                <w:rPr>
                                  <w:caps/>
                                  <w:color w:val="FFFFFF" w:themeColor="background1"/>
                                  <w:sz w:val="80"/>
                                  <w:szCs w:val="80"/>
                                </w:rPr>
                              </w:pPr>
                              <w:r w:rsidRPr="008F5F8E">
                                <w:rPr>
                                  <w:color w:val="FFFFFF" w:themeColor="background1"/>
                                </w:rPr>
                                <w:t>A Critical Evaluation of Project Management Tools and Techniques in Practice: The Bucovina &amp; ROUCA Cultural Event</w:t>
                              </w:r>
                            </w:p>
                          </w:sdtContent>
                        </w:sdt>
                        <w:p w14:paraId="75CC37D4" w14:textId="77777777" w:rsidR="00C214B6" w:rsidRDefault="00C214B6">
                          <w:pPr>
                            <w:spacing w:before="240"/>
                            <w:ind w:left="720"/>
                            <w:jc w:val="right"/>
                            <w:rPr>
                              <w:color w:val="FFFFFF" w:themeColor="background1"/>
                            </w:rPr>
                          </w:pPr>
                        </w:p>
                        <w:sdt>
                          <w:sdtPr>
                            <w:rPr>
                              <w:color w:val="FFFFFF" w:themeColor="background1"/>
                              <w:szCs w:val="22"/>
                            </w:rPr>
                            <w:alias w:val="Abstract"/>
                            <w:id w:val="-1812170092"/>
                            <w:dataBinding w:prefixMappings="xmlns:ns0='http://schemas.microsoft.com/office/2006/coverPageProps'" w:xpath="/ns0:CoverPageProperties[1]/ns0:Abstract[1]" w:storeItemID="{55AF091B-3C7A-41E3-B477-F2FDAA23CFDA}"/>
                            <w:text/>
                          </w:sdtPr>
                          <w:sdtContent>
                            <w:p w14:paraId="3686A8EB" w14:textId="356D51B3" w:rsidR="00C214B6" w:rsidRDefault="002067CA">
                              <w:pPr>
                                <w:spacing w:before="240"/>
                                <w:ind w:left="1008"/>
                                <w:jc w:val="right"/>
                                <w:rPr>
                                  <w:color w:val="FFFFFF" w:themeColor="background1"/>
                                </w:rPr>
                              </w:pPr>
                              <w:r w:rsidRPr="00C059E1">
                                <w:rPr>
                                  <w:color w:val="FFFFFF" w:themeColor="background1"/>
                                  <w:szCs w:val="22"/>
                                </w:rPr>
                                <w:t>Jaroslav Demeter</w:t>
                              </w:r>
                              <w:r w:rsidR="0013108B" w:rsidRPr="00C059E1">
                                <w:rPr>
                                  <w:color w:val="FFFFFF" w:themeColor="background1"/>
                                  <w:szCs w:val="22"/>
                                </w:rPr>
                                <w:t xml:space="preserve"> 2240603 University of </w:t>
                              </w:r>
                              <w:r w:rsidR="00C059E1" w:rsidRPr="00C059E1">
                                <w:rPr>
                                  <w:color w:val="FFFFFF" w:themeColor="background1"/>
                                  <w:szCs w:val="22"/>
                                </w:rPr>
                                <w:t xml:space="preserve">Wales Trinity </w:t>
                              </w:r>
                              <w:r w:rsidR="00937C1E" w:rsidRPr="00C059E1">
                                <w:rPr>
                                  <w:color w:val="FFFFFF" w:themeColor="background1"/>
                                  <w:szCs w:val="22"/>
                                </w:rPr>
                                <w:t>St. Davies</w:t>
                              </w:r>
                            </w:p>
                          </w:sdtContent>
                        </w:sdt>
                      </w:txbxContent>
                    </v:textbox>
                    <w10:wrap anchorx="page" anchory="page"/>
                  </v:rect>
                </w:pict>
              </mc:Fallback>
            </mc:AlternateContent>
          </w:r>
        </w:p>
        <w:p w14:paraId="3719C0F2" w14:textId="77777777" w:rsidR="00C214B6" w:rsidRDefault="00C214B6"/>
        <w:p w14:paraId="76740C05" w14:textId="7FF9974E" w:rsidR="00C214B6" w:rsidRDefault="00C214B6">
          <w:r>
            <w:br w:type="page"/>
          </w:r>
        </w:p>
      </w:sdtContent>
    </w:sdt>
    <w:sdt>
      <w:sdtPr>
        <w:rPr>
          <w:rFonts w:ascii="Arial" w:eastAsiaTheme="minorHAnsi" w:hAnsi="Arial" w:cstheme="minorBidi"/>
          <w:color w:val="auto"/>
          <w:kern w:val="2"/>
          <w:sz w:val="22"/>
          <w:szCs w:val="24"/>
          <w:lang w:eastAsia="en-US"/>
          <w14:ligatures w14:val="standardContextual"/>
        </w:rPr>
        <w:id w:val="797116312"/>
        <w:docPartObj>
          <w:docPartGallery w:val="Table of Contents"/>
          <w:docPartUnique/>
        </w:docPartObj>
      </w:sdtPr>
      <w:sdtEndPr>
        <w:rPr>
          <w:b/>
          <w:bCs/>
        </w:rPr>
      </w:sdtEndPr>
      <w:sdtContent>
        <w:p w14:paraId="60D466AF" w14:textId="33CB4279" w:rsidR="007F199A" w:rsidRDefault="007F199A">
          <w:pPr>
            <w:pStyle w:val="TOCHeading"/>
          </w:pPr>
          <w:r>
            <w:t>Contents</w:t>
          </w:r>
        </w:p>
        <w:p w14:paraId="126199C3" w14:textId="0F6F837D" w:rsidR="00256E13" w:rsidRDefault="007F199A">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03734746" w:history="1">
            <w:r w:rsidR="00256E13" w:rsidRPr="000F7ABE">
              <w:rPr>
                <w:rStyle w:val="Hyperlink"/>
                <w:noProof/>
              </w:rPr>
              <w:t>Executive Summary</w:t>
            </w:r>
            <w:r w:rsidR="00256E13">
              <w:rPr>
                <w:noProof/>
                <w:webHidden/>
              </w:rPr>
              <w:tab/>
            </w:r>
            <w:r w:rsidR="00256E13">
              <w:rPr>
                <w:noProof/>
                <w:webHidden/>
              </w:rPr>
              <w:fldChar w:fldCharType="begin"/>
            </w:r>
            <w:r w:rsidR="00256E13">
              <w:rPr>
                <w:noProof/>
                <w:webHidden/>
              </w:rPr>
              <w:instrText xml:space="preserve"> PAGEREF _Toc203734746 \h </w:instrText>
            </w:r>
            <w:r w:rsidR="00256E13">
              <w:rPr>
                <w:noProof/>
                <w:webHidden/>
              </w:rPr>
            </w:r>
            <w:r w:rsidR="00256E13">
              <w:rPr>
                <w:noProof/>
                <w:webHidden/>
              </w:rPr>
              <w:fldChar w:fldCharType="separate"/>
            </w:r>
            <w:r w:rsidR="00256E13">
              <w:rPr>
                <w:noProof/>
                <w:webHidden/>
              </w:rPr>
              <w:t>2</w:t>
            </w:r>
            <w:r w:rsidR="00256E13">
              <w:rPr>
                <w:noProof/>
                <w:webHidden/>
              </w:rPr>
              <w:fldChar w:fldCharType="end"/>
            </w:r>
          </w:hyperlink>
        </w:p>
        <w:p w14:paraId="45548789" w14:textId="52772181" w:rsidR="00256E13" w:rsidRDefault="00256E13">
          <w:pPr>
            <w:pStyle w:val="TOC1"/>
            <w:tabs>
              <w:tab w:val="left" w:pos="720"/>
              <w:tab w:val="right" w:leader="dot" w:pos="9016"/>
            </w:tabs>
            <w:rPr>
              <w:rFonts w:asciiTheme="minorHAnsi" w:eastAsiaTheme="minorEastAsia" w:hAnsiTheme="minorHAnsi"/>
              <w:noProof/>
              <w:sz w:val="24"/>
              <w:lang w:eastAsia="en-GB"/>
            </w:rPr>
          </w:pPr>
          <w:hyperlink w:anchor="_Toc203734747" w:history="1">
            <w:r w:rsidRPr="000F7ABE">
              <w:rPr>
                <w:rStyle w:val="Hyperlink"/>
                <w:noProof/>
              </w:rPr>
              <w:t>1.0</w:t>
            </w:r>
            <w:r>
              <w:rPr>
                <w:rFonts w:asciiTheme="minorHAnsi" w:eastAsiaTheme="minorEastAsia" w:hAnsiTheme="minorHAnsi"/>
                <w:noProof/>
                <w:sz w:val="24"/>
                <w:lang w:eastAsia="en-GB"/>
              </w:rPr>
              <w:tab/>
            </w:r>
            <w:r w:rsidRPr="000F7ABE">
              <w:rPr>
                <w:rStyle w:val="Hyperlink"/>
                <w:noProof/>
              </w:rPr>
              <w:t>Introduction</w:t>
            </w:r>
            <w:r>
              <w:rPr>
                <w:noProof/>
                <w:webHidden/>
              </w:rPr>
              <w:tab/>
            </w:r>
            <w:r>
              <w:rPr>
                <w:noProof/>
                <w:webHidden/>
              </w:rPr>
              <w:fldChar w:fldCharType="begin"/>
            </w:r>
            <w:r>
              <w:rPr>
                <w:noProof/>
                <w:webHidden/>
              </w:rPr>
              <w:instrText xml:space="preserve"> PAGEREF _Toc203734747 \h </w:instrText>
            </w:r>
            <w:r>
              <w:rPr>
                <w:noProof/>
                <w:webHidden/>
              </w:rPr>
            </w:r>
            <w:r>
              <w:rPr>
                <w:noProof/>
                <w:webHidden/>
              </w:rPr>
              <w:fldChar w:fldCharType="separate"/>
            </w:r>
            <w:r>
              <w:rPr>
                <w:noProof/>
                <w:webHidden/>
              </w:rPr>
              <w:t>3</w:t>
            </w:r>
            <w:r>
              <w:rPr>
                <w:noProof/>
                <w:webHidden/>
              </w:rPr>
              <w:fldChar w:fldCharType="end"/>
            </w:r>
          </w:hyperlink>
        </w:p>
        <w:p w14:paraId="56E0675D" w14:textId="0D02DC0B" w:rsidR="00256E13" w:rsidRDefault="00256E13">
          <w:pPr>
            <w:pStyle w:val="TOC1"/>
            <w:tabs>
              <w:tab w:val="right" w:leader="dot" w:pos="9016"/>
            </w:tabs>
            <w:rPr>
              <w:rFonts w:asciiTheme="minorHAnsi" w:eastAsiaTheme="minorEastAsia" w:hAnsiTheme="minorHAnsi"/>
              <w:noProof/>
              <w:sz w:val="24"/>
              <w:lang w:eastAsia="en-GB"/>
            </w:rPr>
          </w:pPr>
          <w:hyperlink w:anchor="_Toc203734748" w:history="1">
            <w:r w:rsidRPr="000F7ABE">
              <w:rPr>
                <w:rStyle w:val="Hyperlink"/>
                <w:noProof/>
              </w:rPr>
              <w:t>2.0 Findings</w:t>
            </w:r>
            <w:r>
              <w:rPr>
                <w:noProof/>
                <w:webHidden/>
              </w:rPr>
              <w:tab/>
            </w:r>
            <w:r>
              <w:rPr>
                <w:noProof/>
                <w:webHidden/>
              </w:rPr>
              <w:fldChar w:fldCharType="begin"/>
            </w:r>
            <w:r>
              <w:rPr>
                <w:noProof/>
                <w:webHidden/>
              </w:rPr>
              <w:instrText xml:space="preserve"> PAGEREF _Toc203734748 \h </w:instrText>
            </w:r>
            <w:r>
              <w:rPr>
                <w:noProof/>
                <w:webHidden/>
              </w:rPr>
            </w:r>
            <w:r>
              <w:rPr>
                <w:noProof/>
                <w:webHidden/>
              </w:rPr>
              <w:fldChar w:fldCharType="separate"/>
            </w:r>
            <w:r>
              <w:rPr>
                <w:noProof/>
                <w:webHidden/>
              </w:rPr>
              <w:t>4</w:t>
            </w:r>
            <w:r>
              <w:rPr>
                <w:noProof/>
                <w:webHidden/>
              </w:rPr>
              <w:fldChar w:fldCharType="end"/>
            </w:r>
          </w:hyperlink>
        </w:p>
        <w:p w14:paraId="79EA3765" w14:textId="07C029EF" w:rsidR="00256E13" w:rsidRDefault="00256E13">
          <w:pPr>
            <w:pStyle w:val="TOC2"/>
            <w:tabs>
              <w:tab w:val="right" w:leader="dot" w:pos="9016"/>
            </w:tabs>
            <w:rPr>
              <w:rFonts w:asciiTheme="minorHAnsi" w:eastAsiaTheme="minorEastAsia" w:hAnsiTheme="minorHAnsi"/>
              <w:noProof/>
              <w:sz w:val="24"/>
              <w:lang w:eastAsia="en-GB"/>
            </w:rPr>
          </w:pPr>
          <w:hyperlink w:anchor="_Toc203734749" w:history="1">
            <w:r w:rsidRPr="000F7ABE">
              <w:rPr>
                <w:rStyle w:val="Hyperlink"/>
                <w:noProof/>
              </w:rPr>
              <w:t>2.1 Critical Analysis of Project Management Phases</w:t>
            </w:r>
            <w:r>
              <w:rPr>
                <w:noProof/>
                <w:webHidden/>
              </w:rPr>
              <w:tab/>
            </w:r>
            <w:r>
              <w:rPr>
                <w:noProof/>
                <w:webHidden/>
              </w:rPr>
              <w:fldChar w:fldCharType="begin"/>
            </w:r>
            <w:r>
              <w:rPr>
                <w:noProof/>
                <w:webHidden/>
              </w:rPr>
              <w:instrText xml:space="preserve"> PAGEREF _Toc203734749 \h </w:instrText>
            </w:r>
            <w:r>
              <w:rPr>
                <w:noProof/>
                <w:webHidden/>
              </w:rPr>
            </w:r>
            <w:r>
              <w:rPr>
                <w:noProof/>
                <w:webHidden/>
              </w:rPr>
              <w:fldChar w:fldCharType="separate"/>
            </w:r>
            <w:r>
              <w:rPr>
                <w:noProof/>
                <w:webHidden/>
              </w:rPr>
              <w:t>4</w:t>
            </w:r>
            <w:r>
              <w:rPr>
                <w:noProof/>
                <w:webHidden/>
              </w:rPr>
              <w:fldChar w:fldCharType="end"/>
            </w:r>
          </w:hyperlink>
        </w:p>
        <w:p w14:paraId="295C0B03" w14:textId="3CB746A7" w:rsidR="00256E13" w:rsidRDefault="00256E13">
          <w:pPr>
            <w:pStyle w:val="TOC2"/>
            <w:tabs>
              <w:tab w:val="right" w:leader="dot" w:pos="9016"/>
            </w:tabs>
            <w:rPr>
              <w:rFonts w:asciiTheme="minorHAnsi" w:eastAsiaTheme="minorEastAsia" w:hAnsiTheme="minorHAnsi"/>
              <w:noProof/>
              <w:sz w:val="24"/>
              <w:lang w:eastAsia="en-GB"/>
            </w:rPr>
          </w:pPr>
          <w:hyperlink w:anchor="_Toc203734750" w:history="1">
            <w:r w:rsidRPr="000F7ABE">
              <w:rPr>
                <w:rStyle w:val="Hyperlink"/>
                <w:noProof/>
              </w:rPr>
              <w:t>2.2 Project Management Tools and Techniques</w:t>
            </w:r>
            <w:r>
              <w:rPr>
                <w:noProof/>
                <w:webHidden/>
              </w:rPr>
              <w:tab/>
            </w:r>
            <w:r>
              <w:rPr>
                <w:noProof/>
                <w:webHidden/>
              </w:rPr>
              <w:fldChar w:fldCharType="begin"/>
            </w:r>
            <w:r>
              <w:rPr>
                <w:noProof/>
                <w:webHidden/>
              </w:rPr>
              <w:instrText xml:space="preserve"> PAGEREF _Toc203734750 \h </w:instrText>
            </w:r>
            <w:r>
              <w:rPr>
                <w:noProof/>
                <w:webHidden/>
              </w:rPr>
            </w:r>
            <w:r>
              <w:rPr>
                <w:noProof/>
                <w:webHidden/>
              </w:rPr>
              <w:fldChar w:fldCharType="separate"/>
            </w:r>
            <w:r>
              <w:rPr>
                <w:noProof/>
                <w:webHidden/>
              </w:rPr>
              <w:t>5</w:t>
            </w:r>
            <w:r>
              <w:rPr>
                <w:noProof/>
                <w:webHidden/>
              </w:rPr>
              <w:fldChar w:fldCharType="end"/>
            </w:r>
          </w:hyperlink>
        </w:p>
        <w:p w14:paraId="4B1F4C87" w14:textId="48414ABB" w:rsidR="00256E13" w:rsidRDefault="00256E13">
          <w:pPr>
            <w:pStyle w:val="TOC2"/>
            <w:tabs>
              <w:tab w:val="right" w:leader="dot" w:pos="9016"/>
            </w:tabs>
            <w:rPr>
              <w:rFonts w:asciiTheme="minorHAnsi" w:eastAsiaTheme="minorEastAsia" w:hAnsiTheme="minorHAnsi"/>
              <w:noProof/>
              <w:sz w:val="24"/>
              <w:lang w:eastAsia="en-GB"/>
            </w:rPr>
          </w:pPr>
          <w:hyperlink w:anchor="_Toc203734751" w:history="1">
            <w:r w:rsidRPr="000F7ABE">
              <w:rPr>
                <w:rStyle w:val="Hyperlink"/>
                <w:noProof/>
              </w:rPr>
              <w:t>2.3 Practical Use of Tools in the Bucovina &amp; ROUCA Event</w:t>
            </w:r>
            <w:r>
              <w:rPr>
                <w:noProof/>
                <w:webHidden/>
              </w:rPr>
              <w:tab/>
            </w:r>
            <w:r>
              <w:rPr>
                <w:noProof/>
                <w:webHidden/>
              </w:rPr>
              <w:fldChar w:fldCharType="begin"/>
            </w:r>
            <w:r>
              <w:rPr>
                <w:noProof/>
                <w:webHidden/>
              </w:rPr>
              <w:instrText xml:space="preserve"> PAGEREF _Toc203734751 \h </w:instrText>
            </w:r>
            <w:r>
              <w:rPr>
                <w:noProof/>
                <w:webHidden/>
              </w:rPr>
            </w:r>
            <w:r>
              <w:rPr>
                <w:noProof/>
                <w:webHidden/>
              </w:rPr>
              <w:fldChar w:fldCharType="separate"/>
            </w:r>
            <w:r>
              <w:rPr>
                <w:noProof/>
                <w:webHidden/>
              </w:rPr>
              <w:t>6</w:t>
            </w:r>
            <w:r>
              <w:rPr>
                <w:noProof/>
                <w:webHidden/>
              </w:rPr>
              <w:fldChar w:fldCharType="end"/>
            </w:r>
          </w:hyperlink>
        </w:p>
        <w:p w14:paraId="0AC7BA1A" w14:textId="2F6FD5B0" w:rsidR="00256E13" w:rsidRDefault="00256E13">
          <w:pPr>
            <w:pStyle w:val="TOC2"/>
            <w:tabs>
              <w:tab w:val="right" w:leader="dot" w:pos="9016"/>
            </w:tabs>
            <w:rPr>
              <w:rFonts w:asciiTheme="minorHAnsi" w:eastAsiaTheme="minorEastAsia" w:hAnsiTheme="minorHAnsi"/>
              <w:noProof/>
              <w:sz w:val="24"/>
              <w:lang w:eastAsia="en-GB"/>
            </w:rPr>
          </w:pPr>
          <w:hyperlink w:anchor="_Toc203734752" w:history="1">
            <w:r w:rsidRPr="000F7ABE">
              <w:rPr>
                <w:rStyle w:val="Hyperlink"/>
                <w:noProof/>
              </w:rPr>
              <w:t>2.4 Communication and Stakeholder Engagement</w:t>
            </w:r>
            <w:r>
              <w:rPr>
                <w:noProof/>
                <w:webHidden/>
              </w:rPr>
              <w:tab/>
            </w:r>
            <w:r>
              <w:rPr>
                <w:noProof/>
                <w:webHidden/>
              </w:rPr>
              <w:fldChar w:fldCharType="begin"/>
            </w:r>
            <w:r>
              <w:rPr>
                <w:noProof/>
                <w:webHidden/>
              </w:rPr>
              <w:instrText xml:space="preserve"> PAGEREF _Toc203734752 \h </w:instrText>
            </w:r>
            <w:r>
              <w:rPr>
                <w:noProof/>
                <w:webHidden/>
              </w:rPr>
            </w:r>
            <w:r>
              <w:rPr>
                <w:noProof/>
                <w:webHidden/>
              </w:rPr>
              <w:fldChar w:fldCharType="separate"/>
            </w:r>
            <w:r>
              <w:rPr>
                <w:noProof/>
                <w:webHidden/>
              </w:rPr>
              <w:t>7</w:t>
            </w:r>
            <w:r>
              <w:rPr>
                <w:noProof/>
                <w:webHidden/>
              </w:rPr>
              <w:fldChar w:fldCharType="end"/>
            </w:r>
          </w:hyperlink>
        </w:p>
        <w:p w14:paraId="2B3B2FDE" w14:textId="04659C2D" w:rsidR="00256E13" w:rsidRDefault="00256E13">
          <w:pPr>
            <w:pStyle w:val="TOC1"/>
            <w:tabs>
              <w:tab w:val="right" w:leader="dot" w:pos="9016"/>
            </w:tabs>
            <w:rPr>
              <w:rFonts w:asciiTheme="minorHAnsi" w:eastAsiaTheme="minorEastAsia" w:hAnsiTheme="minorHAnsi"/>
              <w:noProof/>
              <w:sz w:val="24"/>
              <w:lang w:eastAsia="en-GB"/>
            </w:rPr>
          </w:pPr>
          <w:hyperlink w:anchor="_Toc203734753" w:history="1">
            <w:r w:rsidRPr="000F7ABE">
              <w:rPr>
                <w:rStyle w:val="Hyperlink"/>
                <w:noProof/>
              </w:rPr>
              <w:t>3.0 Conclusion</w:t>
            </w:r>
            <w:r>
              <w:rPr>
                <w:noProof/>
                <w:webHidden/>
              </w:rPr>
              <w:tab/>
            </w:r>
            <w:r>
              <w:rPr>
                <w:noProof/>
                <w:webHidden/>
              </w:rPr>
              <w:fldChar w:fldCharType="begin"/>
            </w:r>
            <w:r>
              <w:rPr>
                <w:noProof/>
                <w:webHidden/>
              </w:rPr>
              <w:instrText xml:space="preserve"> PAGEREF _Toc203734753 \h </w:instrText>
            </w:r>
            <w:r>
              <w:rPr>
                <w:noProof/>
                <w:webHidden/>
              </w:rPr>
            </w:r>
            <w:r>
              <w:rPr>
                <w:noProof/>
                <w:webHidden/>
              </w:rPr>
              <w:fldChar w:fldCharType="separate"/>
            </w:r>
            <w:r>
              <w:rPr>
                <w:noProof/>
                <w:webHidden/>
              </w:rPr>
              <w:t>8</w:t>
            </w:r>
            <w:r>
              <w:rPr>
                <w:noProof/>
                <w:webHidden/>
              </w:rPr>
              <w:fldChar w:fldCharType="end"/>
            </w:r>
          </w:hyperlink>
        </w:p>
        <w:p w14:paraId="18A828E0" w14:textId="30D06F7F" w:rsidR="00256E13" w:rsidRDefault="00256E13">
          <w:pPr>
            <w:pStyle w:val="TOC1"/>
            <w:tabs>
              <w:tab w:val="right" w:leader="dot" w:pos="9016"/>
            </w:tabs>
            <w:rPr>
              <w:rFonts w:asciiTheme="minorHAnsi" w:eastAsiaTheme="minorEastAsia" w:hAnsiTheme="minorHAnsi"/>
              <w:noProof/>
              <w:sz w:val="24"/>
              <w:lang w:eastAsia="en-GB"/>
            </w:rPr>
          </w:pPr>
          <w:hyperlink w:anchor="_Toc203734754" w:history="1">
            <w:r w:rsidRPr="000F7ABE">
              <w:rPr>
                <w:rStyle w:val="Hyperlink"/>
                <w:noProof/>
              </w:rPr>
              <w:t>References</w:t>
            </w:r>
            <w:r>
              <w:rPr>
                <w:noProof/>
                <w:webHidden/>
              </w:rPr>
              <w:tab/>
            </w:r>
            <w:r>
              <w:rPr>
                <w:noProof/>
                <w:webHidden/>
              </w:rPr>
              <w:fldChar w:fldCharType="begin"/>
            </w:r>
            <w:r>
              <w:rPr>
                <w:noProof/>
                <w:webHidden/>
              </w:rPr>
              <w:instrText xml:space="preserve"> PAGEREF _Toc203734754 \h </w:instrText>
            </w:r>
            <w:r>
              <w:rPr>
                <w:noProof/>
                <w:webHidden/>
              </w:rPr>
            </w:r>
            <w:r>
              <w:rPr>
                <w:noProof/>
                <w:webHidden/>
              </w:rPr>
              <w:fldChar w:fldCharType="separate"/>
            </w:r>
            <w:r>
              <w:rPr>
                <w:noProof/>
                <w:webHidden/>
              </w:rPr>
              <w:t>9</w:t>
            </w:r>
            <w:r>
              <w:rPr>
                <w:noProof/>
                <w:webHidden/>
              </w:rPr>
              <w:fldChar w:fldCharType="end"/>
            </w:r>
          </w:hyperlink>
        </w:p>
        <w:p w14:paraId="4F742336" w14:textId="0634C8F5" w:rsidR="007F199A" w:rsidRDefault="007F199A">
          <w:r>
            <w:rPr>
              <w:b/>
              <w:bCs/>
            </w:rPr>
            <w:fldChar w:fldCharType="end"/>
          </w:r>
        </w:p>
      </w:sdtContent>
    </w:sdt>
    <w:p w14:paraId="48FE5A77" w14:textId="77777777" w:rsidR="000E22DB" w:rsidRDefault="000E22DB"/>
    <w:p w14:paraId="106E119D" w14:textId="77777777" w:rsidR="00C214B6" w:rsidRDefault="00C214B6"/>
    <w:p w14:paraId="339B1332" w14:textId="77777777" w:rsidR="00C214B6" w:rsidRDefault="00C214B6"/>
    <w:p w14:paraId="2688ECAF" w14:textId="77777777" w:rsidR="00C214B6" w:rsidRDefault="00C214B6"/>
    <w:p w14:paraId="2B7D0521" w14:textId="77777777" w:rsidR="00C214B6" w:rsidRDefault="00C214B6"/>
    <w:p w14:paraId="3E6EE76B" w14:textId="77777777" w:rsidR="00C214B6" w:rsidRDefault="00C214B6"/>
    <w:p w14:paraId="79F0B1E5" w14:textId="77777777" w:rsidR="00C214B6" w:rsidRDefault="00C214B6"/>
    <w:p w14:paraId="7E093C51" w14:textId="77777777" w:rsidR="00C214B6" w:rsidRDefault="00C214B6"/>
    <w:p w14:paraId="3AD39057" w14:textId="77777777" w:rsidR="00C214B6" w:rsidRDefault="00C214B6"/>
    <w:p w14:paraId="1AE02265" w14:textId="77777777" w:rsidR="00C214B6" w:rsidRDefault="00C214B6"/>
    <w:p w14:paraId="06311CFF" w14:textId="77777777" w:rsidR="00C214B6" w:rsidRDefault="00C214B6"/>
    <w:p w14:paraId="0DC9453C" w14:textId="77777777" w:rsidR="00C214B6" w:rsidRDefault="00C214B6"/>
    <w:p w14:paraId="133086D5" w14:textId="77777777" w:rsidR="00C214B6" w:rsidRDefault="00C214B6"/>
    <w:p w14:paraId="7AE09C91" w14:textId="77777777" w:rsidR="00C214B6" w:rsidRDefault="00C214B6"/>
    <w:p w14:paraId="5113CA4B" w14:textId="77777777" w:rsidR="00C214B6" w:rsidRDefault="00C214B6"/>
    <w:p w14:paraId="021F6492" w14:textId="77777777" w:rsidR="00C214B6" w:rsidRDefault="00C214B6"/>
    <w:p w14:paraId="1BDDD645" w14:textId="77777777" w:rsidR="00DC32CE" w:rsidRDefault="00DC32CE" w:rsidP="007F199A">
      <w:pPr>
        <w:pStyle w:val="Heading1"/>
      </w:pPr>
    </w:p>
    <w:p w14:paraId="39E053B6" w14:textId="77777777" w:rsidR="00DC32CE" w:rsidRPr="00DC32CE" w:rsidRDefault="00DC32CE" w:rsidP="00DC32CE"/>
    <w:p w14:paraId="330CECCE" w14:textId="79E20260" w:rsidR="00DC32CE" w:rsidRDefault="00C07C6E" w:rsidP="00DC32CE">
      <w:pPr>
        <w:pStyle w:val="Heading1"/>
      </w:pPr>
      <w:bookmarkStart w:id="0" w:name="_Toc203734746"/>
      <w:r w:rsidRPr="00C07C6E">
        <w:lastRenderedPageBreak/>
        <w:t>Executive Summary</w:t>
      </w:r>
      <w:bookmarkEnd w:id="0"/>
    </w:p>
    <w:p w14:paraId="110135AC" w14:textId="77777777" w:rsidR="00DC32CE" w:rsidRPr="00DC32CE" w:rsidRDefault="00DC32CE" w:rsidP="00DC32CE"/>
    <w:p w14:paraId="3919244A" w14:textId="4CD00FA2" w:rsidR="00C07C6E" w:rsidRPr="00C07C6E" w:rsidRDefault="00C07C6E" w:rsidP="00C07C6E">
      <w:r w:rsidRPr="00C07C6E">
        <w:t>This report offers a critical evaluation of widely used project management tools and techniques through the lens of a cultural event delivered by Bucovina in collaboration with ROUCA. Drawing from academic theory and supported by practical evidence from this event, the report analyses methods such as Gantt charts, risk assessments, stakeholder analysis, work breakdown structures, and evaluation strategies. The aim is to explore both theoretical insights and practical implementation, highlighting what worked effectively and identifying areas requiring improvement. Communication strategies with stakeholders are also assessed to understand the role of engagement throughout the project lifecycle. The findings lead to recommendations for future improvements in managing similar projects in community</w:t>
      </w:r>
      <w:r w:rsidR="00D571BB">
        <w:t xml:space="preserve"> </w:t>
      </w:r>
      <w:r w:rsidRPr="00C07C6E">
        <w:t>based or voluntary sector settings.</w:t>
      </w:r>
    </w:p>
    <w:p w14:paraId="5BC80B60" w14:textId="77777777" w:rsidR="00C214B6" w:rsidRDefault="00C214B6"/>
    <w:p w14:paraId="75583F50" w14:textId="77777777" w:rsidR="00C214B6" w:rsidRDefault="00C214B6"/>
    <w:p w14:paraId="6F9CE3DE" w14:textId="77777777" w:rsidR="00C214B6" w:rsidRDefault="00C214B6"/>
    <w:p w14:paraId="2AC29890" w14:textId="77777777" w:rsidR="00C214B6" w:rsidRDefault="00C214B6"/>
    <w:p w14:paraId="369C86D8" w14:textId="77777777" w:rsidR="00C214B6" w:rsidRDefault="00C214B6"/>
    <w:p w14:paraId="177E9AD8" w14:textId="77777777" w:rsidR="00C214B6" w:rsidRDefault="00C214B6"/>
    <w:p w14:paraId="7CCD19F6" w14:textId="77777777" w:rsidR="00C214B6" w:rsidRDefault="00C214B6"/>
    <w:p w14:paraId="6FCE3C57" w14:textId="77777777" w:rsidR="00C214B6" w:rsidRDefault="00C214B6"/>
    <w:p w14:paraId="1CA10105" w14:textId="77777777" w:rsidR="00C214B6" w:rsidRDefault="00C214B6"/>
    <w:p w14:paraId="0786A427" w14:textId="77777777" w:rsidR="00C214B6" w:rsidRDefault="00C214B6"/>
    <w:p w14:paraId="5BE1BF09" w14:textId="77777777" w:rsidR="00C214B6" w:rsidRDefault="00C214B6"/>
    <w:p w14:paraId="5DADF812" w14:textId="77777777" w:rsidR="00C214B6" w:rsidRDefault="00C214B6"/>
    <w:p w14:paraId="45E81B83" w14:textId="77777777" w:rsidR="00C214B6" w:rsidRDefault="00C214B6"/>
    <w:p w14:paraId="2BA037E9" w14:textId="77777777" w:rsidR="00C214B6" w:rsidRDefault="00C214B6"/>
    <w:p w14:paraId="24345284" w14:textId="77777777" w:rsidR="00C214B6" w:rsidRDefault="00C214B6"/>
    <w:p w14:paraId="05798B3D" w14:textId="77777777" w:rsidR="00C214B6" w:rsidRDefault="00C214B6"/>
    <w:p w14:paraId="6C538529" w14:textId="77777777" w:rsidR="00C214B6" w:rsidRDefault="00C214B6"/>
    <w:p w14:paraId="397E37E2" w14:textId="77777777" w:rsidR="00C214B6" w:rsidRDefault="00C214B6"/>
    <w:p w14:paraId="443E8DC9" w14:textId="77777777" w:rsidR="00C214B6" w:rsidRDefault="00C214B6"/>
    <w:p w14:paraId="51343211" w14:textId="77777777" w:rsidR="00C214B6" w:rsidRDefault="00C214B6"/>
    <w:p w14:paraId="52FF0BFE" w14:textId="77777777" w:rsidR="00C214B6" w:rsidRDefault="00C214B6"/>
    <w:p w14:paraId="3814D367" w14:textId="77777777" w:rsidR="00C214B6" w:rsidRDefault="00C214B6"/>
    <w:p w14:paraId="236C68F5" w14:textId="144CC026" w:rsidR="00747167" w:rsidRDefault="00747167" w:rsidP="00DC32CE">
      <w:pPr>
        <w:pStyle w:val="Heading1"/>
        <w:numPr>
          <w:ilvl w:val="0"/>
          <w:numId w:val="1"/>
        </w:numPr>
      </w:pPr>
      <w:bookmarkStart w:id="1" w:name="_Toc203734747"/>
      <w:r w:rsidRPr="00747167">
        <w:lastRenderedPageBreak/>
        <w:t>Introduction</w:t>
      </w:r>
      <w:bookmarkEnd w:id="1"/>
    </w:p>
    <w:p w14:paraId="699BAD1A" w14:textId="77777777" w:rsidR="00DC32CE" w:rsidRPr="00DC32CE" w:rsidRDefault="00DC32CE" w:rsidP="00DC32CE"/>
    <w:p w14:paraId="11034B82" w14:textId="04C483F2" w:rsidR="00747167" w:rsidRPr="00747167" w:rsidRDefault="00747167" w:rsidP="00747167">
      <w:r w:rsidRPr="00747167">
        <w:t xml:space="preserve">This report was compiled by </w:t>
      </w:r>
      <w:r w:rsidR="00657CA2">
        <w:t>Jaroslav Demete</w:t>
      </w:r>
      <w:r w:rsidR="00900108">
        <w:t>r</w:t>
      </w:r>
      <w:r w:rsidRPr="00747167">
        <w:t xml:space="preserve"> in June 2024 for the Managing Projects module, following a group</w:t>
      </w:r>
      <w:r w:rsidR="005F3FF1">
        <w:t xml:space="preserve"> </w:t>
      </w:r>
      <w:r w:rsidRPr="00747167">
        <w:t xml:space="preserve">based practical project </w:t>
      </w:r>
      <w:r w:rsidR="006E7BFA" w:rsidRPr="00747167">
        <w:t>conducted</w:t>
      </w:r>
      <w:r w:rsidRPr="00747167">
        <w:t xml:space="preserve"> over several weeks. The project involved the planning and delivery of a Romanian cultural event held on 21st June 2025. The event was a collaborative effort between two organisations</w:t>
      </w:r>
      <w:r w:rsidR="00657CA2">
        <w:t>,</w:t>
      </w:r>
      <w:r w:rsidR="005F3FF1">
        <w:t xml:space="preserve"> </w:t>
      </w:r>
      <w:r w:rsidRPr="00747167">
        <w:t>Bucovina and ROUCA</w:t>
      </w:r>
      <w:r w:rsidR="005F3FF1">
        <w:t xml:space="preserve"> </w:t>
      </w:r>
      <w:r w:rsidRPr="00747167">
        <w:t>and took place in a community church used for children’s programs. The target audience included children of all abilities, their families, and volunteers from both organisations.</w:t>
      </w:r>
    </w:p>
    <w:p w14:paraId="46747F29" w14:textId="63245E47" w:rsidR="00747167" w:rsidRPr="00747167" w:rsidRDefault="00747167" w:rsidP="00747167">
      <w:r w:rsidRPr="00747167">
        <w:t>The event provided a relevant and meaningful opportunity to apply theoretical project management tools in a live setting. For this report, a range of academic sources were consulted, including Kerzner (2022), the PMBOK® Guide (PMI, 2021), and Meredith and Mantel (2021). These texts provided guidance on structured project planning, risk identification, and stakeholder management. Peer</w:t>
      </w:r>
      <w:r w:rsidR="005F3FF1">
        <w:t xml:space="preserve"> </w:t>
      </w:r>
      <w:r w:rsidRPr="00747167">
        <w:t>reviewed journals were also explored to support critical analysis, particularly in relation to the limitations of traditional planning tools in dynamic environments.</w:t>
      </w:r>
    </w:p>
    <w:p w14:paraId="7BB5CCC2" w14:textId="77777777" w:rsidR="00C214B6" w:rsidRDefault="00C214B6"/>
    <w:p w14:paraId="44DC41E3" w14:textId="77777777" w:rsidR="00C214B6" w:rsidRDefault="00C214B6"/>
    <w:p w14:paraId="1C414E09" w14:textId="77777777" w:rsidR="00C214B6" w:rsidRDefault="00C214B6"/>
    <w:p w14:paraId="1FE1C8CA" w14:textId="77777777" w:rsidR="00C214B6" w:rsidRDefault="00C214B6"/>
    <w:p w14:paraId="4E876710" w14:textId="77777777" w:rsidR="00C214B6" w:rsidRDefault="00C214B6"/>
    <w:p w14:paraId="2D27E60A" w14:textId="77777777" w:rsidR="00C214B6" w:rsidRDefault="00C214B6"/>
    <w:p w14:paraId="0EA238B3" w14:textId="77777777" w:rsidR="00C214B6" w:rsidRDefault="00C214B6"/>
    <w:p w14:paraId="605D7DCA" w14:textId="77777777" w:rsidR="00C214B6" w:rsidRDefault="00C214B6"/>
    <w:p w14:paraId="564E219F" w14:textId="77777777" w:rsidR="00C214B6" w:rsidRDefault="00C214B6"/>
    <w:p w14:paraId="7A1EA483" w14:textId="77777777" w:rsidR="00C214B6" w:rsidRDefault="00C214B6"/>
    <w:p w14:paraId="27AA658D" w14:textId="77777777" w:rsidR="00C214B6" w:rsidRDefault="00C214B6"/>
    <w:p w14:paraId="4BC7AD38" w14:textId="77777777" w:rsidR="00C214B6" w:rsidRDefault="00C214B6"/>
    <w:p w14:paraId="1898BF91" w14:textId="77777777" w:rsidR="00C214B6" w:rsidRDefault="00C214B6"/>
    <w:p w14:paraId="2846FD70" w14:textId="77777777" w:rsidR="00C214B6" w:rsidRDefault="00C214B6"/>
    <w:p w14:paraId="4A55C3B6" w14:textId="77777777" w:rsidR="00C214B6" w:rsidRDefault="00C214B6"/>
    <w:p w14:paraId="48DCC7F5" w14:textId="77777777" w:rsidR="00941209" w:rsidRDefault="00941209"/>
    <w:p w14:paraId="326AFC65" w14:textId="77777777" w:rsidR="005F2377" w:rsidRDefault="005F2377" w:rsidP="00A932AC">
      <w:pPr>
        <w:pStyle w:val="Heading1"/>
      </w:pPr>
      <w:bookmarkStart w:id="2" w:name="_Toc203734748"/>
      <w:r w:rsidRPr="005F2377">
        <w:lastRenderedPageBreak/>
        <w:t>2.0 Findings</w:t>
      </w:r>
      <w:bookmarkEnd w:id="2"/>
    </w:p>
    <w:p w14:paraId="65B627EA" w14:textId="452D6417" w:rsidR="00A932AC" w:rsidRDefault="00A932AC" w:rsidP="00A932AC">
      <w:pPr>
        <w:pStyle w:val="Heading2"/>
      </w:pPr>
      <w:bookmarkStart w:id="3" w:name="_Toc203734749"/>
      <w:r>
        <w:t>2.1 Critical Analysis of Project Management Phases</w:t>
      </w:r>
      <w:bookmarkEnd w:id="3"/>
    </w:p>
    <w:p w14:paraId="15632924" w14:textId="77777777" w:rsidR="00DC32CE" w:rsidRPr="00DC32CE" w:rsidRDefault="00DC32CE" w:rsidP="00DC32CE"/>
    <w:p w14:paraId="71FB46CA" w14:textId="39D995B0" w:rsidR="00427807" w:rsidRDefault="00A932AC" w:rsidP="00A932AC">
      <w:r>
        <w:t>A structured project management lifecycle was followed during the Bucovina and ROUCA cultural event, comprising five core phases: initiation, planning, execution, control, and closure. Each phase presented distinct challenges and insights when evaluated critically.</w:t>
      </w:r>
      <w:r>
        <w:br/>
      </w:r>
      <w:r>
        <w:br/>
      </w:r>
      <w:r w:rsidR="007C452E" w:rsidRPr="007C452E">
        <w:t>The initiation phase, led by Mariana Orbeci, laid the project's groundwork by identifying stakeholders and confirming collaboration between Bucovina and ROUCA. While the project's purpose was clear and community</w:t>
      </w:r>
      <w:r w:rsidR="00D80B38">
        <w:t xml:space="preserve"> </w:t>
      </w:r>
      <w:r w:rsidR="007C452E" w:rsidRPr="007C452E">
        <w:t>focused, scheduling conflicts among team members caused delays in decision</w:t>
      </w:r>
      <w:r w:rsidR="00EF31E7">
        <w:t xml:space="preserve"> </w:t>
      </w:r>
      <w:r w:rsidR="007C452E" w:rsidRPr="007C452E">
        <w:t>making and communication. Improved stakeholder mapping and calendar coordination might have mitigated these delays.</w:t>
      </w:r>
      <w:r>
        <w:br/>
      </w:r>
      <w:r>
        <w:br/>
      </w:r>
      <w:r w:rsidR="00427807" w:rsidRPr="00427807">
        <w:t>During the planning phase led by Elena Barreto, tools like Gantt charts and risk assessments ensured smoother project progress. However, some aspects were overly optimistic, with underestimated task durations and reliance on volunteer availability making the timeline fragile. Incorporating time buffers and early availability checks could have improved this phase.</w:t>
      </w:r>
    </w:p>
    <w:p w14:paraId="4B859E76" w14:textId="051ED150" w:rsidR="00D329B8" w:rsidRDefault="00AA0425" w:rsidP="00A932AC">
      <w:r w:rsidRPr="00AA0425">
        <w:t xml:space="preserve">Ciprian Grosu led an efficient execution phase, ensuring good </w:t>
      </w:r>
      <w:r w:rsidR="00704E56" w:rsidRPr="00AA0425">
        <w:t>planning</w:t>
      </w:r>
      <w:r w:rsidRPr="00AA0425">
        <w:t xml:space="preserve"> and timely event delivery. Stress occurred with late deliveries and equipment adjustments. A stronger contingency plan could have reduced last</w:t>
      </w:r>
      <w:r w:rsidR="00EF31E7">
        <w:t xml:space="preserve"> </w:t>
      </w:r>
      <w:r w:rsidRPr="00AA0425">
        <w:t>minute issues, and while communication was effective, it lacked consistent documentation.</w:t>
      </w:r>
    </w:p>
    <w:p w14:paraId="53D5A6B5" w14:textId="550BDFC6" w:rsidR="00D329B8" w:rsidRDefault="00D329B8" w:rsidP="00A932AC">
      <w:r w:rsidRPr="00D329B8">
        <w:t>Under Iosif Carpaci’s oversight, consistent budget and timeline reviews kept the project on track, supported by weekly agile check</w:t>
      </w:r>
      <w:r w:rsidR="001809D0">
        <w:t xml:space="preserve"> </w:t>
      </w:r>
      <w:r w:rsidRPr="00D329B8">
        <w:t>ins. However, the lack of real</w:t>
      </w:r>
      <w:r w:rsidR="00EF31E7">
        <w:t xml:space="preserve"> </w:t>
      </w:r>
      <w:r w:rsidRPr="00D329B8">
        <w:t>time digital monitoring limited transparency. Tools like shared dashboards or cloud</w:t>
      </w:r>
      <w:r w:rsidR="00EF31E7">
        <w:t xml:space="preserve"> </w:t>
      </w:r>
      <w:r w:rsidRPr="00D329B8">
        <w:t xml:space="preserve">based spreadsheets </w:t>
      </w:r>
      <w:r w:rsidR="00937C1E" w:rsidRPr="00D329B8">
        <w:t>could have</w:t>
      </w:r>
      <w:r w:rsidRPr="00D329B8">
        <w:t xml:space="preserve"> improved communication</w:t>
      </w:r>
      <w:r w:rsidR="00107159">
        <w:t xml:space="preserve">, </w:t>
      </w:r>
      <w:r w:rsidRPr="00D329B8">
        <w:t>highlighting the value of digital collaboration in volunteer</w:t>
      </w:r>
      <w:r w:rsidR="00EF31E7">
        <w:t xml:space="preserve"> </w:t>
      </w:r>
      <w:r w:rsidRPr="00D329B8">
        <w:t>led projects.</w:t>
      </w:r>
    </w:p>
    <w:p w14:paraId="18263C4A" w14:textId="3CECCFBD" w:rsidR="00A932AC" w:rsidRDefault="00107159" w:rsidP="00A932AC">
      <w:r w:rsidRPr="00107159">
        <w:t>As project lead during the closure phase, I oversaw reflection, stakeholder recognition, and final documentation. While team input varied, a wrap</w:t>
      </w:r>
      <w:r w:rsidR="00D80B38">
        <w:t xml:space="preserve"> </w:t>
      </w:r>
      <w:r w:rsidRPr="00107159">
        <w:t xml:space="preserve">up meeting </w:t>
      </w:r>
      <w:r w:rsidR="00937C1E" w:rsidRPr="00107159">
        <w:t>could have</w:t>
      </w:r>
      <w:r w:rsidRPr="00107159">
        <w:t xml:space="preserve"> boosted engagement. Still, thank</w:t>
      </w:r>
      <w:r w:rsidR="00D80B38">
        <w:t xml:space="preserve"> </w:t>
      </w:r>
      <w:r w:rsidRPr="00107159">
        <w:t>you letters, the final report, and gathered feedback reinforced the project’s legacy and set the stage for future collaboration.</w:t>
      </w:r>
      <w:r w:rsidR="00A932AC">
        <w:br/>
      </w:r>
      <w:r w:rsidR="00A932AC">
        <w:br/>
      </w:r>
      <w:r w:rsidR="00A932AC">
        <w:br/>
        <w:t>Overall, while each phase demonstrated competency, the project revealed a need for greater agility, more realistic planning, and improved digital tools. The human commitment and values at the heart of the event were the ultimate driver of success, but the critical insights from each phase offer a foundation for continuous improvement in future project management practice.</w:t>
      </w:r>
    </w:p>
    <w:p w14:paraId="28FB4D48" w14:textId="77777777" w:rsidR="00D80B38" w:rsidRDefault="00D80B38" w:rsidP="00A932AC"/>
    <w:p w14:paraId="1C6E9C75" w14:textId="77777777" w:rsidR="00D80B38" w:rsidRDefault="00D80B38" w:rsidP="00A932AC"/>
    <w:p w14:paraId="378FC8B1" w14:textId="77777777" w:rsidR="00065967" w:rsidRPr="005F2377" w:rsidRDefault="00065967" w:rsidP="005F2377">
      <w:pPr>
        <w:rPr>
          <w:b/>
          <w:bCs/>
        </w:rPr>
      </w:pPr>
    </w:p>
    <w:p w14:paraId="4D618FF3" w14:textId="4C603D15" w:rsidR="005F2377" w:rsidRDefault="005F2377" w:rsidP="00A932AC">
      <w:pPr>
        <w:pStyle w:val="Heading2"/>
      </w:pPr>
      <w:bookmarkStart w:id="4" w:name="_Toc203734750"/>
      <w:r w:rsidRPr="005F2377">
        <w:lastRenderedPageBreak/>
        <w:t>2.</w:t>
      </w:r>
      <w:r w:rsidR="00A932AC">
        <w:t>2</w:t>
      </w:r>
      <w:r w:rsidRPr="005F2377">
        <w:t xml:space="preserve"> Project Management Tools and Techniques</w:t>
      </w:r>
      <w:bookmarkEnd w:id="4"/>
    </w:p>
    <w:p w14:paraId="37A71F49" w14:textId="77777777" w:rsidR="00DC32CE" w:rsidRPr="00DC32CE" w:rsidRDefault="00DC32CE" w:rsidP="00DC32CE"/>
    <w:p w14:paraId="2D07A7A6" w14:textId="777C5D8F" w:rsidR="00D80B38" w:rsidRDefault="002D5477" w:rsidP="00D80B38">
      <w:r w:rsidRPr="002D5477">
        <w:t>Key project management tools</w:t>
      </w:r>
      <w:r>
        <w:t xml:space="preserve">, </w:t>
      </w:r>
      <w:r w:rsidRPr="002D5477">
        <w:t>including Gantt charts, stakeholder analysis, risk assessments, and work breakdown structures</w:t>
      </w:r>
      <w:r>
        <w:t xml:space="preserve"> </w:t>
      </w:r>
      <w:r w:rsidRPr="002D5477">
        <w:t>were central to our planning approach. These methods are consistently highlighted in literature as vital for effective project delivery (PMI, 2021; Turner, 2016).</w:t>
      </w:r>
    </w:p>
    <w:p w14:paraId="51D80B97" w14:textId="7CAE9897" w:rsidR="00E01865" w:rsidRDefault="00E01865" w:rsidP="00D80B38">
      <w:r w:rsidRPr="00E01865">
        <w:t xml:space="preserve">Developed by Henry Gantt in the early 1900s, the Gantt chart remains a widely used visual aid for scheduling project timelines. Kerzner (2022) </w:t>
      </w:r>
      <w:r w:rsidR="006F6511">
        <w:t>emphasises</w:t>
      </w:r>
      <w:r w:rsidRPr="00E01865">
        <w:t xml:space="preserve"> its strength in clearly displaying task dependencies and time allocation. In our case, it supported </w:t>
      </w:r>
      <w:r w:rsidR="006F6511">
        <w:t>organisation</w:t>
      </w:r>
      <w:r w:rsidRPr="00E01865">
        <w:t xml:space="preserve"> across all five project phases</w:t>
      </w:r>
      <w:r w:rsidR="006F6511">
        <w:t xml:space="preserve">, </w:t>
      </w:r>
      <w:r w:rsidRPr="00E01865">
        <w:t>initiation through closure</w:t>
      </w:r>
      <w:r w:rsidR="006F6511">
        <w:t xml:space="preserve">, </w:t>
      </w:r>
      <w:r w:rsidRPr="00E01865">
        <w:t>but proved inflexible when faced with disruptions, such as supply delays that required manual adjustments. This aligns with Lock’s (2020) critique that Gantt charts work best for structured, predictable projects, rather than dynamic community initiatives that demand adaptability.</w:t>
      </w:r>
    </w:p>
    <w:p w14:paraId="3A5A2A55" w14:textId="0A6C2B49" w:rsidR="005F2377" w:rsidRDefault="003960C9" w:rsidP="005F2377">
      <w:r w:rsidRPr="003960C9">
        <w:t xml:space="preserve">Risk analysis played a vital role in our planning process, supported by a thorough matrix that addressed health and safety, safeguarding, accessibility, and operational concerns. Hillson (2003) </w:t>
      </w:r>
      <w:r>
        <w:t>emphasises</w:t>
      </w:r>
      <w:r w:rsidRPr="003960C9">
        <w:t xml:space="preserve"> the need to differentiate between risks with high impact versus high likelihood. For instance, food safety and safeguarding posed </w:t>
      </w:r>
      <w:r>
        <w:t xml:space="preserve">a </w:t>
      </w:r>
      <w:r w:rsidRPr="003960C9">
        <w:t>significant impact but were unlikely, prompting mitigation strategies like allergen labelling and close supervision. Yet moderate likelihood issues</w:t>
      </w:r>
      <w:r w:rsidR="00BF235A">
        <w:t xml:space="preserve"> l</w:t>
      </w:r>
      <w:r w:rsidRPr="003960C9">
        <w:t>ike equipment malfunction or unexpected weather</w:t>
      </w:r>
      <w:r w:rsidR="00BF235A">
        <w:t xml:space="preserve"> </w:t>
      </w:r>
      <w:r w:rsidRPr="003960C9">
        <w:t xml:space="preserve">were more difficult to </w:t>
      </w:r>
      <w:r w:rsidR="00EC2C0E">
        <w:t>anticipate</w:t>
      </w:r>
      <w:r w:rsidRPr="003960C9">
        <w:t>. This supports Pinto’s (2019) view that while risk matrices are valuable, they often overlook the complexity of interrelated risks</w:t>
      </w:r>
      <w:r>
        <w:t>.</w:t>
      </w:r>
    </w:p>
    <w:p w14:paraId="71273EE6" w14:textId="40560BA4" w:rsidR="00CE0819" w:rsidRPr="00CE0819" w:rsidRDefault="00CE0819" w:rsidP="00CE0819">
      <w:r>
        <w:t>A stakeholder</w:t>
      </w:r>
      <w:r w:rsidRPr="00CE0819">
        <w:t xml:space="preserve"> analysis was a key element of our planning phase. By applying a power</w:t>
      </w:r>
      <w:r w:rsidR="00BF235A">
        <w:t xml:space="preserve"> </w:t>
      </w:r>
      <w:r w:rsidRPr="00CE0819">
        <w:t>interest grid, we identified core groups</w:t>
      </w:r>
      <w:r>
        <w:t xml:space="preserve"> </w:t>
      </w:r>
      <w:r w:rsidRPr="00CE0819">
        <w:t>including the host church, ROUCA team, volunteers, and attendees. Freeman’s (1984) stakeholder theory, which centres on recognising stakeholder value and expectations, aligned with our goal of inclusivity. This approach helped structure communication and ensured decision</w:t>
      </w:r>
      <w:r w:rsidR="00BF235A">
        <w:t xml:space="preserve"> </w:t>
      </w:r>
      <w:r w:rsidRPr="00CE0819">
        <w:t>makers remained informed throughout. However, the tool lacked adaptability; as stakeholder roles shifted, revising the grid proved difficult</w:t>
      </w:r>
      <w:r>
        <w:t xml:space="preserve">, </w:t>
      </w:r>
      <w:r w:rsidRPr="00CE0819">
        <w:t>echoing Bourne’s (2015) argument that stakeholder mapping must remain flexible and responsive.</w:t>
      </w:r>
    </w:p>
    <w:p w14:paraId="3F48B9F1" w14:textId="714114DC" w:rsidR="00CE0819" w:rsidRDefault="0054196F" w:rsidP="005F2377">
      <w:r w:rsidRPr="0054196F">
        <w:t>We applied the work breakdown structure (WBS) informally by assigning tasks based on team members’ strengths. According to PMI (2021), WBS enhances clarity and streamlines task distribution</w:t>
      </w:r>
      <w:r>
        <w:t xml:space="preserve">, </w:t>
      </w:r>
      <w:r w:rsidRPr="0054196F">
        <w:t>an outcome reflected in our project. Each stage was led by a designated team member, simplifying progress tracking. However, when availability issues arose, reallocating tasks proved challenging. Maylor (2010) highlights this limitation, noting that rigid WBS models can cause bottlenecks without built</w:t>
      </w:r>
      <w:r w:rsidR="00485A85">
        <w:t xml:space="preserve"> </w:t>
      </w:r>
      <w:r w:rsidRPr="0054196F">
        <w:t>in contingency planning.</w:t>
      </w:r>
    </w:p>
    <w:p w14:paraId="2657FFDC" w14:textId="4D30A446" w:rsidR="00CE0819" w:rsidRPr="005F2377" w:rsidRDefault="0014755A" w:rsidP="005F2377">
      <w:r w:rsidRPr="0014755A">
        <w:t>To assess project outcomes, we employed a combination of hard and soft evaluation methods. Quantitative measures</w:t>
      </w:r>
      <w:r>
        <w:t xml:space="preserve"> </w:t>
      </w:r>
      <w:r w:rsidRPr="0014755A">
        <w:t>such as attendance figures, budget adherence, and task completion</w:t>
      </w:r>
      <w:r>
        <w:t xml:space="preserve"> </w:t>
      </w:r>
      <w:r w:rsidRPr="0014755A">
        <w:t xml:space="preserve">provided concrete indicators of success. Qualitative feedback was gathered through informal interviews and observation of participant engagement. Müller and Turner (2010) assert that integrating both approaches offers a more comprehensive evaluation. Although feedback was </w:t>
      </w:r>
      <w:r w:rsidR="00937C1E" w:rsidRPr="0014755A">
        <w:t>positive</w:t>
      </w:r>
      <w:r w:rsidRPr="0014755A">
        <w:t>, the absence of formal survey tools meant our qualitative data was anecdotal and less measurable.</w:t>
      </w:r>
    </w:p>
    <w:p w14:paraId="55AE54A7" w14:textId="77777777" w:rsidR="007654CF" w:rsidRPr="005F2377" w:rsidRDefault="007654CF" w:rsidP="005F2377"/>
    <w:p w14:paraId="0D068A23" w14:textId="77777777" w:rsidR="00C214B6" w:rsidRDefault="00C214B6"/>
    <w:p w14:paraId="0FF468CE" w14:textId="4ECB836D" w:rsidR="00EF73CA" w:rsidRDefault="00EF73CA" w:rsidP="00A932AC">
      <w:pPr>
        <w:pStyle w:val="Heading2"/>
      </w:pPr>
      <w:bookmarkStart w:id="5" w:name="_Toc203734751"/>
      <w:r w:rsidRPr="00EF73CA">
        <w:t>2.</w:t>
      </w:r>
      <w:r w:rsidR="00A932AC">
        <w:t>3</w:t>
      </w:r>
      <w:r w:rsidRPr="00EF73CA">
        <w:t xml:space="preserve"> Practical Use of Tools in the Bucovina &amp; ROUCA Event</w:t>
      </w:r>
      <w:bookmarkEnd w:id="5"/>
    </w:p>
    <w:p w14:paraId="23B4C199" w14:textId="7A084304" w:rsidR="00926B98" w:rsidRDefault="00926B98" w:rsidP="00926B98">
      <w:r w:rsidRPr="00926B98">
        <w:t>The project management tools discussed were not merely theoretical</w:t>
      </w:r>
      <w:r w:rsidR="00C5228C">
        <w:t>;</w:t>
      </w:r>
      <w:r>
        <w:t xml:space="preserve"> </w:t>
      </w:r>
      <w:r w:rsidRPr="00926B98">
        <w:t>they were actively implemented throughout the event’s lifecycle. The Gantt chart offered a structured timeline from initiation in May to closure in July, with each phase led by a designated team member. Elena oversaw planning tasks such as marketing and budgeting, while Ciprian coordinated execution, including supply management and day</w:t>
      </w:r>
      <w:r>
        <w:t xml:space="preserve"> </w:t>
      </w:r>
      <w:r w:rsidRPr="00926B98">
        <w:t xml:space="preserve">of </w:t>
      </w:r>
      <w:r w:rsidR="00704E56" w:rsidRPr="00926B98">
        <w:t>planning</w:t>
      </w:r>
      <w:r w:rsidRPr="00926B98">
        <w:t xml:space="preserve">. This structured delegation ensured a systematic workflow and helped </w:t>
      </w:r>
      <w:r>
        <w:t>prioritise</w:t>
      </w:r>
      <w:r w:rsidRPr="00926B98">
        <w:t xml:space="preserve"> weekly tasks based on charted milestones.</w:t>
      </w:r>
    </w:p>
    <w:p w14:paraId="7CAA137E" w14:textId="629E2FA4" w:rsidR="00AB2392" w:rsidRDefault="00AB2392" w:rsidP="00926B98">
      <w:r w:rsidRPr="00AB2392">
        <w:t>Risk analysis shaped several key decisions, especially in safeguarding protocols. All volunteers underwent DBS checks, and clear procedures were implemented for children's check</w:t>
      </w:r>
      <w:r>
        <w:t xml:space="preserve"> </w:t>
      </w:r>
      <w:r w:rsidRPr="00AB2392">
        <w:t xml:space="preserve">in and collection. Accessibility concerns were also addressed using the risk matrix, which prompted features like quiet zones and inclusive activity spaces. This </w:t>
      </w:r>
      <w:r w:rsidR="00532741" w:rsidRPr="00AB2392">
        <w:t>direct</w:t>
      </w:r>
      <w:r w:rsidRPr="00AB2392">
        <w:t xml:space="preserve"> application illustrates how theoretical frameworks can inform inclusive design</w:t>
      </w:r>
      <w:r>
        <w:t xml:space="preserve">, </w:t>
      </w:r>
      <w:r w:rsidRPr="00AB2392">
        <w:t>an approach strongly endorsed in community event planning literature (Bryson, 2018).</w:t>
      </w:r>
    </w:p>
    <w:p w14:paraId="6C23DEA2" w14:textId="1E83D76F" w:rsidR="008A5269" w:rsidRPr="008A5269" w:rsidRDefault="008A5269" w:rsidP="008A5269">
      <w:r w:rsidRPr="008A5269">
        <w:t>In particular, the real</w:t>
      </w:r>
      <w:r w:rsidRPr="00900108">
        <w:t xml:space="preserve"> </w:t>
      </w:r>
      <w:r w:rsidRPr="008A5269">
        <w:t>time adaptation of the Gantt chart proved critical when faced with supplier delays and last</w:t>
      </w:r>
      <w:r w:rsidRPr="00900108">
        <w:t xml:space="preserve"> </w:t>
      </w:r>
      <w:r w:rsidRPr="008A5269">
        <w:t xml:space="preserve">minute equipment adjustments. Updates were made by the planning lead and shared with the group via a WhatsApp channel and Google Docs, which allowed team members to stay informed. This adaptive process aligns with agile principles advocated by Serrador and Pinto (2015), </w:t>
      </w:r>
      <w:r w:rsidRPr="00900108">
        <w:t>emphasising</w:t>
      </w:r>
      <w:r w:rsidRPr="008A5269">
        <w:t xml:space="preserve"> iterative planning even within structured tools.</w:t>
      </w:r>
    </w:p>
    <w:p w14:paraId="3720E197" w14:textId="11CB6E7A" w:rsidR="008A5269" w:rsidRPr="008A5269" w:rsidRDefault="008A5269" w:rsidP="008A5269">
      <w:r w:rsidRPr="008A5269">
        <w:t>An example of safeguarding foresight involved planning for a lost child scenario</w:t>
      </w:r>
      <w:r w:rsidR="00AE4EB1" w:rsidRPr="00900108">
        <w:t xml:space="preserve"> </w:t>
      </w:r>
      <w:r w:rsidRPr="008A5269">
        <w:t>clearly defined volunteer zones and a designated adult tag system were put in place. These strategies were drawn from best practices in event safety management (Silvers, 2012) and contributed to a secure environment.</w:t>
      </w:r>
    </w:p>
    <w:p w14:paraId="037B37B3" w14:textId="3C406ED6" w:rsidR="008A5269" w:rsidRPr="008A5269" w:rsidRDefault="008A5269" w:rsidP="008A5269">
      <w:r w:rsidRPr="008A5269">
        <w:t>Similarly, the WBS was especially useful on the day of the event. Each sub</w:t>
      </w:r>
      <w:r w:rsidR="00900108" w:rsidRPr="00900108">
        <w:t xml:space="preserve"> </w:t>
      </w:r>
      <w:r w:rsidRPr="008A5269">
        <w:t>team had a printed task list drawn from the WBS draft, enabling smooth coordination during setup and pack</w:t>
      </w:r>
      <w:r w:rsidR="00900108" w:rsidRPr="00900108">
        <w:t xml:space="preserve"> </w:t>
      </w:r>
      <w:r w:rsidRPr="008A5269">
        <w:t>down. However, minor confusion arose when a few logistical roles, such as signage placement, had not been clearly assigned. This gap reaffirms Turner’s (2014) view that WBS effectiveness hinges on appropriate granularity.</w:t>
      </w:r>
    </w:p>
    <w:p w14:paraId="4F5486C7" w14:textId="7BC7C172" w:rsidR="00E1025E" w:rsidRDefault="00E1025E" w:rsidP="00926B98">
      <w:r w:rsidRPr="00E1025E">
        <w:t>Our stakeholder communication strategy was structured around key project phases, with meetings held at each transition</w:t>
      </w:r>
      <w:r>
        <w:t xml:space="preserve"> </w:t>
      </w:r>
      <w:r w:rsidRPr="00E1025E">
        <w:t>initiation, mid</w:t>
      </w:r>
      <w:r>
        <w:t xml:space="preserve"> </w:t>
      </w:r>
      <w:r w:rsidRPr="00E1025E">
        <w:t>planning, pre</w:t>
      </w:r>
      <w:r>
        <w:t xml:space="preserve"> </w:t>
      </w:r>
      <w:r w:rsidRPr="00E1025E">
        <w:t>event, and post</w:t>
      </w:r>
      <w:r>
        <w:t xml:space="preserve"> </w:t>
      </w:r>
      <w:r w:rsidRPr="00E1025E">
        <w:t>event. This fostered transparency and strengthened trust. Nonetheless, some lower</w:t>
      </w:r>
      <w:r>
        <w:t xml:space="preserve"> </w:t>
      </w:r>
      <w:r w:rsidRPr="00E1025E">
        <w:t xml:space="preserve">priority stakeholders, particularly </w:t>
      </w:r>
      <w:r w:rsidR="0059020C" w:rsidRPr="00E1025E">
        <w:t>non</w:t>
      </w:r>
      <w:r w:rsidR="0059020C">
        <w:t>c</w:t>
      </w:r>
      <w:r w:rsidR="0059020C" w:rsidRPr="00E1025E">
        <w:t>ore</w:t>
      </w:r>
      <w:r w:rsidRPr="00E1025E">
        <w:t xml:space="preserve"> volunteers, felt underinformed during execution. This exposed the risk of neglecting contributors who, despite lacking formal influence, played meaningful roles. Olander and Landin (2005) underscore the value of acknowledging informal stakeholders</w:t>
      </w:r>
      <w:r w:rsidR="00874686">
        <w:t>,</w:t>
      </w:r>
      <w:r>
        <w:t xml:space="preserve"> </w:t>
      </w:r>
      <w:r w:rsidRPr="00E1025E">
        <w:t>an insight reinforced through our experience.</w:t>
      </w:r>
    </w:p>
    <w:p w14:paraId="1965B956" w14:textId="707947B5" w:rsidR="00874686" w:rsidRPr="00874686" w:rsidRDefault="00874686" w:rsidP="00874686">
      <w:r w:rsidRPr="00874686">
        <w:t xml:space="preserve">Implementing the work breakdown structure (WBS) clarified team roles during setup and </w:t>
      </w:r>
      <w:r>
        <w:t>minimised</w:t>
      </w:r>
      <w:r w:rsidRPr="00874686">
        <w:t xml:space="preserve"> confusion. However, last</w:t>
      </w:r>
      <w:r w:rsidR="00C4154C">
        <w:t xml:space="preserve"> </w:t>
      </w:r>
      <w:r w:rsidRPr="00874686">
        <w:t>minute challenges emerged when tasks were vaguely defined or unintentionally omitted. This aligns with Turner’s (2014) observation that WBS granularity must be carefully calibrated</w:t>
      </w:r>
      <w:r w:rsidR="00C4154C">
        <w:t xml:space="preserve"> </w:t>
      </w:r>
      <w:r w:rsidRPr="00874686">
        <w:t>overly broad structures lack clarity, while excessively detailed ones can become cumbersome.</w:t>
      </w:r>
    </w:p>
    <w:p w14:paraId="20500B54" w14:textId="59EC03C5" w:rsidR="00874686" w:rsidRDefault="00093CC1" w:rsidP="00926B98">
      <w:r w:rsidRPr="00093CC1">
        <w:lastRenderedPageBreak/>
        <w:t>Evaluation took place during the closure phase, with informal feedback from parents and the host church reflecting strong approval</w:t>
      </w:r>
      <w:r>
        <w:t xml:space="preserve">, </w:t>
      </w:r>
      <w:r w:rsidRPr="00093CC1">
        <w:t>particularly for the cultural relevance of both activities and food. However, the absence of a formal post</w:t>
      </w:r>
      <w:r w:rsidR="006D2190">
        <w:t xml:space="preserve"> </w:t>
      </w:r>
      <w:r w:rsidRPr="00093CC1">
        <w:t>event survey limited the ability to capture and document insights for future planning.</w:t>
      </w:r>
    </w:p>
    <w:p w14:paraId="3F348A3F" w14:textId="77777777" w:rsidR="00926B98" w:rsidRDefault="00926B98" w:rsidP="00926B98"/>
    <w:p w14:paraId="789C487E" w14:textId="77777777" w:rsidR="00747F43" w:rsidRDefault="00747F43" w:rsidP="00926B98"/>
    <w:p w14:paraId="7DFDE27F" w14:textId="77777777" w:rsidR="00747F43" w:rsidRDefault="00747F43" w:rsidP="00926B98"/>
    <w:p w14:paraId="304B5EDF" w14:textId="77777777" w:rsidR="00747F43" w:rsidRDefault="00747F43" w:rsidP="00926B98"/>
    <w:p w14:paraId="0603D448" w14:textId="77777777" w:rsidR="00747F43" w:rsidRPr="00926B98" w:rsidRDefault="00747F43" w:rsidP="00926B98"/>
    <w:p w14:paraId="1DAC176F" w14:textId="77777777" w:rsidR="00C214B6" w:rsidRDefault="00C214B6"/>
    <w:p w14:paraId="01FB17C1" w14:textId="745CEF93" w:rsidR="00825D65" w:rsidRPr="00825D65" w:rsidRDefault="001F555E" w:rsidP="00825D65">
      <w:pPr>
        <w:pStyle w:val="Heading2"/>
      </w:pPr>
      <w:bookmarkStart w:id="6" w:name="_Toc203734752"/>
      <w:r w:rsidRPr="001F555E">
        <w:t>2.</w:t>
      </w:r>
      <w:r w:rsidR="00A932AC">
        <w:t>4</w:t>
      </w:r>
      <w:r w:rsidRPr="001F555E">
        <w:t xml:space="preserve"> Communication and Stakeholder Engagement</w:t>
      </w:r>
      <w:bookmarkEnd w:id="6"/>
    </w:p>
    <w:p w14:paraId="58CB1E81" w14:textId="66BAD8F7" w:rsidR="00530E20" w:rsidRDefault="00825D65" w:rsidP="001F555E">
      <w:r w:rsidRPr="00825D65">
        <w:t>Smooth project delivery depended heavily on effective communication. We implemented a structured timeline, starting with a joint kickoff meeting and followed by consistent weekly updates. Each project phase featured at least one formal communication checkpoint</w:t>
      </w:r>
      <w:r>
        <w:t xml:space="preserve"> </w:t>
      </w:r>
      <w:r w:rsidRPr="00825D65">
        <w:t>via email, face</w:t>
      </w:r>
      <w:r w:rsidR="0024362B">
        <w:t xml:space="preserve"> </w:t>
      </w:r>
      <w:r w:rsidRPr="00825D65">
        <w:t>to</w:t>
      </w:r>
      <w:r w:rsidR="0024362B">
        <w:t xml:space="preserve"> </w:t>
      </w:r>
      <w:r w:rsidRPr="00825D65">
        <w:t>face meetings, or shared documentation. This strategy reflects Crawford and Helm’s (2009) assertion that integrated communication is foundational to successful project management.</w:t>
      </w:r>
    </w:p>
    <w:p w14:paraId="34040C90" w14:textId="6BC82B91" w:rsidR="009D105D" w:rsidRDefault="00530E20" w:rsidP="00530E20">
      <w:r w:rsidRPr="00530E20">
        <w:t>Stakeholders with significant interest and influence</w:t>
      </w:r>
      <w:r w:rsidR="006D2190">
        <w:t>,</w:t>
      </w:r>
      <w:r>
        <w:t xml:space="preserve"> </w:t>
      </w:r>
      <w:r w:rsidRPr="00530E20">
        <w:t>such as ROUCA management and the host church</w:t>
      </w:r>
      <w:r w:rsidR="006D2190">
        <w:t>,</w:t>
      </w:r>
      <w:r>
        <w:t xml:space="preserve"> </w:t>
      </w:r>
      <w:r w:rsidRPr="00530E20">
        <w:t xml:space="preserve">received consistent updates and were consulted for formal approvals. This </w:t>
      </w:r>
      <w:r w:rsidR="00532741" w:rsidRPr="00530E20">
        <w:t>initiative</w:t>
      </w:r>
      <w:r w:rsidR="00532741">
        <w:t xml:space="preserve"> </w:t>
      </w:r>
      <w:r w:rsidR="00532741" w:rsidRPr="00530E20">
        <w:t>taking</w:t>
      </w:r>
      <w:r w:rsidRPr="00530E20">
        <w:t xml:space="preserve"> engagement built trust and helped prevent last</w:t>
      </w:r>
      <w:r>
        <w:t xml:space="preserve"> </w:t>
      </w:r>
      <w:r w:rsidRPr="00530E20">
        <w:t>minute issues. For instance, the final event plan was shared on 3rd June, allowing a two</w:t>
      </w:r>
      <w:r>
        <w:t xml:space="preserve"> </w:t>
      </w:r>
      <w:r w:rsidRPr="00530E20">
        <w:t>week window for feedback. Such involvement aligns with PMBOK framework principles and exemplifies effective stakeholder management.</w:t>
      </w:r>
    </w:p>
    <w:p w14:paraId="42585D20" w14:textId="65559EF3" w:rsidR="009D105D" w:rsidRPr="009D105D" w:rsidRDefault="009D105D" w:rsidP="009D105D">
      <w:r w:rsidRPr="009D105D">
        <w:t>Despite overall success, certain aspects required improvement</w:t>
      </w:r>
      <w:r>
        <w:t xml:space="preserve">, </w:t>
      </w:r>
      <w:r w:rsidRPr="009D105D">
        <w:t>particularly around language barriers. Limited English fluency among some volunteers caused delays and coordination challenges during setup. Hassan (2020) highlights that incorporating multilingual support early in multicultural teams can mitigate miscommunication. Although involving Romanian</w:t>
      </w:r>
      <w:r w:rsidR="006D2190">
        <w:t xml:space="preserve"> </w:t>
      </w:r>
      <w:r w:rsidRPr="009D105D">
        <w:t>speaking volunteers proved helpful, earlier planning would have enhanced inclusivity and operational efficiency.</w:t>
      </w:r>
    </w:p>
    <w:p w14:paraId="4B612E28" w14:textId="7A2BCDC7" w:rsidR="00530E20" w:rsidRDefault="000131F2" w:rsidP="001F555E">
      <w:r w:rsidRPr="000131F2">
        <w:t>Post</w:t>
      </w:r>
      <w:r>
        <w:t xml:space="preserve"> </w:t>
      </w:r>
      <w:r w:rsidRPr="000131F2">
        <w:t>event communication was conducted with professionalism, including thank</w:t>
      </w:r>
      <w:r>
        <w:t xml:space="preserve"> </w:t>
      </w:r>
      <w:r w:rsidRPr="000131F2">
        <w:t>you messages and a comprehensive summary report shared with all stakeholders. A proposal for future partnership was also included, aimed at fostering continued collaboration. This final initiative helped strengthen relationships and aligns with Morris’s (2013) guidance on closing the feedback loop and enhancing a project’s long</w:t>
      </w:r>
      <w:r>
        <w:t xml:space="preserve"> </w:t>
      </w:r>
      <w:r w:rsidRPr="000131F2">
        <w:t>term impact.</w:t>
      </w:r>
    </w:p>
    <w:p w14:paraId="5308C8F1" w14:textId="77777777" w:rsidR="00C214B6" w:rsidRDefault="00C214B6"/>
    <w:p w14:paraId="2A276272" w14:textId="77777777" w:rsidR="00C214B6" w:rsidRDefault="00C214B6"/>
    <w:p w14:paraId="400A97C5" w14:textId="77777777" w:rsidR="00941209" w:rsidRDefault="00941209"/>
    <w:p w14:paraId="042B9AAE" w14:textId="77777777" w:rsidR="00941209" w:rsidRDefault="00941209"/>
    <w:p w14:paraId="28A34727" w14:textId="77777777" w:rsidR="000D5EB2" w:rsidRDefault="000D5EB2"/>
    <w:p w14:paraId="176A0B66" w14:textId="77777777" w:rsidR="00033AD6" w:rsidRPr="00033AD6" w:rsidRDefault="00033AD6" w:rsidP="00A932AC">
      <w:pPr>
        <w:pStyle w:val="Heading1"/>
      </w:pPr>
      <w:bookmarkStart w:id="7" w:name="_Toc203734753"/>
      <w:r w:rsidRPr="00033AD6">
        <w:t>3.0 Conclusion</w:t>
      </w:r>
      <w:bookmarkEnd w:id="7"/>
    </w:p>
    <w:p w14:paraId="5A43F828" w14:textId="584505E6" w:rsidR="00033AD6" w:rsidRPr="00033AD6" w:rsidRDefault="00033AD6" w:rsidP="00033AD6">
      <w:r w:rsidRPr="00033AD6">
        <w:t>The Bucovina &amp; ROUCA cultural event offered a real</w:t>
      </w:r>
      <w:r w:rsidR="007D56F8">
        <w:t xml:space="preserve"> </w:t>
      </w:r>
      <w:r w:rsidRPr="00033AD6">
        <w:t>world test of project management principles. The tools we applied</w:t>
      </w:r>
      <w:r w:rsidR="007D56F8">
        <w:t xml:space="preserve"> </w:t>
      </w:r>
      <w:r w:rsidRPr="00033AD6">
        <w:t>Gantt charts, risk matrices, stakeholder analysis, WBS, and evaluation methods</w:t>
      </w:r>
      <w:r w:rsidR="00A70F97">
        <w:t>,</w:t>
      </w:r>
      <w:r w:rsidR="007D56F8">
        <w:t xml:space="preserve"> </w:t>
      </w:r>
      <w:r w:rsidRPr="00033AD6">
        <w:t>proved highly valuable in structuring our process and clarifying roles. However, practical use revealed several weaknesses, especially regarding flexibility, ove</w:t>
      </w:r>
      <w:r w:rsidR="00B10BFF">
        <w:t xml:space="preserve">r </w:t>
      </w:r>
      <w:r w:rsidRPr="00033AD6">
        <w:t>reliance on static tools, and underestimation of dynamic variables like language and last</w:t>
      </w:r>
      <w:r w:rsidR="007D56F8">
        <w:t xml:space="preserve"> </w:t>
      </w:r>
      <w:r w:rsidRPr="00033AD6">
        <w:t xml:space="preserve">minute </w:t>
      </w:r>
      <w:r w:rsidR="00704E56" w:rsidRPr="00033AD6">
        <w:t>coordination</w:t>
      </w:r>
      <w:r w:rsidRPr="00033AD6">
        <w:t>.</w:t>
      </w:r>
    </w:p>
    <w:p w14:paraId="7C9407E5" w14:textId="77777777" w:rsidR="00033AD6" w:rsidRPr="00033AD6" w:rsidRDefault="00033AD6" w:rsidP="00033AD6">
      <w:r w:rsidRPr="00033AD6">
        <w:t>The experience highlighted the importance of embedding flexibility into every planning tool and treating stakeholder communication as a continuous, rather than segmented, process. Future improvements could include adopting agile methods, improving multilingual access, and introducing formal evaluation instruments. While theory provided a solid foundation, it was the challenges of practice that truly shaped our learning.</w:t>
      </w:r>
    </w:p>
    <w:p w14:paraId="1E9D4901" w14:textId="77777777" w:rsidR="00C214B6" w:rsidRDefault="00C214B6"/>
    <w:p w14:paraId="0557C881" w14:textId="77777777" w:rsidR="00941209" w:rsidRDefault="00941209"/>
    <w:p w14:paraId="05C9C741" w14:textId="77777777" w:rsidR="00941209" w:rsidRDefault="00941209"/>
    <w:p w14:paraId="64ADFB7E" w14:textId="77777777" w:rsidR="00941209" w:rsidRDefault="00941209"/>
    <w:p w14:paraId="78C3EFBF" w14:textId="77777777" w:rsidR="00941209" w:rsidRDefault="00941209"/>
    <w:p w14:paraId="7ECF1A5B" w14:textId="77777777" w:rsidR="00941209" w:rsidRDefault="00941209"/>
    <w:p w14:paraId="4493A071" w14:textId="77777777" w:rsidR="00941209" w:rsidRDefault="00941209"/>
    <w:p w14:paraId="20F113EF" w14:textId="77777777" w:rsidR="00941209" w:rsidRDefault="00941209"/>
    <w:p w14:paraId="0476E65A" w14:textId="77777777" w:rsidR="00941209" w:rsidRDefault="00941209"/>
    <w:p w14:paraId="70C69F1E" w14:textId="77777777" w:rsidR="00941209" w:rsidRDefault="00941209"/>
    <w:p w14:paraId="27851360" w14:textId="77777777" w:rsidR="00941209" w:rsidRDefault="00941209"/>
    <w:p w14:paraId="7787B4FF" w14:textId="77777777" w:rsidR="00941209" w:rsidRDefault="00941209"/>
    <w:p w14:paraId="62626FDB" w14:textId="77777777" w:rsidR="00941209" w:rsidRDefault="00941209"/>
    <w:p w14:paraId="69E808C3" w14:textId="77777777" w:rsidR="00941209" w:rsidRDefault="00941209"/>
    <w:p w14:paraId="1F9A58AD" w14:textId="77777777" w:rsidR="000D5EB2" w:rsidRDefault="000D5EB2"/>
    <w:p w14:paraId="4170EA51" w14:textId="77777777" w:rsidR="000D5EB2" w:rsidRDefault="000D5EB2"/>
    <w:p w14:paraId="7F98290D" w14:textId="77777777" w:rsidR="000D5EB2" w:rsidRDefault="000D5EB2"/>
    <w:p w14:paraId="4030F456" w14:textId="77777777" w:rsidR="000D5EB2" w:rsidRDefault="000D5EB2"/>
    <w:p w14:paraId="59567378" w14:textId="77777777" w:rsidR="000D5EB2" w:rsidRDefault="000D5EB2"/>
    <w:p w14:paraId="1B9C02C6" w14:textId="77777777" w:rsidR="00941209" w:rsidRDefault="00941209"/>
    <w:p w14:paraId="303D688E" w14:textId="77777777" w:rsidR="00281076" w:rsidRDefault="00281076" w:rsidP="00A932AC">
      <w:pPr>
        <w:pStyle w:val="Heading1"/>
      </w:pPr>
      <w:bookmarkStart w:id="8" w:name="_Toc203734754"/>
      <w:r w:rsidRPr="00281076">
        <w:lastRenderedPageBreak/>
        <w:t>References</w:t>
      </w:r>
      <w:bookmarkEnd w:id="8"/>
    </w:p>
    <w:p w14:paraId="5A105E81" w14:textId="77777777" w:rsidR="001F771C" w:rsidRDefault="001F771C" w:rsidP="001F771C"/>
    <w:p w14:paraId="2B062DE6" w14:textId="77777777" w:rsidR="001F771C" w:rsidRPr="001F771C" w:rsidRDefault="001F771C" w:rsidP="001F771C"/>
    <w:p w14:paraId="3EE0E8AD" w14:textId="77777777" w:rsidR="00281076" w:rsidRPr="00281076" w:rsidRDefault="00281076" w:rsidP="00281076">
      <w:r w:rsidRPr="00281076">
        <w:t xml:space="preserve">Bourne, L. (2015). </w:t>
      </w:r>
      <w:r w:rsidRPr="00281076">
        <w:rPr>
          <w:i/>
          <w:iCs/>
        </w:rPr>
        <w:t>Stakeholder Relationship Management: A Maturity Model for Organisational Implementation</w:t>
      </w:r>
      <w:r w:rsidRPr="00281076">
        <w:t>. Routledge.</w:t>
      </w:r>
    </w:p>
    <w:p w14:paraId="554B0D90" w14:textId="1EDEB71F" w:rsidR="00281076" w:rsidRPr="00281076" w:rsidRDefault="00281076" w:rsidP="00281076">
      <w:r w:rsidRPr="00281076">
        <w:t xml:space="preserve">Bryson, J. M. (2018). </w:t>
      </w:r>
      <w:r w:rsidRPr="00281076">
        <w:rPr>
          <w:i/>
          <w:iCs/>
        </w:rPr>
        <w:t xml:space="preserve">Strategic Planning for Public and Nonprofit </w:t>
      </w:r>
      <w:r w:rsidR="00747F43">
        <w:rPr>
          <w:i/>
          <w:iCs/>
        </w:rPr>
        <w:t>Organisations</w:t>
      </w:r>
      <w:r w:rsidRPr="00281076">
        <w:t>. 5th ed. Jossey-Bass.</w:t>
      </w:r>
    </w:p>
    <w:p w14:paraId="3B54298D" w14:textId="77777777" w:rsidR="00281076" w:rsidRPr="00281076" w:rsidRDefault="00281076" w:rsidP="00281076">
      <w:r w:rsidRPr="00281076">
        <w:t xml:space="preserve">Crawford, L. &amp; Helm, J. (2009). Government and governance: The value of project management in the public sector. </w:t>
      </w:r>
      <w:r w:rsidRPr="00281076">
        <w:rPr>
          <w:i/>
          <w:iCs/>
        </w:rPr>
        <w:t>Project Management Journal</w:t>
      </w:r>
      <w:r w:rsidRPr="00281076">
        <w:t>, 40(1), pp.73–87.</w:t>
      </w:r>
    </w:p>
    <w:p w14:paraId="26CAD0B4" w14:textId="77777777" w:rsidR="00281076" w:rsidRPr="00281076" w:rsidRDefault="00281076" w:rsidP="00281076">
      <w:r w:rsidRPr="00281076">
        <w:t xml:space="preserve">Freeman, R. E. (1984). </w:t>
      </w:r>
      <w:r w:rsidRPr="00281076">
        <w:rPr>
          <w:i/>
          <w:iCs/>
        </w:rPr>
        <w:t>Strategic Management: A Stakeholder Approach</w:t>
      </w:r>
      <w:r w:rsidRPr="00281076">
        <w:t>. Pitman.</w:t>
      </w:r>
    </w:p>
    <w:p w14:paraId="4DB551FF" w14:textId="77777777" w:rsidR="00281076" w:rsidRPr="00281076" w:rsidRDefault="00281076" w:rsidP="00281076">
      <w:r w:rsidRPr="00281076">
        <w:t xml:space="preserve">Hassan, M. (2020). Cross-cultural project teams: Barriers and strategies. </w:t>
      </w:r>
      <w:r w:rsidRPr="00281076">
        <w:rPr>
          <w:i/>
          <w:iCs/>
        </w:rPr>
        <w:t>International Journal of Project Organisation and Management</w:t>
      </w:r>
      <w:r w:rsidRPr="00281076">
        <w:t>, 12(3), pp.213–229.</w:t>
      </w:r>
    </w:p>
    <w:p w14:paraId="40177DDA" w14:textId="77777777" w:rsidR="00281076" w:rsidRPr="00281076" w:rsidRDefault="00281076" w:rsidP="00281076">
      <w:r w:rsidRPr="00281076">
        <w:t xml:space="preserve">Hillson, D. (2003). </w:t>
      </w:r>
      <w:r w:rsidRPr="00281076">
        <w:rPr>
          <w:i/>
          <w:iCs/>
        </w:rPr>
        <w:t>Effective Opportunity Management for Projects: Exploiting Positive Risk</w:t>
      </w:r>
      <w:r w:rsidRPr="00281076">
        <w:t>. CRC Press.</w:t>
      </w:r>
    </w:p>
    <w:p w14:paraId="6043E258" w14:textId="77777777" w:rsidR="00281076" w:rsidRPr="00281076" w:rsidRDefault="00281076" w:rsidP="00281076">
      <w:r w:rsidRPr="00281076">
        <w:t xml:space="preserve">Kerzner, H. (2022). </w:t>
      </w:r>
      <w:r w:rsidRPr="00281076">
        <w:rPr>
          <w:i/>
          <w:iCs/>
        </w:rPr>
        <w:t>Project Management: A Systems Approach to Planning, Scheduling, and Controlling</w:t>
      </w:r>
      <w:r w:rsidRPr="00281076">
        <w:t>. 13th ed. Wiley.</w:t>
      </w:r>
    </w:p>
    <w:p w14:paraId="274F351E" w14:textId="77777777" w:rsidR="00281076" w:rsidRPr="00281076" w:rsidRDefault="00281076" w:rsidP="00281076">
      <w:r w:rsidRPr="00281076">
        <w:t xml:space="preserve">Lock, D. (2020). </w:t>
      </w:r>
      <w:r w:rsidRPr="00281076">
        <w:rPr>
          <w:i/>
          <w:iCs/>
        </w:rPr>
        <w:t>Project Management</w:t>
      </w:r>
      <w:r w:rsidRPr="00281076">
        <w:t>. 11th ed. Routledge.</w:t>
      </w:r>
    </w:p>
    <w:p w14:paraId="24B59000" w14:textId="77777777" w:rsidR="00281076" w:rsidRPr="00281076" w:rsidRDefault="00281076" w:rsidP="00281076">
      <w:r w:rsidRPr="00281076">
        <w:t xml:space="preserve">Maylor, H. (2010). </w:t>
      </w:r>
      <w:r w:rsidRPr="00281076">
        <w:rPr>
          <w:i/>
          <w:iCs/>
        </w:rPr>
        <w:t>Project Management</w:t>
      </w:r>
      <w:r w:rsidRPr="00281076">
        <w:t>. 4th ed. Pearson.</w:t>
      </w:r>
    </w:p>
    <w:p w14:paraId="64620A24" w14:textId="77777777" w:rsidR="00281076" w:rsidRPr="00281076" w:rsidRDefault="00281076" w:rsidP="00281076">
      <w:r w:rsidRPr="00281076">
        <w:t xml:space="preserve">Meredith, J. R. &amp; Mantel, S. J. (2021). </w:t>
      </w:r>
      <w:r w:rsidRPr="00281076">
        <w:rPr>
          <w:i/>
          <w:iCs/>
        </w:rPr>
        <w:t>Project Management: A Managerial Approach</w:t>
      </w:r>
      <w:r w:rsidRPr="00281076">
        <w:t>. Wiley.</w:t>
      </w:r>
    </w:p>
    <w:p w14:paraId="202C057C" w14:textId="77777777" w:rsidR="00281076" w:rsidRPr="00281076" w:rsidRDefault="00281076" w:rsidP="00281076">
      <w:r w:rsidRPr="00281076">
        <w:t xml:space="preserve">Morris, P. W. G. (2013). </w:t>
      </w:r>
      <w:r w:rsidRPr="00281076">
        <w:rPr>
          <w:i/>
          <w:iCs/>
        </w:rPr>
        <w:t>Reconstructing Project Management</w:t>
      </w:r>
      <w:r w:rsidRPr="00281076">
        <w:t>. Wiley-Blackwell.</w:t>
      </w:r>
    </w:p>
    <w:p w14:paraId="53DB29EE" w14:textId="77777777" w:rsidR="00281076" w:rsidRPr="00281076" w:rsidRDefault="00281076" w:rsidP="00281076">
      <w:r w:rsidRPr="00281076">
        <w:t xml:space="preserve">Müller, R. &amp; Turner, J. R. (2010). Leadership competency profiles of successful project managers. </w:t>
      </w:r>
      <w:r w:rsidRPr="00281076">
        <w:rPr>
          <w:i/>
          <w:iCs/>
        </w:rPr>
        <w:t>International Journal of Project Management</w:t>
      </w:r>
      <w:r w:rsidRPr="00281076">
        <w:t>, 28(5), pp.437–448.</w:t>
      </w:r>
    </w:p>
    <w:p w14:paraId="19E47F08" w14:textId="77777777" w:rsidR="00281076" w:rsidRPr="00281076" w:rsidRDefault="00281076" w:rsidP="00281076">
      <w:r w:rsidRPr="00281076">
        <w:t xml:space="preserve">Olander, S. &amp; Landin, A. (2005). Evaluation of stakeholder influence in the implementation of construction projects. </w:t>
      </w:r>
      <w:r w:rsidRPr="00281076">
        <w:rPr>
          <w:i/>
          <w:iCs/>
        </w:rPr>
        <w:t>International Journal of Project Management</w:t>
      </w:r>
      <w:r w:rsidRPr="00281076">
        <w:t>, 23(4), pp.321–328.</w:t>
      </w:r>
    </w:p>
    <w:p w14:paraId="6DEA1B23" w14:textId="77777777" w:rsidR="00281076" w:rsidRDefault="00281076" w:rsidP="00281076">
      <w:r w:rsidRPr="00281076">
        <w:t xml:space="preserve">PMI (Project Management Institute). (2021). </w:t>
      </w:r>
      <w:r w:rsidRPr="00281076">
        <w:rPr>
          <w:i/>
          <w:iCs/>
        </w:rPr>
        <w:t>A Guide to the Project Management Body of Knowledge (PMBOK® Guide)</w:t>
      </w:r>
      <w:r w:rsidRPr="00281076">
        <w:t>. 7th ed.</w:t>
      </w:r>
    </w:p>
    <w:p w14:paraId="5E2F5F7B" w14:textId="3026AA05" w:rsidR="00037816" w:rsidRDefault="00037816" w:rsidP="00281076">
      <w:r w:rsidRPr="00037816">
        <w:t xml:space="preserve">Serrador, P. &amp; Pinto, J. K. (2015). Does Agile work? — A quantitative analysis of agile project success. </w:t>
      </w:r>
      <w:r w:rsidRPr="00037816">
        <w:rPr>
          <w:i/>
          <w:iCs/>
        </w:rPr>
        <w:t>International Journal of Project Management</w:t>
      </w:r>
      <w:r w:rsidRPr="00037816">
        <w:t>, 33(5), pp.1040–1051.</w:t>
      </w:r>
    </w:p>
    <w:p w14:paraId="270A14A7" w14:textId="5CBD0666" w:rsidR="00AE4EB1" w:rsidRPr="00281076" w:rsidRDefault="00AE4EB1" w:rsidP="00281076">
      <w:r w:rsidRPr="00AE4EB1">
        <w:t xml:space="preserve">Silvers, J. R. (2012). </w:t>
      </w:r>
      <w:r w:rsidRPr="00AE4EB1">
        <w:rPr>
          <w:i/>
          <w:iCs/>
        </w:rPr>
        <w:t>Risk Management for Meetings and Events</w:t>
      </w:r>
      <w:r w:rsidRPr="00AE4EB1">
        <w:t>. 2nd ed. Routledge.</w:t>
      </w:r>
    </w:p>
    <w:p w14:paraId="4920079F" w14:textId="77777777" w:rsidR="00281076" w:rsidRPr="00281076" w:rsidRDefault="00281076" w:rsidP="00281076">
      <w:r w:rsidRPr="00281076">
        <w:t xml:space="preserve">Turner, J. R. (2014). </w:t>
      </w:r>
      <w:r w:rsidRPr="00281076">
        <w:rPr>
          <w:i/>
          <w:iCs/>
        </w:rPr>
        <w:t>Gower Handbook of Project Management</w:t>
      </w:r>
      <w:r w:rsidRPr="00281076">
        <w:t>. 5th ed. Gower.</w:t>
      </w:r>
    </w:p>
    <w:p w14:paraId="78095D69" w14:textId="77777777" w:rsidR="00C214B6" w:rsidRDefault="00C214B6"/>
    <w:p w14:paraId="42EE8AAB" w14:textId="77777777" w:rsidR="00C214B6" w:rsidRDefault="00C214B6"/>
    <w:p w14:paraId="4C092CA7" w14:textId="77777777" w:rsidR="00C214B6" w:rsidRDefault="00C214B6"/>
    <w:p w14:paraId="41334A12" w14:textId="77777777" w:rsidR="00C214B6" w:rsidRDefault="00C214B6"/>
    <w:p w14:paraId="05561B0F" w14:textId="77777777" w:rsidR="00C214B6" w:rsidRDefault="00C214B6"/>
    <w:p w14:paraId="0E201DC4" w14:textId="77777777" w:rsidR="00C214B6" w:rsidRDefault="00C214B6"/>
    <w:p w14:paraId="286A8BFF" w14:textId="77777777" w:rsidR="00C214B6" w:rsidRDefault="00C214B6"/>
    <w:p w14:paraId="32944C9A" w14:textId="77777777" w:rsidR="00C214B6" w:rsidRDefault="00C214B6"/>
    <w:sectPr w:rsidR="00C214B6" w:rsidSect="00C214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730831"/>
    <w:multiLevelType w:val="multilevel"/>
    <w:tmpl w:val="F2927844"/>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429356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0CC"/>
    <w:rsid w:val="000131F2"/>
    <w:rsid w:val="00020A4E"/>
    <w:rsid w:val="00033AD6"/>
    <w:rsid w:val="00037816"/>
    <w:rsid w:val="00065967"/>
    <w:rsid w:val="00093CC1"/>
    <w:rsid w:val="000D5EB2"/>
    <w:rsid w:val="000E22DB"/>
    <w:rsid w:val="00100AD9"/>
    <w:rsid w:val="00107159"/>
    <w:rsid w:val="0013108B"/>
    <w:rsid w:val="0014755A"/>
    <w:rsid w:val="001809D0"/>
    <w:rsid w:val="001B6671"/>
    <w:rsid w:val="001F555E"/>
    <w:rsid w:val="001F771C"/>
    <w:rsid w:val="002067CA"/>
    <w:rsid w:val="00226366"/>
    <w:rsid w:val="0024362B"/>
    <w:rsid w:val="0025171B"/>
    <w:rsid w:val="00256E13"/>
    <w:rsid w:val="002679CE"/>
    <w:rsid w:val="00281076"/>
    <w:rsid w:val="002D1373"/>
    <w:rsid w:val="002D5477"/>
    <w:rsid w:val="00325252"/>
    <w:rsid w:val="00355201"/>
    <w:rsid w:val="00383344"/>
    <w:rsid w:val="003960C9"/>
    <w:rsid w:val="0039630C"/>
    <w:rsid w:val="003F270E"/>
    <w:rsid w:val="00406AC1"/>
    <w:rsid w:val="00427807"/>
    <w:rsid w:val="0045607A"/>
    <w:rsid w:val="004842DA"/>
    <w:rsid w:val="00485A85"/>
    <w:rsid w:val="004972BD"/>
    <w:rsid w:val="0050402F"/>
    <w:rsid w:val="005054FE"/>
    <w:rsid w:val="00530E20"/>
    <w:rsid w:val="00532741"/>
    <w:rsid w:val="0054196F"/>
    <w:rsid w:val="005434FD"/>
    <w:rsid w:val="00575546"/>
    <w:rsid w:val="0059020C"/>
    <w:rsid w:val="005920CC"/>
    <w:rsid w:val="005F2377"/>
    <w:rsid w:val="005F3FF1"/>
    <w:rsid w:val="00602A0E"/>
    <w:rsid w:val="00632BEB"/>
    <w:rsid w:val="00657CA2"/>
    <w:rsid w:val="006D2190"/>
    <w:rsid w:val="006E7BFA"/>
    <w:rsid w:val="006F6511"/>
    <w:rsid w:val="00704E56"/>
    <w:rsid w:val="00734514"/>
    <w:rsid w:val="00747167"/>
    <w:rsid w:val="00747F43"/>
    <w:rsid w:val="007654CF"/>
    <w:rsid w:val="007C452E"/>
    <w:rsid w:val="007D56F8"/>
    <w:rsid w:val="007F199A"/>
    <w:rsid w:val="00816052"/>
    <w:rsid w:val="00825D65"/>
    <w:rsid w:val="00874686"/>
    <w:rsid w:val="00896821"/>
    <w:rsid w:val="008A5269"/>
    <w:rsid w:val="008F5F8E"/>
    <w:rsid w:val="00900108"/>
    <w:rsid w:val="00926B98"/>
    <w:rsid w:val="00937C1E"/>
    <w:rsid w:val="00941209"/>
    <w:rsid w:val="00966E41"/>
    <w:rsid w:val="009D0CF3"/>
    <w:rsid w:val="009D105D"/>
    <w:rsid w:val="00A70F97"/>
    <w:rsid w:val="00A817C5"/>
    <w:rsid w:val="00A932AC"/>
    <w:rsid w:val="00AA0425"/>
    <w:rsid w:val="00AB2392"/>
    <w:rsid w:val="00AE4EB1"/>
    <w:rsid w:val="00B10BFF"/>
    <w:rsid w:val="00BF235A"/>
    <w:rsid w:val="00C059E1"/>
    <w:rsid w:val="00C07C6E"/>
    <w:rsid w:val="00C214B6"/>
    <w:rsid w:val="00C4154C"/>
    <w:rsid w:val="00C5228C"/>
    <w:rsid w:val="00CA6805"/>
    <w:rsid w:val="00CE0819"/>
    <w:rsid w:val="00D329B8"/>
    <w:rsid w:val="00D571BB"/>
    <w:rsid w:val="00D80B38"/>
    <w:rsid w:val="00DC2354"/>
    <w:rsid w:val="00DC32CE"/>
    <w:rsid w:val="00DD3E06"/>
    <w:rsid w:val="00E01865"/>
    <w:rsid w:val="00E1025E"/>
    <w:rsid w:val="00EA2296"/>
    <w:rsid w:val="00EB7B9E"/>
    <w:rsid w:val="00EC2C0E"/>
    <w:rsid w:val="00EF31E7"/>
    <w:rsid w:val="00EF73CA"/>
    <w:rsid w:val="00F13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48402F"/>
  <w15:chartTrackingRefBased/>
  <w15:docId w15:val="{865783EA-B186-4D38-BB3F-99288A3D3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2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0C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0C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920C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920C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20C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20C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20C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2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0C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0C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920C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920C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920C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920C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920C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92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0C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0C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920CC"/>
    <w:pPr>
      <w:spacing w:before="160"/>
      <w:jc w:val="center"/>
    </w:pPr>
    <w:rPr>
      <w:i/>
      <w:iCs/>
      <w:color w:val="404040" w:themeColor="text1" w:themeTint="BF"/>
    </w:rPr>
  </w:style>
  <w:style w:type="character" w:customStyle="1" w:styleId="QuoteChar">
    <w:name w:val="Quote Char"/>
    <w:basedOn w:val="DefaultParagraphFont"/>
    <w:link w:val="Quote"/>
    <w:uiPriority w:val="29"/>
    <w:rsid w:val="005920CC"/>
    <w:rPr>
      <w:i/>
      <w:iCs/>
      <w:color w:val="404040" w:themeColor="text1" w:themeTint="BF"/>
    </w:rPr>
  </w:style>
  <w:style w:type="paragraph" w:styleId="ListParagraph">
    <w:name w:val="List Paragraph"/>
    <w:basedOn w:val="Normal"/>
    <w:uiPriority w:val="34"/>
    <w:qFormat/>
    <w:rsid w:val="005920CC"/>
    <w:pPr>
      <w:ind w:left="720"/>
      <w:contextualSpacing/>
    </w:pPr>
  </w:style>
  <w:style w:type="character" w:styleId="IntenseEmphasis">
    <w:name w:val="Intense Emphasis"/>
    <w:basedOn w:val="DefaultParagraphFont"/>
    <w:uiPriority w:val="21"/>
    <w:qFormat/>
    <w:rsid w:val="005920CC"/>
    <w:rPr>
      <w:i/>
      <w:iCs/>
      <w:color w:val="0F4761" w:themeColor="accent1" w:themeShade="BF"/>
    </w:rPr>
  </w:style>
  <w:style w:type="paragraph" w:styleId="IntenseQuote">
    <w:name w:val="Intense Quote"/>
    <w:basedOn w:val="Normal"/>
    <w:next w:val="Normal"/>
    <w:link w:val="IntenseQuoteChar"/>
    <w:uiPriority w:val="30"/>
    <w:qFormat/>
    <w:rsid w:val="00592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0CC"/>
    <w:rPr>
      <w:i/>
      <w:iCs/>
      <w:color w:val="0F4761" w:themeColor="accent1" w:themeShade="BF"/>
    </w:rPr>
  </w:style>
  <w:style w:type="character" w:styleId="IntenseReference">
    <w:name w:val="Intense Reference"/>
    <w:basedOn w:val="DefaultParagraphFont"/>
    <w:uiPriority w:val="32"/>
    <w:qFormat/>
    <w:rsid w:val="005920CC"/>
    <w:rPr>
      <w:b/>
      <w:bCs/>
      <w:smallCaps/>
      <w:color w:val="0F4761" w:themeColor="accent1" w:themeShade="BF"/>
      <w:spacing w:val="5"/>
    </w:rPr>
  </w:style>
  <w:style w:type="paragraph" w:styleId="TOCHeading">
    <w:name w:val="TOC Heading"/>
    <w:basedOn w:val="Heading1"/>
    <w:next w:val="Normal"/>
    <w:uiPriority w:val="39"/>
    <w:unhideWhenUsed/>
    <w:qFormat/>
    <w:rsid w:val="007F199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F199A"/>
    <w:pPr>
      <w:spacing w:after="100"/>
    </w:pPr>
  </w:style>
  <w:style w:type="paragraph" w:styleId="TOC2">
    <w:name w:val="toc 2"/>
    <w:basedOn w:val="Normal"/>
    <w:next w:val="Normal"/>
    <w:autoRedefine/>
    <w:uiPriority w:val="39"/>
    <w:unhideWhenUsed/>
    <w:rsid w:val="007F199A"/>
    <w:pPr>
      <w:spacing w:after="100"/>
      <w:ind w:left="220"/>
    </w:pPr>
  </w:style>
  <w:style w:type="character" w:styleId="Hyperlink">
    <w:name w:val="Hyperlink"/>
    <w:basedOn w:val="DefaultParagraphFont"/>
    <w:uiPriority w:val="99"/>
    <w:unhideWhenUsed/>
    <w:rsid w:val="007F199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Jaroslav Demeter 2240603 University of Wales Trinity St. Davies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11</Pages>
  <Words>2258</Words>
  <Characters>14078</Characters>
  <Application>Microsoft Office Word</Application>
  <DocSecurity>0</DocSecurity>
  <Lines>331</Lines>
  <Paragraphs>63</Paragraphs>
  <ScaleCrop>false</ScaleCrop>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Project Management Tools and Techniques in Practice: The Bucovina &amp; ROUCA Cultural Event</dc:title>
  <dc:subject/>
  <dc:creator>jaroslav demeter</dc:creator>
  <cp:keywords/>
  <dc:description/>
  <cp:lastModifiedBy>jaroslav demeter</cp:lastModifiedBy>
  <cp:revision>99</cp:revision>
  <dcterms:created xsi:type="dcterms:W3CDTF">2025-07-13T15:41:00Z</dcterms:created>
  <dcterms:modified xsi:type="dcterms:W3CDTF">2025-07-18T11:39:00Z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f13458d3-4399-4b57-b572-5d2c55402c8d</vt:lpwstr>
  </property>
</Properties>
</file>