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4D393" w14:textId="77777777" w:rsidR="00A07D00" w:rsidRDefault="00391D62">
      <w:pPr>
        <w:spacing w:after="212" w:line="240" w:lineRule="auto"/>
        <w:ind w:left="0" w:firstLine="0"/>
        <w:jc w:val="left"/>
      </w:pPr>
      <w:r>
        <w:rPr>
          <w:rFonts w:ascii="Calibri" w:eastAsia="Calibri" w:hAnsi="Calibri" w:cs="Calibri"/>
          <w:sz w:val="22"/>
        </w:rPr>
        <w:t xml:space="preserve"> </w:t>
      </w:r>
    </w:p>
    <w:p w14:paraId="52B576EF" w14:textId="77777777" w:rsidR="002345EF" w:rsidRDefault="00391D62" w:rsidP="002345EF">
      <w:pPr>
        <w:spacing w:after="212" w:line="240" w:lineRule="auto"/>
        <w:ind w:left="0" w:firstLine="0"/>
        <w:jc w:val="center"/>
        <w:rPr>
          <w:b/>
          <w:sz w:val="36"/>
          <w:szCs w:val="36"/>
        </w:rPr>
      </w:pPr>
      <w:r>
        <w:rPr>
          <w:rFonts w:ascii="Calibri" w:eastAsia="Calibri" w:hAnsi="Calibri" w:cs="Calibri"/>
          <w:sz w:val="22"/>
        </w:rPr>
        <w:t xml:space="preserve"> </w:t>
      </w:r>
      <w:r w:rsidR="002345EF" w:rsidRPr="002345EF">
        <w:rPr>
          <w:noProof/>
          <w:lang w:val="en-US"/>
        </w:rPr>
        <w:drawing>
          <wp:inline distT="0" distB="0" distL="0" distR="0" wp14:anchorId="07F92D82" wp14:editId="7D538108">
            <wp:extent cx="3314700" cy="1864518"/>
            <wp:effectExtent l="0" t="0" r="0" b="2540"/>
            <wp:docPr id="1" name="Picture 1"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British Counci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30943" cy="1873655"/>
                    </a:xfrm>
                    <a:prstGeom prst="rect">
                      <a:avLst/>
                    </a:prstGeom>
                    <a:noFill/>
                    <a:ln>
                      <a:noFill/>
                    </a:ln>
                  </pic:spPr>
                </pic:pic>
              </a:graphicData>
            </a:graphic>
          </wp:inline>
        </w:drawing>
      </w:r>
      <w:r w:rsidR="002345EF" w:rsidRPr="002345EF">
        <w:rPr>
          <w:b/>
          <w:sz w:val="36"/>
          <w:szCs w:val="36"/>
        </w:rPr>
        <w:t xml:space="preserve"> </w:t>
      </w:r>
    </w:p>
    <w:p w14:paraId="16A08213" w14:textId="77777777" w:rsidR="002345EF" w:rsidRPr="0084775F" w:rsidRDefault="002345EF" w:rsidP="002345EF">
      <w:pPr>
        <w:spacing w:after="212" w:line="240" w:lineRule="auto"/>
        <w:ind w:left="0" w:firstLine="0"/>
        <w:jc w:val="center"/>
        <w:rPr>
          <w:b/>
          <w:sz w:val="36"/>
          <w:szCs w:val="36"/>
        </w:rPr>
      </w:pPr>
      <w:r w:rsidRPr="0084775F">
        <w:rPr>
          <w:b/>
          <w:sz w:val="36"/>
          <w:szCs w:val="36"/>
        </w:rPr>
        <w:t>MBA – Master of Business Administration</w:t>
      </w:r>
    </w:p>
    <w:p w14:paraId="26AABED0" w14:textId="77777777" w:rsidR="002345EF" w:rsidRDefault="002345EF" w:rsidP="002345EF">
      <w:pPr>
        <w:spacing w:after="212" w:line="240" w:lineRule="auto"/>
        <w:ind w:left="0" w:firstLine="0"/>
        <w:jc w:val="center"/>
        <w:rPr>
          <w:b/>
          <w:sz w:val="36"/>
          <w:szCs w:val="36"/>
        </w:rPr>
      </w:pPr>
      <w:r w:rsidRPr="0084775F">
        <w:rPr>
          <w:b/>
          <w:sz w:val="36"/>
          <w:szCs w:val="36"/>
        </w:rPr>
        <w:t>Human Resource Management</w:t>
      </w:r>
    </w:p>
    <w:p w14:paraId="7F66F5F8" w14:textId="77777777" w:rsidR="002345EF" w:rsidRPr="00C4080E" w:rsidRDefault="002345EF" w:rsidP="002345EF">
      <w:pPr>
        <w:jc w:val="center"/>
        <w:rPr>
          <w:b/>
          <w:sz w:val="32"/>
          <w:szCs w:val="32"/>
        </w:rPr>
      </w:pPr>
      <w:r w:rsidRPr="00C4080E">
        <w:rPr>
          <w:b/>
          <w:sz w:val="32"/>
          <w:szCs w:val="32"/>
        </w:rPr>
        <w:t>LCMB7000</w:t>
      </w:r>
    </w:p>
    <w:p w14:paraId="2BF72514" w14:textId="77777777" w:rsidR="002345EF" w:rsidRPr="0084775F" w:rsidRDefault="002345EF" w:rsidP="002345EF">
      <w:pPr>
        <w:spacing w:after="212" w:line="240" w:lineRule="auto"/>
        <w:ind w:left="0" w:firstLine="0"/>
        <w:jc w:val="center"/>
        <w:rPr>
          <w:b/>
          <w:sz w:val="36"/>
          <w:szCs w:val="36"/>
        </w:rPr>
      </w:pPr>
    </w:p>
    <w:p w14:paraId="43563F04" w14:textId="77777777" w:rsidR="002345EF" w:rsidRDefault="002345EF" w:rsidP="002345EF">
      <w:pPr>
        <w:spacing w:after="212" w:line="240" w:lineRule="auto"/>
        <w:ind w:left="0" w:firstLine="0"/>
        <w:rPr>
          <w:b/>
          <w:sz w:val="36"/>
          <w:szCs w:val="36"/>
        </w:rPr>
      </w:pPr>
      <w:r>
        <w:t xml:space="preserve">                                                       </w:t>
      </w:r>
      <w:r w:rsidRPr="0084775F">
        <w:rPr>
          <w:b/>
          <w:sz w:val="36"/>
          <w:szCs w:val="36"/>
        </w:rPr>
        <w:t xml:space="preserve">Assessment </w:t>
      </w:r>
      <w:r>
        <w:rPr>
          <w:b/>
          <w:sz w:val="36"/>
          <w:szCs w:val="36"/>
        </w:rPr>
        <w:t>–</w:t>
      </w:r>
      <w:r w:rsidRPr="0084775F">
        <w:rPr>
          <w:b/>
          <w:sz w:val="36"/>
          <w:szCs w:val="36"/>
        </w:rPr>
        <w:t xml:space="preserve"> 1</w:t>
      </w:r>
    </w:p>
    <w:p w14:paraId="5EBC529E" w14:textId="77777777" w:rsidR="002345EF" w:rsidRDefault="002345EF" w:rsidP="002345EF">
      <w:pPr>
        <w:spacing w:after="212" w:line="240" w:lineRule="auto"/>
        <w:ind w:left="0" w:firstLine="0"/>
        <w:rPr>
          <w:b/>
          <w:sz w:val="36"/>
          <w:szCs w:val="36"/>
        </w:rPr>
      </w:pPr>
    </w:p>
    <w:p w14:paraId="79BA7340" w14:textId="77777777" w:rsidR="002345EF" w:rsidRDefault="002345EF" w:rsidP="002345EF">
      <w:pPr>
        <w:spacing w:after="212" w:line="240" w:lineRule="auto"/>
        <w:ind w:left="0" w:firstLine="0"/>
        <w:rPr>
          <w:b/>
          <w:sz w:val="36"/>
          <w:szCs w:val="36"/>
        </w:rPr>
      </w:pPr>
    </w:p>
    <w:p w14:paraId="00E4681F" w14:textId="77777777" w:rsidR="002345EF" w:rsidRDefault="002345EF" w:rsidP="002345EF">
      <w:pPr>
        <w:spacing w:after="212" w:line="240" w:lineRule="auto"/>
        <w:ind w:left="0" w:firstLine="0"/>
        <w:rPr>
          <w:b/>
          <w:sz w:val="36"/>
          <w:szCs w:val="36"/>
        </w:rPr>
      </w:pPr>
    </w:p>
    <w:p w14:paraId="557B2921" w14:textId="77777777" w:rsidR="002345EF" w:rsidRPr="00BC71C6" w:rsidRDefault="00987EE2" w:rsidP="002345EF">
      <w:pPr>
        <w:spacing w:after="212" w:line="240" w:lineRule="auto"/>
        <w:ind w:left="0" w:firstLine="0"/>
        <w:rPr>
          <w:b/>
          <w:sz w:val="28"/>
          <w:szCs w:val="28"/>
        </w:rPr>
      </w:pPr>
      <w:r>
        <w:rPr>
          <w:b/>
          <w:sz w:val="28"/>
          <w:szCs w:val="28"/>
        </w:rPr>
        <w:t>Student Name</w:t>
      </w:r>
      <w:r w:rsidR="002345EF" w:rsidRPr="00BC71C6">
        <w:rPr>
          <w:b/>
          <w:sz w:val="28"/>
          <w:szCs w:val="28"/>
        </w:rPr>
        <w:t>: Aswathy Vadakkedath Appu</w:t>
      </w:r>
    </w:p>
    <w:p w14:paraId="70E5B5D9" w14:textId="77777777" w:rsidR="002345EF" w:rsidRPr="00BC71C6" w:rsidRDefault="002345EF" w:rsidP="002345EF">
      <w:pPr>
        <w:spacing w:after="212" w:line="240" w:lineRule="auto"/>
        <w:ind w:left="0" w:firstLine="0"/>
        <w:rPr>
          <w:b/>
          <w:sz w:val="28"/>
          <w:szCs w:val="28"/>
        </w:rPr>
      </w:pPr>
      <w:r w:rsidRPr="00BC71C6">
        <w:rPr>
          <w:b/>
          <w:sz w:val="28"/>
          <w:szCs w:val="28"/>
        </w:rPr>
        <w:t>Student ID: 2217024</w:t>
      </w:r>
      <w:r w:rsidRPr="00BC71C6">
        <w:rPr>
          <w:rFonts w:ascii="Calibri" w:eastAsia="Calibri" w:hAnsi="Calibri" w:cs="Calibri"/>
          <w:sz w:val="28"/>
          <w:szCs w:val="28"/>
        </w:rPr>
        <w:t xml:space="preserve"> </w:t>
      </w:r>
    </w:p>
    <w:p w14:paraId="377E297D" w14:textId="77777777" w:rsidR="002345EF" w:rsidRDefault="002345EF" w:rsidP="002345EF">
      <w:pPr>
        <w:spacing w:after="212" w:line="240" w:lineRule="auto"/>
        <w:ind w:left="0" w:firstLine="0"/>
        <w:jc w:val="left"/>
      </w:pPr>
      <w:r>
        <w:rPr>
          <w:rFonts w:ascii="Calibri" w:eastAsia="Calibri" w:hAnsi="Calibri" w:cs="Calibri"/>
          <w:sz w:val="22"/>
        </w:rPr>
        <w:t xml:space="preserve"> </w:t>
      </w:r>
    </w:p>
    <w:p w14:paraId="7E0A6A5C" w14:textId="77777777" w:rsidR="002345EF" w:rsidRDefault="002345EF" w:rsidP="002345EF">
      <w:pPr>
        <w:spacing w:after="214" w:line="240" w:lineRule="auto"/>
        <w:ind w:left="0" w:firstLine="0"/>
        <w:jc w:val="left"/>
      </w:pPr>
      <w:r>
        <w:rPr>
          <w:rFonts w:ascii="Calibri" w:eastAsia="Calibri" w:hAnsi="Calibri" w:cs="Calibri"/>
          <w:sz w:val="22"/>
        </w:rPr>
        <w:t xml:space="preserve"> </w:t>
      </w:r>
    </w:p>
    <w:p w14:paraId="709F5656" w14:textId="77777777" w:rsidR="00A07D00" w:rsidRDefault="00A07D00">
      <w:pPr>
        <w:spacing w:after="214" w:line="240" w:lineRule="auto"/>
        <w:ind w:left="0" w:firstLine="0"/>
        <w:jc w:val="left"/>
      </w:pPr>
    </w:p>
    <w:p w14:paraId="2BC01874" w14:textId="77777777" w:rsidR="00A07D00" w:rsidRDefault="00391D62">
      <w:pPr>
        <w:spacing w:after="212" w:line="240" w:lineRule="auto"/>
        <w:ind w:left="0" w:firstLine="0"/>
        <w:jc w:val="left"/>
      </w:pPr>
      <w:r>
        <w:rPr>
          <w:rFonts w:ascii="Calibri" w:eastAsia="Calibri" w:hAnsi="Calibri" w:cs="Calibri"/>
          <w:sz w:val="22"/>
        </w:rPr>
        <w:t xml:space="preserve"> </w:t>
      </w:r>
    </w:p>
    <w:p w14:paraId="0376F3AF" w14:textId="77777777" w:rsidR="00A07D00" w:rsidRDefault="00391D62">
      <w:pPr>
        <w:spacing w:after="214" w:line="240" w:lineRule="auto"/>
        <w:ind w:left="0" w:firstLine="0"/>
        <w:jc w:val="left"/>
      </w:pPr>
      <w:r>
        <w:rPr>
          <w:rFonts w:ascii="Calibri" w:eastAsia="Calibri" w:hAnsi="Calibri" w:cs="Calibri"/>
          <w:sz w:val="22"/>
        </w:rPr>
        <w:t xml:space="preserve"> </w:t>
      </w:r>
    </w:p>
    <w:p w14:paraId="056F3660" w14:textId="77777777" w:rsidR="00A07D00" w:rsidRDefault="00391D62">
      <w:pPr>
        <w:spacing w:after="212" w:line="240" w:lineRule="auto"/>
        <w:ind w:left="0" w:firstLine="0"/>
        <w:jc w:val="left"/>
      </w:pPr>
      <w:r>
        <w:rPr>
          <w:rFonts w:ascii="Calibri" w:eastAsia="Calibri" w:hAnsi="Calibri" w:cs="Calibri"/>
          <w:sz w:val="22"/>
        </w:rPr>
        <w:t xml:space="preserve"> </w:t>
      </w:r>
    </w:p>
    <w:p w14:paraId="1685C463" w14:textId="77777777" w:rsidR="00A07D00" w:rsidRDefault="00391D62">
      <w:pPr>
        <w:spacing w:after="214" w:line="240" w:lineRule="auto"/>
        <w:ind w:left="0" w:firstLine="0"/>
        <w:jc w:val="left"/>
      </w:pPr>
      <w:r>
        <w:rPr>
          <w:rFonts w:ascii="Calibri" w:eastAsia="Calibri" w:hAnsi="Calibri" w:cs="Calibri"/>
          <w:sz w:val="22"/>
        </w:rPr>
        <w:t xml:space="preserve"> </w:t>
      </w:r>
    </w:p>
    <w:p w14:paraId="24CBD6B2" w14:textId="77777777" w:rsidR="00A07D00" w:rsidRDefault="00391D62">
      <w:pPr>
        <w:spacing w:after="212" w:line="240" w:lineRule="auto"/>
        <w:ind w:left="0" w:firstLine="0"/>
        <w:jc w:val="left"/>
      </w:pPr>
      <w:r>
        <w:rPr>
          <w:rFonts w:ascii="Calibri" w:eastAsia="Calibri" w:hAnsi="Calibri" w:cs="Calibri"/>
          <w:sz w:val="22"/>
        </w:rPr>
        <w:t xml:space="preserve"> </w:t>
      </w:r>
    </w:p>
    <w:p w14:paraId="3AF81E24" w14:textId="77777777" w:rsidR="00A07D00" w:rsidRDefault="00391D62">
      <w:pPr>
        <w:spacing w:after="213" w:line="240" w:lineRule="auto"/>
        <w:ind w:left="0" w:firstLine="0"/>
        <w:jc w:val="left"/>
      </w:pPr>
      <w:r>
        <w:rPr>
          <w:rFonts w:ascii="Calibri" w:eastAsia="Calibri" w:hAnsi="Calibri" w:cs="Calibri"/>
          <w:sz w:val="22"/>
        </w:rPr>
        <w:lastRenderedPageBreak/>
        <w:t xml:space="preserve"> </w:t>
      </w:r>
    </w:p>
    <w:p w14:paraId="5BA91CC0" w14:textId="77777777" w:rsidR="00A07D00" w:rsidRPr="002345EF" w:rsidRDefault="00391D62" w:rsidP="002345EF">
      <w:pPr>
        <w:spacing w:after="214" w:line="240" w:lineRule="auto"/>
        <w:ind w:left="0" w:firstLine="0"/>
        <w:jc w:val="left"/>
        <w:rPr>
          <w:b/>
        </w:rPr>
      </w:pPr>
      <w:r w:rsidRPr="002345EF">
        <w:rPr>
          <w:rFonts w:ascii="Calibri" w:eastAsia="Calibri" w:hAnsi="Calibri" w:cs="Calibri"/>
          <w:b/>
          <w:sz w:val="22"/>
        </w:rPr>
        <w:t xml:space="preserve"> </w:t>
      </w:r>
      <w:bookmarkStart w:id="0" w:name="_Toc123667168"/>
      <w:r w:rsidR="002345EF" w:rsidRPr="002345EF">
        <w:rPr>
          <w:b/>
        </w:rPr>
        <w:t xml:space="preserve">                                        </w:t>
      </w:r>
      <w:r w:rsidRPr="002345EF">
        <w:rPr>
          <w:b/>
        </w:rPr>
        <w:t>EXECUTIVE SUMMARY</w:t>
      </w:r>
      <w:bookmarkEnd w:id="0"/>
      <w:r w:rsidRPr="002345EF">
        <w:rPr>
          <w:b/>
        </w:rPr>
        <w:t xml:space="preserve"> </w:t>
      </w:r>
    </w:p>
    <w:p w14:paraId="01C0CB25" w14:textId="77777777" w:rsidR="002345EF" w:rsidRDefault="002345EF" w:rsidP="002345EF">
      <w:pPr>
        <w:spacing w:after="214" w:line="240" w:lineRule="auto"/>
        <w:ind w:left="0" w:firstLine="0"/>
        <w:jc w:val="left"/>
      </w:pPr>
    </w:p>
    <w:p w14:paraId="5C3DF24D" w14:textId="77777777" w:rsidR="00A07D00" w:rsidRDefault="00391D62">
      <w:pPr>
        <w:ind w:left="-15" w:firstLine="720"/>
      </w:pPr>
      <w:r>
        <w:t xml:space="preserve">The diverse forms of knowledge that are in demand are significantly influenced by changes in the sectors in which various businesses operate. Despite the fact that a significant portion of the research focuses on broad sectors, the findings are based on a considerably more detailed picture of change inside each business. The projections are produced by the use of a regional macroeconomic model that incorporates a wide variety of sub-regional sectors, in addition to occupational, replacement demand, and qualification modules. In this article, the impact that Brexit and Covid19 have had on the labour market in Britain and the United Kingdom is analysed. </w:t>
      </w:r>
    </w:p>
    <w:p w14:paraId="4F856617" w14:textId="77777777" w:rsidR="00A07D00" w:rsidRDefault="00391D62">
      <w:pPr>
        <w:spacing w:after="214" w:line="240" w:lineRule="auto"/>
        <w:ind w:left="0" w:firstLine="0"/>
        <w:jc w:val="left"/>
      </w:pPr>
      <w:r>
        <w:rPr>
          <w:rFonts w:ascii="Calibri" w:eastAsia="Calibri" w:hAnsi="Calibri" w:cs="Calibri"/>
          <w:sz w:val="22"/>
        </w:rPr>
        <w:t xml:space="preserve"> </w:t>
      </w:r>
    </w:p>
    <w:p w14:paraId="4BAA6356" w14:textId="77777777" w:rsidR="00A07D00" w:rsidRDefault="00391D62">
      <w:pPr>
        <w:spacing w:after="212" w:line="240" w:lineRule="auto"/>
        <w:ind w:left="0" w:firstLine="0"/>
        <w:jc w:val="left"/>
      </w:pPr>
      <w:r>
        <w:rPr>
          <w:rFonts w:ascii="Calibri" w:eastAsia="Calibri" w:hAnsi="Calibri" w:cs="Calibri"/>
          <w:sz w:val="22"/>
        </w:rPr>
        <w:t xml:space="preserve"> </w:t>
      </w:r>
    </w:p>
    <w:p w14:paraId="62B1B20E" w14:textId="77777777" w:rsidR="00A07D00" w:rsidRDefault="00391D62">
      <w:pPr>
        <w:spacing w:after="214" w:line="240" w:lineRule="auto"/>
        <w:ind w:left="0" w:firstLine="0"/>
        <w:jc w:val="left"/>
      </w:pPr>
      <w:r>
        <w:rPr>
          <w:rFonts w:ascii="Calibri" w:eastAsia="Calibri" w:hAnsi="Calibri" w:cs="Calibri"/>
          <w:sz w:val="22"/>
        </w:rPr>
        <w:t xml:space="preserve"> </w:t>
      </w:r>
    </w:p>
    <w:p w14:paraId="5608BECB" w14:textId="77777777" w:rsidR="00A07D00" w:rsidRDefault="00391D62">
      <w:pPr>
        <w:spacing w:after="212" w:line="240" w:lineRule="auto"/>
        <w:ind w:left="0" w:firstLine="0"/>
        <w:jc w:val="left"/>
      </w:pPr>
      <w:r>
        <w:rPr>
          <w:rFonts w:ascii="Calibri" w:eastAsia="Calibri" w:hAnsi="Calibri" w:cs="Calibri"/>
          <w:sz w:val="22"/>
        </w:rPr>
        <w:t xml:space="preserve"> </w:t>
      </w:r>
    </w:p>
    <w:p w14:paraId="288C4751" w14:textId="77777777" w:rsidR="00A07D00" w:rsidRDefault="00391D62">
      <w:pPr>
        <w:spacing w:after="212" w:line="240" w:lineRule="auto"/>
        <w:ind w:left="0" w:firstLine="0"/>
        <w:jc w:val="left"/>
      </w:pPr>
      <w:r>
        <w:rPr>
          <w:rFonts w:ascii="Calibri" w:eastAsia="Calibri" w:hAnsi="Calibri" w:cs="Calibri"/>
          <w:sz w:val="22"/>
        </w:rPr>
        <w:t xml:space="preserve"> </w:t>
      </w:r>
    </w:p>
    <w:p w14:paraId="2898B28A" w14:textId="77777777" w:rsidR="00A07D00" w:rsidRDefault="00391D62">
      <w:pPr>
        <w:spacing w:after="214" w:line="240" w:lineRule="auto"/>
        <w:ind w:left="0" w:firstLine="0"/>
        <w:jc w:val="left"/>
      </w:pPr>
      <w:r>
        <w:rPr>
          <w:rFonts w:ascii="Calibri" w:eastAsia="Calibri" w:hAnsi="Calibri" w:cs="Calibri"/>
          <w:sz w:val="22"/>
        </w:rPr>
        <w:t xml:space="preserve"> </w:t>
      </w:r>
    </w:p>
    <w:p w14:paraId="05060FE2" w14:textId="77777777" w:rsidR="00A07D00" w:rsidRDefault="00391D62">
      <w:pPr>
        <w:spacing w:after="212" w:line="240" w:lineRule="auto"/>
        <w:ind w:left="0" w:firstLine="0"/>
        <w:jc w:val="left"/>
      </w:pPr>
      <w:r>
        <w:rPr>
          <w:rFonts w:ascii="Calibri" w:eastAsia="Calibri" w:hAnsi="Calibri" w:cs="Calibri"/>
          <w:sz w:val="22"/>
        </w:rPr>
        <w:t xml:space="preserve"> </w:t>
      </w:r>
    </w:p>
    <w:p w14:paraId="549C09F9" w14:textId="77777777" w:rsidR="00A07D00" w:rsidRDefault="00391D62">
      <w:pPr>
        <w:spacing w:after="215" w:line="240" w:lineRule="auto"/>
        <w:ind w:left="0" w:firstLine="0"/>
        <w:jc w:val="left"/>
      </w:pPr>
      <w:r>
        <w:rPr>
          <w:rFonts w:ascii="Calibri" w:eastAsia="Calibri" w:hAnsi="Calibri" w:cs="Calibri"/>
          <w:sz w:val="22"/>
        </w:rPr>
        <w:t xml:space="preserve"> </w:t>
      </w:r>
    </w:p>
    <w:p w14:paraId="01376A21" w14:textId="77777777" w:rsidR="00A07D00" w:rsidRDefault="00391D62">
      <w:pPr>
        <w:spacing w:after="212" w:line="240" w:lineRule="auto"/>
        <w:ind w:left="0" w:firstLine="0"/>
        <w:jc w:val="left"/>
      </w:pPr>
      <w:r>
        <w:rPr>
          <w:rFonts w:ascii="Calibri" w:eastAsia="Calibri" w:hAnsi="Calibri" w:cs="Calibri"/>
          <w:sz w:val="22"/>
        </w:rPr>
        <w:t xml:space="preserve"> </w:t>
      </w:r>
    </w:p>
    <w:p w14:paraId="45EF3134" w14:textId="77777777" w:rsidR="00A07D00" w:rsidRDefault="00391D62">
      <w:pPr>
        <w:spacing w:after="214" w:line="240" w:lineRule="auto"/>
        <w:ind w:left="0" w:firstLine="0"/>
        <w:jc w:val="left"/>
      </w:pPr>
      <w:r>
        <w:rPr>
          <w:rFonts w:ascii="Calibri" w:eastAsia="Calibri" w:hAnsi="Calibri" w:cs="Calibri"/>
          <w:sz w:val="22"/>
        </w:rPr>
        <w:t xml:space="preserve"> </w:t>
      </w:r>
    </w:p>
    <w:p w14:paraId="043F8118" w14:textId="77777777" w:rsidR="00A07D00" w:rsidRDefault="00391D62">
      <w:pPr>
        <w:spacing w:after="212" w:line="240" w:lineRule="auto"/>
        <w:ind w:left="0" w:firstLine="0"/>
        <w:jc w:val="left"/>
      </w:pPr>
      <w:r>
        <w:rPr>
          <w:rFonts w:ascii="Calibri" w:eastAsia="Calibri" w:hAnsi="Calibri" w:cs="Calibri"/>
          <w:sz w:val="22"/>
        </w:rPr>
        <w:t xml:space="preserve"> </w:t>
      </w:r>
    </w:p>
    <w:p w14:paraId="13483590" w14:textId="77777777" w:rsidR="00A07D00" w:rsidRDefault="00391D62">
      <w:pPr>
        <w:spacing w:after="212" w:line="240" w:lineRule="auto"/>
        <w:ind w:left="0" w:firstLine="0"/>
        <w:jc w:val="left"/>
      </w:pPr>
      <w:r>
        <w:rPr>
          <w:rFonts w:ascii="Calibri" w:eastAsia="Calibri" w:hAnsi="Calibri" w:cs="Calibri"/>
          <w:sz w:val="22"/>
        </w:rPr>
        <w:t xml:space="preserve"> </w:t>
      </w:r>
    </w:p>
    <w:p w14:paraId="543B7F7F" w14:textId="77777777" w:rsidR="00A07D00" w:rsidRDefault="00391D62">
      <w:pPr>
        <w:spacing w:after="214" w:line="240" w:lineRule="auto"/>
        <w:ind w:left="0" w:firstLine="0"/>
        <w:jc w:val="left"/>
      </w:pPr>
      <w:r>
        <w:rPr>
          <w:rFonts w:ascii="Calibri" w:eastAsia="Calibri" w:hAnsi="Calibri" w:cs="Calibri"/>
          <w:sz w:val="22"/>
        </w:rPr>
        <w:t xml:space="preserve"> </w:t>
      </w:r>
    </w:p>
    <w:p w14:paraId="09970F18" w14:textId="77777777" w:rsidR="00A07D00" w:rsidRDefault="00391D62">
      <w:pPr>
        <w:spacing w:after="212" w:line="240" w:lineRule="auto"/>
        <w:ind w:left="0" w:firstLine="0"/>
        <w:jc w:val="left"/>
      </w:pPr>
      <w:r>
        <w:rPr>
          <w:rFonts w:ascii="Calibri" w:eastAsia="Calibri" w:hAnsi="Calibri" w:cs="Calibri"/>
          <w:sz w:val="22"/>
        </w:rPr>
        <w:t xml:space="preserve"> </w:t>
      </w:r>
    </w:p>
    <w:p w14:paraId="032ACB0A" w14:textId="77777777" w:rsidR="00A07D00" w:rsidRDefault="00391D62">
      <w:pPr>
        <w:spacing w:after="214" w:line="240" w:lineRule="auto"/>
        <w:ind w:left="0" w:firstLine="0"/>
        <w:jc w:val="left"/>
      </w:pPr>
      <w:r>
        <w:rPr>
          <w:rFonts w:ascii="Calibri" w:eastAsia="Calibri" w:hAnsi="Calibri" w:cs="Calibri"/>
          <w:sz w:val="22"/>
        </w:rPr>
        <w:t xml:space="preserve"> </w:t>
      </w:r>
    </w:p>
    <w:p w14:paraId="1BBBDE68" w14:textId="77777777" w:rsidR="00A07D00" w:rsidRDefault="00391D62">
      <w:pPr>
        <w:spacing w:after="213" w:line="240" w:lineRule="auto"/>
        <w:ind w:left="0" w:firstLine="0"/>
        <w:jc w:val="left"/>
      </w:pPr>
      <w:r>
        <w:rPr>
          <w:rFonts w:ascii="Calibri" w:eastAsia="Calibri" w:hAnsi="Calibri" w:cs="Calibri"/>
          <w:sz w:val="22"/>
        </w:rPr>
        <w:t xml:space="preserve"> </w:t>
      </w:r>
    </w:p>
    <w:p w14:paraId="114FEFDD" w14:textId="77777777" w:rsidR="00A07D00" w:rsidRDefault="00391D62">
      <w:pPr>
        <w:spacing w:after="214" w:line="240" w:lineRule="auto"/>
        <w:ind w:left="0" w:firstLine="0"/>
        <w:jc w:val="left"/>
      </w:pPr>
      <w:r>
        <w:rPr>
          <w:rFonts w:ascii="Calibri" w:eastAsia="Calibri" w:hAnsi="Calibri" w:cs="Calibri"/>
          <w:sz w:val="22"/>
        </w:rPr>
        <w:t xml:space="preserve"> </w:t>
      </w:r>
    </w:p>
    <w:p w14:paraId="42B19E9E" w14:textId="77777777" w:rsidR="00A07D00" w:rsidRDefault="00391D62">
      <w:pPr>
        <w:spacing w:after="212" w:line="240" w:lineRule="auto"/>
        <w:ind w:left="0" w:firstLine="0"/>
        <w:jc w:val="left"/>
      </w:pPr>
      <w:r>
        <w:rPr>
          <w:rFonts w:ascii="Calibri" w:eastAsia="Calibri" w:hAnsi="Calibri" w:cs="Calibri"/>
          <w:sz w:val="22"/>
        </w:rPr>
        <w:t xml:space="preserve"> </w:t>
      </w:r>
    </w:p>
    <w:p w14:paraId="331EE91E" w14:textId="77777777" w:rsidR="00A07D00" w:rsidRDefault="00391D62">
      <w:pPr>
        <w:spacing w:after="212" w:line="240" w:lineRule="auto"/>
        <w:ind w:left="0" w:firstLine="0"/>
        <w:jc w:val="left"/>
      </w:pPr>
      <w:r>
        <w:rPr>
          <w:rFonts w:ascii="Calibri" w:eastAsia="Calibri" w:hAnsi="Calibri" w:cs="Calibri"/>
          <w:sz w:val="22"/>
        </w:rPr>
        <w:t xml:space="preserve"> </w:t>
      </w:r>
    </w:p>
    <w:p w14:paraId="43E1F5F2" w14:textId="77777777" w:rsidR="00A07D00" w:rsidRDefault="00391D62">
      <w:pPr>
        <w:spacing w:after="214" w:line="240" w:lineRule="auto"/>
        <w:ind w:left="0" w:firstLine="0"/>
        <w:jc w:val="left"/>
      </w:pPr>
      <w:r>
        <w:rPr>
          <w:rFonts w:ascii="Calibri" w:eastAsia="Calibri" w:hAnsi="Calibri" w:cs="Calibri"/>
          <w:sz w:val="22"/>
        </w:rPr>
        <w:lastRenderedPageBreak/>
        <w:t xml:space="preserve"> </w:t>
      </w:r>
    </w:p>
    <w:p w14:paraId="4EA51AC8" w14:textId="77777777" w:rsidR="00A07D00" w:rsidRDefault="00391D62">
      <w:pPr>
        <w:spacing w:after="212" w:line="240" w:lineRule="auto"/>
        <w:ind w:left="0" w:firstLine="0"/>
        <w:jc w:val="left"/>
      </w:pPr>
      <w:r>
        <w:rPr>
          <w:rFonts w:ascii="Calibri" w:eastAsia="Calibri" w:hAnsi="Calibri" w:cs="Calibri"/>
          <w:sz w:val="22"/>
        </w:rPr>
        <w:t xml:space="preserve"> </w:t>
      </w:r>
    </w:p>
    <w:p w14:paraId="2F014AA4" w14:textId="77777777" w:rsidR="00A07D00" w:rsidRDefault="00391D62">
      <w:pPr>
        <w:spacing w:after="0" w:line="240" w:lineRule="auto"/>
        <w:ind w:left="0" w:firstLine="0"/>
        <w:jc w:val="left"/>
      </w:pPr>
      <w:r>
        <w:rPr>
          <w:rFonts w:ascii="Calibri" w:eastAsia="Calibri" w:hAnsi="Calibri" w:cs="Calibri"/>
          <w:sz w:val="22"/>
        </w:rPr>
        <w:t xml:space="preserve"> </w:t>
      </w:r>
    </w:p>
    <w:sdt>
      <w:sdtPr>
        <w:id w:val="-751036548"/>
        <w:docPartObj>
          <w:docPartGallery w:val="Table of Contents"/>
        </w:docPartObj>
      </w:sdtPr>
      <w:sdtContent>
        <w:p w14:paraId="5F994334" w14:textId="77777777" w:rsidR="00A07D00" w:rsidRDefault="00391D62" w:rsidP="002345EF">
          <w:pPr>
            <w:spacing w:after="158" w:line="240" w:lineRule="auto"/>
            <w:ind w:left="0" w:firstLine="0"/>
          </w:pPr>
          <w:r>
            <w:rPr>
              <w:b/>
              <w:sz w:val="28"/>
            </w:rPr>
            <w:t xml:space="preserve">Table of Contents </w:t>
          </w:r>
        </w:p>
        <w:p w14:paraId="15B402A0" w14:textId="5D506B98" w:rsidR="002345EF" w:rsidRDefault="00391D62">
          <w:pPr>
            <w:pStyle w:val="TOC1"/>
            <w:tabs>
              <w:tab w:val="right" w:leader="dot" w:pos="9021"/>
            </w:tabs>
            <w:rPr>
              <w:rFonts w:asciiTheme="minorHAnsi" w:eastAsiaTheme="minorEastAsia" w:hAnsiTheme="minorHAnsi" w:cstheme="minorBidi"/>
              <w:noProof/>
              <w:color w:val="auto"/>
              <w:sz w:val="22"/>
            </w:rPr>
          </w:pPr>
          <w:r>
            <w:fldChar w:fldCharType="begin"/>
          </w:r>
          <w:r>
            <w:instrText xml:space="preserve"> TOC \o "1-2" \h \z \u </w:instrText>
          </w:r>
          <w:r>
            <w:fldChar w:fldCharType="separate"/>
          </w:r>
          <w:hyperlink w:anchor="_Toc123667168" w:history="1">
            <w:r w:rsidR="002345EF" w:rsidRPr="00013FAC">
              <w:rPr>
                <w:rStyle w:val="Hyperlink"/>
                <w:noProof/>
              </w:rPr>
              <w:t>EXECUTIVE SUMMARY</w:t>
            </w:r>
            <w:r w:rsidR="002345EF">
              <w:rPr>
                <w:noProof/>
                <w:webHidden/>
              </w:rPr>
              <w:tab/>
            </w:r>
            <w:r w:rsidR="002345EF">
              <w:rPr>
                <w:noProof/>
                <w:webHidden/>
              </w:rPr>
              <w:fldChar w:fldCharType="begin"/>
            </w:r>
            <w:r w:rsidR="002345EF">
              <w:rPr>
                <w:noProof/>
                <w:webHidden/>
              </w:rPr>
              <w:instrText xml:space="preserve"> PAGEREF _Toc123667168 \h </w:instrText>
            </w:r>
            <w:r w:rsidR="002345EF">
              <w:rPr>
                <w:noProof/>
                <w:webHidden/>
              </w:rPr>
            </w:r>
            <w:r w:rsidR="002345EF">
              <w:rPr>
                <w:noProof/>
                <w:webHidden/>
              </w:rPr>
              <w:fldChar w:fldCharType="separate"/>
            </w:r>
            <w:r w:rsidR="000A5F52">
              <w:rPr>
                <w:noProof/>
                <w:webHidden/>
              </w:rPr>
              <w:t>2</w:t>
            </w:r>
            <w:r w:rsidR="002345EF">
              <w:rPr>
                <w:noProof/>
                <w:webHidden/>
              </w:rPr>
              <w:fldChar w:fldCharType="end"/>
            </w:r>
          </w:hyperlink>
        </w:p>
        <w:p w14:paraId="35D57AB5" w14:textId="77777777" w:rsidR="002345EF" w:rsidRDefault="00000000">
          <w:pPr>
            <w:pStyle w:val="TOC1"/>
            <w:tabs>
              <w:tab w:val="left" w:pos="440"/>
              <w:tab w:val="right" w:leader="dot" w:pos="9021"/>
            </w:tabs>
            <w:rPr>
              <w:rFonts w:asciiTheme="minorHAnsi" w:eastAsiaTheme="minorEastAsia" w:hAnsiTheme="minorHAnsi" w:cstheme="minorBidi"/>
              <w:noProof/>
              <w:color w:val="auto"/>
              <w:sz w:val="22"/>
            </w:rPr>
          </w:pPr>
          <w:hyperlink w:anchor="_Toc123667169" w:history="1">
            <w:r w:rsidR="002345EF" w:rsidRPr="00013FAC">
              <w:rPr>
                <w:rStyle w:val="Hyperlink"/>
                <w:noProof/>
                <w:u w:color="000000"/>
              </w:rPr>
              <w:t>1.</w:t>
            </w:r>
            <w:r w:rsidR="002345EF">
              <w:rPr>
                <w:rFonts w:asciiTheme="minorHAnsi" w:eastAsiaTheme="minorEastAsia" w:hAnsiTheme="minorHAnsi" w:cstheme="minorBidi"/>
                <w:noProof/>
                <w:color w:val="auto"/>
                <w:sz w:val="22"/>
              </w:rPr>
              <w:tab/>
            </w:r>
            <w:r w:rsidR="002345EF" w:rsidRPr="00013FAC">
              <w:rPr>
                <w:rStyle w:val="Hyperlink"/>
                <w:noProof/>
              </w:rPr>
              <w:t>Introduction</w:t>
            </w:r>
            <w:r w:rsidR="002345EF">
              <w:rPr>
                <w:noProof/>
                <w:webHidden/>
              </w:rPr>
              <w:tab/>
            </w:r>
          </w:hyperlink>
          <w:r w:rsidR="00987EE2">
            <w:rPr>
              <w:noProof/>
            </w:rPr>
            <w:t>5</w:t>
          </w:r>
        </w:p>
        <w:p w14:paraId="59D14FA3" w14:textId="77777777" w:rsidR="002345EF" w:rsidRDefault="00000000">
          <w:pPr>
            <w:pStyle w:val="TOC1"/>
            <w:tabs>
              <w:tab w:val="left" w:pos="440"/>
              <w:tab w:val="right" w:leader="dot" w:pos="9021"/>
            </w:tabs>
            <w:rPr>
              <w:rFonts w:asciiTheme="minorHAnsi" w:eastAsiaTheme="minorEastAsia" w:hAnsiTheme="minorHAnsi" w:cstheme="minorBidi"/>
              <w:noProof/>
              <w:color w:val="auto"/>
              <w:sz w:val="22"/>
            </w:rPr>
          </w:pPr>
          <w:hyperlink w:anchor="_Toc123667170" w:history="1">
            <w:r w:rsidR="002345EF" w:rsidRPr="00013FAC">
              <w:rPr>
                <w:rStyle w:val="Hyperlink"/>
                <w:noProof/>
                <w:u w:color="000000"/>
              </w:rPr>
              <w:t>2.</w:t>
            </w:r>
            <w:r w:rsidR="002345EF">
              <w:rPr>
                <w:rFonts w:asciiTheme="minorHAnsi" w:eastAsiaTheme="minorEastAsia" w:hAnsiTheme="minorHAnsi" w:cstheme="minorBidi"/>
                <w:noProof/>
                <w:color w:val="auto"/>
                <w:sz w:val="22"/>
              </w:rPr>
              <w:tab/>
            </w:r>
            <w:r w:rsidR="002345EF" w:rsidRPr="00013FAC">
              <w:rPr>
                <w:rStyle w:val="Hyperlink"/>
                <w:noProof/>
              </w:rPr>
              <w:t>Literature Review</w:t>
            </w:r>
            <w:r w:rsidR="002345EF">
              <w:rPr>
                <w:noProof/>
                <w:webHidden/>
              </w:rPr>
              <w:tab/>
            </w:r>
          </w:hyperlink>
          <w:r w:rsidR="00987EE2">
            <w:rPr>
              <w:noProof/>
            </w:rPr>
            <w:t>5</w:t>
          </w:r>
        </w:p>
        <w:p w14:paraId="4DE910E8" w14:textId="77777777" w:rsidR="002345EF" w:rsidRDefault="00000000">
          <w:pPr>
            <w:pStyle w:val="TOC2"/>
            <w:tabs>
              <w:tab w:val="left" w:pos="1100"/>
              <w:tab w:val="right" w:leader="dot" w:pos="9021"/>
            </w:tabs>
            <w:rPr>
              <w:rFonts w:asciiTheme="minorHAnsi" w:eastAsiaTheme="minorEastAsia" w:hAnsiTheme="minorHAnsi" w:cstheme="minorBidi"/>
              <w:noProof/>
              <w:color w:val="auto"/>
              <w:sz w:val="22"/>
            </w:rPr>
          </w:pPr>
          <w:hyperlink w:anchor="_Toc123667171" w:history="1">
            <w:r w:rsidR="002345EF" w:rsidRPr="00013FAC">
              <w:rPr>
                <w:rStyle w:val="Hyperlink"/>
                <w:noProof/>
                <w:u w:color="000000"/>
              </w:rPr>
              <w:t>2.1.</w:t>
            </w:r>
            <w:r w:rsidR="002345EF">
              <w:rPr>
                <w:rFonts w:asciiTheme="minorHAnsi" w:eastAsiaTheme="minorEastAsia" w:hAnsiTheme="minorHAnsi" w:cstheme="minorBidi"/>
                <w:noProof/>
                <w:color w:val="auto"/>
                <w:sz w:val="22"/>
              </w:rPr>
              <w:tab/>
            </w:r>
            <w:r w:rsidR="002345EF" w:rsidRPr="00013FAC">
              <w:rPr>
                <w:rStyle w:val="Hyperlink"/>
                <w:noProof/>
              </w:rPr>
              <w:t>Employment Analysis in UK labor market</w:t>
            </w:r>
            <w:r w:rsidR="002345EF">
              <w:rPr>
                <w:noProof/>
                <w:webHidden/>
              </w:rPr>
              <w:tab/>
            </w:r>
          </w:hyperlink>
          <w:r w:rsidR="00987EE2">
            <w:rPr>
              <w:noProof/>
            </w:rPr>
            <w:t>5</w:t>
          </w:r>
        </w:p>
        <w:p w14:paraId="013A7551" w14:textId="77777777" w:rsidR="002345EF" w:rsidRDefault="00000000">
          <w:pPr>
            <w:pStyle w:val="TOC2"/>
            <w:tabs>
              <w:tab w:val="left" w:pos="1100"/>
              <w:tab w:val="right" w:leader="dot" w:pos="9021"/>
            </w:tabs>
            <w:rPr>
              <w:rFonts w:asciiTheme="minorHAnsi" w:eastAsiaTheme="minorEastAsia" w:hAnsiTheme="minorHAnsi" w:cstheme="minorBidi"/>
              <w:noProof/>
              <w:color w:val="auto"/>
              <w:sz w:val="22"/>
            </w:rPr>
          </w:pPr>
          <w:hyperlink w:anchor="_Toc123667172" w:history="1">
            <w:r w:rsidR="002345EF" w:rsidRPr="00013FAC">
              <w:rPr>
                <w:rStyle w:val="Hyperlink"/>
                <w:noProof/>
                <w:u w:color="000000"/>
              </w:rPr>
              <w:t>2.2.</w:t>
            </w:r>
            <w:r w:rsidR="002345EF">
              <w:rPr>
                <w:rFonts w:asciiTheme="minorHAnsi" w:eastAsiaTheme="minorEastAsia" w:hAnsiTheme="minorHAnsi" w:cstheme="minorBidi"/>
                <w:noProof/>
                <w:color w:val="auto"/>
                <w:sz w:val="22"/>
              </w:rPr>
              <w:tab/>
            </w:r>
            <w:r w:rsidR="002345EF" w:rsidRPr="00013FAC">
              <w:rPr>
                <w:rStyle w:val="Hyperlink"/>
                <w:noProof/>
              </w:rPr>
              <w:t>Type of Job Analysis</w:t>
            </w:r>
            <w:r w:rsidR="002345EF">
              <w:rPr>
                <w:noProof/>
                <w:webHidden/>
              </w:rPr>
              <w:tab/>
            </w:r>
          </w:hyperlink>
          <w:r w:rsidR="00987EE2">
            <w:rPr>
              <w:noProof/>
            </w:rPr>
            <w:t>6</w:t>
          </w:r>
        </w:p>
        <w:p w14:paraId="3AB36085" w14:textId="77777777" w:rsidR="002345EF" w:rsidRDefault="00000000">
          <w:pPr>
            <w:pStyle w:val="TOC2"/>
            <w:tabs>
              <w:tab w:val="left" w:pos="1100"/>
              <w:tab w:val="right" w:leader="dot" w:pos="9021"/>
            </w:tabs>
            <w:rPr>
              <w:rFonts w:asciiTheme="minorHAnsi" w:eastAsiaTheme="minorEastAsia" w:hAnsiTheme="minorHAnsi" w:cstheme="minorBidi"/>
              <w:noProof/>
              <w:color w:val="auto"/>
              <w:sz w:val="22"/>
            </w:rPr>
          </w:pPr>
          <w:hyperlink w:anchor="_Toc123667173" w:history="1">
            <w:r w:rsidR="002345EF" w:rsidRPr="00013FAC">
              <w:rPr>
                <w:rStyle w:val="Hyperlink"/>
                <w:noProof/>
                <w:u w:color="000000"/>
              </w:rPr>
              <w:t>2.3.</w:t>
            </w:r>
            <w:r w:rsidR="002345EF">
              <w:rPr>
                <w:rFonts w:asciiTheme="minorHAnsi" w:eastAsiaTheme="minorEastAsia" w:hAnsiTheme="minorHAnsi" w:cstheme="minorBidi"/>
                <w:noProof/>
                <w:color w:val="auto"/>
                <w:sz w:val="22"/>
              </w:rPr>
              <w:tab/>
            </w:r>
            <w:r w:rsidR="002345EF" w:rsidRPr="00013FAC">
              <w:rPr>
                <w:rStyle w:val="Hyperlink"/>
                <w:noProof/>
              </w:rPr>
              <w:t>Long-term underemployment</w:t>
            </w:r>
            <w:r w:rsidR="002345EF">
              <w:rPr>
                <w:noProof/>
                <w:webHidden/>
              </w:rPr>
              <w:tab/>
            </w:r>
          </w:hyperlink>
          <w:r w:rsidR="00987EE2">
            <w:rPr>
              <w:noProof/>
            </w:rPr>
            <w:t>7</w:t>
          </w:r>
        </w:p>
        <w:p w14:paraId="0E8A9BB9" w14:textId="77777777" w:rsidR="002345EF" w:rsidRDefault="00000000">
          <w:pPr>
            <w:pStyle w:val="TOC2"/>
            <w:tabs>
              <w:tab w:val="left" w:pos="1100"/>
              <w:tab w:val="right" w:leader="dot" w:pos="9021"/>
            </w:tabs>
            <w:rPr>
              <w:rFonts w:asciiTheme="minorHAnsi" w:eastAsiaTheme="minorEastAsia" w:hAnsiTheme="minorHAnsi" w:cstheme="minorBidi"/>
              <w:noProof/>
              <w:color w:val="auto"/>
              <w:sz w:val="22"/>
            </w:rPr>
          </w:pPr>
          <w:hyperlink w:anchor="_Toc123667174" w:history="1">
            <w:r w:rsidR="002345EF" w:rsidRPr="00013FAC">
              <w:rPr>
                <w:rStyle w:val="Hyperlink"/>
                <w:noProof/>
                <w:u w:color="000000"/>
              </w:rPr>
              <w:t>2.4.</w:t>
            </w:r>
            <w:r w:rsidR="002345EF">
              <w:rPr>
                <w:rFonts w:asciiTheme="minorHAnsi" w:eastAsiaTheme="minorEastAsia" w:hAnsiTheme="minorHAnsi" w:cstheme="minorBidi"/>
                <w:noProof/>
                <w:color w:val="auto"/>
                <w:sz w:val="22"/>
              </w:rPr>
              <w:tab/>
            </w:r>
            <w:r w:rsidR="002345EF" w:rsidRPr="00013FAC">
              <w:rPr>
                <w:rStyle w:val="Hyperlink"/>
                <w:noProof/>
              </w:rPr>
              <w:t>Macro Environment Factors of UK</w:t>
            </w:r>
            <w:r w:rsidR="002345EF">
              <w:rPr>
                <w:noProof/>
                <w:webHidden/>
              </w:rPr>
              <w:tab/>
            </w:r>
          </w:hyperlink>
          <w:r w:rsidR="00987EE2">
            <w:rPr>
              <w:noProof/>
            </w:rPr>
            <w:t>8</w:t>
          </w:r>
        </w:p>
        <w:p w14:paraId="7684B922" w14:textId="29ECDEF1" w:rsidR="002345EF" w:rsidRDefault="00000000">
          <w:pPr>
            <w:pStyle w:val="TOC1"/>
            <w:tabs>
              <w:tab w:val="left" w:pos="440"/>
              <w:tab w:val="right" w:leader="dot" w:pos="9021"/>
            </w:tabs>
            <w:rPr>
              <w:rFonts w:asciiTheme="minorHAnsi" w:eastAsiaTheme="minorEastAsia" w:hAnsiTheme="minorHAnsi" w:cstheme="minorBidi"/>
              <w:noProof/>
              <w:color w:val="auto"/>
              <w:sz w:val="22"/>
            </w:rPr>
          </w:pPr>
          <w:hyperlink w:anchor="_Toc123667175" w:history="1">
            <w:r w:rsidR="002345EF" w:rsidRPr="00013FAC">
              <w:rPr>
                <w:rStyle w:val="Hyperlink"/>
                <w:noProof/>
                <w:u w:color="000000"/>
              </w:rPr>
              <w:t>3.</w:t>
            </w:r>
            <w:r w:rsidR="002345EF">
              <w:rPr>
                <w:rFonts w:asciiTheme="minorHAnsi" w:eastAsiaTheme="minorEastAsia" w:hAnsiTheme="minorHAnsi" w:cstheme="minorBidi"/>
                <w:noProof/>
                <w:color w:val="auto"/>
                <w:sz w:val="22"/>
              </w:rPr>
              <w:tab/>
            </w:r>
            <w:r w:rsidR="002345EF" w:rsidRPr="00013FAC">
              <w:rPr>
                <w:rStyle w:val="Hyperlink"/>
                <w:noProof/>
              </w:rPr>
              <w:t>The Emerging Changes in Human Resourcing Strategies in the Post COVID, Post Brexit External environment.</w:t>
            </w:r>
            <w:r w:rsidR="002345EF">
              <w:rPr>
                <w:noProof/>
                <w:webHidden/>
              </w:rPr>
              <w:tab/>
            </w:r>
            <w:r w:rsidR="002345EF">
              <w:rPr>
                <w:noProof/>
                <w:webHidden/>
              </w:rPr>
              <w:fldChar w:fldCharType="begin"/>
            </w:r>
            <w:r w:rsidR="002345EF">
              <w:rPr>
                <w:noProof/>
                <w:webHidden/>
              </w:rPr>
              <w:instrText xml:space="preserve"> PAGEREF _Toc123667175 \h </w:instrText>
            </w:r>
            <w:r w:rsidR="002345EF">
              <w:rPr>
                <w:noProof/>
                <w:webHidden/>
              </w:rPr>
            </w:r>
            <w:r w:rsidR="002345EF">
              <w:rPr>
                <w:noProof/>
                <w:webHidden/>
              </w:rPr>
              <w:fldChar w:fldCharType="separate"/>
            </w:r>
            <w:r w:rsidR="000A5F52">
              <w:rPr>
                <w:noProof/>
                <w:webHidden/>
              </w:rPr>
              <w:t>9</w:t>
            </w:r>
            <w:r w:rsidR="002345EF">
              <w:rPr>
                <w:noProof/>
                <w:webHidden/>
              </w:rPr>
              <w:fldChar w:fldCharType="end"/>
            </w:r>
          </w:hyperlink>
        </w:p>
        <w:p w14:paraId="5CBF3EA4" w14:textId="29B581F0" w:rsidR="002345EF" w:rsidRDefault="00000000">
          <w:pPr>
            <w:pStyle w:val="TOC1"/>
            <w:tabs>
              <w:tab w:val="left" w:pos="440"/>
              <w:tab w:val="right" w:leader="dot" w:pos="9021"/>
            </w:tabs>
            <w:rPr>
              <w:rFonts w:asciiTheme="minorHAnsi" w:eastAsiaTheme="minorEastAsia" w:hAnsiTheme="minorHAnsi" w:cstheme="minorBidi"/>
              <w:noProof/>
              <w:color w:val="auto"/>
              <w:sz w:val="22"/>
            </w:rPr>
          </w:pPr>
          <w:hyperlink w:anchor="_Toc123667176" w:history="1">
            <w:r w:rsidR="002345EF" w:rsidRPr="00013FAC">
              <w:rPr>
                <w:rStyle w:val="Hyperlink"/>
                <w:noProof/>
                <w:u w:color="000000"/>
              </w:rPr>
              <w:t>4.</w:t>
            </w:r>
            <w:r w:rsidR="002345EF">
              <w:rPr>
                <w:rFonts w:asciiTheme="minorHAnsi" w:eastAsiaTheme="minorEastAsia" w:hAnsiTheme="minorHAnsi" w:cstheme="minorBidi"/>
                <w:noProof/>
                <w:color w:val="auto"/>
                <w:sz w:val="22"/>
              </w:rPr>
              <w:tab/>
            </w:r>
            <w:r w:rsidR="002345EF" w:rsidRPr="00013FAC">
              <w:rPr>
                <w:rStyle w:val="Hyperlink"/>
                <w:noProof/>
              </w:rPr>
              <w:t>Conclusions</w:t>
            </w:r>
            <w:r w:rsidR="002345EF">
              <w:rPr>
                <w:noProof/>
                <w:webHidden/>
              </w:rPr>
              <w:tab/>
            </w:r>
            <w:r w:rsidR="002345EF">
              <w:rPr>
                <w:noProof/>
                <w:webHidden/>
              </w:rPr>
              <w:fldChar w:fldCharType="begin"/>
            </w:r>
            <w:r w:rsidR="002345EF">
              <w:rPr>
                <w:noProof/>
                <w:webHidden/>
              </w:rPr>
              <w:instrText xml:space="preserve"> PAGEREF _Toc123667176 \h </w:instrText>
            </w:r>
            <w:r w:rsidR="002345EF">
              <w:rPr>
                <w:noProof/>
                <w:webHidden/>
              </w:rPr>
            </w:r>
            <w:r w:rsidR="002345EF">
              <w:rPr>
                <w:noProof/>
                <w:webHidden/>
              </w:rPr>
              <w:fldChar w:fldCharType="separate"/>
            </w:r>
            <w:r w:rsidR="000A5F52">
              <w:rPr>
                <w:noProof/>
                <w:webHidden/>
              </w:rPr>
              <w:t>12</w:t>
            </w:r>
            <w:r w:rsidR="002345EF">
              <w:rPr>
                <w:noProof/>
                <w:webHidden/>
              </w:rPr>
              <w:fldChar w:fldCharType="end"/>
            </w:r>
          </w:hyperlink>
        </w:p>
        <w:p w14:paraId="2FD30BFF" w14:textId="1B7D87E5" w:rsidR="002345EF" w:rsidRDefault="00000000">
          <w:pPr>
            <w:pStyle w:val="TOC1"/>
            <w:tabs>
              <w:tab w:val="right" w:leader="dot" w:pos="9021"/>
            </w:tabs>
            <w:rPr>
              <w:rFonts w:asciiTheme="minorHAnsi" w:eastAsiaTheme="minorEastAsia" w:hAnsiTheme="minorHAnsi" w:cstheme="minorBidi"/>
              <w:noProof/>
              <w:color w:val="auto"/>
              <w:sz w:val="22"/>
            </w:rPr>
          </w:pPr>
          <w:hyperlink w:anchor="_Toc123667177" w:history="1">
            <w:r w:rsidR="002345EF" w:rsidRPr="00013FAC">
              <w:rPr>
                <w:rStyle w:val="Hyperlink"/>
                <w:noProof/>
              </w:rPr>
              <w:t>References</w:t>
            </w:r>
            <w:r w:rsidR="002345EF">
              <w:rPr>
                <w:noProof/>
                <w:webHidden/>
              </w:rPr>
              <w:tab/>
            </w:r>
            <w:r w:rsidR="002345EF">
              <w:rPr>
                <w:noProof/>
                <w:webHidden/>
              </w:rPr>
              <w:fldChar w:fldCharType="begin"/>
            </w:r>
            <w:r w:rsidR="002345EF">
              <w:rPr>
                <w:noProof/>
                <w:webHidden/>
              </w:rPr>
              <w:instrText xml:space="preserve"> PAGEREF _Toc123667177 \h </w:instrText>
            </w:r>
            <w:r w:rsidR="002345EF">
              <w:rPr>
                <w:noProof/>
                <w:webHidden/>
              </w:rPr>
            </w:r>
            <w:r w:rsidR="002345EF">
              <w:rPr>
                <w:noProof/>
                <w:webHidden/>
              </w:rPr>
              <w:fldChar w:fldCharType="separate"/>
            </w:r>
            <w:r w:rsidR="000A5F52">
              <w:rPr>
                <w:noProof/>
                <w:webHidden/>
              </w:rPr>
              <w:t>1</w:t>
            </w:r>
            <w:r w:rsidR="002345EF">
              <w:rPr>
                <w:noProof/>
                <w:webHidden/>
              </w:rPr>
              <w:fldChar w:fldCharType="end"/>
            </w:r>
          </w:hyperlink>
          <w:r w:rsidR="00987EE2">
            <w:rPr>
              <w:noProof/>
            </w:rPr>
            <w:t>3</w:t>
          </w:r>
        </w:p>
        <w:p w14:paraId="4E7FF720" w14:textId="0DD1F60E" w:rsidR="002345EF" w:rsidRDefault="00000000">
          <w:pPr>
            <w:pStyle w:val="TOC1"/>
            <w:tabs>
              <w:tab w:val="right" w:leader="dot" w:pos="9021"/>
            </w:tabs>
            <w:rPr>
              <w:rFonts w:asciiTheme="minorHAnsi" w:eastAsiaTheme="minorEastAsia" w:hAnsiTheme="minorHAnsi" w:cstheme="minorBidi"/>
              <w:noProof/>
              <w:color w:val="auto"/>
              <w:sz w:val="22"/>
            </w:rPr>
          </w:pPr>
          <w:hyperlink w:anchor="_Toc123667178" w:history="1">
            <w:r w:rsidR="002345EF" w:rsidRPr="00013FAC">
              <w:rPr>
                <w:rStyle w:val="Hyperlink"/>
                <w:noProof/>
              </w:rPr>
              <w:t>Appendix</w:t>
            </w:r>
            <w:r w:rsidR="002345EF">
              <w:rPr>
                <w:noProof/>
                <w:webHidden/>
              </w:rPr>
              <w:tab/>
            </w:r>
            <w:r w:rsidR="002345EF">
              <w:rPr>
                <w:noProof/>
                <w:webHidden/>
              </w:rPr>
              <w:fldChar w:fldCharType="begin"/>
            </w:r>
            <w:r w:rsidR="002345EF">
              <w:rPr>
                <w:noProof/>
                <w:webHidden/>
              </w:rPr>
              <w:instrText xml:space="preserve"> PAGEREF _Toc123667178 \h </w:instrText>
            </w:r>
            <w:r w:rsidR="002345EF">
              <w:rPr>
                <w:noProof/>
                <w:webHidden/>
              </w:rPr>
            </w:r>
            <w:r w:rsidR="002345EF">
              <w:rPr>
                <w:noProof/>
                <w:webHidden/>
              </w:rPr>
              <w:fldChar w:fldCharType="separate"/>
            </w:r>
            <w:r w:rsidR="000A5F52">
              <w:rPr>
                <w:noProof/>
                <w:webHidden/>
              </w:rPr>
              <w:t>14</w:t>
            </w:r>
            <w:r w:rsidR="002345EF">
              <w:rPr>
                <w:noProof/>
                <w:webHidden/>
              </w:rPr>
              <w:fldChar w:fldCharType="end"/>
            </w:r>
          </w:hyperlink>
        </w:p>
        <w:p w14:paraId="1E385707" w14:textId="77777777" w:rsidR="00A07D00" w:rsidRDefault="00391D62">
          <w:pPr>
            <w:tabs>
              <w:tab w:val="right" w:leader="dot" w:pos="9031"/>
            </w:tabs>
          </w:pPr>
          <w:r>
            <w:fldChar w:fldCharType="end"/>
          </w:r>
        </w:p>
      </w:sdtContent>
    </w:sdt>
    <w:p w14:paraId="726F5732" w14:textId="77777777" w:rsidR="00A07D00" w:rsidRDefault="00391D62">
      <w:pPr>
        <w:spacing w:after="166" w:line="240" w:lineRule="auto"/>
        <w:ind w:left="0" w:firstLine="0"/>
        <w:jc w:val="left"/>
      </w:pPr>
      <w:r>
        <w:rPr>
          <w:rFonts w:ascii="Calibri" w:eastAsia="Calibri" w:hAnsi="Calibri" w:cs="Calibri"/>
          <w:sz w:val="22"/>
        </w:rPr>
        <w:t xml:space="preserve"> </w:t>
      </w:r>
    </w:p>
    <w:p w14:paraId="34710716" w14:textId="77777777" w:rsidR="00A07D00" w:rsidRDefault="00391D62">
      <w:pPr>
        <w:spacing w:after="212" w:line="240" w:lineRule="auto"/>
        <w:ind w:left="0" w:firstLine="0"/>
        <w:jc w:val="center"/>
      </w:pPr>
      <w:r>
        <w:rPr>
          <w:rFonts w:ascii="Calibri" w:eastAsia="Calibri" w:hAnsi="Calibri" w:cs="Calibri"/>
          <w:sz w:val="22"/>
        </w:rPr>
        <w:t xml:space="preserve"> </w:t>
      </w:r>
    </w:p>
    <w:p w14:paraId="6F299C73" w14:textId="77777777" w:rsidR="00A07D00" w:rsidRDefault="00391D62">
      <w:pPr>
        <w:spacing w:after="214" w:line="240" w:lineRule="auto"/>
        <w:ind w:left="0" w:firstLine="0"/>
        <w:jc w:val="left"/>
      </w:pPr>
      <w:r>
        <w:rPr>
          <w:rFonts w:ascii="Calibri" w:eastAsia="Calibri" w:hAnsi="Calibri" w:cs="Calibri"/>
          <w:sz w:val="22"/>
        </w:rPr>
        <w:t xml:space="preserve"> </w:t>
      </w:r>
    </w:p>
    <w:p w14:paraId="2A63D03B" w14:textId="77777777" w:rsidR="00A07D00" w:rsidRDefault="00391D62">
      <w:pPr>
        <w:spacing w:after="212" w:line="240" w:lineRule="auto"/>
        <w:ind w:left="0" w:firstLine="0"/>
        <w:jc w:val="left"/>
      </w:pPr>
      <w:r>
        <w:rPr>
          <w:rFonts w:ascii="Calibri" w:eastAsia="Calibri" w:hAnsi="Calibri" w:cs="Calibri"/>
          <w:sz w:val="22"/>
        </w:rPr>
        <w:t xml:space="preserve"> </w:t>
      </w:r>
    </w:p>
    <w:p w14:paraId="52382300" w14:textId="77777777" w:rsidR="00A07D00" w:rsidRDefault="00391D62">
      <w:pPr>
        <w:spacing w:after="214" w:line="240" w:lineRule="auto"/>
        <w:ind w:left="0" w:firstLine="0"/>
        <w:jc w:val="left"/>
      </w:pPr>
      <w:r>
        <w:rPr>
          <w:rFonts w:ascii="Calibri" w:eastAsia="Calibri" w:hAnsi="Calibri" w:cs="Calibri"/>
          <w:sz w:val="22"/>
        </w:rPr>
        <w:t xml:space="preserve"> </w:t>
      </w:r>
    </w:p>
    <w:p w14:paraId="4EA3A059" w14:textId="77777777" w:rsidR="00A07D00" w:rsidRDefault="00391D62">
      <w:pPr>
        <w:spacing w:after="212" w:line="240" w:lineRule="auto"/>
        <w:ind w:left="0" w:firstLine="0"/>
        <w:jc w:val="left"/>
      </w:pPr>
      <w:r>
        <w:rPr>
          <w:rFonts w:ascii="Calibri" w:eastAsia="Calibri" w:hAnsi="Calibri" w:cs="Calibri"/>
          <w:sz w:val="22"/>
        </w:rPr>
        <w:t xml:space="preserve"> </w:t>
      </w:r>
    </w:p>
    <w:p w14:paraId="764B5F01" w14:textId="77777777" w:rsidR="00A07D00" w:rsidRDefault="00391D62">
      <w:pPr>
        <w:spacing w:after="212" w:line="240" w:lineRule="auto"/>
        <w:ind w:left="0" w:firstLine="0"/>
        <w:jc w:val="left"/>
      </w:pPr>
      <w:r>
        <w:rPr>
          <w:rFonts w:ascii="Calibri" w:eastAsia="Calibri" w:hAnsi="Calibri" w:cs="Calibri"/>
          <w:sz w:val="22"/>
        </w:rPr>
        <w:t xml:space="preserve"> </w:t>
      </w:r>
    </w:p>
    <w:p w14:paraId="4488A00D" w14:textId="77777777" w:rsidR="00A07D00" w:rsidRDefault="00391D62">
      <w:pPr>
        <w:spacing w:after="214" w:line="240" w:lineRule="auto"/>
        <w:ind w:left="0" w:firstLine="0"/>
        <w:jc w:val="left"/>
      </w:pPr>
      <w:r>
        <w:rPr>
          <w:rFonts w:ascii="Calibri" w:eastAsia="Calibri" w:hAnsi="Calibri" w:cs="Calibri"/>
          <w:sz w:val="22"/>
        </w:rPr>
        <w:t xml:space="preserve"> </w:t>
      </w:r>
    </w:p>
    <w:p w14:paraId="4870E1C6" w14:textId="77777777" w:rsidR="00A07D00" w:rsidRDefault="00391D62">
      <w:pPr>
        <w:spacing w:after="212" w:line="240" w:lineRule="auto"/>
        <w:ind w:left="0" w:firstLine="0"/>
        <w:jc w:val="left"/>
      </w:pPr>
      <w:r>
        <w:rPr>
          <w:rFonts w:ascii="Calibri" w:eastAsia="Calibri" w:hAnsi="Calibri" w:cs="Calibri"/>
          <w:sz w:val="22"/>
        </w:rPr>
        <w:t xml:space="preserve"> </w:t>
      </w:r>
    </w:p>
    <w:p w14:paraId="2D92349C" w14:textId="77777777" w:rsidR="00A07D00" w:rsidRDefault="00391D62">
      <w:pPr>
        <w:spacing w:after="214" w:line="240" w:lineRule="auto"/>
        <w:ind w:left="0" w:firstLine="0"/>
        <w:jc w:val="left"/>
      </w:pPr>
      <w:r>
        <w:rPr>
          <w:rFonts w:ascii="Calibri" w:eastAsia="Calibri" w:hAnsi="Calibri" w:cs="Calibri"/>
          <w:sz w:val="22"/>
        </w:rPr>
        <w:t xml:space="preserve"> </w:t>
      </w:r>
    </w:p>
    <w:p w14:paraId="5CF909AE" w14:textId="77777777" w:rsidR="00A07D00" w:rsidRDefault="00391D62">
      <w:pPr>
        <w:spacing w:after="212" w:line="240" w:lineRule="auto"/>
        <w:ind w:left="0" w:firstLine="0"/>
        <w:jc w:val="left"/>
      </w:pPr>
      <w:r>
        <w:rPr>
          <w:rFonts w:ascii="Calibri" w:eastAsia="Calibri" w:hAnsi="Calibri" w:cs="Calibri"/>
          <w:sz w:val="22"/>
        </w:rPr>
        <w:t xml:space="preserve"> </w:t>
      </w:r>
    </w:p>
    <w:p w14:paraId="58F53D37" w14:textId="77777777" w:rsidR="00A07D00" w:rsidRDefault="00391D62">
      <w:pPr>
        <w:spacing w:after="215" w:line="240" w:lineRule="auto"/>
        <w:ind w:left="0" w:firstLine="0"/>
        <w:jc w:val="left"/>
      </w:pPr>
      <w:r>
        <w:rPr>
          <w:rFonts w:ascii="Calibri" w:eastAsia="Calibri" w:hAnsi="Calibri" w:cs="Calibri"/>
          <w:sz w:val="22"/>
        </w:rPr>
        <w:t xml:space="preserve"> </w:t>
      </w:r>
    </w:p>
    <w:p w14:paraId="533A3B20" w14:textId="77777777" w:rsidR="00A07D00" w:rsidRDefault="00391D62">
      <w:pPr>
        <w:spacing w:after="212" w:line="240" w:lineRule="auto"/>
        <w:ind w:left="0" w:firstLine="0"/>
        <w:jc w:val="left"/>
      </w:pPr>
      <w:r>
        <w:rPr>
          <w:rFonts w:ascii="Calibri" w:eastAsia="Calibri" w:hAnsi="Calibri" w:cs="Calibri"/>
          <w:sz w:val="22"/>
        </w:rPr>
        <w:t xml:space="preserve"> </w:t>
      </w:r>
    </w:p>
    <w:p w14:paraId="7BFB13C9" w14:textId="77777777" w:rsidR="00987EE2" w:rsidRDefault="00391D62">
      <w:pPr>
        <w:spacing w:after="212" w:line="240" w:lineRule="auto"/>
        <w:ind w:left="0" w:firstLine="0"/>
        <w:jc w:val="left"/>
        <w:rPr>
          <w:rFonts w:ascii="Calibri" w:eastAsia="Calibri" w:hAnsi="Calibri" w:cs="Calibri"/>
          <w:sz w:val="22"/>
        </w:rPr>
      </w:pPr>
      <w:r>
        <w:rPr>
          <w:rFonts w:ascii="Calibri" w:eastAsia="Calibri" w:hAnsi="Calibri" w:cs="Calibri"/>
          <w:sz w:val="22"/>
        </w:rPr>
        <w:t xml:space="preserve"> </w:t>
      </w:r>
    </w:p>
    <w:p w14:paraId="6A330C10" w14:textId="77777777" w:rsidR="00987EE2" w:rsidRDefault="00987EE2" w:rsidP="00987EE2">
      <w:pPr>
        <w:spacing w:after="212" w:line="240" w:lineRule="auto"/>
        <w:ind w:left="0" w:firstLine="0"/>
        <w:jc w:val="left"/>
        <w:rPr>
          <w:rFonts w:eastAsia="Calibri"/>
          <w:b/>
          <w:sz w:val="28"/>
          <w:szCs w:val="28"/>
        </w:rPr>
      </w:pPr>
      <w:r>
        <w:rPr>
          <w:rFonts w:ascii="Calibri" w:eastAsia="Calibri" w:hAnsi="Calibri" w:cs="Calibri"/>
          <w:sz w:val="22"/>
        </w:rPr>
        <w:br w:type="page"/>
      </w:r>
      <w:r>
        <w:rPr>
          <w:rFonts w:ascii="Calibri" w:eastAsia="Calibri" w:hAnsi="Calibri" w:cs="Calibri"/>
          <w:sz w:val="22"/>
        </w:rPr>
        <w:lastRenderedPageBreak/>
        <w:t xml:space="preserve">                                                   </w:t>
      </w:r>
      <w:r w:rsidRPr="00DA33CC">
        <w:rPr>
          <w:rFonts w:eastAsia="Calibri"/>
          <w:b/>
          <w:sz w:val="28"/>
          <w:szCs w:val="28"/>
        </w:rPr>
        <w:t>Table of Figures</w:t>
      </w:r>
    </w:p>
    <w:p w14:paraId="4362C05E" w14:textId="77777777" w:rsidR="00987EE2" w:rsidRDefault="00987EE2" w:rsidP="00987EE2">
      <w:pPr>
        <w:spacing w:after="160" w:line="259" w:lineRule="auto"/>
        <w:ind w:left="0" w:firstLine="0"/>
        <w:jc w:val="left"/>
        <w:rPr>
          <w:rFonts w:eastAsia="Calibri"/>
          <w:b/>
          <w:sz w:val="28"/>
          <w:szCs w:val="28"/>
        </w:rPr>
      </w:pPr>
    </w:p>
    <w:p w14:paraId="3E7AA7F8" w14:textId="77777777" w:rsidR="00987EE2" w:rsidRDefault="00987EE2" w:rsidP="00987EE2">
      <w:pPr>
        <w:spacing w:after="160" w:line="259" w:lineRule="auto"/>
        <w:ind w:left="0" w:firstLine="0"/>
        <w:jc w:val="left"/>
        <w:rPr>
          <w:rFonts w:eastAsia="Calibri"/>
          <w:b/>
          <w:sz w:val="28"/>
          <w:szCs w:val="28"/>
        </w:rPr>
      </w:pPr>
    </w:p>
    <w:p w14:paraId="028ABC6D" w14:textId="77777777" w:rsidR="00987EE2" w:rsidRDefault="00987EE2" w:rsidP="00987EE2">
      <w:pPr>
        <w:spacing w:after="160" w:line="259" w:lineRule="auto"/>
        <w:ind w:left="0" w:firstLine="0"/>
        <w:jc w:val="left"/>
        <w:rPr>
          <w:rFonts w:eastAsia="Calibri"/>
          <w:b/>
          <w:sz w:val="28"/>
          <w:szCs w:val="28"/>
        </w:rPr>
      </w:pPr>
      <w:r>
        <w:rPr>
          <w:rFonts w:eastAsia="Calibri"/>
          <w:b/>
          <w:sz w:val="28"/>
          <w:szCs w:val="28"/>
        </w:rPr>
        <w:t>Figure 1:</w:t>
      </w:r>
      <w:r w:rsidRPr="00DA33CC">
        <w:t xml:space="preserve"> </w:t>
      </w:r>
      <w:r>
        <w:t>Number of people employed over the years…………………………………….6</w:t>
      </w:r>
    </w:p>
    <w:p w14:paraId="1F6B4138" w14:textId="77777777" w:rsidR="00987EE2" w:rsidRDefault="00987EE2" w:rsidP="00987EE2">
      <w:pPr>
        <w:spacing w:after="160" w:line="259" w:lineRule="auto"/>
        <w:ind w:left="0" w:firstLine="0"/>
        <w:jc w:val="left"/>
        <w:rPr>
          <w:rFonts w:eastAsia="Calibri"/>
          <w:b/>
          <w:sz w:val="28"/>
          <w:szCs w:val="28"/>
        </w:rPr>
      </w:pPr>
      <w:r>
        <w:rPr>
          <w:rFonts w:eastAsia="Calibri"/>
          <w:b/>
          <w:sz w:val="28"/>
          <w:szCs w:val="28"/>
        </w:rPr>
        <w:t>Figure 2:</w:t>
      </w:r>
      <w:r w:rsidRPr="00DA33CC">
        <w:t xml:space="preserve"> </w:t>
      </w:r>
      <w:r>
        <w:t>Change in employment in UK………………………………………………</w:t>
      </w:r>
      <w:r w:rsidR="00613A0E">
        <w:t>…..</w:t>
      </w:r>
      <w:r>
        <w:t>7</w:t>
      </w:r>
    </w:p>
    <w:p w14:paraId="70B1CDD8" w14:textId="77777777" w:rsidR="00987EE2" w:rsidRPr="007840C7" w:rsidRDefault="00987EE2" w:rsidP="00987EE2">
      <w:pPr>
        <w:spacing w:after="160" w:line="259" w:lineRule="auto"/>
        <w:ind w:left="0" w:firstLine="0"/>
        <w:jc w:val="left"/>
      </w:pPr>
      <w:r>
        <w:rPr>
          <w:rFonts w:eastAsia="Calibri"/>
          <w:b/>
          <w:sz w:val="28"/>
          <w:szCs w:val="28"/>
        </w:rPr>
        <w:t>Figure 3:</w:t>
      </w:r>
      <w:r w:rsidRPr="00DA33CC">
        <w:t xml:space="preserve"> </w:t>
      </w:r>
      <w:r>
        <w:t>PESTLE Analysis of UK Job Market…………………………………………...8</w:t>
      </w:r>
    </w:p>
    <w:p w14:paraId="7032D9C4" w14:textId="2BDD419A" w:rsidR="00987EE2" w:rsidRDefault="00987EE2" w:rsidP="00987EE2">
      <w:pPr>
        <w:spacing w:after="160" w:line="259" w:lineRule="auto"/>
        <w:ind w:left="0" w:firstLine="0"/>
        <w:jc w:val="left"/>
        <w:rPr>
          <w:rFonts w:ascii="Calibri" w:eastAsia="Calibri" w:hAnsi="Calibri" w:cs="Calibri"/>
          <w:sz w:val="22"/>
        </w:rPr>
      </w:pPr>
      <w:r>
        <w:rPr>
          <w:rFonts w:eastAsia="Calibri"/>
          <w:b/>
          <w:sz w:val="28"/>
          <w:szCs w:val="28"/>
        </w:rPr>
        <w:t>Figure 4:</w:t>
      </w:r>
      <w:r w:rsidRPr="00DA33CC">
        <w:t xml:space="preserve"> </w:t>
      </w:r>
      <w:r>
        <w:t>Post COVID HRM Strategies………………………………………………</w:t>
      </w:r>
      <w:r w:rsidR="00613A0E">
        <w:t>...</w:t>
      </w:r>
      <w:r>
        <w:t>…9</w:t>
      </w:r>
    </w:p>
    <w:p w14:paraId="69D92F9C" w14:textId="77777777" w:rsidR="00987EE2" w:rsidRDefault="00987EE2">
      <w:pPr>
        <w:spacing w:after="160" w:line="259" w:lineRule="auto"/>
        <w:ind w:left="0" w:firstLine="0"/>
        <w:jc w:val="left"/>
        <w:rPr>
          <w:rFonts w:ascii="Calibri" w:eastAsia="Calibri" w:hAnsi="Calibri" w:cs="Calibri"/>
          <w:sz w:val="22"/>
        </w:rPr>
      </w:pPr>
    </w:p>
    <w:p w14:paraId="4C0453CE" w14:textId="77777777" w:rsidR="00A07D00" w:rsidRDefault="00A07D00">
      <w:pPr>
        <w:spacing w:after="212" w:line="240" w:lineRule="auto"/>
        <w:ind w:left="0" w:firstLine="0"/>
        <w:jc w:val="left"/>
      </w:pPr>
    </w:p>
    <w:p w14:paraId="5D0FE166" w14:textId="77777777" w:rsidR="00A07D00" w:rsidRDefault="00391D62">
      <w:pPr>
        <w:spacing w:after="214" w:line="240" w:lineRule="auto"/>
        <w:ind w:left="0" w:firstLine="0"/>
        <w:jc w:val="left"/>
      </w:pPr>
      <w:r>
        <w:rPr>
          <w:rFonts w:ascii="Calibri" w:eastAsia="Calibri" w:hAnsi="Calibri" w:cs="Calibri"/>
          <w:sz w:val="22"/>
        </w:rPr>
        <w:t xml:space="preserve"> </w:t>
      </w:r>
    </w:p>
    <w:p w14:paraId="4546DE8C" w14:textId="77777777" w:rsidR="00A07D00" w:rsidRDefault="00391D62">
      <w:pPr>
        <w:spacing w:after="212" w:line="240" w:lineRule="auto"/>
        <w:ind w:left="0" w:firstLine="0"/>
        <w:jc w:val="left"/>
      </w:pPr>
      <w:r>
        <w:rPr>
          <w:rFonts w:ascii="Calibri" w:eastAsia="Calibri" w:hAnsi="Calibri" w:cs="Calibri"/>
          <w:sz w:val="22"/>
        </w:rPr>
        <w:t xml:space="preserve"> </w:t>
      </w:r>
    </w:p>
    <w:p w14:paraId="4AD46831" w14:textId="77777777" w:rsidR="00A07D00" w:rsidRDefault="00391D62">
      <w:pPr>
        <w:spacing w:after="214" w:line="240" w:lineRule="auto"/>
        <w:ind w:left="0" w:firstLine="0"/>
        <w:jc w:val="left"/>
      </w:pPr>
      <w:r>
        <w:rPr>
          <w:rFonts w:ascii="Calibri" w:eastAsia="Calibri" w:hAnsi="Calibri" w:cs="Calibri"/>
          <w:sz w:val="22"/>
        </w:rPr>
        <w:t xml:space="preserve"> </w:t>
      </w:r>
    </w:p>
    <w:p w14:paraId="51ADF6A4" w14:textId="77777777" w:rsidR="00A07D00" w:rsidRDefault="00391D62">
      <w:pPr>
        <w:spacing w:after="212" w:line="240" w:lineRule="auto"/>
        <w:ind w:left="0" w:firstLine="0"/>
        <w:jc w:val="left"/>
      </w:pPr>
      <w:r>
        <w:rPr>
          <w:rFonts w:ascii="Calibri" w:eastAsia="Calibri" w:hAnsi="Calibri" w:cs="Calibri"/>
          <w:sz w:val="22"/>
        </w:rPr>
        <w:t xml:space="preserve"> </w:t>
      </w:r>
    </w:p>
    <w:p w14:paraId="19DBDF6D" w14:textId="77777777" w:rsidR="00987EE2" w:rsidRDefault="00987EE2">
      <w:pPr>
        <w:spacing w:after="0" w:line="240" w:lineRule="auto"/>
        <w:ind w:left="0" w:firstLine="0"/>
        <w:jc w:val="left"/>
        <w:rPr>
          <w:rFonts w:ascii="Calibri" w:eastAsia="Calibri" w:hAnsi="Calibri" w:cs="Calibri"/>
          <w:sz w:val="22"/>
        </w:rPr>
      </w:pPr>
    </w:p>
    <w:p w14:paraId="23171704" w14:textId="77777777" w:rsidR="00987EE2" w:rsidRDefault="00987EE2">
      <w:pPr>
        <w:spacing w:after="0" w:line="240" w:lineRule="auto"/>
        <w:ind w:left="0" w:firstLine="0"/>
        <w:jc w:val="left"/>
        <w:rPr>
          <w:rFonts w:ascii="Calibri" w:eastAsia="Calibri" w:hAnsi="Calibri" w:cs="Calibri"/>
          <w:sz w:val="22"/>
        </w:rPr>
      </w:pPr>
    </w:p>
    <w:p w14:paraId="47DAB3B1" w14:textId="77777777" w:rsidR="00987EE2" w:rsidRDefault="00987EE2">
      <w:pPr>
        <w:spacing w:after="0" w:line="240" w:lineRule="auto"/>
        <w:ind w:left="0" w:firstLine="0"/>
        <w:jc w:val="left"/>
        <w:rPr>
          <w:rFonts w:ascii="Calibri" w:eastAsia="Calibri" w:hAnsi="Calibri" w:cs="Calibri"/>
          <w:sz w:val="22"/>
        </w:rPr>
      </w:pPr>
    </w:p>
    <w:p w14:paraId="2C2C72D5" w14:textId="77777777" w:rsidR="00987EE2" w:rsidRDefault="00987EE2">
      <w:pPr>
        <w:spacing w:after="0" w:line="240" w:lineRule="auto"/>
        <w:ind w:left="0" w:firstLine="0"/>
        <w:jc w:val="left"/>
        <w:rPr>
          <w:rFonts w:ascii="Calibri" w:eastAsia="Calibri" w:hAnsi="Calibri" w:cs="Calibri"/>
          <w:sz w:val="22"/>
        </w:rPr>
      </w:pPr>
    </w:p>
    <w:p w14:paraId="403E0D93" w14:textId="77777777" w:rsidR="00987EE2" w:rsidRDefault="00987EE2">
      <w:pPr>
        <w:spacing w:after="0" w:line="240" w:lineRule="auto"/>
        <w:ind w:left="0" w:firstLine="0"/>
        <w:jc w:val="left"/>
        <w:rPr>
          <w:rFonts w:ascii="Calibri" w:eastAsia="Calibri" w:hAnsi="Calibri" w:cs="Calibri"/>
          <w:sz w:val="22"/>
        </w:rPr>
      </w:pPr>
    </w:p>
    <w:p w14:paraId="279BA316" w14:textId="77777777" w:rsidR="00987EE2" w:rsidRDefault="00987EE2">
      <w:pPr>
        <w:spacing w:after="0" w:line="240" w:lineRule="auto"/>
        <w:ind w:left="0" w:firstLine="0"/>
        <w:jc w:val="left"/>
        <w:rPr>
          <w:rFonts w:ascii="Calibri" w:eastAsia="Calibri" w:hAnsi="Calibri" w:cs="Calibri"/>
          <w:sz w:val="22"/>
        </w:rPr>
      </w:pPr>
    </w:p>
    <w:p w14:paraId="18CC3EF0" w14:textId="77777777" w:rsidR="00987EE2" w:rsidRDefault="00987EE2">
      <w:pPr>
        <w:spacing w:after="0" w:line="240" w:lineRule="auto"/>
        <w:ind w:left="0" w:firstLine="0"/>
        <w:jc w:val="left"/>
        <w:rPr>
          <w:rFonts w:ascii="Calibri" w:eastAsia="Calibri" w:hAnsi="Calibri" w:cs="Calibri"/>
          <w:sz w:val="22"/>
        </w:rPr>
      </w:pPr>
    </w:p>
    <w:p w14:paraId="6E973CA6" w14:textId="77777777" w:rsidR="00987EE2" w:rsidRDefault="00987EE2">
      <w:pPr>
        <w:spacing w:after="0" w:line="240" w:lineRule="auto"/>
        <w:ind w:left="0" w:firstLine="0"/>
        <w:jc w:val="left"/>
        <w:rPr>
          <w:rFonts w:ascii="Calibri" w:eastAsia="Calibri" w:hAnsi="Calibri" w:cs="Calibri"/>
          <w:sz w:val="22"/>
        </w:rPr>
      </w:pPr>
    </w:p>
    <w:p w14:paraId="3AFEA6BD" w14:textId="77777777" w:rsidR="00987EE2" w:rsidRDefault="00987EE2">
      <w:pPr>
        <w:spacing w:after="0" w:line="240" w:lineRule="auto"/>
        <w:ind w:left="0" w:firstLine="0"/>
        <w:jc w:val="left"/>
        <w:rPr>
          <w:rFonts w:ascii="Calibri" w:eastAsia="Calibri" w:hAnsi="Calibri" w:cs="Calibri"/>
          <w:sz w:val="22"/>
        </w:rPr>
      </w:pPr>
    </w:p>
    <w:p w14:paraId="564F7301" w14:textId="77777777" w:rsidR="00987EE2" w:rsidRDefault="00987EE2">
      <w:pPr>
        <w:spacing w:after="0" w:line="240" w:lineRule="auto"/>
        <w:ind w:left="0" w:firstLine="0"/>
        <w:jc w:val="left"/>
        <w:rPr>
          <w:rFonts w:ascii="Calibri" w:eastAsia="Calibri" w:hAnsi="Calibri" w:cs="Calibri"/>
          <w:sz w:val="22"/>
        </w:rPr>
      </w:pPr>
    </w:p>
    <w:p w14:paraId="40FBDF1B" w14:textId="77777777" w:rsidR="00987EE2" w:rsidRDefault="00987EE2">
      <w:pPr>
        <w:spacing w:after="0" w:line="240" w:lineRule="auto"/>
        <w:ind w:left="0" w:firstLine="0"/>
        <w:jc w:val="left"/>
        <w:rPr>
          <w:rFonts w:ascii="Calibri" w:eastAsia="Calibri" w:hAnsi="Calibri" w:cs="Calibri"/>
          <w:sz w:val="22"/>
        </w:rPr>
      </w:pPr>
    </w:p>
    <w:p w14:paraId="19AADE4F" w14:textId="77777777" w:rsidR="00987EE2" w:rsidRDefault="00987EE2">
      <w:pPr>
        <w:spacing w:after="0" w:line="240" w:lineRule="auto"/>
        <w:ind w:left="0" w:firstLine="0"/>
        <w:jc w:val="left"/>
        <w:rPr>
          <w:rFonts w:ascii="Calibri" w:eastAsia="Calibri" w:hAnsi="Calibri" w:cs="Calibri"/>
          <w:sz w:val="22"/>
        </w:rPr>
      </w:pPr>
    </w:p>
    <w:p w14:paraId="4B1F4BD3" w14:textId="77777777" w:rsidR="00987EE2" w:rsidRDefault="00987EE2">
      <w:pPr>
        <w:spacing w:after="0" w:line="240" w:lineRule="auto"/>
        <w:ind w:left="0" w:firstLine="0"/>
        <w:jc w:val="left"/>
        <w:rPr>
          <w:rFonts w:ascii="Calibri" w:eastAsia="Calibri" w:hAnsi="Calibri" w:cs="Calibri"/>
          <w:sz w:val="22"/>
        </w:rPr>
      </w:pPr>
    </w:p>
    <w:p w14:paraId="0AACB04D" w14:textId="77777777" w:rsidR="00987EE2" w:rsidRDefault="00987EE2">
      <w:pPr>
        <w:spacing w:after="0" w:line="240" w:lineRule="auto"/>
        <w:ind w:left="0" w:firstLine="0"/>
        <w:jc w:val="left"/>
        <w:rPr>
          <w:rFonts w:ascii="Calibri" w:eastAsia="Calibri" w:hAnsi="Calibri" w:cs="Calibri"/>
          <w:sz w:val="22"/>
        </w:rPr>
      </w:pPr>
    </w:p>
    <w:p w14:paraId="1DF43ADD" w14:textId="77777777" w:rsidR="00987EE2" w:rsidRDefault="00987EE2">
      <w:pPr>
        <w:spacing w:after="0" w:line="240" w:lineRule="auto"/>
        <w:ind w:left="0" w:firstLine="0"/>
        <w:jc w:val="left"/>
        <w:rPr>
          <w:rFonts w:ascii="Calibri" w:eastAsia="Calibri" w:hAnsi="Calibri" w:cs="Calibri"/>
          <w:sz w:val="22"/>
        </w:rPr>
      </w:pPr>
    </w:p>
    <w:p w14:paraId="3D82EF4D" w14:textId="77777777" w:rsidR="00987EE2" w:rsidRDefault="00987EE2">
      <w:pPr>
        <w:spacing w:after="0" w:line="240" w:lineRule="auto"/>
        <w:ind w:left="0" w:firstLine="0"/>
        <w:jc w:val="left"/>
        <w:rPr>
          <w:rFonts w:ascii="Calibri" w:eastAsia="Calibri" w:hAnsi="Calibri" w:cs="Calibri"/>
          <w:sz w:val="22"/>
        </w:rPr>
      </w:pPr>
    </w:p>
    <w:p w14:paraId="63232D98" w14:textId="77777777" w:rsidR="00987EE2" w:rsidRDefault="00987EE2">
      <w:pPr>
        <w:spacing w:after="0" w:line="240" w:lineRule="auto"/>
        <w:ind w:left="0" w:firstLine="0"/>
        <w:jc w:val="left"/>
        <w:rPr>
          <w:rFonts w:ascii="Calibri" w:eastAsia="Calibri" w:hAnsi="Calibri" w:cs="Calibri"/>
          <w:sz w:val="22"/>
        </w:rPr>
      </w:pPr>
    </w:p>
    <w:p w14:paraId="57990B24" w14:textId="77777777" w:rsidR="00987EE2" w:rsidRDefault="00987EE2">
      <w:pPr>
        <w:spacing w:after="0" w:line="240" w:lineRule="auto"/>
        <w:ind w:left="0" w:firstLine="0"/>
        <w:jc w:val="left"/>
        <w:rPr>
          <w:rFonts w:ascii="Calibri" w:eastAsia="Calibri" w:hAnsi="Calibri" w:cs="Calibri"/>
          <w:sz w:val="22"/>
        </w:rPr>
      </w:pPr>
    </w:p>
    <w:p w14:paraId="254D45A3" w14:textId="77777777" w:rsidR="00987EE2" w:rsidRDefault="00987EE2">
      <w:pPr>
        <w:spacing w:after="0" w:line="240" w:lineRule="auto"/>
        <w:ind w:left="0" w:firstLine="0"/>
        <w:jc w:val="left"/>
        <w:rPr>
          <w:rFonts w:ascii="Calibri" w:eastAsia="Calibri" w:hAnsi="Calibri" w:cs="Calibri"/>
          <w:sz w:val="22"/>
        </w:rPr>
      </w:pPr>
    </w:p>
    <w:p w14:paraId="207544BA" w14:textId="77777777" w:rsidR="00987EE2" w:rsidRDefault="00987EE2">
      <w:pPr>
        <w:spacing w:after="0" w:line="240" w:lineRule="auto"/>
        <w:ind w:left="0" w:firstLine="0"/>
        <w:jc w:val="left"/>
        <w:rPr>
          <w:rFonts w:ascii="Calibri" w:eastAsia="Calibri" w:hAnsi="Calibri" w:cs="Calibri"/>
          <w:sz w:val="22"/>
        </w:rPr>
      </w:pPr>
    </w:p>
    <w:p w14:paraId="4DDA4420" w14:textId="77777777" w:rsidR="00987EE2" w:rsidRDefault="00987EE2">
      <w:pPr>
        <w:spacing w:after="0" w:line="240" w:lineRule="auto"/>
        <w:ind w:left="0" w:firstLine="0"/>
        <w:jc w:val="left"/>
        <w:rPr>
          <w:rFonts w:ascii="Calibri" w:eastAsia="Calibri" w:hAnsi="Calibri" w:cs="Calibri"/>
          <w:sz w:val="22"/>
        </w:rPr>
      </w:pPr>
    </w:p>
    <w:p w14:paraId="49744E13" w14:textId="77777777" w:rsidR="00987EE2" w:rsidRDefault="00987EE2">
      <w:pPr>
        <w:spacing w:after="0" w:line="240" w:lineRule="auto"/>
        <w:ind w:left="0" w:firstLine="0"/>
        <w:jc w:val="left"/>
        <w:rPr>
          <w:rFonts w:ascii="Calibri" w:eastAsia="Calibri" w:hAnsi="Calibri" w:cs="Calibri"/>
          <w:sz w:val="22"/>
        </w:rPr>
      </w:pPr>
    </w:p>
    <w:p w14:paraId="0DE40F90" w14:textId="77777777" w:rsidR="00987EE2" w:rsidRDefault="00987EE2">
      <w:pPr>
        <w:spacing w:after="0" w:line="240" w:lineRule="auto"/>
        <w:ind w:left="0" w:firstLine="0"/>
        <w:jc w:val="left"/>
        <w:rPr>
          <w:rFonts w:ascii="Calibri" w:eastAsia="Calibri" w:hAnsi="Calibri" w:cs="Calibri"/>
          <w:sz w:val="22"/>
        </w:rPr>
      </w:pPr>
    </w:p>
    <w:p w14:paraId="0135C6EE" w14:textId="77777777" w:rsidR="00987EE2" w:rsidRDefault="00987EE2">
      <w:pPr>
        <w:spacing w:after="0" w:line="240" w:lineRule="auto"/>
        <w:ind w:left="0" w:firstLine="0"/>
        <w:jc w:val="left"/>
        <w:rPr>
          <w:rFonts w:ascii="Calibri" w:eastAsia="Calibri" w:hAnsi="Calibri" w:cs="Calibri"/>
          <w:sz w:val="22"/>
        </w:rPr>
      </w:pPr>
    </w:p>
    <w:p w14:paraId="071D541C" w14:textId="77777777" w:rsidR="00A07D00" w:rsidRDefault="00391D62">
      <w:pPr>
        <w:spacing w:after="0" w:line="240" w:lineRule="auto"/>
        <w:ind w:left="0" w:firstLine="0"/>
        <w:jc w:val="left"/>
      </w:pPr>
      <w:r>
        <w:rPr>
          <w:rFonts w:ascii="Calibri" w:eastAsia="Calibri" w:hAnsi="Calibri" w:cs="Calibri"/>
          <w:sz w:val="22"/>
        </w:rPr>
        <w:t xml:space="preserve"> </w:t>
      </w:r>
    </w:p>
    <w:p w14:paraId="0B3059C4" w14:textId="77777777" w:rsidR="00A07D00" w:rsidRDefault="00391D62">
      <w:pPr>
        <w:pStyle w:val="Heading1"/>
        <w:spacing w:after="278" w:line="240" w:lineRule="auto"/>
        <w:ind w:left="266" w:right="-15" w:hanging="281"/>
      </w:pPr>
      <w:bookmarkStart w:id="1" w:name="_Toc123667169"/>
      <w:r>
        <w:rPr>
          <w:sz w:val="28"/>
        </w:rPr>
        <w:lastRenderedPageBreak/>
        <w:t>Introduction</w:t>
      </w:r>
      <w:bookmarkEnd w:id="1"/>
      <w:r>
        <w:rPr>
          <w:sz w:val="28"/>
        </w:rPr>
        <w:t xml:space="preserve"> </w:t>
      </w:r>
    </w:p>
    <w:p w14:paraId="58F07DE5" w14:textId="77777777" w:rsidR="00A07D00" w:rsidRDefault="00391D62">
      <w:pPr>
        <w:spacing w:after="372"/>
        <w:ind w:left="-15" w:firstLine="566"/>
      </w:pPr>
      <w:r>
        <w:t xml:space="preserve">The labour market is also referred to as the employment economy. It is an important component of any economy and is intricately connected to the monetary system as well as the product and service sectors. Even though the United Kingdom is a member of the European Union, the perception of its labour market as being the most "American" among European labour markets has persisted for a long time. The United Kingdom's labour force is afforded the fewest safeguards available elsewhere in Europe. Even on a worldwide scale, only a few of countries, notably the United States of America, Canada, and New Zealand, offer a lower level of safety for its workers. Because of the English language, the United Kingdom has long been seen as an attractive destination for immigrants with a wide range of levels of education and professional experience. The macroeconomic prognosis for the British labour market has been much more optimistic over the course of recent years. Since 1997, the following significant factors have come to the fore. When this article was written, the unemployment rate had already hit its highest point in the last ten years. During the same time period, inflation has maintained an astoundingly low level, and inflation projections made by significant pay negotiators have been very constant. Last but not least, real wage growth has been relatively solid, which means that macroeconomic stability has not been achieved at the expense of a reduction in the standard of life for the average American. </w:t>
      </w:r>
    </w:p>
    <w:p w14:paraId="1D1A998A" w14:textId="77777777" w:rsidR="00A07D00" w:rsidRDefault="00391D62">
      <w:pPr>
        <w:pStyle w:val="Heading1"/>
        <w:spacing w:after="278" w:line="240" w:lineRule="auto"/>
        <w:ind w:left="266" w:right="-15" w:hanging="281"/>
      </w:pPr>
      <w:bookmarkStart w:id="2" w:name="_Toc123667170"/>
      <w:r>
        <w:rPr>
          <w:sz w:val="28"/>
        </w:rPr>
        <w:t>Literature Review</w:t>
      </w:r>
      <w:bookmarkEnd w:id="2"/>
      <w:r>
        <w:rPr>
          <w:sz w:val="28"/>
        </w:rPr>
        <w:t xml:space="preserve"> </w:t>
      </w:r>
    </w:p>
    <w:p w14:paraId="20810F1D" w14:textId="77777777" w:rsidR="00A07D00" w:rsidRDefault="00391D62">
      <w:pPr>
        <w:spacing w:after="370"/>
        <w:ind w:left="-15" w:firstLine="566"/>
      </w:pPr>
      <w:r>
        <w:t xml:space="preserve">According to Arnade., (2019), in June 2016, after the previous Working Futures report, the United Kingdom voted to exit the European Union. Article 50 was activated on March 29, 2017, beginning the formal withdrawal procedure. The decision to exit the EU is expected to have a significant influence on the British economy, but the extent of these consequences is fundamentally unpredictable. They rely on the final structure of the United Kingdom's interaction with the European Union after Brexit. This will impact the economic climate of the United Kingdom in a variety of areas, including trade, immigration, and legislation. </w:t>
      </w:r>
    </w:p>
    <w:p w14:paraId="122D860F" w14:textId="77777777" w:rsidR="00A07D00" w:rsidRPr="00772DBB" w:rsidRDefault="00391D62">
      <w:pPr>
        <w:pStyle w:val="Heading2"/>
        <w:ind w:left="405" w:hanging="420"/>
        <w:rPr>
          <w:sz w:val="28"/>
          <w:szCs w:val="28"/>
        </w:rPr>
      </w:pPr>
      <w:bookmarkStart w:id="3" w:name="_Toc123667171"/>
      <w:r w:rsidRPr="00772DBB">
        <w:rPr>
          <w:sz w:val="28"/>
          <w:szCs w:val="28"/>
        </w:rPr>
        <w:t>Employment Analysis in UK labor market</w:t>
      </w:r>
      <w:bookmarkEnd w:id="3"/>
      <w:r w:rsidRPr="00772DBB">
        <w:rPr>
          <w:sz w:val="28"/>
          <w:szCs w:val="28"/>
        </w:rPr>
        <w:t xml:space="preserve"> </w:t>
      </w:r>
    </w:p>
    <w:p w14:paraId="777C9B9A" w14:textId="77777777" w:rsidR="00A07D00" w:rsidRDefault="00391D62">
      <w:pPr>
        <w:ind w:left="-15" w:firstLine="566"/>
      </w:pPr>
      <w:r>
        <w:t xml:space="preserve">From the studies of Andrew et al., (2022), in August-October 2022, 32.77 million people were employed in the United Kingdom. The job proportion (the percentage of the 16-64 population that was employed) was 75.6%. The employment rate increased considerably between 2011 and the beginning of the coronavirus epidemic. Early in 2020, it reached a peak </w:t>
      </w:r>
      <w:r>
        <w:lastRenderedPageBreak/>
        <w:t xml:space="preserve">of 76.6%, which was the top rank observed since records started in 1971. Figure 2.1 shows the number of people employed in the years in UK. </w:t>
      </w:r>
    </w:p>
    <w:p w14:paraId="026A5EF5" w14:textId="77777777" w:rsidR="00A07D00" w:rsidRDefault="00391D62">
      <w:pPr>
        <w:spacing w:after="0" w:line="240" w:lineRule="auto"/>
        <w:ind w:left="567" w:firstLine="0"/>
        <w:jc w:val="left"/>
      </w:pPr>
      <w:r>
        <w:t xml:space="preserve"> </w:t>
      </w:r>
    </w:p>
    <w:p w14:paraId="45C981CB" w14:textId="77777777" w:rsidR="00A07D00" w:rsidRDefault="00391D62">
      <w:pPr>
        <w:spacing w:after="82" w:line="240" w:lineRule="auto"/>
        <w:ind w:left="0" w:right="106" w:firstLine="0"/>
        <w:jc w:val="right"/>
      </w:pPr>
      <w:r>
        <w:rPr>
          <w:rFonts w:ascii="Calibri" w:eastAsia="Calibri" w:hAnsi="Calibri" w:cs="Calibri"/>
          <w:noProof/>
          <w:sz w:val="22"/>
          <w:lang w:val="en-US"/>
        </w:rPr>
        <w:drawing>
          <wp:inline distT="0" distB="0" distL="0" distR="0" wp14:anchorId="078A0194" wp14:editId="546B2D02">
            <wp:extent cx="5524501" cy="2362200"/>
            <wp:effectExtent l="0" t="0" r="0" b="0"/>
            <wp:docPr id="343" name="Picture 343"/>
            <wp:cNvGraphicFramePr/>
            <a:graphic xmlns:a="http://schemas.openxmlformats.org/drawingml/2006/main">
              <a:graphicData uri="http://schemas.openxmlformats.org/drawingml/2006/picture">
                <pic:pic xmlns:pic="http://schemas.openxmlformats.org/drawingml/2006/picture">
                  <pic:nvPicPr>
                    <pic:cNvPr id="343" name="Picture 343"/>
                    <pic:cNvPicPr/>
                  </pic:nvPicPr>
                  <pic:blipFill>
                    <a:blip r:embed="rId8"/>
                    <a:stretch>
                      <a:fillRect/>
                    </a:stretch>
                  </pic:blipFill>
                  <pic:spPr>
                    <a:xfrm>
                      <a:off x="0" y="0"/>
                      <a:ext cx="5524501" cy="2362200"/>
                    </a:xfrm>
                    <a:prstGeom prst="rect">
                      <a:avLst/>
                    </a:prstGeom>
                  </pic:spPr>
                </pic:pic>
              </a:graphicData>
            </a:graphic>
          </wp:inline>
        </w:drawing>
      </w:r>
      <w:r>
        <w:t xml:space="preserve"> </w:t>
      </w:r>
    </w:p>
    <w:p w14:paraId="5E8529B4" w14:textId="77777777" w:rsidR="00A07D00" w:rsidRDefault="00391D62">
      <w:pPr>
        <w:spacing w:after="137" w:line="240" w:lineRule="auto"/>
        <w:ind w:left="10" w:right="-15" w:hanging="10"/>
        <w:jc w:val="center"/>
      </w:pPr>
      <w:r>
        <w:t xml:space="preserve">Figure 2.1 Number of people employed over the years (ONS, 2022) </w:t>
      </w:r>
    </w:p>
    <w:p w14:paraId="359DD0E2" w14:textId="77777777" w:rsidR="00A07D00" w:rsidRDefault="00391D62">
      <w:pPr>
        <w:spacing w:after="0" w:line="240" w:lineRule="auto"/>
        <w:ind w:left="0" w:firstLine="0"/>
        <w:jc w:val="left"/>
      </w:pPr>
      <w:r>
        <w:t xml:space="preserve"> </w:t>
      </w:r>
    </w:p>
    <w:p w14:paraId="02633690" w14:textId="77777777" w:rsidR="00A07D00" w:rsidRDefault="00391D62">
      <w:pPr>
        <w:spacing w:after="372"/>
        <w:ind w:left="-15" w:firstLine="566"/>
      </w:pPr>
      <w:r>
        <w:t xml:space="preserve">This contrasts to a recession-era low of 70.1% in July-September 2011. Following the nationwide coronavirus shutdown in March 2020, employment levels declined and continued to decline throughout 2020, falling to 32,13 million by the end of 2020. (Bell et al., 2020). Job growth started to improve in the first half of 2021, but stayed flat in the second half of that year before increasing again at the start of 2022. The unemployment rate has stayed near to 75.5% during the last year, compared to 76.3% before the epidemic. (Bick et al., 2022). </w:t>
      </w:r>
    </w:p>
    <w:p w14:paraId="3330D83A" w14:textId="77777777" w:rsidR="00A07D00" w:rsidRPr="00772DBB" w:rsidRDefault="00391D62">
      <w:pPr>
        <w:pStyle w:val="Heading2"/>
        <w:ind w:left="405" w:hanging="420"/>
        <w:rPr>
          <w:sz w:val="28"/>
          <w:szCs w:val="28"/>
        </w:rPr>
      </w:pPr>
      <w:bookmarkStart w:id="4" w:name="_Toc123667172"/>
      <w:r w:rsidRPr="00772DBB">
        <w:rPr>
          <w:sz w:val="28"/>
          <w:szCs w:val="28"/>
        </w:rPr>
        <w:t>Type of Job Analysis</w:t>
      </w:r>
      <w:bookmarkEnd w:id="4"/>
      <w:r w:rsidRPr="00772DBB">
        <w:rPr>
          <w:sz w:val="28"/>
          <w:szCs w:val="28"/>
        </w:rPr>
        <w:t xml:space="preserve"> </w:t>
      </w:r>
    </w:p>
    <w:p w14:paraId="73E3FF76" w14:textId="77777777" w:rsidR="00A07D00" w:rsidRDefault="00391D62">
      <w:pPr>
        <w:ind w:left="-15" w:firstLine="566"/>
      </w:pPr>
      <w:r>
        <w:t xml:space="preserve">According to Bick et al., (2022), since the turn of the century, the expansion in employment has been led by full-time employees. The percentage of those working full-time has increased steadily since the beginning of the pandemic, whereas the number of people working part-time has decreased dramatically. There was also a decline in the number of </w:t>
      </w:r>
      <w:r w:rsidR="00987EE2">
        <w:t>self-employed</w:t>
      </w:r>
      <w:r>
        <w:t xml:space="preserve"> individuals, owing in part to workers in the same position transitioning from </w:t>
      </w:r>
      <w:r w:rsidR="00987EE2">
        <w:t>self-employment</w:t>
      </w:r>
      <w:r>
        <w:t xml:space="preserve"> to employment status. Figure 2.2 shows the changes in the job type over the years. </w:t>
      </w:r>
    </w:p>
    <w:p w14:paraId="0CCC5346" w14:textId="77777777" w:rsidR="00A07D00" w:rsidRDefault="00391D62">
      <w:pPr>
        <w:spacing w:after="0" w:line="240" w:lineRule="auto"/>
        <w:ind w:left="567" w:firstLine="0"/>
        <w:jc w:val="left"/>
      </w:pPr>
      <w:r>
        <w:t xml:space="preserve"> </w:t>
      </w:r>
    </w:p>
    <w:p w14:paraId="15A34C38" w14:textId="77777777" w:rsidR="00A07D00" w:rsidRDefault="00391D62">
      <w:pPr>
        <w:spacing w:after="0" w:line="240" w:lineRule="auto"/>
        <w:ind w:left="0" w:right="286" w:firstLine="0"/>
        <w:jc w:val="right"/>
      </w:pPr>
      <w:r>
        <w:rPr>
          <w:rFonts w:ascii="Calibri" w:eastAsia="Calibri" w:hAnsi="Calibri" w:cs="Calibri"/>
          <w:noProof/>
          <w:sz w:val="22"/>
          <w:lang w:val="en-US"/>
        </w:rPr>
        <w:lastRenderedPageBreak/>
        <w:drawing>
          <wp:inline distT="0" distB="0" distL="0" distR="0" wp14:anchorId="2EAA7FF1" wp14:editId="5DFB0EB3">
            <wp:extent cx="5295900" cy="2171700"/>
            <wp:effectExtent l="0" t="0" r="0" b="0"/>
            <wp:docPr id="439" name="Picture 439"/>
            <wp:cNvGraphicFramePr/>
            <a:graphic xmlns:a="http://schemas.openxmlformats.org/drawingml/2006/main">
              <a:graphicData uri="http://schemas.openxmlformats.org/drawingml/2006/picture">
                <pic:pic xmlns:pic="http://schemas.openxmlformats.org/drawingml/2006/picture">
                  <pic:nvPicPr>
                    <pic:cNvPr id="439" name="Picture 439"/>
                    <pic:cNvPicPr/>
                  </pic:nvPicPr>
                  <pic:blipFill>
                    <a:blip r:embed="rId9"/>
                    <a:stretch>
                      <a:fillRect/>
                    </a:stretch>
                  </pic:blipFill>
                  <pic:spPr>
                    <a:xfrm>
                      <a:off x="0" y="0"/>
                      <a:ext cx="5295900" cy="2171700"/>
                    </a:xfrm>
                    <a:prstGeom prst="rect">
                      <a:avLst/>
                    </a:prstGeom>
                  </pic:spPr>
                </pic:pic>
              </a:graphicData>
            </a:graphic>
          </wp:inline>
        </w:drawing>
      </w:r>
      <w:r>
        <w:t xml:space="preserve"> </w:t>
      </w:r>
    </w:p>
    <w:p w14:paraId="34AFC521" w14:textId="77777777" w:rsidR="00A07D00" w:rsidRDefault="00391D62">
      <w:pPr>
        <w:spacing w:after="137" w:line="240" w:lineRule="auto"/>
        <w:ind w:left="10" w:right="-15" w:hanging="10"/>
        <w:jc w:val="center"/>
      </w:pPr>
      <w:r>
        <w:t xml:space="preserve">Figure 2.2 Change in employment in UK (ONS, 2022) </w:t>
      </w:r>
    </w:p>
    <w:p w14:paraId="562A5316" w14:textId="77777777" w:rsidR="00A07D00" w:rsidRDefault="00391D62">
      <w:pPr>
        <w:spacing w:after="0" w:line="240" w:lineRule="auto"/>
        <w:ind w:left="0" w:firstLine="0"/>
        <w:jc w:val="center"/>
      </w:pPr>
      <w:r>
        <w:t xml:space="preserve"> </w:t>
      </w:r>
    </w:p>
    <w:p w14:paraId="30C25380" w14:textId="77777777" w:rsidR="00A07D00" w:rsidRDefault="00391D62">
      <w:pPr>
        <w:ind w:left="-15" w:firstLine="566"/>
      </w:pPr>
      <w:r>
        <w:t xml:space="preserve">Since the start of the pandemic, there has been an increase in the number of people working full time and a considerable fall in the percentage of those working part time. The number of full-time male workers has dropped, as seen in the graph below, but the number of part-time female workers has dropped even more dramatically. (Deaton et al., 2020). </w:t>
      </w:r>
    </w:p>
    <w:p w14:paraId="2A0A2D8B" w14:textId="77777777" w:rsidR="00A07D00" w:rsidRDefault="00391D62">
      <w:pPr>
        <w:spacing w:after="370"/>
        <w:ind w:left="-15" w:firstLine="566"/>
      </w:pPr>
      <w:r>
        <w:t xml:space="preserve">In August-October 2022, there were 28.41 million professional individuals and 4.23 million self-employed individuals. Since 2011, the majority of the growth in work have been driven by workers, while the number of persons in self-employment has also grown steadily. After the beginning of the epidemic, the number of workers continued to </w:t>
      </w:r>
      <w:r w:rsidR="00987EE2">
        <w:t>grow in</w:t>
      </w:r>
      <w:r>
        <w:t xml:space="preserve"> the first quarter of this year, the number of full-time workers hit its highest level since records started in 1992. In August-October 2022, there were 935,000 more full-time workers than there were before the epidemic. In comparison, despite a rise over the last year, there were 362,000 fewer part-time workers than before the epidemic. Since the beginning of the pandemic, the proportion of self-employees has decreased and remained 739,000 below pre-pandemic rates in August-October 2022. (Guyot et al., 2022). </w:t>
      </w:r>
    </w:p>
    <w:p w14:paraId="6381F161" w14:textId="77777777" w:rsidR="00A07D00" w:rsidRPr="00772DBB" w:rsidRDefault="00391D62">
      <w:pPr>
        <w:pStyle w:val="Heading2"/>
        <w:ind w:left="405" w:hanging="420"/>
        <w:rPr>
          <w:sz w:val="28"/>
          <w:szCs w:val="28"/>
        </w:rPr>
      </w:pPr>
      <w:bookmarkStart w:id="5" w:name="_Toc123667173"/>
      <w:r w:rsidRPr="00772DBB">
        <w:rPr>
          <w:sz w:val="28"/>
          <w:szCs w:val="28"/>
        </w:rPr>
        <w:t>Long-term underemployment</w:t>
      </w:r>
      <w:bookmarkEnd w:id="5"/>
      <w:r w:rsidRPr="00772DBB">
        <w:rPr>
          <w:sz w:val="28"/>
          <w:szCs w:val="28"/>
        </w:rPr>
        <w:t xml:space="preserve"> </w:t>
      </w:r>
    </w:p>
    <w:p w14:paraId="0B1605CF" w14:textId="77777777" w:rsidR="00A07D00" w:rsidRDefault="00391D62">
      <w:pPr>
        <w:spacing w:after="370"/>
        <w:ind w:left="-15" w:firstLine="720"/>
      </w:pPr>
      <w:r>
        <w:t xml:space="preserve">The creation of long-term unemployment is a significant worry for both economists and policymakers. Inasmuch as short-term unemployment is a necessary </w:t>
      </w:r>
      <w:r w:rsidR="005767CB">
        <w:t>by-product</w:t>
      </w:r>
      <w:r>
        <w:t xml:space="preserve"> of the re - allocation of ability within the </w:t>
      </w:r>
      <w:r w:rsidR="005767CB">
        <w:t>labour</w:t>
      </w:r>
      <w:r>
        <w:t xml:space="preserve"> market, excessive rates of long-term unemployment may be indicative of structural issues in </w:t>
      </w:r>
      <w:r w:rsidR="005767CB">
        <w:t>labour</w:t>
      </w:r>
      <w:r>
        <w:t xml:space="preserve"> market structures and therefore the need for change. Long-term unemployment has significant societal repercussions since a grossly disproportionate part of the cost of a recession falls on a relatively small number of persons. It is a leading source of poverty and affects the mental and physical health of individuals. In addition, the long-term detachment of employees from the </w:t>
      </w:r>
      <w:r w:rsidR="005767CB">
        <w:t>labour</w:t>
      </w:r>
      <w:r>
        <w:t xml:space="preserve"> market may result in a </w:t>
      </w:r>
      <w:r>
        <w:lastRenderedPageBreak/>
        <w:t>devaluation of their human capital, making it even more difficult for them to obtain a job in the future, thereby triggering a vicious cycle and raising the structural unemployment rate</w:t>
      </w:r>
      <w:r w:rsidR="005767CB">
        <w:t>...</w:t>
      </w:r>
      <w:r>
        <w:t xml:space="preserve"> (Kristof et al., 2020). </w:t>
      </w:r>
    </w:p>
    <w:p w14:paraId="66E99B6E" w14:textId="77777777" w:rsidR="00A07D00" w:rsidRPr="00772DBB" w:rsidRDefault="00391D62">
      <w:pPr>
        <w:pStyle w:val="Heading2"/>
        <w:ind w:left="405" w:hanging="420"/>
        <w:rPr>
          <w:sz w:val="28"/>
          <w:szCs w:val="28"/>
        </w:rPr>
      </w:pPr>
      <w:bookmarkStart w:id="6" w:name="_Toc123667174"/>
      <w:r w:rsidRPr="00772DBB">
        <w:rPr>
          <w:sz w:val="28"/>
          <w:szCs w:val="28"/>
        </w:rPr>
        <w:t>Macro Environment Factors of UK</w:t>
      </w:r>
      <w:bookmarkEnd w:id="6"/>
      <w:r w:rsidRPr="00772DBB">
        <w:rPr>
          <w:sz w:val="28"/>
          <w:szCs w:val="28"/>
        </w:rPr>
        <w:t xml:space="preserve"> </w:t>
      </w:r>
    </w:p>
    <w:p w14:paraId="2AFCC4DF" w14:textId="77777777" w:rsidR="00A07D00" w:rsidRDefault="00391D62">
      <w:pPr>
        <w:ind w:left="-15" w:firstLine="720"/>
      </w:pPr>
      <w:r>
        <w:t xml:space="preserve">For the purpose of </w:t>
      </w:r>
      <w:r w:rsidR="005767CB">
        <w:t>analysing</w:t>
      </w:r>
      <w:r>
        <w:t xml:space="preserve"> the macro environment factors affecting the Job market of UK, the author conducts a PESTLE analysis. The political, economic, social, and technological (PEST) analysis is a useful method for </w:t>
      </w:r>
      <w:r w:rsidR="005767CB">
        <w:t>analysing</w:t>
      </w:r>
      <w:r>
        <w:t xml:space="preserve"> a company's position in the marketplace. (Quinones, 2015). </w:t>
      </w:r>
    </w:p>
    <w:p w14:paraId="3E1966CB" w14:textId="77777777" w:rsidR="00A07D00" w:rsidRDefault="00391D62">
      <w:pPr>
        <w:spacing w:after="126" w:line="240" w:lineRule="auto"/>
        <w:ind w:left="720" w:firstLine="0"/>
        <w:jc w:val="left"/>
      </w:pPr>
      <w:r>
        <w:t xml:space="preserve"> </w:t>
      </w:r>
    </w:p>
    <w:p w14:paraId="6F895408" w14:textId="77777777" w:rsidR="00A07D00" w:rsidRDefault="00391D62">
      <w:pPr>
        <w:spacing w:after="82" w:line="240" w:lineRule="auto"/>
        <w:ind w:left="0" w:firstLine="0"/>
        <w:jc w:val="right"/>
      </w:pPr>
      <w:r>
        <w:rPr>
          <w:rFonts w:ascii="Calibri" w:eastAsia="Calibri" w:hAnsi="Calibri" w:cs="Calibri"/>
          <w:noProof/>
          <w:position w:val="2"/>
          <w:sz w:val="22"/>
          <w:lang w:val="en-US"/>
        </w:rPr>
        <w:drawing>
          <wp:inline distT="0" distB="0" distL="0" distR="0" wp14:anchorId="036FD42E" wp14:editId="2C0A9031">
            <wp:extent cx="5734050" cy="5994400"/>
            <wp:effectExtent l="0" t="0" r="0" b="0"/>
            <wp:docPr id="6352" name="Picture 6352"/>
            <wp:cNvGraphicFramePr/>
            <a:graphic xmlns:a="http://schemas.openxmlformats.org/drawingml/2006/main">
              <a:graphicData uri="http://schemas.openxmlformats.org/drawingml/2006/picture">
                <pic:pic xmlns:pic="http://schemas.openxmlformats.org/drawingml/2006/picture">
                  <pic:nvPicPr>
                    <pic:cNvPr id="6352" name="Picture 6352"/>
                    <pic:cNvPicPr/>
                  </pic:nvPicPr>
                  <pic:blipFill>
                    <a:blip r:embed="rId10"/>
                    <a:stretch>
                      <a:fillRect/>
                    </a:stretch>
                  </pic:blipFill>
                  <pic:spPr>
                    <a:xfrm>
                      <a:off x="0" y="0"/>
                      <a:ext cx="5734050" cy="5994400"/>
                    </a:xfrm>
                    <a:prstGeom prst="rect">
                      <a:avLst/>
                    </a:prstGeom>
                  </pic:spPr>
                </pic:pic>
              </a:graphicData>
            </a:graphic>
          </wp:inline>
        </w:drawing>
      </w:r>
      <w:r>
        <w:t xml:space="preserve"> </w:t>
      </w:r>
    </w:p>
    <w:p w14:paraId="3C8DF99A" w14:textId="77777777" w:rsidR="00AD644B" w:rsidRDefault="00391D62">
      <w:pPr>
        <w:spacing w:after="0" w:line="240" w:lineRule="auto"/>
        <w:ind w:left="10" w:right="-15" w:hanging="10"/>
        <w:jc w:val="center"/>
      </w:pPr>
      <w:r>
        <w:lastRenderedPageBreak/>
        <w:t>Figure 2.3 PESTLE Analysis of UK Job Market (Created by author).</w:t>
      </w:r>
    </w:p>
    <w:p w14:paraId="0269B264" w14:textId="2C4A6192" w:rsidR="00A07D00" w:rsidRDefault="00391D62">
      <w:pPr>
        <w:spacing w:after="0" w:line="240" w:lineRule="auto"/>
        <w:ind w:left="10" w:right="-15" w:hanging="10"/>
        <w:jc w:val="center"/>
      </w:pPr>
      <w:r>
        <w:t xml:space="preserve">  </w:t>
      </w:r>
    </w:p>
    <w:p w14:paraId="2BED66FE" w14:textId="77777777" w:rsidR="00A07D00" w:rsidRDefault="00391D62">
      <w:pPr>
        <w:spacing w:after="372"/>
        <w:ind w:left="-15" w:firstLine="720"/>
      </w:pPr>
      <w:r>
        <w:t xml:space="preserve">It seems that the United Kingdom will have a bright future. The excellent social standards, moderately solid economy, political stability, and technological advancements of the UK indicate that the nation will continue to grow. We conclude that the covid-19 pandemic has caused major disruptions after examining the UK pestle data in detail. Currently, the country's leaders are grappling with how to reduce the nation's high unemployment, taxes, and inflation rates. Taking such measures will fix a lot of issues. (Mousteri et al., 2020). </w:t>
      </w:r>
    </w:p>
    <w:p w14:paraId="4D94EEC0" w14:textId="77777777" w:rsidR="00A07D00" w:rsidRDefault="00391D62">
      <w:pPr>
        <w:pStyle w:val="Heading1"/>
        <w:spacing w:line="350" w:lineRule="auto"/>
      </w:pPr>
      <w:bookmarkStart w:id="7" w:name="_Toc123667175"/>
      <w:r>
        <w:t>The Emerging Changes in Human Resourcing Strategies in the Post COVID, Post Brexit External environment.</w:t>
      </w:r>
      <w:bookmarkEnd w:id="7"/>
      <w:r>
        <w:t xml:space="preserve"> </w:t>
      </w:r>
    </w:p>
    <w:p w14:paraId="65980960" w14:textId="77777777" w:rsidR="00A07D00" w:rsidRDefault="00391D62">
      <w:pPr>
        <w:ind w:left="-15" w:firstLine="720"/>
      </w:pPr>
      <w:r>
        <w:t xml:space="preserve">Human Resources (HR) are at the heart of COVID-19's disruption of global economies and businesses. HR is becoming more important as firms recover. There seems to be no end to the HR-related questions that have arisen in the wake of COVID-19. The outbreak and its aftermath have shown the significance of a flexible and resilient workforce, hastened the transition to a digital economy, and put human resources front and centre as the new normal. (Kristof et al., 2020). The main considerations of post COVID HR management strategies are as follows: </w:t>
      </w:r>
    </w:p>
    <w:p w14:paraId="14AC889C" w14:textId="77777777" w:rsidR="00A07D00" w:rsidRDefault="00391D62">
      <w:pPr>
        <w:spacing w:after="129" w:line="240" w:lineRule="auto"/>
        <w:ind w:left="720" w:firstLine="0"/>
        <w:jc w:val="left"/>
      </w:pPr>
      <w:r>
        <w:t xml:space="preserve"> </w:t>
      </w:r>
    </w:p>
    <w:p w14:paraId="3A018F41" w14:textId="77777777" w:rsidR="00A07D00" w:rsidRDefault="00391D62">
      <w:pPr>
        <w:spacing w:after="82" w:line="240" w:lineRule="auto"/>
        <w:ind w:left="0" w:right="137" w:firstLine="0"/>
        <w:jc w:val="right"/>
      </w:pPr>
      <w:r>
        <w:rPr>
          <w:rFonts w:ascii="Calibri" w:eastAsia="Calibri" w:hAnsi="Calibri" w:cs="Calibri"/>
          <w:noProof/>
          <w:sz w:val="22"/>
          <w:lang w:val="en-US"/>
        </w:rPr>
        <mc:AlternateContent>
          <mc:Choice Requires="wpg">
            <w:drawing>
              <wp:inline distT="0" distB="0" distL="0" distR="0" wp14:anchorId="469DFFEC" wp14:editId="366FD8C7">
                <wp:extent cx="4320921" cy="3233573"/>
                <wp:effectExtent l="0" t="0" r="0" b="0"/>
                <wp:docPr id="6369" name="Group 6369"/>
                <wp:cNvGraphicFramePr/>
                <a:graphic xmlns:a="http://schemas.openxmlformats.org/drawingml/2006/main">
                  <a:graphicData uri="http://schemas.microsoft.com/office/word/2010/wordprocessingGroup">
                    <wpg:wgp>
                      <wpg:cNvGrpSpPr/>
                      <wpg:grpSpPr>
                        <a:xfrm>
                          <a:off x="0" y="0"/>
                          <a:ext cx="4320921" cy="3233573"/>
                          <a:chOff x="0" y="0"/>
                          <a:chExt cx="4320921" cy="3233573"/>
                        </a:xfrm>
                      </wpg:grpSpPr>
                      <wps:wsp>
                        <wps:cNvPr id="557" name="Rectangle 557"/>
                        <wps:cNvSpPr/>
                        <wps:spPr>
                          <a:xfrm>
                            <a:off x="4282821" y="3064866"/>
                            <a:ext cx="50673" cy="224380"/>
                          </a:xfrm>
                          <a:prstGeom prst="rect">
                            <a:avLst/>
                          </a:prstGeom>
                          <a:ln>
                            <a:noFill/>
                          </a:ln>
                        </wps:spPr>
                        <wps:txbx>
                          <w:txbxContent>
                            <w:p w14:paraId="1291C192" w14:textId="77777777" w:rsidR="00A07D00" w:rsidRDefault="00391D62">
                              <w:pPr>
                                <w:spacing w:after="0" w:line="276" w:lineRule="auto"/>
                                <w:ind w:left="0" w:firstLine="0"/>
                                <w:jc w:val="left"/>
                              </w:pPr>
                              <w:r>
                                <w:t xml:space="preserve"> </w:t>
                              </w:r>
                            </w:p>
                          </w:txbxContent>
                        </wps:txbx>
                        <wps:bodyPr horzOverflow="overflow" lIns="0" tIns="0" rIns="0" bIns="0" rtlCol="0">
                          <a:noAutofit/>
                        </wps:bodyPr>
                      </wps:wsp>
                      <wps:wsp>
                        <wps:cNvPr id="575" name="Shape 575"/>
                        <wps:cNvSpPr/>
                        <wps:spPr>
                          <a:xfrm>
                            <a:off x="34544" y="394081"/>
                            <a:ext cx="1504442" cy="1975739"/>
                          </a:xfrm>
                          <a:custGeom>
                            <a:avLst/>
                            <a:gdLst/>
                            <a:ahLst/>
                            <a:cxnLst/>
                            <a:rect l="0" t="0" r="0" b="0"/>
                            <a:pathLst>
                              <a:path w="1504442" h="1975739">
                                <a:moveTo>
                                  <a:pt x="1504442" y="0"/>
                                </a:moveTo>
                                <a:lnTo>
                                  <a:pt x="1504442" y="122428"/>
                                </a:lnTo>
                                <a:cubicBezTo>
                                  <a:pt x="844550" y="122428"/>
                                  <a:pt x="309626" y="657352"/>
                                  <a:pt x="309626" y="1317117"/>
                                </a:cubicBezTo>
                                <a:cubicBezTo>
                                  <a:pt x="309626" y="1526921"/>
                                  <a:pt x="364871" y="1732915"/>
                                  <a:pt x="469773" y="1914525"/>
                                </a:cubicBezTo>
                                <a:lnTo>
                                  <a:pt x="363728" y="1975739"/>
                                </a:lnTo>
                                <a:cubicBezTo>
                                  <a:pt x="0" y="1345819"/>
                                  <a:pt x="215900" y="540258"/>
                                  <a:pt x="845820" y="176530"/>
                                </a:cubicBezTo>
                                <a:cubicBezTo>
                                  <a:pt x="1046099" y="60960"/>
                                  <a:pt x="1273175" y="0"/>
                                  <a:pt x="1504442" y="0"/>
                                </a:cubicBezTo>
                                <a:close/>
                              </a:path>
                            </a:pathLst>
                          </a:custGeom>
                          <a:ln w="0" cap="flat">
                            <a:miter lim="127000"/>
                          </a:ln>
                        </wps:spPr>
                        <wps:style>
                          <a:lnRef idx="0">
                            <a:srgbClr val="000000"/>
                          </a:lnRef>
                          <a:fillRef idx="1">
                            <a:srgbClr val="B0BCDE"/>
                          </a:fillRef>
                          <a:effectRef idx="0">
                            <a:scrgbClr r="0" g="0" b="0"/>
                          </a:effectRef>
                          <a:fontRef idx="none"/>
                        </wps:style>
                        <wps:bodyPr/>
                      </wps:wsp>
                      <wps:wsp>
                        <wps:cNvPr id="576" name="Shape 576"/>
                        <wps:cNvSpPr/>
                        <wps:spPr>
                          <a:xfrm>
                            <a:off x="398272" y="2308606"/>
                            <a:ext cx="2281428" cy="767334"/>
                          </a:xfrm>
                          <a:custGeom>
                            <a:avLst/>
                            <a:gdLst/>
                            <a:ahLst/>
                            <a:cxnLst/>
                            <a:rect l="0" t="0" r="0" b="0"/>
                            <a:pathLst>
                              <a:path w="2281428" h="767334">
                                <a:moveTo>
                                  <a:pt x="106045" y="0"/>
                                </a:moveTo>
                                <a:cubicBezTo>
                                  <a:pt x="435864" y="571500"/>
                                  <a:pt x="1166622" y="767334"/>
                                  <a:pt x="1738122" y="437388"/>
                                </a:cubicBezTo>
                                <a:cubicBezTo>
                                  <a:pt x="1919732" y="332486"/>
                                  <a:pt x="2070608" y="181610"/>
                                  <a:pt x="2175383" y="0"/>
                                </a:cubicBezTo>
                                <a:lnTo>
                                  <a:pt x="2281428" y="61214"/>
                                </a:lnTo>
                                <a:cubicBezTo>
                                  <a:pt x="2031365" y="494284"/>
                                  <a:pt x="1572467" y="731665"/>
                                  <a:pt x="1105341" y="719542"/>
                                </a:cubicBezTo>
                                <a:cubicBezTo>
                                  <a:pt x="893011" y="714032"/>
                                  <a:pt x="678982" y="656971"/>
                                  <a:pt x="482092" y="543306"/>
                                </a:cubicBezTo>
                                <a:cubicBezTo>
                                  <a:pt x="281940" y="427736"/>
                                  <a:pt x="115697" y="261493"/>
                                  <a:pt x="0" y="61214"/>
                                </a:cubicBezTo>
                                <a:lnTo>
                                  <a:pt x="106045" y="0"/>
                                </a:lnTo>
                                <a:close/>
                              </a:path>
                            </a:pathLst>
                          </a:custGeom>
                          <a:ln w="0" cap="flat">
                            <a:miter lim="127000"/>
                          </a:ln>
                        </wps:spPr>
                        <wps:style>
                          <a:lnRef idx="0">
                            <a:srgbClr val="000000"/>
                          </a:lnRef>
                          <a:fillRef idx="1">
                            <a:srgbClr val="B0BCDE"/>
                          </a:fillRef>
                          <a:effectRef idx="0">
                            <a:scrgbClr r="0" g="0" b="0"/>
                          </a:effectRef>
                          <a:fontRef idx="none"/>
                        </wps:style>
                        <wps:bodyPr/>
                      </wps:wsp>
                      <wps:wsp>
                        <wps:cNvPr id="577" name="Shape 577"/>
                        <wps:cNvSpPr/>
                        <wps:spPr>
                          <a:xfrm>
                            <a:off x="1538986" y="394081"/>
                            <a:ext cx="1364615" cy="1975739"/>
                          </a:xfrm>
                          <a:custGeom>
                            <a:avLst/>
                            <a:gdLst/>
                            <a:ahLst/>
                            <a:cxnLst/>
                            <a:rect l="0" t="0" r="0" b="0"/>
                            <a:pathLst>
                              <a:path w="1364615" h="1975739">
                                <a:moveTo>
                                  <a:pt x="0" y="0"/>
                                </a:moveTo>
                                <a:cubicBezTo>
                                  <a:pt x="727456" y="0"/>
                                  <a:pt x="1317117" y="589788"/>
                                  <a:pt x="1317117" y="1317117"/>
                                </a:cubicBezTo>
                                <a:cubicBezTo>
                                  <a:pt x="1317117" y="1548384"/>
                                  <a:pt x="1256284" y="1775460"/>
                                  <a:pt x="1140714" y="1975739"/>
                                </a:cubicBezTo>
                                <a:lnTo>
                                  <a:pt x="1034669" y="1914525"/>
                                </a:lnTo>
                                <a:cubicBezTo>
                                  <a:pt x="1364615" y="1343151"/>
                                  <a:pt x="1168908" y="612394"/>
                                  <a:pt x="597408" y="282448"/>
                                </a:cubicBezTo>
                                <a:cubicBezTo>
                                  <a:pt x="415798" y="177546"/>
                                  <a:pt x="209677" y="122428"/>
                                  <a:pt x="0" y="122428"/>
                                </a:cubicBezTo>
                                <a:lnTo>
                                  <a:pt x="0" y="0"/>
                                </a:lnTo>
                                <a:close/>
                              </a:path>
                            </a:pathLst>
                          </a:custGeom>
                          <a:ln w="0" cap="flat">
                            <a:miter lim="127000"/>
                          </a:ln>
                        </wps:spPr>
                        <wps:style>
                          <a:lnRef idx="0">
                            <a:srgbClr val="000000"/>
                          </a:lnRef>
                          <a:fillRef idx="1">
                            <a:srgbClr val="B0BCDE"/>
                          </a:fillRef>
                          <a:effectRef idx="0">
                            <a:scrgbClr r="0" g="0" b="0"/>
                          </a:effectRef>
                          <a:fontRef idx="none"/>
                        </wps:style>
                        <wps:bodyPr/>
                      </wps:wsp>
                      <wps:wsp>
                        <wps:cNvPr id="578" name="Shape 578"/>
                        <wps:cNvSpPr/>
                        <wps:spPr>
                          <a:xfrm>
                            <a:off x="932180" y="1104519"/>
                            <a:ext cx="1213612" cy="1213485"/>
                          </a:xfrm>
                          <a:custGeom>
                            <a:avLst/>
                            <a:gdLst/>
                            <a:ahLst/>
                            <a:cxnLst/>
                            <a:rect l="0" t="0" r="0" b="0"/>
                            <a:pathLst>
                              <a:path w="1213612" h="1213485">
                                <a:moveTo>
                                  <a:pt x="606806" y="0"/>
                                </a:moveTo>
                                <a:cubicBezTo>
                                  <a:pt x="941959" y="0"/>
                                  <a:pt x="1213612" y="271654"/>
                                  <a:pt x="1213612" y="606680"/>
                                </a:cubicBezTo>
                                <a:cubicBezTo>
                                  <a:pt x="1213612" y="941832"/>
                                  <a:pt x="941959" y="1213485"/>
                                  <a:pt x="606806" y="1213485"/>
                                </a:cubicBezTo>
                                <a:cubicBezTo>
                                  <a:pt x="271653" y="1213485"/>
                                  <a:pt x="0" y="941832"/>
                                  <a:pt x="0" y="606680"/>
                                </a:cubicBezTo>
                                <a:cubicBezTo>
                                  <a:pt x="0" y="271654"/>
                                  <a:pt x="271653" y="0"/>
                                  <a:pt x="606806" y="0"/>
                                </a:cubicBezTo>
                                <a:close/>
                              </a:path>
                            </a:pathLst>
                          </a:custGeom>
                          <a:ln w="0" cap="flat">
                            <a:miter lim="127000"/>
                          </a:ln>
                        </wps:spPr>
                        <wps:style>
                          <a:lnRef idx="0">
                            <a:srgbClr val="000000"/>
                          </a:lnRef>
                          <a:fillRef idx="1">
                            <a:srgbClr val="4472C4"/>
                          </a:fillRef>
                          <a:effectRef idx="0">
                            <a:scrgbClr r="0" g="0" b="0"/>
                          </a:effectRef>
                          <a:fontRef idx="none"/>
                        </wps:style>
                        <wps:bodyPr/>
                      </wps:wsp>
                      <wps:wsp>
                        <wps:cNvPr id="579" name="Shape 579"/>
                        <wps:cNvSpPr/>
                        <wps:spPr>
                          <a:xfrm>
                            <a:off x="932180" y="1104519"/>
                            <a:ext cx="1213612" cy="1213485"/>
                          </a:xfrm>
                          <a:custGeom>
                            <a:avLst/>
                            <a:gdLst/>
                            <a:ahLst/>
                            <a:cxnLst/>
                            <a:rect l="0" t="0" r="0" b="0"/>
                            <a:pathLst>
                              <a:path w="1213612" h="1213485">
                                <a:moveTo>
                                  <a:pt x="0" y="606680"/>
                                </a:moveTo>
                                <a:cubicBezTo>
                                  <a:pt x="0" y="271654"/>
                                  <a:pt x="271653" y="0"/>
                                  <a:pt x="606806" y="0"/>
                                </a:cubicBezTo>
                                <a:cubicBezTo>
                                  <a:pt x="941959" y="0"/>
                                  <a:pt x="1213612" y="271654"/>
                                  <a:pt x="1213612" y="606680"/>
                                </a:cubicBezTo>
                                <a:cubicBezTo>
                                  <a:pt x="1213612" y="941832"/>
                                  <a:pt x="941959" y="1213485"/>
                                  <a:pt x="606806" y="1213485"/>
                                </a:cubicBezTo>
                                <a:cubicBezTo>
                                  <a:pt x="271653" y="1213485"/>
                                  <a:pt x="0" y="941832"/>
                                  <a:pt x="0" y="606680"/>
                                </a:cubicBezTo>
                                <a:close/>
                              </a:path>
                            </a:pathLst>
                          </a:custGeom>
                          <a:ln w="12700" cap="flat">
                            <a:miter lim="127000"/>
                          </a:ln>
                        </wps:spPr>
                        <wps:style>
                          <a:lnRef idx="1">
                            <a:srgbClr val="FFFFFF"/>
                          </a:lnRef>
                          <a:fillRef idx="0">
                            <a:srgbClr val="000000">
                              <a:alpha val="0"/>
                            </a:srgbClr>
                          </a:fillRef>
                          <a:effectRef idx="0">
                            <a:scrgbClr r="0" g="0" b="0"/>
                          </a:effectRef>
                          <a:fontRef idx="none"/>
                        </wps:style>
                        <wps:bodyPr/>
                      </wps:wsp>
                      <wps:wsp>
                        <wps:cNvPr id="580" name="Rectangle 580"/>
                        <wps:cNvSpPr/>
                        <wps:spPr>
                          <a:xfrm>
                            <a:off x="1132967" y="1433450"/>
                            <a:ext cx="1134050" cy="241549"/>
                          </a:xfrm>
                          <a:prstGeom prst="rect">
                            <a:avLst/>
                          </a:prstGeom>
                          <a:ln>
                            <a:noFill/>
                          </a:ln>
                        </wps:spPr>
                        <wps:txbx>
                          <w:txbxContent>
                            <w:p w14:paraId="46C13032" w14:textId="77777777" w:rsidR="00A07D00" w:rsidRDefault="00391D62">
                              <w:pPr>
                                <w:spacing w:after="0" w:line="276" w:lineRule="auto"/>
                                <w:ind w:left="0" w:firstLine="0"/>
                                <w:jc w:val="left"/>
                              </w:pPr>
                              <w:r>
                                <w:rPr>
                                  <w:rFonts w:ascii="Calibri" w:eastAsia="Calibri" w:hAnsi="Calibri" w:cs="Calibri"/>
                                  <w:color w:val="FFFFFF"/>
                                  <w:sz w:val="28"/>
                                </w:rPr>
                                <w:t xml:space="preserve">Post COVID </w:t>
                              </w:r>
                            </w:p>
                          </w:txbxContent>
                        </wps:txbx>
                        <wps:bodyPr horzOverflow="overflow" lIns="0" tIns="0" rIns="0" bIns="0" rtlCol="0">
                          <a:noAutofit/>
                        </wps:bodyPr>
                      </wps:wsp>
                      <wps:wsp>
                        <wps:cNvPr id="581" name="Rectangle 581"/>
                        <wps:cNvSpPr/>
                        <wps:spPr>
                          <a:xfrm>
                            <a:off x="1358519" y="1628522"/>
                            <a:ext cx="533824" cy="241549"/>
                          </a:xfrm>
                          <a:prstGeom prst="rect">
                            <a:avLst/>
                          </a:prstGeom>
                          <a:ln>
                            <a:noFill/>
                          </a:ln>
                        </wps:spPr>
                        <wps:txbx>
                          <w:txbxContent>
                            <w:p w14:paraId="7443A42C" w14:textId="77777777" w:rsidR="00A07D00" w:rsidRDefault="00391D62">
                              <w:pPr>
                                <w:spacing w:after="0" w:line="276" w:lineRule="auto"/>
                                <w:ind w:left="0" w:firstLine="0"/>
                                <w:jc w:val="left"/>
                              </w:pPr>
                              <w:r>
                                <w:rPr>
                                  <w:rFonts w:ascii="Calibri" w:eastAsia="Calibri" w:hAnsi="Calibri" w:cs="Calibri"/>
                                  <w:color w:val="FFFFFF"/>
                                  <w:sz w:val="28"/>
                                </w:rPr>
                                <w:t xml:space="preserve">HRM </w:t>
                              </w:r>
                            </w:p>
                          </w:txbxContent>
                        </wps:txbx>
                        <wps:bodyPr horzOverflow="overflow" lIns="0" tIns="0" rIns="0" bIns="0" rtlCol="0">
                          <a:noAutofit/>
                        </wps:bodyPr>
                      </wps:wsp>
                      <wps:wsp>
                        <wps:cNvPr id="582" name="Rectangle 582"/>
                        <wps:cNvSpPr/>
                        <wps:spPr>
                          <a:xfrm>
                            <a:off x="1181735" y="1823593"/>
                            <a:ext cx="950496" cy="241550"/>
                          </a:xfrm>
                          <a:prstGeom prst="rect">
                            <a:avLst/>
                          </a:prstGeom>
                          <a:ln>
                            <a:noFill/>
                          </a:ln>
                        </wps:spPr>
                        <wps:txbx>
                          <w:txbxContent>
                            <w:p w14:paraId="6BAAA4F2" w14:textId="77777777" w:rsidR="00A07D00" w:rsidRDefault="00391D62">
                              <w:pPr>
                                <w:spacing w:after="0" w:line="276" w:lineRule="auto"/>
                                <w:ind w:left="0" w:firstLine="0"/>
                                <w:jc w:val="left"/>
                              </w:pPr>
                              <w:r>
                                <w:rPr>
                                  <w:rFonts w:ascii="Calibri" w:eastAsia="Calibri" w:hAnsi="Calibri" w:cs="Calibri"/>
                                  <w:color w:val="FFFFFF"/>
                                  <w:sz w:val="28"/>
                                </w:rPr>
                                <w:t xml:space="preserve">Strategies </w:t>
                              </w:r>
                            </w:p>
                          </w:txbxContent>
                        </wps:txbx>
                        <wps:bodyPr horzOverflow="overflow" lIns="0" tIns="0" rIns="0" bIns="0" rtlCol="0">
                          <a:noAutofit/>
                        </wps:bodyPr>
                      </wps:wsp>
                      <wps:wsp>
                        <wps:cNvPr id="583" name="Shape 583"/>
                        <wps:cNvSpPr/>
                        <wps:spPr>
                          <a:xfrm>
                            <a:off x="1114298" y="0"/>
                            <a:ext cx="849376" cy="849503"/>
                          </a:xfrm>
                          <a:custGeom>
                            <a:avLst/>
                            <a:gdLst/>
                            <a:ahLst/>
                            <a:cxnLst/>
                            <a:rect l="0" t="0" r="0" b="0"/>
                            <a:pathLst>
                              <a:path w="849376" h="849503">
                                <a:moveTo>
                                  <a:pt x="424688" y="0"/>
                                </a:moveTo>
                                <a:cubicBezTo>
                                  <a:pt x="659257" y="0"/>
                                  <a:pt x="849376" y="190119"/>
                                  <a:pt x="849376" y="424688"/>
                                </a:cubicBezTo>
                                <a:cubicBezTo>
                                  <a:pt x="849376" y="659257"/>
                                  <a:pt x="659257" y="849503"/>
                                  <a:pt x="424688" y="849503"/>
                                </a:cubicBezTo>
                                <a:cubicBezTo>
                                  <a:pt x="190119" y="849503"/>
                                  <a:pt x="0" y="659257"/>
                                  <a:pt x="0" y="424688"/>
                                </a:cubicBezTo>
                                <a:cubicBezTo>
                                  <a:pt x="0" y="190119"/>
                                  <a:pt x="190119" y="0"/>
                                  <a:pt x="424688" y="0"/>
                                </a:cubicBezTo>
                                <a:close/>
                              </a:path>
                            </a:pathLst>
                          </a:custGeom>
                          <a:ln w="0" cap="flat">
                            <a:miter lim="127000"/>
                          </a:ln>
                        </wps:spPr>
                        <wps:style>
                          <a:lnRef idx="0">
                            <a:srgbClr val="000000"/>
                          </a:lnRef>
                          <a:fillRef idx="1">
                            <a:srgbClr val="4472C4"/>
                          </a:fillRef>
                          <a:effectRef idx="0">
                            <a:scrgbClr r="0" g="0" b="0"/>
                          </a:effectRef>
                          <a:fontRef idx="none"/>
                        </wps:style>
                        <wps:bodyPr/>
                      </wps:wsp>
                      <wps:wsp>
                        <wps:cNvPr id="584" name="Shape 584"/>
                        <wps:cNvSpPr/>
                        <wps:spPr>
                          <a:xfrm>
                            <a:off x="1114298" y="0"/>
                            <a:ext cx="849376" cy="849503"/>
                          </a:xfrm>
                          <a:custGeom>
                            <a:avLst/>
                            <a:gdLst/>
                            <a:ahLst/>
                            <a:cxnLst/>
                            <a:rect l="0" t="0" r="0" b="0"/>
                            <a:pathLst>
                              <a:path w="849376" h="849503">
                                <a:moveTo>
                                  <a:pt x="0" y="424688"/>
                                </a:moveTo>
                                <a:cubicBezTo>
                                  <a:pt x="0" y="190119"/>
                                  <a:pt x="190119" y="0"/>
                                  <a:pt x="424688" y="0"/>
                                </a:cubicBezTo>
                                <a:cubicBezTo>
                                  <a:pt x="659257" y="0"/>
                                  <a:pt x="849376" y="190119"/>
                                  <a:pt x="849376" y="424688"/>
                                </a:cubicBezTo>
                                <a:cubicBezTo>
                                  <a:pt x="849376" y="659257"/>
                                  <a:pt x="659257" y="849503"/>
                                  <a:pt x="424688" y="849503"/>
                                </a:cubicBezTo>
                                <a:cubicBezTo>
                                  <a:pt x="190119" y="849503"/>
                                  <a:pt x="0" y="659257"/>
                                  <a:pt x="0" y="424688"/>
                                </a:cubicBezTo>
                                <a:close/>
                              </a:path>
                            </a:pathLst>
                          </a:custGeom>
                          <a:ln w="12700" cap="flat">
                            <a:miter lim="127000"/>
                          </a:ln>
                        </wps:spPr>
                        <wps:style>
                          <a:lnRef idx="1">
                            <a:srgbClr val="FFFFFF"/>
                          </a:lnRef>
                          <a:fillRef idx="0">
                            <a:srgbClr val="000000">
                              <a:alpha val="0"/>
                            </a:srgbClr>
                          </a:fillRef>
                          <a:effectRef idx="0">
                            <a:scrgbClr r="0" g="0" b="0"/>
                          </a:effectRef>
                          <a:fontRef idx="none"/>
                        </wps:style>
                        <wps:bodyPr/>
                      </wps:wsp>
                      <wps:wsp>
                        <wps:cNvPr id="585" name="Rectangle 585"/>
                        <wps:cNvSpPr/>
                        <wps:spPr>
                          <a:xfrm>
                            <a:off x="1347216" y="334772"/>
                            <a:ext cx="535022" cy="119743"/>
                          </a:xfrm>
                          <a:prstGeom prst="rect">
                            <a:avLst/>
                          </a:prstGeom>
                          <a:ln>
                            <a:noFill/>
                          </a:ln>
                        </wps:spPr>
                        <wps:txbx>
                          <w:txbxContent>
                            <w:p w14:paraId="2974875F" w14:textId="77777777" w:rsidR="00A07D00" w:rsidRDefault="00391D62">
                              <w:pPr>
                                <w:spacing w:after="0" w:line="276" w:lineRule="auto"/>
                                <w:ind w:left="0" w:firstLine="0"/>
                                <w:jc w:val="left"/>
                              </w:pPr>
                              <w:r>
                                <w:rPr>
                                  <w:rFonts w:ascii="Calibri" w:eastAsia="Calibri" w:hAnsi="Calibri" w:cs="Calibri"/>
                                  <w:color w:val="FFFFFF"/>
                                  <w:sz w:val="14"/>
                                </w:rPr>
                                <w:t xml:space="preserve">Redefining </w:t>
                              </w:r>
                            </w:p>
                          </w:txbxContent>
                        </wps:txbx>
                        <wps:bodyPr horzOverflow="overflow" lIns="0" tIns="0" rIns="0" bIns="0" rtlCol="0">
                          <a:noAutofit/>
                        </wps:bodyPr>
                      </wps:wsp>
                      <wps:wsp>
                        <wps:cNvPr id="586" name="Rectangle 586"/>
                        <wps:cNvSpPr/>
                        <wps:spPr>
                          <a:xfrm>
                            <a:off x="1310640" y="433832"/>
                            <a:ext cx="608615" cy="119743"/>
                          </a:xfrm>
                          <a:prstGeom prst="rect">
                            <a:avLst/>
                          </a:prstGeom>
                          <a:ln>
                            <a:noFill/>
                          </a:ln>
                        </wps:spPr>
                        <wps:txbx>
                          <w:txbxContent>
                            <w:p w14:paraId="454777E9" w14:textId="77777777" w:rsidR="00A07D00" w:rsidRDefault="00391D62">
                              <w:pPr>
                                <w:spacing w:after="0" w:line="276" w:lineRule="auto"/>
                                <w:ind w:left="0" w:firstLine="0"/>
                                <w:jc w:val="left"/>
                              </w:pPr>
                              <w:r>
                                <w:rPr>
                                  <w:rFonts w:ascii="Calibri" w:eastAsia="Calibri" w:hAnsi="Calibri" w:cs="Calibri"/>
                                  <w:color w:val="FFFFFF"/>
                                  <w:sz w:val="14"/>
                                </w:rPr>
                                <w:t xml:space="preserve">Organization </w:t>
                              </w:r>
                            </w:p>
                          </w:txbxContent>
                        </wps:txbx>
                        <wps:bodyPr horzOverflow="overflow" lIns="0" tIns="0" rIns="0" bIns="0" rtlCol="0">
                          <a:noAutofit/>
                        </wps:bodyPr>
                      </wps:wsp>
                      <wps:wsp>
                        <wps:cNvPr id="587" name="Shape 587"/>
                        <wps:cNvSpPr/>
                        <wps:spPr>
                          <a:xfrm>
                            <a:off x="2228469" y="1929765"/>
                            <a:ext cx="849376" cy="849503"/>
                          </a:xfrm>
                          <a:custGeom>
                            <a:avLst/>
                            <a:gdLst/>
                            <a:ahLst/>
                            <a:cxnLst/>
                            <a:rect l="0" t="0" r="0" b="0"/>
                            <a:pathLst>
                              <a:path w="849376" h="849503">
                                <a:moveTo>
                                  <a:pt x="424688" y="0"/>
                                </a:moveTo>
                                <a:cubicBezTo>
                                  <a:pt x="659257" y="0"/>
                                  <a:pt x="849376" y="190119"/>
                                  <a:pt x="849376" y="424815"/>
                                </a:cubicBezTo>
                                <a:cubicBezTo>
                                  <a:pt x="849376" y="659384"/>
                                  <a:pt x="659257" y="849503"/>
                                  <a:pt x="424688" y="849503"/>
                                </a:cubicBezTo>
                                <a:cubicBezTo>
                                  <a:pt x="190119" y="849503"/>
                                  <a:pt x="0" y="659384"/>
                                  <a:pt x="0" y="424815"/>
                                </a:cubicBezTo>
                                <a:cubicBezTo>
                                  <a:pt x="0" y="190119"/>
                                  <a:pt x="190119" y="0"/>
                                  <a:pt x="424688" y="0"/>
                                </a:cubicBezTo>
                                <a:close/>
                              </a:path>
                            </a:pathLst>
                          </a:custGeom>
                          <a:ln w="0" cap="flat">
                            <a:miter lim="127000"/>
                          </a:ln>
                        </wps:spPr>
                        <wps:style>
                          <a:lnRef idx="0">
                            <a:srgbClr val="000000"/>
                          </a:lnRef>
                          <a:fillRef idx="1">
                            <a:srgbClr val="4472C4"/>
                          </a:fillRef>
                          <a:effectRef idx="0">
                            <a:scrgbClr r="0" g="0" b="0"/>
                          </a:effectRef>
                          <a:fontRef idx="none"/>
                        </wps:style>
                        <wps:bodyPr/>
                      </wps:wsp>
                      <wps:wsp>
                        <wps:cNvPr id="588" name="Shape 588"/>
                        <wps:cNvSpPr/>
                        <wps:spPr>
                          <a:xfrm>
                            <a:off x="2228469" y="1929765"/>
                            <a:ext cx="849376" cy="849503"/>
                          </a:xfrm>
                          <a:custGeom>
                            <a:avLst/>
                            <a:gdLst/>
                            <a:ahLst/>
                            <a:cxnLst/>
                            <a:rect l="0" t="0" r="0" b="0"/>
                            <a:pathLst>
                              <a:path w="849376" h="849503">
                                <a:moveTo>
                                  <a:pt x="0" y="424815"/>
                                </a:moveTo>
                                <a:cubicBezTo>
                                  <a:pt x="0" y="190119"/>
                                  <a:pt x="190119" y="0"/>
                                  <a:pt x="424688" y="0"/>
                                </a:cubicBezTo>
                                <a:cubicBezTo>
                                  <a:pt x="659257" y="0"/>
                                  <a:pt x="849376" y="190119"/>
                                  <a:pt x="849376" y="424815"/>
                                </a:cubicBezTo>
                                <a:cubicBezTo>
                                  <a:pt x="849376" y="659384"/>
                                  <a:pt x="659257" y="849503"/>
                                  <a:pt x="424688" y="849503"/>
                                </a:cubicBezTo>
                                <a:cubicBezTo>
                                  <a:pt x="190119" y="849503"/>
                                  <a:pt x="0" y="659384"/>
                                  <a:pt x="0" y="424815"/>
                                </a:cubicBezTo>
                                <a:close/>
                              </a:path>
                            </a:pathLst>
                          </a:custGeom>
                          <a:ln w="12700" cap="flat">
                            <a:miter lim="127000"/>
                          </a:ln>
                        </wps:spPr>
                        <wps:style>
                          <a:lnRef idx="1">
                            <a:srgbClr val="FFFFFF"/>
                          </a:lnRef>
                          <a:fillRef idx="0">
                            <a:srgbClr val="000000">
                              <a:alpha val="0"/>
                            </a:srgbClr>
                          </a:fillRef>
                          <a:effectRef idx="0">
                            <a:scrgbClr r="0" g="0" b="0"/>
                          </a:effectRef>
                          <a:fontRef idx="none"/>
                        </wps:style>
                        <wps:bodyPr/>
                      </wps:wsp>
                      <wps:wsp>
                        <wps:cNvPr id="589" name="Rectangle 589"/>
                        <wps:cNvSpPr/>
                        <wps:spPr>
                          <a:xfrm>
                            <a:off x="2391537" y="2264664"/>
                            <a:ext cx="721239" cy="119742"/>
                          </a:xfrm>
                          <a:prstGeom prst="rect">
                            <a:avLst/>
                          </a:prstGeom>
                          <a:ln>
                            <a:noFill/>
                          </a:ln>
                        </wps:spPr>
                        <wps:txbx>
                          <w:txbxContent>
                            <w:p w14:paraId="05E4AE90" w14:textId="77777777" w:rsidR="00A07D00" w:rsidRDefault="00391D62">
                              <w:pPr>
                                <w:spacing w:after="0" w:line="276" w:lineRule="auto"/>
                                <w:ind w:left="0" w:firstLine="0"/>
                                <w:jc w:val="left"/>
                              </w:pPr>
                              <w:r>
                                <w:rPr>
                                  <w:rFonts w:ascii="Calibri" w:eastAsia="Calibri" w:hAnsi="Calibri" w:cs="Calibri"/>
                                  <w:color w:val="FFFFFF"/>
                                  <w:sz w:val="14"/>
                                </w:rPr>
                                <w:t xml:space="preserve">Driving People </w:t>
                              </w:r>
                            </w:p>
                          </w:txbxContent>
                        </wps:txbx>
                        <wps:bodyPr horzOverflow="overflow" lIns="0" tIns="0" rIns="0" bIns="0" rtlCol="0">
                          <a:noAutofit/>
                        </wps:bodyPr>
                      </wps:wsp>
                      <wps:wsp>
                        <wps:cNvPr id="590" name="Rectangle 590"/>
                        <wps:cNvSpPr/>
                        <wps:spPr>
                          <a:xfrm>
                            <a:off x="2374773" y="2363724"/>
                            <a:ext cx="740049" cy="119743"/>
                          </a:xfrm>
                          <a:prstGeom prst="rect">
                            <a:avLst/>
                          </a:prstGeom>
                          <a:ln>
                            <a:noFill/>
                          </a:ln>
                        </wps:spPr>
                        <wps:txbx>
                          <w:txbxContent>
                            <w:p w14:paraId="56A3E39A" w14:textId="77777777" w:rsidR="00A07D00" w:rsidRDefault="00391D62">
                              <w:pPr>
                                <w:spacing w:after="0" w:line="276" w:lineRule="auto"/>
                                <w:ind w:left="0" w:firstLine="0"/>
                                <w:jc w:val="left"/>
                              </w:pPr>
                              <w:r>
                                <w:rPr>
                                  <w:rFonts w:ascii="Calibri" w:eastAsia="Calibri" w:hAnsi="Calibri" w:cs="Calibri"/>
                                  <w:color w:val="FFFFFF"/>
                                  <w:sz w:val="14"/>
                                </w:rPr>
                                <w:t xml:space="preserve">Transformation </w:t>
                              </w:r>
                            </w:p>
                          </w:txbxContent>
                        </wps:txbx>
                        <wps:bodyPr horzOverflow="overflow" lIns="0" tIns="0" rIns="0" bIns="0" rtlCol="0">
                          <a:noAutofit/>
                        </wps:bodyPr>
                      </wps:wsp>
                      <wps:wsp>
                        <wps:cNvPr id="591" name="Shape 591"/>
                        <wps:cNvSpPr/>
                        <wps:spPr>
                          <a:xfrm>
                            <a:off x="0" y="1929765"/>
                            <a:ext cx="849503" cy="849503"/>
                          </a:xfrm>
                          <a:custGeom>
                            <a:avLst/>
                            <a:gdLst/>
                            <a:ahLst/>
                            <a:cxnLst/>
                            <a:rect l="0" t="0" r="0" b="0"/>
                            <a:pathLst>
                              <a:path w="849503" h="849503">
                                <a:moveTo>
                                  <a:pt x="424815" y="0"/>
                                </a:moveTo>
                                <a:cubicBezTo>
                                  <a:pt x="659384" y="0"/>
                                  <a:pt x="849503" y="190119"/>
                                  <a:pt x="849503" y="424815"/>
                                </a:cubicBezTo>
                                <a:cubicBezTo>
                                  <a:pt x="849503" y="659384"/>
                                  <a:pt x="659384" y="849503"/>
                                  <a:pt x="424815" y="849503"/>
                                </a:cubicBezTo>
                                <a:cubicBezTo>
                                  <a:pt x="190246" y="849503"/>
                                  <a:pt x="0" y="659384"/>
                                  <a:pt x="0" y="424815"/>
                                </a:cubicBezTo>
                                <a:cubicBezTo>
                                  <a:pt x="0" y="190119"/>
                                  <a:pt x="190246" y="0"/>
                                  <a:pt x="424815" y="0"/>
                                </a:cubicBezTo>
                                <a:close/>
                              </a:path>
                            </a:pathLst>
                          </a:custGeom>
                          <a:ln w="0" cap="flat">
                            <a:miter lim="127000"/>
                          </a:ln>
                        </wps:spPr>
                        <wps:style>
                          <a:lnRef idx="0">
                            <a:srgbClr val="000000"/>
                          </a:lnRef>
                          <a:fillRef idx="1">
                            <a:srgbClr val="4472C4"/>
                          </a:fillRef>
                          <a:effectRef idx="0">
                            <a:scrgbClr r="0" g="0" b="0"/>
                          </a:effectRef>
                          <a:fontRef idx="none"/>
                        </wps:style>
                        <wps:bodyPr/>
                      </wps:wsp>
                      <wps:wsp>
                        <wps:cNvPr id="592" name="Shape 592"/>
                        <wps:cNvSpPr/>
                        <wps:spPr>
                          <a:xfrm>
                            <a:off x="0" y="1929765"/>
                            <a:ext cx="849503" cy="849503"/>
                          </a:xfrm>
                          <a:custGeom>
                            <a:avLst/>
                            <a:gdLst/>
                            <a:ahLst/>
                            <a:cxnLst/>
                            <a:rect l="0" t="0" r="0" b="0"/>
                            <a:pathLst>
                              <a:path w="849503" h="849503">
                                <a:moveTo>
                                  <a:pt x="0" y="424815"/>
                                </a:moveTo>
                                <a:cubicBezTo>
                                  <a:pt x="0" y="190119"/>
                                  <a:pt x="190246" y="0"/>
                                  <a:pt x="424815" y="0"/>
                                </a:cubicBezTo>
                                <a:cubicBezTo>
                                  <a:pt x="659384" y="0"/>
                                  <a:pt x="849503" y="190119"/>
                                  <a:pt x="849503" y="424815"/>
                                </a:cubicBezTo>
                                <a:cubicBezTo>
                                  <a:pt x="849503" y="659384"/>
                                  <a:pt x="659384" y="849503"/>
                                  <a:pt x="424815" y="849503"/>
                                </a:cubicBezTo>
                                <a:cubicBezTo>
                                  <a:pt x="190246" y="849503"/>
                                  <a:pt x="0" y="659384"/>
                                  <a:pt x="0" y="424815"/>
                                </a:cubicBezTo>
                                <a:close/>
                              </a:path>
                            </a:pathLst>
                          </a:custGeom>
                          <a:ln w="12700" cap="flat">
                            <a:miter lim="127000"/>
                          </a:ln>
                        </wps:spPr>
                        <wps:style>
                          <a:lnRef idx="1">
                            <a:srgbClr val="FFFFFF"/>
                          </a:lnRef>
                          <a:fillRef idx="0">
                            <a:srgbClr val="000000">
                              <a:alpha val="0"/>
                            </a:srgbClr>
                          </a:fillRef>
                          <a:effectRef idx="0">
                            <a:scrgbClr r="0" g="0" b="0"/>
                          </a:effectRef>
                          <a:fontRef idx="none"/>
                        </wps:style>
                        <wps:bodyPr/>
                      </wps:wsp>
                      <wps:wsp>
                        <wps:cNvPr id="593" name="Rectangle 593"/>
                        <wps:cNvSpPr/>
                        <wps:spPr>
                          <a:xfrm>
                            <a:off x="272542" y="2264664"/>
                            <a:ext cx="429804" cy="119742"/>
                          </a:xfrm>
                          <a:prstGeom prst="rect">
                            <a:avLst/>
                          </a:prstGeom>
                          <a:ln>
                            <a:noFill/>
                          </a:ln>
                        </wps:spPr>
                        <wps:txbx>
                          <w:txbxContent>
                            <w:p w14:paraId="30B56D28" w14:textId="77777777" w:rsidR="00A07D00" w:rsidRDefault="00391D62">
                              <w:pPr>
                                <w:spacing w:after="0" w:line="276" w:lineRule="auto"/>
                                <w:ind w:left="0" w:firstLine="0"/>
                                <w:jc w:val="left"/>
                              </w:pPr>
                              <w:r>
                                <w:rPr>
                                  <w:rFonts w:ascii="Calibri" w:eastAsia="Calibri" w:hAnsi="Calibri" w:cs="Calibri"/>
                                  <w:color w:val="FFFFFF"/>
                                  <w:sz w:val="14"/>
                                </w:rPr>
                                <w:t xml:space="preserve">Enabling </w:t>
                              </w:r>
                            </w:p>
                          </w:txbxContent>
                        </wps:txbx>
                        <wps:bodyPr horzOverflow="overflow" lIns="0" tIns="0" rIns="0" bIns="0" rtlCol="0">
                          <a:noAutofit/>
                        </wps:bodyPr>
                      </wps:wsp>
                      <wps:wsp>
                        <wps:cNvPr id="594" name="Rectangle 594"/>
                        <wps:cNvSpPr/>
                        <wps:spPr>
                          <a:xfrm>
                            <a:off x="290830" y="2363724"/>
                            <a:ext cx="354448" cy="119743"/>
                          </a:xfrm>
                          <a:prstGeom prst="rect">
                            <a:avLst/>
                          </a:prstGeom>
                          <a:ln>
                            <a:noFill/>
                          </a:ln>
                        </wps:spPr>
                        <wps:txbx>
                          <w:txbxContent>
                            <w:p w14:paraId="3CB3406E" w14:textId="77777777" w:rsidR="00A07D00" w:rsidRDefault="00391D62">
                              <w:pPr>
                                <w:spacing w:after="0" w:line="276" w:lineRule="auto"/>
                                <w:ind w:left="0" w:firstLine="0"/>
                                <w:jc w:val="left"/>
                              </w:pPr>
                              <w:r>
                                <w:rPr>
                                  <w:rFonts w:ascii="Calibri" w:eastAsia="Calibri" w:hAnsi="Calibri" w:cs="Calibri"/>
                                  <w:color w:val="FFFFFF"/>
                                  <w:sz w:val="14"/>
                                </w:rPr>
                                <w:t>Change</w:t>
                              </w:r>
                            </w:p>
                          </w:txbxContent>
                        </wps:txbx>
                        <wps:bodyPr horzOverflow="overflow" lIns="0" tIns="0" rIns="0" bIns="0" rtlCol="0">
                          <a:noAutofit/>
                        </wps:bodyPr>
                      </wps:wsp>
                    </wpg:wgp>
                  </a:graphicData>
                </a:graphic>
              </wp:inline>
            </w:drawing>
          </mc:Choice>
          <mc:Fallback>
            <w:pict>
              <v:group w14:anchorId="469DFFEC" id="Group 6369" o:spid="_x0000_s1026" style="width:340.25pt;height:254.6pt;mso-position-horizontal-relative:char;mso-position-vertical-relative:line" coordsize="43209,32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">
                <v:rect id="Rectangle 557" o:spid="_x0000_s1027" style="position:absolute;left:42828;top:30648;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" filled="f" stroked="f">
                  <v:textbox inset="0,0,0,0">
                    <w:txbxContent>
                      <w:p w14:paraId="1291C192" w14:textId="77777777" w:rsidR="00A07D00" w:rsidRDefault="00391D62">
                        <w:pPr>
                          <w:spacing w:after="0" w:line="276" w:lineRule="auto"/>
                          <w:ind w:left="0" w:firstLine="0"/>
                          <w:jc w:val="left"/>
                        </w:pPr>
                        <w:r>
                          <w:t xml:space="preserve"> </w:t>
                        </w:r>
                      </w:p>
                    </w:txbxContent>
                  </v:textbox>
                </v:rect>
                <v:shape id="Shape 575" o:spid="_x0000_s1028" style="position:absolute;left:345;top:3940;width:15044;height:19758;visibility:visible;mso-wrap-style:square;v-text-anchor:top" coordsize="1504442,1975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" path="m1504442,r,122428c844550,122428,309626,657352,309626,1317117v,209804,55245,415798,160147,597408l363728,1975739c,1345819,215900,540258,845820,176530,1046099,60960,1273175,,1504442,xe" fillcolor="#b0bcde" stroked="f" strokeweight="0">
                  <v:stroke miterlimit="83231f" joinstyle="miter"/>
                  <v:path arrowok="t" textboxrect="0,0,1504442,1975739"/>
                </v:shape>
                <v:shape id="Shape 576" o:spid="_x0000_s1029" style="position:absolute;left:3982;top:23086;width:22815;height:7673;visibility:visible;mso-wrap-style:square;v-text-anchor:top" coordsize="2281428,767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" path="m106045,c435864,571500,1166622,767334,1738122,437388,1919732,332486,2070608,181610,2175383,r106045,61214c2031365,494284,1572467,731665,1105341,719542,893011,714032,678982,656971,482092,543306,281940,427736,115697,261493,,61214l106045,xe" fillcolor="#b0bcde" stroked="f" strokeweight="0">
                  <v:stroke miterlimit="83231f" joinstyle="miter"/>
                  <v:path arrowok="t" textboxrect="0,0,2281428,767334"/>
                </v:shape>
                <v:shape id="Shape 577" o:spid="_x0000_s1030" style="position:absolute;left:15389;top:3940;width:13647;height:19758;visibility:visible;mso-wrap-style:square;v-text-anchor:top" coordsize="1364615,1975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" path="m,c727456,,1317117,589788,1317117,1317117v,231267,-60833,458343,-176403,658622l1034669,1914525c1364615,1343151,1168908,612394,597408,282448,415798,177546,209677,122428,,122428l,xe" fillcolor="#b0bcde" stroked="f" strokeweight="0">
                  <v:stroke miterlimit="83231f" joinstyle="miter"/>
                  <v:path arrowok="t" textboxrect="0,0,1364615,1975739"/>
                </v:shape>
                <v:shape id="Shape 578" o:spid="_x0000_s1031" style="position:absolute;left:9321;top:11045;width:12136;height:12135;visibility:visible;mso-wrap-style:square;v-text-anchor:top" coordsize="1213612,1213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" path="m606806,v335153,,606806,271654,606806,606680c1213612,941832,941959,1213485,606806,1213485,271653,1213485,,941832,,606680,,271654,271653,,606806,xe" fillcolor="#4472c4" stroked="f" strokeweight="0">
                  <v:stroke miterlimit="83231f" joinstyle="miter"/>
                  <v:path arrowok="t" textboxrect="0,0,1213612,1213485"/>
                </v:shape>
                <v:shape id="Shape 579" o:spid="_x0000_s1032" style="position:absolute;left:9321;top:11045;width:12136;height:12135;visibility:visible;mso-wrap-style:square;v-text-anchor:top" coordsize="1213612,1213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" path="m,606680c,271654,271653,,606806,v335153,,606806,271654,606806,606680c1213612,941832,941959,1213485,606806,1213485,271653,1213485,,941832,,606680xe" filled="f" strokecolor="white" strokeweight="1pt">
                  <v:stroke miterlimit="83231f" joinstyle="miter"/>
                  <v:path arrowok="t" textboxrect="0,0,1213612,1213485"/>
                </v:shape>
                <v:rect id="Rectangle 580" o:spid="_x0000_s1033" style="position:absolute;left:11329;top:14334;width:11341;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0MJwQAAANwAAAAPAAAAZHJzL2Rvd25yZXYueG1sRE/LisIw&#10;FN0L/kO4gjtNFZT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LlnQwnBAAAA3AAAAA8AAAAA&#10;AAAAAAAAAAAABwIAAGRycy9kb3ducmV2LnhtbFBLBQYAAAAAAwADALcAAAD1AgAAAAA=&#10;" filled="f" stroked="f">
                  <v:textbox inset="0,0,0,0">
                    <w:txbxContent>
                      <w:p w14:paraId="46C13032" w14:textId="77777777" w:rsidR="00A07D00" w:rsidRDefault="00391D62">
                        <w:pPr>
                          <w:spacing w:after="0" w:line="276" w:lineRule="auto"/>
                          <w:ind w:left="0" w:firstLine="0"/>
                          <w:jc w:val="left"/>
                        </w:pPr>
                        <w:r>
                          <w:rPr>
                            <w:rFonts w:ascii="Calibri" w:eastAsia="Calibri" w:hAnsi="Calibri" w:cs="Calibri"/>
                            <w:color w:val="FFFFFF"/>
                            <w:sz w:val="28"/>
                          </w:rPr>
                          <w:t xml:space="preserve">Post COVID </w:t>
                        </w:r>
                      </w:p>
                    </w:txbxContent>
                  </v:textbox>
                </v:rect>
                <v:rect id="Rectangle 581" o:spid="_x0000_s1034" style="position:absolute;left:13585;top:16285;width:5338;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aSxAAAANwAAAAPAAAAZHJzL2Rvd25yZXYueG1sRI9Bi8Iw&#10;FITvgv8hPGFvmrrg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NYr5pLEAAAA3AAAAA8A&#10;AAAAAAAAAAAAAAAABwIAAGRycy9kb3ducmV2LnhtbFBLBQYAAAAAAwADALcAAAD4AgAAAAA=&#10;" filled="f" stroked="f">
                  <v:textbox inset="0,0,0,0">
                    <w:txbxContent>
                      <w:p w14:paraId="7443A42C" w14:textId="77777777" w:rsidR="00A07D00" w:rsidRDefault="00391D62">
                        <w:pPr>
                          <w:spacing w:after="0" w:line="276" w:lineRule="auto"/>
                          <w:ind w:left="0" w:firstLine="0"/>
                          <w:jc w:val="left"/>
                        </w:pPr>
                        <w:r>
                          <w:rPr>
                            <w:rFonts w:ascii="Calibri" w:eastAsia="Calibri" w:hAnsi="Calibri" w:cs="Calibri"/>
                            <w:color w:val="FFFFFF"/>
                            <w:sz w:val="28"/>
                          </w:rPr>
                          <w:t xml:space="preserve">HRM </w:t>
                        </w:r>
                      </w:p>
                    </w:txbxContent>
                  </v:textbox>
                </v:rect>
                <v:rect id="Rectangle 582" o:spid="_x0000_s1035" style="position:absolute;left:11817;top:18235;width:950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" filled="f" stroked="f">
                  <v:textbox inset="0,0,0,0">
                    <w:txbxContent>
                      <w:p w14:paraId="6BAAA4F2" w14:textId="77777777" w:rsidR="00A07D00" w:rsidRDefault="00391D62">
                        <w:pPr>
                          <w:spacing w:after="0" w:line="276" w:lineRule="auto"/>
                          <w:ind w:left="0" w:firstLine="0"/>
                          <w:jc w:val="left"/>
                        </w:pPr>
                        <w:r>
                          <w:rPr>
                            <w:rFonts w:ascii="Calibri" w:eastAsia="Calibri" w:hAnsi="Calibri" w:cs="Calibri"/>
                            <w:color w:val="FFFFFF"/>
                            <w:sz w:val="28"/>
                          </w:rPr>
                          <w:t xml:space="preserve">Strategies </w:t>
                        </w:r>
                      </w:p>
                    </w:txbxContent>
                  </v:textbox>
                </v:rect>
                <v:shape id="Shape 583" o:spid="_x0000_s1036" style="position:absolute;left:11142;width:8494;height:8495;visibility:visible;mso-wrap-style:square;v-text-anchor:top" coordsize="849376,849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" path="m424688,c659257,,849376,190119,849376,424688v,234569,-190119,424815,-424688,424815c190119,849503,,659257,,424688,,190119,190119,,424688,xe" fillcolor="#4472c4" stroked="f" strokeweight="0">
                  <v:stroke miterlimit="83231f" joinstyle="miter"/>
                  <v:path arrowok="t" textboxrect="0,0,849376,849503"/>
                </v:shape>
                <v:shape id="Shape 584" o:spid="_x0000_s1037" style="position:absolute;left:11142;width:8494;height:8495;visibility:visible;mso-wrap-style:square;v-text-anchor:top" coordsize="849376,849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" path="m,424688c,190119,190119,,424688,,659257,,849376,190119,849376,424688v,234569,-190119,424815,-424688,424815c190119,849503,,659257,,424688xe" filled="f" strokecolor="white" strokeweight="1pt">
                  <v:stroke miterlimit="83231f" joinstyle="miter"/>
                  <v:path arrowok="t" textboxrect="0,0,849376,849503"/>
                </v:shape>
                <v:rect id="Rectangle 585" o:spid="_x0000_s1038" style="position:absolute;left:13472;top:3347;width:5350;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OCRxgAAANwAAAAPAAAAZHJzL2Rvd25yZXYueG1sRI9Ba8JA&#10;FITvBf/D8oTemk0LSo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qRDgkcYAAADcAAAA&#10;DwAAAAAAAAAAAAAAAAAHAgAAZHJzL2Rvd25yZXYueG1sUEsFBgAAAAADAAMAtwAAAPoCAAAAAA==&#10;" filled="f" stroked="f">
                  <v:textbox inset="0,0,0,0">
                    <w:txbxContent>
                      <w:p w14:paraId="2974875F" w14:textId="77777777" w:rsidR="00A07D00" w:rsidRDefault="00391D62">
                        <w:pPr>
                          <w:spacing w:after="0" w:line="276" w:lineRule="auto"/>
                          <w:ind w:left="0" w:firstLine="0"/>
                          <w:jc w:val="left"/>
                        </w:pPr>
                        <w:r>
                          <w:rPr>
                            <w:rFonts w:ascii="Calibri" w:eastAsia="Calibri" w:hAnsi="Calibri" w:cs="Calibri"/>
                            <w:color w:val="FFFFFF"/>
                            <w:sz w:val="14"/>
                          </w:rPr>
                          <w:t xml:space="preserve">Redefining </w:t>
                        </w:r>
                      </w:p>
                    </w:txbxContent>
                  </v:textbox>
                </v:rect>
                <v:rect id="Rectangle 586" o:spid="_x0000_s1039" style="position:absolute;left:13106;top:4338;width:6086;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n7mxQAAANwAAAAPAAAAZHJzL2Rvd25yZXYueG1sRI9Pi8Iw&#10;FMTvwn6H8Ba8aaqg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BZwn7mxQAAANwAAAAP&#10;AAAAAAAAAAAAAAAAAAcCAABkcnMvZG93bnJldi54bWxQSwUGAAAAAAMAAwC3AAAA+QIAAAAA&#10;" filled="f" stroked="f">
                  <v:textbox inset="0,0,0,0">
                    <w:txbxContent>
                      <w:p w14:paraId="454777E9" w14:textId="77777777" w:rsidR="00A07D00" w:rsidRDefault="00391D62">
                        <w:pPr>
                          <w:spacing w:after="0" w:line="276" w:lineRule="auto"/>
                          <w:ind w:left="0" w:firstLine="0"/>
                          <w:jc w:val="left"/>
                        </w:pPr>
                        <w:r>
                          <w:rPr>
                            <w:rFonts w:ascii="Calibri" w:eastAsia="Calibri" w:hAnsi="Calibri" w:cs="Calibri"/>
                            <w:color w:val="FFFFFF"/>
                            <w:sz w:val="14"/>
                          </w:rPr>
                          <w:t xml:space="preserve">Organization </w:t>
                        </w:r>
                      </w:p>
                    </w:txbxContent>
                  </v:textbox>
                </v:rect>
                <v:shape id="Shape 587" o:spid="_x0000_s1040" style="position:absolute;left:22284;top:19297;width:8494;height:8495;visibility:visible;mso-wrap-style:square;v-text-anchor:top" coordsize="849376,849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" path="m424688,c659257,,849376,190119,849376,424815v,234569,-190119,424688,-424688,424688c190119,849503,,659384,,424815,,190119,190119,,424688,xe" fillcolor="#4472c4" stroked="f" strokeweight="0">
                  <v:stroke miterlimit="83231f" joinstyle="miter"/>
                  <v:path arrowok="t" textboxrect="0,0,849376,849503"/>
                </v:shape>
                <v:shape id="Shape 588" o:spid="_x0000_s1041" style="position:absolute;left:22284;top:19297;width:8494;height:8495;visibility:visible;mso-wrap-style:square;v-text-anchor:top" coordsize="849376,849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" path="m,424815c,190119,190119,,424688,,659257,,849376,190119,849376,424815v,234569,-190119,424688,-424688,424688c190119,849503,,659384,,424815xe" filled="f" strokecolor="white" strokeweight="1pt">
                  <v:stroke miterlimit="83231f" joinstyle="miter"/>
                  <v:path arrowok="t" textboxrect="0,0,849376,849503"/>
                </v:shape>
                <v:rect id="Rectangle 589" o:spid="_x0000_s1042" style="position:absolute;left:23915;top:22646;width:7212;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eqUxQAAANwAAAAPAAAAZHJzL2Rvd25yZXYueG1sRI9Pa8JA&#10;FMTvgt9heYI33ShY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AoXeqUxQAAANwAAAAP&#10;AAAAAAAAAAAAAAAAAAcCAABkcnMvZG93bnJldi54bWxQSwUGAAAAAAMAAwC3AAAA+QIAAAAA&#10;" filled="f" stroked="f">
                  <v:textbox inset="0,0,0,0">
                    <w:txbxContent>
                      <w:p w14:paraId="05E4AE90" w14:textId="77777777" w:rsidR="00A07D00" w:rsidRDefault="00391D62">
                        <w:pPr>
                          <w:spacing w:after="0" w:line="276" w:lineRule="auto"/>
                          <w:ind w:left="0" w:firstLine="0"/>
                          <w:jc w:val="left"/>
                        </w:pPr>
                        <w:r>
                          <w:rPr>
                            <w:rFonts w:ascii="Calibri" w:eastAsia="Calibri" w:hAnsi="Calibri" w:cs="Calibri"/>
                            <w:color w:val="FFFFFF"/>
                            <w:sz w:val="14"/>
                          </w:rPr>
                          <w:t xml:space="preserve">Driving People </w:t>
                        </w:r>
                      </w:p>
                    </w:txbxContent>
                  </v:textbox>
                </v:rect>
                <v:rect id="Rectangle 590" o:spid="_x0000_s1043" style="position:absolute;left:23747;top:23637;width:7401;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tXUwQAAANwAAAAPAAAAZHJzL2Rvd25yZXYueG1sRE/LisIw&#10;FN0L/kO4gjtNFRT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Dy+1dTBAAAA3AAAAA8AAAAA&#10;AAAAAAAAAAAABwIAAGRycy9kb3ducmV2LnhtbFBLBQYAAAAAAwADALcAAAD1AgAAAAA=&#10;" filled="f" stroked="f">
                  <v:textbox inset="0,0,0,0">
                    <w:txbxContent>
                      <w:p w14:paraId="56A3E39A" w14:textId="77777777" w:rsidR="00A07D00" w:rsidRDefault="00391D62">
                        <w:pPr>
                          <w:spacing w:after="0" w:line="276" w:lineRule="auto"/>
                          <w:ind w:left="0" w:firstLine="0"/>
                          <w:jc w:val="left"/>
                        </w:pPr>
                        <w:r>
                          <w:rPr>
                            <w:rFonts w:ascii="Calibri" w:eastAsia="Calibri" w:hAnsi="Calibri" w:cs="Calibri"/>
                            <w:color w:val="FFFFFF"/>
                            <w:sz w:val="14"/>
                          </w:rPr>
                          <w:t xml:space="preserve">Transformation </w:t>
                        </w:r>
                      </w:p>
                    </w:txbxContent>
                  </v:textbox>
                </v:rect>
                <v:shape id="Shape 591" o:spid="_x0000_s1044" style="position:absolute;top:19297;width:8495;height:8495;visibility:visible;mso-wrap-style:square;v-text-anchor:top" coordsize="849503,849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" path="m424815,c659384,,849503,190119,849503,424815v,234569,-190119,424688,-424688,424688c190246,849503,,659384,,424815,,190119,190246,,424815,xe" fillcolor="#4472c4" stroked="f" strokeweight="0">
                  <v:stroke miterlimit="83231f" joinstyle="miter"/>
                  <v:path arrowok="t" textboxrect="0,0,849503,849503"/>
                </v:shape>
                <v:shape id="Shape 592" o:spid="_x0000_s1045" style="position:absolute;top:19297;width:8495;height:8495;visibility:visible;mso-wrap-style:square;v-text-anchor:top" coordsize="849503,849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" path="m,424815c,190119,190246,,424815,,659384,,849503,190119,849503,424815v,234569,-190119,424688,-424688,424688c190246,849503,,659384,,424815xe" filled="f" strokecolor="white" strokeweight="1pt">
                  <v:stroke miterlimit="83231f" joinstyle="miter"/>
                  <v:path arrowok="t" textboxrect="0,0,849503,849503"/>
                </v:shape>
                <v:rect id="Rectangle 593" o:spid="_x0000_s1046" style="position:absolute;left:2725;top:22646;width:4298;height:1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EujxQAAANwAAAAPAAAAZHJzL2Rvd25yZXYueG1sRI9Pa8JA&#10;FMTvhX6H5RW81Y2V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DMbEujxQAAANwAAAAP&#10;AAAAAAAAAAAAAAAAAAcCAABkcnMvZG93bnJldi54bWxQSwUGAAAAAAMAAwC3AAAA+QIAAAAA&#10;" filled="f" stroked="f">
                  <v:textbox inset="0,0,0,0">
                    <w:txbxContent>
                      <w:p w14:paraId="30B56D28" w14:textId="77777777" w:rsidR="00A07D00" w:rsidRDefault="00391D62">
                        <w:pPr>
                          <w:spacing w:after="0" w:line="276" w:lineRule="auto"/>
                          <w:ind w:left="0" w:firstLine="0"/>
                          <w:jc w:val="left"/>
                        </w:pPr>
                        <w:r>
                          <w:rPr>
                            <w:rFonts w:ascii="Calibri" w:eastAsia="Calibri" w:hAnsi="Calibri" w:cs="Calibri"/>
                            <w:color w:val="FFFFFF"/>
                            <w:sz w:val="14"/>
                          </w:rPr>
                          <w:t xml:space="preserve">Enabling </w:t>
                        </w:r>
                      </w:p>
                    </w:txbxContent>
                  </v:textbox>
                </v:rect>
                <v:rect id="Rectangle 594" o:spid="_x0000_s1047" style="position:absolute;left:2908;top:23637;width:3544;height:1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dPXxQAAANwAAAAPAAAAZHJzL2Rvd25yZXYueG1sRI9Pa8JA&#10;FMTvhX6H5RW81Y3F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BDhdPXxQAAANwAAAAP&#10;AAAAAAAAAAAAAAAAAAcCAABkcnMvZG93bnJldi54bWxQSwUGAAAAAAMAAwC3AAAA+QIAAAAA&#10;" filled="f" stroked="f">
                  <v:textbox inset="0,0,0,0">
                    <w:txbxContent>
                      <w:p w14:paraId="3CB3406E" w14:textId="77777777" w:rsidR="00A07D00" w:rsidRDefault="00391D62">
                        <w:pPr>
                          <w:spacing w:after="0" w:line="276" w:lineRule="auto"/>
                          <w:ind w:left="0" w:firstLine="0"/>
                          <w:jc w:val="left"/>
                        </w:pPr>
                        <w:r>
                          <w:rPr>
                            <w:rFonts w:ascii="Calibri" w:eastAsia="Calibri" w:hAnsi="Calibri" w:cs="Calibri"/>
                            <w:color w:val="FFFFFF"/>
                            <w:sz w:val="14"/>
                          </w:rPr>
                          <w:t>Change</w:t>
                        </w:r>
                      </w:p>
                    </w:txbxContent>
                  </v:textbox>
                </v:rect>
                <w10:anchorlock/>
              </v:group>
            </w:pict>
          </mc:Fallback>
        </mc:AlternateContent>
      </w:r>
    </w:p>
    <w:p w14:paraId="68E18E7F" w14:textId="77777777" w:rsidR="00A07D00" w:rsidRDefault="00391D62">
      <w:pPr>
        <w:spacing w:after="137" w:line="240" w:lineRule="auto"/>
        <w:ind w:left="10" w:right="-15" w:hanging="10"/>
        <w:jc w:val="center"/>
      </w:pPr>
      <w:r>
        <w:t xml:space="preserve">Figure 3.1 Post COVID HRM Strategies (Created by author). </w:t>
      </w:r>
    </w:p>
    <w:p w14:paraId="30248ED5" w14:textId="77777777" w:rsidR="00A07D00" w:rsidRDefault="00391D62">
      <w:pPr>
        <w:spacing w:after="200" w:line="240" w:lineRule="auto"/>
        <w:ind w:left="0" w:firstLine="0"/>
        <w:jc w:val="center"/>
      </w:pPr>
      <w:r>
        <w:t xml:space="preserve"> </w:t>
      </w:r>
    </w:p>
    <w:p w14:paraId="05883C0D" w14:textId="77777777" w:rsidR="00A07D00" w:rsidRDefault="00391D62">
      <w:pPr>
        <w:numPr>
          <w:ilvl w:val="0"/>
          <w:numId w:val="1"/>
        </w:numPr>
        <w:ind w:hanging="360"/>
      </w:pPr>
      <w:r>
        <w:rPr>
          <w:b/>
        </w:rPr>
        <w:lastRenderedPageBreak/>
        <w:t xml:space="preserve">Redefining Organization- </w:t>
      </w:r>
      <w:r>
        <w:t xml:space="preserve">As companies implement more flexible work arrangements, HR departments must re-establish organizational culture. Hybrid working styles that combine remote and office employment will certainly become more popular. Positive improvement, but ramifications harm organizational culture. Social dynamics in the workplace will shift as a result of less face-to-face interaction and a dispersed workforce. Human resources also help existing workers acquire new skills. COVID-19 has resulted to large-scale competence mapping and will likely lead to staff redeployment. Redeployed personnel must have the abilities to smoothly transition into their new responsibilities. Future work positions and functions will be developed for persons with transferrable talents. Staggered hours, </w:t>
      </w:r>
      <w:r w:rsidR="005767CB">
        <w:t>flexitime</w:t>
      </w:r>
      <w:r>
        <w:t xml:space="preserve">, or </w:t>
      </w:r>
      <w:r w:rsidR="005767CB">
        <w:t>flex place</w:t>
      </w:r>
      <w:r>
        <w:t xml:space="preserve"> may assist workers improve their work-life balance while increasing workforce productivity and efficiency.  (Bick et al., 2022). </w:t>
      </w:r>
    </w:p>
    <w:p w14:paraId="56747AD0" w14:textId="77777777" w:rsidR="00A07D00" w:rsidRDefault="00391D62">
      <w:pPr>
        <w:numPr>
          <w:ilvl w:val="0"/>
          <w:numId w:val="1"/>
        </w:numPr>
        <w:ind w:hanging="360"/>
      </w:pPr>
      <w:r>
        <w:t xml:space="preserve">As workers prepare to return to the office, HR departments should think about implementing new safety and health policies. Not only should one strive to maintain their emotional and mental health, but also their physical health. A fantastic strategy to limit the likelihood of the virus spreading in the workplace is to employ social distancing measures, such as placing sensor-based devices everywhere. In addition, the epidemic has undoubtedly caused significant worry and anxiety for many workers, especially those who have been laid off or otherwise negatively impacted by recent downsizing or restructuring efforts. Human Resources has a moral and ethical duty to compensate people who have suffered as a result of the COVID-19 outbreak. Since this is the case, it is incumbent upon them to spearhead the provision of outplacement and career transition services, including counselling and support in discovering job prospects, to employees who have been laid off. Human resources should help current and former employees by creating mental health programmes, providing 24/7 assistance to those who need it, and spreading relevant information. (Bick et al., 2022). </w:t>
      </w:r>
    </w:p>
    <w:p w14:paraId="4D987154" w14:textId="77777777" w:rsidR="00A07D00" w:rsidRDefault="00391D62">
      <w:pPr>
        <w:numPr>
          <w:ilvl w:val="0"/>
          <w:numId w:val="1"/>
        </w:numPr>
        <w:ind w:hanging="360"/>
      </w:pPr>
      <w:r>
        <w:rPr>
          <w:b/>
        </w:rPr>
        <w:t>Enabling Change-</w:t>
      </w:r>
      <w:r>
        <w:t xml:space="preserve"> Human resources (HR) is just one field that has become more reliant on data to inform their decisions over the last decade. Employee satisfaction, engagement, and experience are all quantified through workforce analytics. Even more so following COVID-19, businesses need to employ analytics to predict staffing requirements, maximise income, and save costs in order to compete in today's tumultuous economic environment. Analytics should be used to keep tabs on how well employees are doing their jobs. Human resources may help the workforce be ready for issues after COVID-19 by regularly analysing data on employee performance and engagement. (Mousteri et al., 2020).  </w:t>
      </w:r>
    </w:p>
    <w:p w14:paraId="6C406F57" w14:textId="77777777" w:rsidR="00A07D00" w:rsidRDefault="00391D62">
      <w:pPr>
        <w:numPr>
          <w:ilvl w:val="0"/>
          <w:numId w:val="1"/>
        </w:numPr>
        <w:ind w:hanging="360"/>
      </w:pPr>
      <w:r>
        <w:lastRenderedPageBreak/>
        <w:t xml:space="preserve">Human resources must assist firms in reorganising their structures and employment functions to adapt to the new normal, with a primary focus on increasing operational efficiency. We should expect to see a dramatic increase in the prevalence of organisational models that are designed to be highly adaptable in order to facilitate the efficient reallocation of personnel. That calls for the development of organisations that can easily expand and adjust to new circumstances. (Bell et al., 2020). </w:t>
      </w:r>
    </w:p>
    <w:p w14:paraId="7EFC55E9" w14:textId="77777777" w:rsidR="00A07D00" w:rsidRDefault="00391D62">
      <w:pPr>
        <w:numPr>
          <w:ilvl w:val="0"/>
          <w:numId w:val="1"/>
        </w:numPr>
        <w:ind w:hanging="360"/>
      </w:pPr>
      <w:r>
        <w:rPr>
          <w:b/>
        </w:rPr>
        <w:t>Driving People Transformation-</w:t>
      </w:r>
      <w:r>
        <w:t xml:space="preserve"> COVID-19 caused huge debt, escalating costs, little to no revenue, and shaky balance sheets. To save costs, they cut personnel pay and benefits. This may drive many companies' short-term strategy, but the pandemic has prompted questions about long-term employee incentives and benefits. Many organisations will compete for exceptional post-COVID rehabilitation skills. Since many companies can't raise salaries, they may lower fixed compensation and enhance performance-based pay. This promotes worker performance and a healthy, competitive workplace. Some firms provide flexible compensation and bonuses to compete. Personalized pay systems enable employees build packages that match their needs. (Bell et al., 2020).  </w:t>
      </w:r>
    </w:p>
    <w:p w14:paraId="3178CED8" w14:textId="77777777" w:rsidR="00A07D00" w:rsidRDefault="00391D62">
      <w:pPr>
        <w:ind w:left="-15" w:firstLine="720"/>
      </w:pPr>
      <w:r>
        <w:t xml:space="preserve">The UK's withdrawal from the EU has affected business, the economy, and people on both sides of the English Channel. Brexit and the coronavirus outbreak have led to serious labour shortages in the UK. Britain has had the most problems of any country. Many European staff have fled the UK due to stricter entrance rules (Costa et al., 2017).. </w:t>
      </w:r>
      <w:r w:rsidR="005767CB">
        <w:t>Euro news</w:t>
      </w:r>
      <w:r>
        <w:t xml:space="preserve"> has chronicled the impact on farming, hotels, and more. Current UK immigration regulations don't allow EU nationals preferential treatment or access to low-skilled jobs. Instead, a point system is used to attract talented workers. Despite an increase in net migration, it's predicted that fewer EU residents are relocating to the UK. (Becker et al., 2017). </w:t>
      </w:r>
    </w:p>
    <w:p w14:paraId="02A41069" w14:textId="77777777" w:rsidR="00A07D00" w:rsidRDefault="00391D62">
      <w:pPr>
        <w:numPr>
          <w:ilvl w:val="0"/>
          <w:numId w:val="1"/>
        </w:numPr>
        <w:ind w:hanging="360"/>
      </w:pPr>
      <w:r>
        <w:rPr>
          <w:b/>
        </w:rPr>
        <w:t>Be present</w:t>
      </w:r>
      <w:r>
        <w:t xml:space="preserve">- We recognise that there are numerous practical issues to consider. This is why the present must come first. Brexit's economic uncertainty affects bonuses, incentives, and pensions. The new trade deal has raised the cost of doing business with the EU, and employers that rely on EU financing, such as the Common Agricultural Policy, may experience a funding shortfall. The UK is no longer bound to follow EU law, therefore pension rules may be abolished or changed. (Langella et al., 2016). </w:t>
      </w:r>
    </w:p>
    <w:p w14:paraId="6B163ABF" w14:textId="77777777" w:rsidR="00A07D00" w:rsidRDefault="00391D62">
      <w:pPr>
        <w:numPr>
          <w:ilvl w:val="0"/>
          <w:numId w:val="1"/>
        </w:numPr>
        <w:ind w:hanging="360"/>
      </w:pPr>
      <w:r>
        <w:rPr>
          <w:b/>
        </w:rPr>
        <w:t>Consider Brexit's influence on hiring</w:t>
      </w:r>
      <w:r>
        <w:t xml:space="preserve">- HR managers must ensure their employees have suitable papers to live and work in the UK. First, EU citizens in the UK must apply for established or pre-settled status by 30 June 2021. Post-Brexit immigration is now in place. The procedure is the same for UK-based and US-based executives wishing to hire EU </w:t>
      </w:r>
      <w:r>
        <w:lastRenderedPageBreak/>
        <w:t xml:space="preserve">nationals. HR experts should help new talent get regulatory clearance for their credentials before they arrive in the UK if they operate in a regulated profession needing established qualifications. UK citizens working in an EU country will need authorisation from their host country to continue working, although documentation requirements vary. US firms must remember that the UK and EU no longer have free movement. When managing EU citizens in UK offices and vice versa, proper paperwork is required. (Mountford et al., 2018). </w:t>
      </w:r>
    </w:p>
    <w:p w14:paraId="4ED8B0D7" w14:textId="77777777" w:rsidR="00A07D00" w:rsidRDefault="00391D62">
      <w:pPr>
        <w:numPr>
          <w:ilvl w:val="0"/>
          <w:numId w:val="1"/>
        </w:numPr>
        <w:ind w:hanging="360"/>
      </w:pPr>
      <w:r>
        <w:rPr>
          <w:b/>
        </w:rPr>
        <w:t>Recognize wage discrepancies</w:t>
      </w:r>
      <w:r>
        <w:t xml:space="preserve">- In addition to the paperwork, with the change to hybrid working due to the pandemic and working from anywhere being possible, you need to be cautious about hiring individuals on a UK salary if they reside in a nation with a different cost of living. This might be confusing; therefore, your company must have a rewards philosophy. If an employee's contract specifies, they are employed in the UK but are working abroad, this must be renegotiated after analysing local market pay data and what is appropriate for the firm and its workers. (Ruhs et al., 2018). </w:t>
      </w:r>
    </w:p>
    <w:p w14:paraId="6A0517D2" w14:textId="77777777" w:rsidR="00A07D00" w:rsidRDefault="00391D62">
      <w:pPr>
        <w:numPr>
          <w:ilvl w:val="0"/>
          <w:numId w:val="1"/>
        </w:numPr>
        <w:spacing w:after="372"/>
        <w:ind w:hanging="360"/>
      </w:pPr>
      <w:r w:rsidRPr="002345EF">
        <w:rPr>
          <w:b/>
          <w:szCs w:val="24"/>
        </w:rPr>
        <w:t>Communicate with staff</w:t>
      </w:r>
      <w:r w:rsidRPr="002345EF">
        <w:rPr>
          <w:szCs w:val="24"/>
        </w:rPr>
        <w:t>.</w:t>
      </w:r>
      <w:r>
        <w:t xml:space="preserve"> - Brexit creates new laws and procedures for companies, but it also affects employee mental health. Businesses are in upheaval for many reasons, but the stress of Brexit must be acknowledged and addressed. This may be reduced by knowing how Brexit affects various aspects of the organisation and communicating this to your employees along with a strategy to manage the effect. (Costa et al., 2017). </w:t>
      </w:r>
    </w:p>
    <w:p w14:paraId="606FCCD2" w14:textId="77777777" w:rsidR="00A07D00" w:rsidRPr="002345EF" w:rsidRDefault="00391D62">
      <w:pPr>
        <w:pStyle w:val="Heading1"/>
        <w:ind w:left="225" w:hanging="240"/>
        <w:rPr>
          <w:sz w:val="28"/>
          <w:szCs w:val="28"/>
        </w:rPr>
      </w:pPr>
      <w:bookmarkStart w:id="8" w:name="_Toc123667176"/>
      <w:r w:rsidRPr="002345EF">
        <w:rPr>
          <w:sz w:val="28"/>
          <w:szCs w:val="28"/>
        </w:rPr>
        <w:t>Conclusions</w:t>
      </w:r>
      <w:bookmarkEnd w:id="8"/>
      <w:r w:rsidRPr="002345EF">
        <w:rPr>
          <w:sz w:val="28"/>
          <w:szCs w:val="28"/>
        </w:rPr>
        <w:t xml:space="preserve"> </w:t>
      </w:r>
    </w:p>
    <w:p w14:paraId="3C1185F5" w14:textId="77777777" w:rsidR="00A07D00" w:rsidRDefault="00391D62">
      <w:pPr>
        <w:ind w:left="-15" w:firstLine="720"/>
      </w:pPr>
      <w:r>
        <w:t xml:space="preserve">The economic impact of the pandemic and Brexit meant that businesses had to immediately adjust to the new normal or perish. Human resources must adapt and change over the whole HR lifecycle in order to keep up with the changing demands of businesses. Human resources will need to find new ways to aid company leaders in restructuring before, during, and after the pandemic; to adopt workforce rationalisation measures; to manage risks related with these interventions; and to increase productivity and employee engagement. Company readiness for a post-COVID and post-Brexit future will be hampered by HR departments that drag their feet. </w:t>
      </w:r>
    </w:p>
    <w:p w14:paraId="074CD08A" w14:textId="77777777" w:rsidR="00A07D00" w:rsidRDefault="00391D62">
      <w:pPr>
        <w:spacing w:after="181" w:line="240" w:lineRule="auto"/>
        <w:ind w:left="0" w:firstLine="0"/>
        <w:jc w:val="left"/>
      </w:pPr>
      <w:r>
        <w:t xml:space="preserve"> </w:t>
      </w:r>
    </w:p>
    <w:p w14:paraId="28E8EB04" w14:textId="77777777" w:rsidR="00A07D00" w:rsidRDefault="00391D62">
      <w:pPr>
        <w:spacing w:after="178" w:line="240" w:lineRule="auto"/>
        <w:ind w:left="0" w:firstLine="0"/>
        <w:jc w:val="left"/>
      </w:pPr>
      <w:r>
        <w:t xml:space="preserve"> </w:t>
      </w:r>
    </w:p>
    <w:p w14:paraId="0A8CCABA" w14:textId="77777777" w:rsidR="00A07D00" w:rsidRDefault="00391D62">
      <w:pPr>
        <w:spacing w:after="181" w:line="240" w:lineRule="auto"/>
        <w:ind w:left="0" w:firstLine="0"/>
        <w:jc w:val="left"/>
      </w:pPr>
      <w:r>
        <w:t xml:space="preserve"> </w:t>
      </w:r>
    </w:p>
    <w:p w14:paraId="564A05FB" w14:textId="77777777" w:rsidR="00A07D00" w:rsidRDefault="00391D62">
      <w:pPr>
        <w:spacing w:after="181" w:line="240" w:lineRule="auto"/>
        <w:ind w:left="0" w:firstLine="0"/>
        <w:jc w:val="left"/>
      </w:pPr>
      <w:r>
        <w:t xml:space="preserve"> </w:t>
      </w:r>
    </w:p>
    <w:p w14:paraId="70D441CD" w14:textId="77777777" w:rsidR="00A07D00" w:rsidRDefault="00391D62">
      <w:pPr>
        <w:spacing w:after="181" w:line="240" w:lineRule="auto"/>
        <w:ind w:left="0" w:firstLine="0"/>
        <w:jc w:val="left"/>
      </w:pPr>
      <w:r>
        <w:lastRenderedPageBreak/>
        <w:t xml:space="preserve"> </w:t>
      </w:r>
    </w:p>
    <w:p w14:paraId="19ED4A97" w14:textId="77777777" w:rsidR="00A07D00" w:rsidRDefault="00391D62">
      <w:pPr>
        <w:spacing w:after="0" w:line="240" w:lineRule="auto"/>
        <w:ind w:left="0" w:firstLine="0"/>
        <w:jc w:val="left"/>
      </w:pPr>
      <w:r>
        <w:t xml:space="preserve"> </w:t>
      </w:r>
    </w:p>
    <w:p w14:paraId="3F5332BC" w14:textId="77777777" w:rsidR="00A07D00" w:rsidRPr="002345EF" w:rsidRDefault="00391D62">
      <w:pPr>
        <w:pStyle w:val="Heading1"/>
        <w:numPr>
          <w:ilvl w:val="0"/>
          <w:numId w:val="0"/>
        </w:numPr>
        <w:rPr>
          <w:sz w:val="28"/>
          <w:szCs w:val="28"/>
        </w:rPr>
      </w:pPr>
      <w:bookmarkStart w:id="9" w:name="_Toc123667177"/>
      <w:r w:rsidRPr="002345EF">
        <w:rPr>
          <w:sz w:val="28"/>
          <w:szCs w:val="28"/>
        </w:rPr>
        <w:t>References</w:t>
      </w:r>
      <w:bookmarkEnd w:id="9"/>
      <w:r w:rsidRPr="002345EF">
        <w:rPr>
          <w:sz w:val="28"/>
          <w:szCs w:val="28"/>
        </w:rPr>
        <w:t xml:space="preserve"> </w:t>
      </w:r>
    </w:p>
    <w:p w14:paraId="75CE32C1" w14:textId="77777777" w:rsidR="00A07D00" w:rsidRDefault="00391D62">
      <w:pPr>
        <w:numPr>
          <w:ilvl w:val="0"/>
          <w:numId w:val="2"/>
        </w:numPr>
        <w:spacing w:line="240" w:lineRule="auto"/>
        <w:ind w:hanging="358"/>
      </w:pPr>
      <w:r>
        <w:t xml:space="preserve">Arnade, C. (2019), Dignity: Seeking Respect in Back Row America, Sentinel, Penguin.   </w:t>
      </w:r>
    </w:p>
    <w:p w14:paraId="027E1BDD" w14:textId="77777777" w:rsidR="00A07D00" w:rsidRDefault="00391D62">
      <w:pPr>
        <w:numPr>
          <w:ilvl w:val="0"/>
          <w:numId w:val="2"/>
        </w:numPr>
        <w:ind w:hanging="358"/>
      </w:pPr>
      <w:r>
        <w:t xml:space="preserve">Becker, S., Fetzer, T. and Novy, D. (2017), ‘Who voted for Brexit? A comprehensive </w:t>
      </w:r>
      <w:r w:rsidR="005767CB">
        <w:t>district level</w:t>
      </w:r>
      <w:r>
        <w:t xml:space="preserve"> </w:t>
      </w:r>
      <w:r w:rsidR="005767CB">
        <w:t>analyses</w:t>
      </w:r>
      <w:r>
        <w:t xml:space="preserve">, Centre for Economic Performance (CEP), Discussion Paper no. 1480.  </w:t>
      </w:r>
    </w:p>
    <w:p w14:paraId="3AFFA99A" w14:textId="77777777" w:rsidR="00A07D00" w:rsidRDefault="00391D62">
      <w:pPr>
        <w:numPr>
          <w:ilvl w:val="0"/>
          <w:numId w:val="2"/>
        </w:numPr>
        <w:ind w:hanging="358"/>
      </w:pPr>
      <w:r>
        <w:t xml:space="preserve">Bell, D.N.F. and D.G. Blanchflower, (2020), 'Underemployment in Europe and the United States', forthcoming, Industrial and Labour Relations Review.   </w:t>
      </w:r>
    </w:p>
    <w:p w14:paraId="7D1A5B40" w14:textId="77777777" w:rsidR="00A07D00" w:rsidRDefault="00391D62">
      <w:pPr>
        <w:numPr>
          <w:ilvl w:val="0"/>
          <w:numId w:val="2"/>
        </w:numPr>
        <w:ind w:hanging="358"/>
      </w:pPr>
      <w:r>
        <w:t xml:space="preserve">Bick, A. and A. Blandin (2022), 'Real time </w:t>
      </w:r>
      <w:r w:rsidR="005767CB">
        <w:t>labour</w:t>
      </w:r>
      <w:r>
        <w:t xml:space="preserve"> market estimates during the 2020 coronavirus outbreak', Working Paper.  </w:t>
      </w:r>
    </w:p>
    <w:p w14:paraId="772BA314" w14:textId="77777777" w:rsidR="00A07D00" w:rsidRDefault="00391D62">
      <w:pPr>
        <w:numPr>
          <w:ilvl w:val="0"/>
          <w:numId w:val="2"/>
        </w:numPr>
        <w:ind w:hanging="358"/>
      </w:pPr>
      <w:r>
        <w:t xml:space="preserve">Clarke, S. and N. Cominetti (2019), 'Setting the record straight: how record employment has changed the UK', Resolution Foundation. </w:t>
      </w:r>
    </w:p>
    <w:p w14:paraId="601C27C8" w14:textId="77777777" w:rsidR="00A07D00" w:rsidRDefault="00391D62">
      <w:pPr>
        <w:numPr>
          <w:ilvl w:val="0"/>
          <w:numId w:val="2"/>
        </w:numPr>
        <w:spacing w:line="240" w:lineRule="auto"/>
        <w:ind w:hanging="358"/>
      </w:pPr>
      <w:r>
        <w:t xml:space="preserve">Costa, R. and Machin, S. (2017), ‘Real wages and living standards in the UK’, Centre for </w:t>
      </w:r>
    </w:p>
    <w:p w14:paraId="332F04B1" w14:textId="77777777" w:rsidR="00A07D00" w:rsidRDefault="00391D62">
      <w:pPr>
        <w:ind w:left="358" w:firstLine="0"/>
      </w:pPr>
      <w:r>
        <w:t xml:space="preserve">Economic Performance (CEP), Election Analysis Paper no. EA036 Deaton, A. and A. Case (2020), Deaths of Despair, Princeton University Press,   </w:t>
      </w:r>
    </w:p>
    <w:p w14:paraId="2DD3B665" w14:textId="77777777" w:rsidR="00A07D00" w:rsidRDefault="00391D62">
      <w:pPr>
        <w:numPr>
          <w:ilvl w:val="0"/>
          <w:numId w:val="2"/>
        </w:numPr>
        <w:ind w:hanging="358"/>
      </w:pPr>
      <w:r>
        <w:t xml:space="preserve">Guyot, K. and I.V. Sawhill (2022), 'Telecommuting will likely continue long after the pandemic', Brookings. </w:t>
      </w:r>
    </w:p>
    <w:p w14:paraId="2E090E18" w14:textId="77777777" w:rsidR="00A07D00" w:rsidRDefault="00391D62">
      <w:pPr>
        <w:numPr>
          <w:ilvl w:val="0"/>
          <w:numId w:val="2"/>
        </w:numPr>
        <w:ind w:hanging="358"/>
      </w:pPr>
      <w:r>
        <w:t xml:space="preserve">Kristof, N. and S. WuDunn (2020), Tightrope: Americans Reaching for Hope, Alfred A. Knopf.   </w:t>
      </w:r>
    </w:p>
    <w:p w14:paraId="2C6E7A8C" w14:textId="77777777" w:rsidR="00A07D00" w:rsidRDefault="00391D62">
      <w:pPr>
        <w:numPr>
          <w:ilvl w:val="0"/>
          <w:numId w:val="2"/>
        </w:numPr>
        <w:ind w:hanging="358"/>
      </w:pPr>
      <w:r>
        <w:t>Langella, M. and Manning, A. (2016), ‘Who voted Leave: the characteristics of individuals mattered, but so did those of local areas’, LSE Blog (http://eprints.lse.ac.uk/71596/1/ blogs.lse.ac.uk-Who%20voted%20Leave%20the%20characteristics%20of%20individuals %20mattered%20but%20so%20did%20those%20of%20local%20areas.pdf). [Accessed on 3</w:t>
      </w:r>
      <w:r>
        <w:rPr>
          <w:vertAlign w:val="superscript"/>
        </w:rPr>
        <w:t>rd</w:t>
      </w:r>
      <w:r>
        <w:t xml:space="preserve"> January 2022] </w:t>
      </w:r>
    </w:p>
    <w:p w14:paraId="25601FCF" w14:textId="77777777" w:rsidR="00A07D00" w:rsidRDefault="00391D62">
      <w:pPr>
        <w:numPr>
          <w:ilvl w:val="0"/>
          <w:numId w:val="2"/>
        </w:numPr>
        <w:ind w:hanging="358"/>
      </w:pPr>
      <w:r>
        <w:t xml:space="preserve">Mountford, A. and Wadsworth, J. (2018), ‘Trainspotting: good jobs, training and skilled immigration’, Royal Holloway Economics Department, Working Paper. </w:t>
      </w:r>
    </w:p>
    <w:p w14:paraId="73B0FE98" w14:textId="77777777" w:rsidR="00A07D00" w:rsidRDefault="00391D62">
      <w:pPr>
        <w:numPr>
          <w:ilvl w:val="0"/>
          <w:numId w:val="2"/>
        </w:numPr>
        <w:ind w:hanging="358"/>
      </w:pPr>
      <w:r>
        <w:t xml:space="preserve">Mousteri, V., M. Daly and L. Delaney, (2020), 'Underemployment and psychological distress: propensity matching score and fixed effects estimates from two large UK samples', Social Science and Medicine, 244. </w:t>
      </w:r>
    </w:p>
    <w:p w14:paraId="68240879" w14:textId="77777777" w:rsidR="00A07D00" w:rsidRDefault="00391D62">
      <w:pPr>
        <w:numPr>
          <w:ilvl w:val="0"/>
          <w:numId w:val="2"/>
        </w:numPr>
        <w:ind w:hanging="358"/>
      </w:pPr>
      <w:r>
        <w:lastRenderedPageBreak/>
        <w:t xml:space="preserve">ONS, Labour market bulletin, July-September 2019. See also Library paper People with disabilities in employment, April 2021.  </w:t>
      </w:r>
    </w:p>
    <w:p w14:paraId="49660284" w14:textId="77777777" w:rsidR="00A07D00" w:rsidRDefault="00391D62">
      <w:pPr>
        <w:numPr>
          <w:ilvl w:val="0"/>
          <w:numId w:val="2"/>
        </w:numPr>
        <w:spacing w:after="0"/>
        <w:ind w:hanging="358"/>
      </w:pPr>
      <w:r>
        <w:t xml:space="preserve">Quinones, S. (2015), 'Dreamland: the True Tale of America's Opiate Epidemic, Bloomsbury.   </w:t>
      </w:r>
    </w:p>
    <w:p w14:paraId="697B65C1" w14:textId="77777777" w:rsidR="00A07D00" w:rsidRDefault="00391D62">
      <w:pPr>
        <w:numPr>
          <w:ilvl w:val="0"/>
          <w:numId w:val="2"/>
        </w:numPr>
        <w:ind w:hanging="358"/>
      </w:pPr>
      <w:r>
        <w:t xml:space="preserve">Ruhs, M. and Wadsworth, J. (2018), ‘The impact of acquiring unrestricted work authorization on Romanian and Bulgarian migrants in the UK’, Industrial and Labor Relations Review, vol. 71, pp. 823–52. </w:t>
      </w:r>
    </w:p>
    <w:p w14:paraId="3DFB9B38" w14:textId="77777777" w:rsidR="002345EF" w:rsidRDefault="002345EF" w:rsidP="002345EF">
      <w:pPr>
        <w:spacing w:after="181" w:line="240" w:lineRule="auto"/>
        <w:ind w:left="0" w:firstLine="0"/>
        <w:jc w:val="left"/>
      </w:pPr>
      <w:bookmarkStart w:id="10" w:name="_Toc123667178"/>
    </w:p>
    <w:p w14:paraId="787E81B7" w14:textId="77777777" w:rsidR="00A07D00" w:rsidRPr="002345EF" w:rsidRDefault="00391D62" w:rsidP="002345EF">
      <w:pPr>
        <w:spacing w:after="181" w:line="240" w:lineRule="auto"/>
        <w:ind w:left="0" w:firstLine="0"/>
        <w:jc w:val="left"/>
        <w:rPr>
          <w:b/>
          <w:sz w:val="32"/>
          <w:szCs w:val="32"/>
        </w:rPr>
      </w:pPr>
      <w:r w:rsidRPr="002345EF">
        <w:rPr>
          <w:b/>
          <w:sz w:val="32"/>
          <w:szCs w:val="32"/>
        </w:rPr>
        <w:t>Appendix</w:t>
      </w:r>
      <w:bookmarkEnd w:id="10"/>
      <w:r w:rsidRPr="002345EF">
        <w:rPr>
          <w:b/>
          <w:sz w:val="32"/>
          <w:szCs w:val="32"/>
        </w:rPr>
        <w:t xml:space="preserve"> </w:t>
      </w:r>
    </w:p>
    <w:p w14:paraId="28434989" w14:textId="77777777" w:rsidR="00A07D00" w:rsidRDefault="00391D62">
      <w:pPr>
        <w:spacing w:after="172" w:line="240" w:lineRule="auto"/>
        <w:ind w:left="0" w:firstLine="0"/>
        <w:jc w:val="left"/>
      </w:pPr>
      <w:r>
        <w:rPr>
          <w:b/>
        </w:rPr>
        <w:t xml:space="preserve"> </w:t>
      </w:r>
    </w:p>
    <w:p w14:paraId="3868D095" w14:textId="77777777" w:rsidR="00A07D00" w:rsidRDefault="00391D62">
      <w:pPr>
        <w:spacing w:after="118" w:line="240" w:lineRule="auto"/>
        <w:ind w:left="0" w:firstLine="0"/>
        <w:jc w:val="right"/>
      </w:pPr>
      <w:r>
        <w:rPr>
          <w:rFonts w:ascii="Calibri" w:eastAsia="Calibri" w:hAnsi="Calibri" w:cs="Calibri"/>
          <w:noProof/>
          <w:position w:val="2"/>
          <w:sz w:val="22"/>
          <w:lang w:val="en-US"/>
        </w:rPr>
        <w:drawing>
          <wp:inline distT="0" distB="0" distL="0" distR="0" wp14:anchorId="7BDC0E2D" wp14:editId="4418C3EA">
            <wp:extent cx="5734050" cy="4089400"/>
            <wp:effectExtent l="0" t="0" r="0" b="0"/>
            <wp:docPr id="6909" name="Picture 6909"/>
            <wp:cNvGraphicFramePr/>
            <a:graphic xmlns:a="http://schemas.openxmlformats.org/drawingml/2006/main">
              <a:graphicData uri="http://schemas.openxmlformats.org/drawingml/2006/picture">
                <pic:pic xmlns:pic="http://schemas.openxmlformats.org/drawingml/2006/picture">
                  <pic:nvPicPr>
                    <pic:cNvPr id="6909" name="Picture 6909"/>
                    <pic:cNvPicPr/>
                  </pic:nvPicPr>
                  <pic:blipFill>
                    <a:blip r:embed="rId11"/>
                    <a:stretch>
                      <a:fillRect/>
                    </a:stretch>
                  </pic:blipFill>
                  <pic:spPr>
                    <a:xfrm>
                      <a:off x="0" y="0"/>
                      <a:ext cx="5734050" cy="4089400"/>
                    </a:xfrm>
                    <a:prstGeom prst="rect">
                      <a:avLst/>
                    </a:prstGeom>
                  </pic:spPr>
                </pic:pic>
              </a:graphicData>
            </a:graphic>
          </wp:inline>
        </w:drawing>
      </w:r>
      <w:r>
        <w:rPr>
          <w:rFonts w:ascii="Calibri" w:eastAsia="Calibri" w:hAnsi="Calibri" w:cs="Calibri"/>
          <w:sz w:val="22"/>
        </w:rPr>
        <w:t xml:space="preserve"> </w:t>
      </w:r>
    </w:p>
    <w:p w14:paraId="2816A65E" w14:textId="77777777" w:rsidR="00A07D00" w:rsidRDefault="00391D62">
      <w:pPr>
        <w:spacing w:after="0" w:line="240" w:lineRule="auto"/>
        <w:ind w:left="10" w:right="-15" w:hanging="10"/>
        <w:jc w:val="center"/>
      </w:pPr>
      <w:r>
        <w:t xml:space="preserve">Impact of Brexit on UK and USA (Ruhs et al., 2018). </w:t>
      </w:r>
    </w:p>
    <w:sectPr w:rsidR="00A07D00" w:rsidSect="002345EF">
      <w:footerReference w:type="default" r:id="rId12"/>
      <w:pgSz w:w="11906" w:h="16838"/>
      <w:pgMar w:top="1440" w:right="1435" w:bottom="1449"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0F4AF" w14:textId="77777777" w:rsidR="005E50B3" w:rsidRDefault="005E50B3" w:rsidP="002345EF">
      <w:pPr>
        <w:spacing w:after="0" w:line="240" w:lineRule="auto"/>
      </w:pPr>
      <w:r>
        <w:separator/>
      </w:r>
    </w:p>
  </w:endnote>
  <w:endnote w:type="continuationSeparator" w:id="0">
    <w:p w14:paraId="1607CBBF" w14:textId="77777777" w:rsidR="005E50B3" w:rsidRDefault="005E50B3" w:rsidP="00234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788698"/>
      <w:docPartObj>
        <w:docPartGallery w:val="Page Numbers (Bottom of Page)"/>
        <w:docPartUnique/>
      </w:docPartObj>
    </w:sdtPr>
    <w:sdtEndPr>
      <w:rPr>
        <w:noProof/>
      </w:rPr>
    </w:sdtEndPr>
    <w:sdtContent>
      <w:p w14:paraId="116D7299" w14:textId="77777777" w:rsidR="002345EF" w:rsidRDefault="002345EF">
        <w:pPr>
          <w:pStyle w:val="Footer"/>
          <w:jc w:val="center"/>
        </w:pPr>
        <w:r>
          <w:fldChar w:fldCharType="begin"/>
        </w:r>
        <w:r>
          <w:instrText xml:space="preserve"> PAGE   \* MERGEFORMAT </w:instrText>
        </w:r>
        <w:r>
          <w:fldChar w:fldCharType="separate"/>
        </w:r>
        <w:r w:rsidR="005767CB">
          <w:rPr>
            <w:noProof/>
          </w:rPr>
          <w:t>13</w:t>
        </w:r>
        <w:r>
          <w:rPr>
            <w:noProof/>
          </w:rPr>
          <w:fldChar w:fldCharType="end"/>
        </w:r>
      </w:p>
    </w:sdtContent>
  </w:sdt>
  <w:p w14:paraId="2ED2079D" w14:textId="77777777" w:rsidR="002345EF" w:rsidRDefault="00234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CFA85" w14:textId="77777777" w:rsidR="005E50B3" w:rsidRDefault="005E50B3" w:rsidP="002345EF">
      <w:pPr>
        <w:spacing w:after="0" w:line="240" w:lineRule="auto"/>
      </w:pPr>
      <w:r>
        <w:separator/>
      </w:r>
    </w:p>
  </w:footnote>
  <w:footnote w:type="continuationSeparator" w:id="0">
    <w:p w14:paraId="1B79F3FB" w14:textId="77777777" w:rsidR="005E50B3" w:rsidRDefault="005E50B3" w:rsidP="002345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33D82"/>
    <w:multiLevelType w:val="hybridMultilevel"/>
    <w:tmpl w:val="E2D22A62"/>
    <w:lvl w:ilvl="0" w:tplc="600E5A38">
      <w:start w:val="1"/>
      <w:numFmt w:val="bullet"/>
      <w:lvlText w:val="•"/>
      <w:lvlJc w:val="left"/>
      <w:pPr>
        <w:ind w:left="36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1" w:tplc="75EA1692">
      <w:start w:val="1"/>
      <w:numFmt w:val="bullet"/>
      <w:lvlText w:val="o"/>
      <w:lvlJc w:val="left"/>
      <w:pPr>
        <w:ind w:left="108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2" w:tplc="3CA01D1C">
      <w:start w:val="1"/>
      <w:numFmt w:val="bullet"/>
      <w:lvlText w:val="▪"/>
      <w:lvlJc w:val="left"/>
      <w:pPr>
        <w:ind w:left="180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3" w:tplc="266C4C7E">
      <w:start w:val="1"/>
      <w:numFmt w:val="bullet"/>
      <w:lvlText w:val="•"/>
      <w:lvlJc w:val="left"/>
      <w:pPr>
        <w:ind w:left="252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4" w:tplc="F522DAAC">
      <w:start w:val="1"/>
      <w:numFmt w:val="bullet"/>
      <w:lvlText w:val="o"/>
      <w:lvlJc w:val="left"/>
      <w:pPr>
        <w:ind w:left="324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5" w:tplc="B43ABDE6">
      <w:start w:val="1"/>
      <w:numFmt w:val="bullet"/>
      <w:lvlText w:val="▪"/>
      <w:lvlJc w:val="left"/>
      <w:pPr>
        <w:ind w:left="396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6" w:tplc="AF5E2274">
      <w:start w:val="1"/>
      <w:numFmt w:val="bullet"/>
      <w:lvlText w:val="•"/>
      <w:lvlJc w:val="left"/>
      <w:pPr>
        <w:ind w:left="468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7" w:tplc="1C600A46">
      <w:start w:val="1"/>
      <w:numFmt w:val="bullet"/>
      <w:lvlText w:val="o"/>
      <w:lvlJc w:val="left"/>
      <w:pPr>
        <w:ind w:left="540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lvl w:ilvl="8" w:tplc="86560F30">
      <w:start w:val="1"/>
      <w:numFmt w:val="bullet"/>
      <w:lvlText w:val="▪"/>
      <w:lvlJc w:val="left"/>
      <w:pPr>
        <w:ind w:left="6120"/>
      </w:pPr>
      <w:rPr>
        <w:rFonts w:ascii="Segoe UI Symbol" w:eastAsia="Segoe UI Symbol" w:hAnsi="Segoe UI Symbol" w:cs="Segoe UI Symbol"/>
        <w:b w:val="0"/>
        <w:i w:val="0"/>
        <w:strike w:val="0"/>
        <w:dstrike w:val="0"/>
        <w:color w:val="000000"/>
        <w:sz w:val="24"/>
        <w:u w:val="none" w:color="000000"/>
        <w:bdr w:val="none" w:sz="0" w:space="0" w:color="auto"/>
        <w:shd w:val="clear" w:color="auto" w:fill="auto"/>
        <w:vertAlign w:val="baseline"/>
      </w:rPr>
    </w:lvl>
  </w:abstractNum>
  <w:abstractNum w:abstractNumId="1" w15:restartNumberingAfterBreak="0">
    <w:nsid w:val="31204F93"/>
    <w:multiLevelType w:val="multilevel"/>
    <w:tmpl w:val="98D6F21A"/>
    <w:lvl w:ilvl="0">
      <w:start w:val="1"/>
      <w:numFmt w:val="decimal"/>
      <w:pStyle w:val="Heading1"/>
      <w:lvlText w:val="%1."/>
      <w:lvlJc w:val="left"/>
      <w:pPr>
        <w:ind w:left="0"/>
      </w:pPr>
      <w:rPr>
        <w:rFonts w:ascii="Times New Roman" w:eastAsia="Times New Roman" w:hAnsi="Times New Roman" w:cs="Times New Roman"/>
        <w:b/>
        <w:i w:val="0"/>
        <w:strike w:val="0"/>
        <w:dstrike w:val="0"/>
        <w:color w:val="000000"/>
        <w:sz w:val="28"/>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i w:val="0"/>
        <w:strike w:val="0"/>
        <w:dstrike w:val="0"/>
        <w:color w:val="000000"/>
        <w:sz w:val="28"/>
        <w:szCs w:val="28"/>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i w:val="0"/>
        <w:strike w:val="0"/>
        <w:dstrike w:val="0"/>
        <w:color w:val="000000"/>
        <w:sz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i w:val="0"/>
        <w:strike w:val="0"/>
        <w:dstrike w:val="0"/>
        <w:color w:val="000000"/>
        <w:sz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i w:val="0"/>
        <w:strike w:val="0"/>
        <w:dstrike w:val="0"/>
        <w:color w:val="000000"/>
        <w:sz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i w:val="0"/>
        <w:strike w:val="0"/>
        <w:dstrike w:val="0"/>
        <w:color w:val="000000"/>
        <w:sz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i w:val="0"/>
        <w:strike w:val="0"/>
        <w:dstrike w:val="0"/>
        <w:color w:val="000000"/>
        <w:sz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i w:val="0"/>
        <w:strike w:val="0"/>
        <w:dstrike w:val="0"/>
        <w:color w:val="000000"/>
        <w:sz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i w:val="0"/>
        <w:strike w:val="0"/>
        <w:dstrike w:val="0"/>
        <w:color w:val="000000"/>
        <w:sz w:val="24"/>
        <w:u w:val="none" w:color="000000"/>
        <w:bdr w:val="none" w:sz="0" w:space="0" w:color="auto"/>
        <w:shd w:val="clear" w:color="auto" w:fill="auto"/>
        <w:vertAlign w:val="baseline"/>
      </w:rPr>
    </w:lvl>
  </w:abstractNum>
  <w:abstractNum w:abstractNumId="2" w15:restartNumberingAfterBreak="0">
    <w:nsid w:val="79E22950"/>
    <w:multiLevelType w:val="hybridMultilevel"/>
    <w:tmpl w:val="4DA2C590"/>
    <w:lvl w:ilvl="0" w:tplc="AF7CCDB6">
      <w:start w:val="1"/>
      <w:numFmt w:val="decimal"/>
      <w:lvlText w:val="%1."/>
      <w:lvlJc w:val="left"/>
      <w:pPr>
        <w:ind w:left="358"/>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1" w:tplc="61F6B660">
      <w:start w:val="1"/>
      <w:numFmt w:val="lowerLetter"/>
      <w:lvlText w:val="%2"/>
      <w:lvlJc w:val="left"/>
      <w:pPr>
        <w:ind w:left="108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2" w:tplc="38BE4EEA">
      <w:start w:val="1"/>
      <w:numFmt w:val="lowerRoman"/>
      <w:lvlText w:val="%3"/>
      <w:lvlJc w:val="left"/>
      <w:pPr>
        <w:ind w:left="180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3" w:tplc="C0D42F36">
      <w:start w:val="1"/>
      <w:numFmt w:val="decimal"/>
      <w:lvlText w:val="%4"/>
      <w:lvlJc w:val="left"/>
      <w:pPr>
        <w:ind w:left="252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4" w:tplc="9A4E0A74">
      <w:start w:val="1"/>
      <w:numFmt w:val="lowerLetter"/>
      <w:lvlText w:val="%5"/>
      <w:lvlJc w:val="left"/>
      <w:pPr>
        <w:ind w:left="324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5" w:tplc="814CA23C">
      <w:start w:val="1"/>
      <w:numFmt w:val="lowerRoman"/>
      <w:lvlText w:val="%6"/>
      <w:lvlJc w:val="left"/>
      <w:pPr>
        <w:ind w:left="396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6" w:tplc="6A70D7F2">
      <w:start w:val="1"/>
      <w:numFmt w:val="decimal"/>
      <w:lvlText w:val="%7"/>
      <w:lvlJc w:val="left"/>
      <w:pPr>
        <w:ind w:left="468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7" w:tplc="07245D2A">
      <w:start w:val="1"/>
      <w:numFmt w:val="lowerLetter"/>
      <w:lvlText w:val="%8"/>
      <w:lvlJc w:val="left"/>
      <w:pPr>
        <w:ind w:left="540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lvl w:ilvl="8" w:tplc="99E2E42E">
      <w:start w:val="1"/>
      <w:numFmt w:val="lowerRoman"/>
      <w:lvlText w:val="%9"/>
      <w:lvlJc w:val="left"/>
      <w:pPr>
        <w:ind w:left="6120"/>
      </w:pPr>
      <w:rPr>
        <w:rFonts w:ascii="Times New Roman" w:eastAsia="Times New Roman" w:hAnsi="Times New Roman" w:cs="Times New Roman"/>
        <w:b w:val="0"/>
        <w:i w:val="0"/>
        <w:strike w:val="0"/>
        <w:dstrike w:val="0"/>
        <w:color w:val="000000"/>
        <w:sz w:val="24"/>
        <w:u w:val="none" w:color="000000"/>
        <w:bdr w:val="none" w:sz="0" w:space="0" w:color="auto"/>
        <w:shd w:val="clear" w:color="auto" w:fill="auto"/>
        <w:vertAlign w:val="baseline"/>
      </w:rPr>
    </w:lvl>
  </w:abstractNum>
  <w:num w:numId="1" w16cid:durableId="831140918">
    <w:abstractNumId w:val="0"/>
  </w:num>
  <w:num w:numId="2" w16cid:durableId="951595790">
    <w:abstractNumId w:val="2"/>
  </w:num>
  <w:num w:numId="3" w16cid:durableId="28918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D00"/>
    <w:rsid w:val="000A5F52"/>
    <w:rsid w:val="002345EF"/>
    <w:rsid w:val="00391D62"/>
    <w:rsid w:val="005767CB"/>
    <w:rsid w:val="005E50B3"/>
    <w:rsid w:val="00613A0E"/>
    <w:rsid w:val="00772DBB"/>
    <w:rsid w:val="00987EE2"/>
    <w:rsid w:val="00A07D00"/>
    <w:rsid w:val="00AD644B"/>
    <w:rsid w:val="00B335B4"/>
    <w:rsid w:val="00B5475A"/>
    <w:rsid w:val="00C37821"/>
    <w:rsid w:val="00F227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268E6"/>
  <w15:docId w15:val="{B9D7EC11-AB5E-4FC5-955A-A7635A482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1" w:line="350" w:lineRule="auto"/>
      <w:ind w:left="353" w:hanging="368"/>
      <w:jc w:val="both"/>
    </w:pPr>
    <w:rPr>
      <w:rFonts w:ascii="Times New Roman" w:eastAsia="Times New Roman" w:hAnsi="Times New Roman" w:cs="Times New Roman"/>
      <w:color w:val="000000"/>
      <w:sz w:val="24"/>
      <w:lang w:val="en-GB"/>
    </w:rPr>
  </w:style>
  <w:style w:type="paragraph" w:styleId="Heading1">
    <w:name w:val="heading 1"/>
    <w:next w:val="Normal"/>
    <w:link w:val="Heading1Char"/>
    <w:uiPriority w:val="9"/>
    <w:unhideWhenUsed/>
    <w:qFormat/>
    <w:pPr>
      <w:keepNext/>
      <w:keepLines/>
      <w:numPr>
        <w:numId w:val="3"/>
      </w:numPr>
      <w:spacing w:after="255" w:line="246" w:lineRule="auto"/>
      <w:ind w:left="-5"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numPr>
        <w:ilvl w:val="1"/>
        <w:numId w:val="3"/>
      </w:numPr>
      <w:spacing w:after="255" w:line="246" w:lineRule="auto"/>
      <w:ind w:left="-5" w:hanging="10"/>
      <w:outlineLvl w:val="1"/>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b/>
      <w:color w:val="000000"/>
      <w:sz w:val="24"/>
    </w:rPr>
  </w:style>
  <w:style w:type="paragraph" w:styleId="TOC1">
    <w:name w:val="toc 1"/>
    <w:hidden/>
    <w:uiPriority w:val="39"/>
    <w:pPr>
      <w:spacing w:after="141" w:line="240" w:lineRule="auto"/>
      <w:ind w:left="15" w:right="15"/>
      <w:jc w:val="both"/>
    </w:pPr>
    <w:rPr>
      <w:rFonts w:ascii="Times New Roman" w:eastAsia="Times New Roman" w:hAnsi="Times New Roman" w:cs="Times New Roman"/>
      <w:color w:val="000000"/>
      <w:sz w:val="24"/>
    </w:rPr>
  </w:style>
  <w:style w:type="paragraph" w:styleId="TOC2">
    <w:name w:val="toc 2"/>
    <w:hidden/>
    <w:uiPriority w:val="39"/>
    <w:pPr>
      <w:spacing w:after="136" w:line="240" w:lineRule="auto"/>
      <w:ind w:left="231" w:right="47" w:hanging="10"/>
      <w:jc w:val="right"/>
    </w:pPr>
    <w:rPr>
      <w:rFonts w:ascii="Times New Roman" w:eastAsia="Times New Roman" w:hAnsi="Times New Roman" w:cs="Times New Roman"/>
      <w:color w:val="000000"/>
      <w:sz w:val="24"/>
    </w:rPr>
  </w:style>
  <w:style w:type="character" w:styleId="Hyperlink">
    <w:name w:val="Hyperlink"/>
    <w:basedOn w:val="DefaultParagraphFont"/>
    <w:uiPriority w:val="99"/>
    <w:unhideWhenUsed/>
    <w:rsid w:val="002345EF"/>
    <w:rPr>
      <w:color w:val="0563C1" w:themeColor="hyperlink"/>
      <w:u w:val="single"/>
    </w:rPr>
  </w:style>
  <w:style w:type="paragraph" w:styleId="TOCHeading">
    <w:name w:val="TOC Heading"/>
    <w:basedOn w:val="Heading1"/>
    <w:next w:val="Normal"/>
    <w:uiPriority w:val="39"/>
    <w:unhideWhenUsed/>
    <w:qFormat/>
    <w:rsid w:val="002345EF"/>
    <w:pPr>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3">
    <w:name w:val="toc 3"/>
    <w:basedOn w:val="Normal"/>
    <w:next w:val="Normal"/>
    <w:autoRedefine/>
    <w:uiPriority w:val="39"/>
    <w:unhideWhenUsed/>
    <w:rsid w:val="002345EF"/>
    <w:pPr>
      <w:spacing w:after="100" w:line="259" w:lineRule="auto"/>
      <w:ind w:left="440" w:firstLine="0"/>
      <w:jc w:val="left"/>
    </w:pPr>
    <w:rPr>
      <w:rFonts w:asciiTheme="minorHAnsi" w:eastAsiaTheme="minorEastAsia" w:hAnsiTheme="minorHAnsi"/>
      <w:color w:val="auto"/>
      <w:sz w:val="22"/>
      <w:lang w:val="en-US"/>
    </w:rPr>
  </w:style>
  <w:style w:type="paragraph" w:styleId="Header">
    <w:name w:val="header"/>
    <w:basedOn w:val="Normal"/>
    <w:link w:val="HeaderChar"/>
    <w:uiPriority w:val="99"/>
    <w:unhideWhenUsed/>
    <w:rsid w:val="002345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45EF"/>
    <w:rPr>
      <w:rFonts w:ascii="Times New Roman" w:eastAsia="Times New Roman" w:hAnsi="Times New Roman" w:cs="Times New Roman"/>
      <w:color w:val="000000"/>
      <w:sz w:val="24"/>
      <w:lang w:val="en-GB"/>
    </w:rPr>
  </w:style>
  <w:style w:type="paragraph" w:styleId="Footer">
    <w:name w:val="footer"/>
    <w:basedOn w:val="Normal"/>
    <w:link w:val="FooterChar"/>
    <w:uiPriority w:val="99"/>
    <w:unhideWhenUsed/>
    <w:rsid w:val="002345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45EF"/>
    <w:rPr>
      <w:rFonts w:ascii="Times New Roman" w:eastAsia="Times New Roman" w:hAnsi="Times New Roman" w:cs="Times New Roman"/>
      <w:color w:val="000000"/>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3020</Words>
  <Characters>17215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gladwin james</dc:creator>
  <cp:keywords/>
  <cp:lastModifiedBy>Aswathy Appu (2217024)</cp:lastModifiedBy>
  <cp:revision>5</cp:revision>
  <cp:lastPrinted>2023-01-03T22:32:00Z</cp:lastPrinted>
  <dcterms:created xsi:type="dcterms:W3CDTF">2023-01-03T22:32:00Z</dcterms:created>
  <dcterms:modified xsi:type="dcterms:W3CDTF">2023-01-03T22:37:00Z</dcterms:modified>
</cp:coreProperties>
</file>