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82898" w:rsidRPr="007571F6" w:rsidRDefault="00782898" w:rsidP="00782898">
      <w:pPr>
        <w:spacing w:line="276" w:lineRule="auto"/>
        <w:jc w:val="both"/>
        <w:rPr>
          <w:rFonts w:asciiTheme="minorHAnsi" w:hAnsiTheme="minorHAnsi" w:cstheme="minorHAnsi"/>
          <w:b/>
          <w:sz w:val="28"/>
          <w:szCs w:val="28"/>
        </w:rPr>
      </w:pPr>
      <w:r w:rsidRPr="007571F6">
        <w:rPr>
          <w:rFonts w:asciiTheme="minorHAnsi" w:hAnsiTheme="minorHAnsi" w:cstheme="minorHAnsi"/>
          <w:b/>
          <w:sz w:val="28"/>
          <w:szCs w:val="28"/>
        </w:rPr>
        <w:t>Critical Review: Passage Graves of Western Iberia</w:t>
      </w:r>
    </w:p>
    <w:p w:rsidR="00782898" w:rsidRPr="007571F6" w:rsidRDefault="00782898" w:rsidP="00782898">
      <w:pPr>
        <w:spacing w:line="276" w:lineRule="auto"/>
        <w:rPr>
          <w:rFonts w:asciiTheme="minorHAnsi" w:hAnsiTheme="minorHAnsi" w:cstheme="minorHAnsi"/>
          <w:sz w:val="20"/>
          <w:szCs w:val="20"/>
        </w:rPr>
      </w:pPr>
      <w:r w:rsidRPr="007571F6">
        <w:rPr>
          <w:rFonts w:asciiTheme="minorHAnsi" w:hAnsiTheme="minorHAnsi" w:cstheme="minorHAnsi"/>
          <w:sz w:val="20"/>
          <w:szCs w:val="20"/>
        </w:rPr>
        <w:t xml:space="preserve">Word count: </w:t>
      </w:r>
      <w:r w:rsidRPr="007571F6">
        <w:rPr>
          <w:rFonts w:asciiTheme="minorHAnsi" w:hAnsiTheme="minorHAnsi" w:cstheme="minorHAnsi"/>
          <w:sz w:val="20"/>
          <w:szCs w:val="20"/>
          <w:highlight w:val="yellow"/>
        </w:rPr>
        <w:t>X XXX</w:t>
      </w:r>
    </w:p>
    <w:p w:rsidR="00782898" w:rsidRDefault="00782898" w:rsidP="00782898">
      <w:pPr>
        <w:spacing w:line="276" w:lineRule="auto"/>
        <w:rPr>
          <w:rFonts w:asciiTheme="minorHAnsi" w:hAnsiTheme="minorHAnsi" w:cstheme="minorHAnsi"/>
          <w:color w:val="002060"/>
          <w:sz w:val="22"/>
          <w:szCs w:val="22"/>
        </w:rPr>
      </w:pPr>
    </w:p>
    <w:p w:rsidR="00782898" w:rsidRPr="007571F6" w:rsidRDefault="00782898" w:rsidP="00782898">
      <w:pPr>
        <w:pStyle w:val="MAPara1"/>
      </w:pPr>
      <w:r w:rsidRPr="007571F6">
        <w:t>This essay critically reviews the interpretations of passage graves of western Iberia by examining the different methodologies, theories and evidence offered in papers by Michael Hoskin</w:t>
      </w:r>
      <w:r>
        <w:t xml:space="preserve"> (1998)</w:t>
      </w:r>
      <w:r w:rsidRPr="007571F6">
        <w:t xml:space="preserve"> and Fabio Silva</w:t>
      </w:r>
      <w:r>
        <w:t xml:space="preserve"> (2015), and drawing on other literature in the field</w:t>
      </w:r>
      <w:r w:rsidRPr="007571F6">
        <w:t>.</w:t>
      </w:r>
      <w:r w:rsidRPr="007571F6">
        <w:rPr>
          <w:rStyle w:val="FootnoteReference"/>
        </w:rPr>
        <w:footnoteReference w:id="1"/>
      </w:r>
    </w:p>
    <w:p w:rsidR="00782898" w:rsidRPr="00785217" w:rsidRDefault="00782898" w:rsidP="00782898">
      <w:pPr>
        <w:pStyle w:val="MAPara1"/>
      </w:pPr>
    </w:p>
    <w:p w:rsidR="00782898" w:rsidRPr="00785217" w:rsidRDefault="00782898" w:rsidP="00782898">
      <w:pPr>
        <w:pStyle w:val="MAPara1"/>
      </w:pPr>
      <w:r w:rsidRPr="00785217">
        <w:t xml:space="preserve">Both authors have approached their research on the orientation of megalithic tombs from different perspectives. </w:t>
      </w:r>
      <w:r>
        <w:t xml:space="preserve">Michael </w:t>
      </w:r>
      <w:r w:rsidRPr="00785217">
        <w:t xml:space="preserve">Hoskins, having conducted fieldwork </w:t>
      </w:r>
      <w:r>
        <w:t xml:space="preserve">throughout the 1990s </w:t>
      </w:r>
      <w:r w:rsidRPr="00785217">
        <w:t>in collaboration with local archaeologists, presents data with minimal context, stating that ‘It has always been the primary purpose of our fieldwork to assemble data, which archaeologists and archaeoastronomers will then have at their disposal and may interpret as they see fit.’</w:t>
      </w:r>
      <w:r w:rsidRPr="00785217">
        <w:rPr>
          <w:rStyle w:val="FootnoteReference"/>
        </w:rPr>
        <w:footnoteReference w:id="2"/>
      </w:r>
      <w:r w:rsidRPr="00785217">
        <w:t xml:space="preserve"> As such, there is no attempt to refute prior academic theories, but he does offer some interpretive suggestions limited to </w:t>
      </w:r>
      <w:r>
        <w:t>two ‘customs’ of orientation</w:t>
      </w:r>
      <w:r w:rsidRPr="00785217">
        <w:t xml:space="preserve"> related to sunrise (SR) and/or sun</w:t>
      </w:r>
      <w:r>
        <w:t>-</w:t>
      </w:r>
      <w:r w:rsidRPr="00785217">
        <w:t xml:space="preserve">climb (SC). </w:t>
      </w:r>
      <w:r>
        <w:t>P</w:t>
      </w:r>
      <w:r w:rsidRPr="00785217">
        <w:t>oint</w:t>
      </w:r>
      <w:r>
        <w:t>s</w:t>
      </w:r>
      <w:r w:rsidRPr="00785217">
        <w:t xml:space="preserve"> of debate, however, </w:t>
      </w:r>
      <w:r>
        <w:t>are</w:t>
      </w:r>
      <w:r w:rsidRPr="00785217">
        <w:t xml:space="preserve"> that he has assumed that the data reflects ‘orientations selected by the original constructors of the tombs’</w:t>
      </w:r>
      <w:r>
        <w:t xml:space="preserve"> and what appears to be a somewhat naïve assumption that valid interpretations can be obtained from fieldwork data alone</w:t>
      </w:r>
      <w:r w:rsidRPr="00785217">
        <w:t>.</w:t>
      </w:r>
      <w:r w:rsidRPr="00785217">
        <w:rPr>
          <w:rStyle w:val="FootnoteReference"/>
        </w:rPr>
        <w:footnoteReference w:id="3"/>
      </w:r>
    </w:p>
    <w:p w:rsidR="00782898" w:rsidRPr="00CD7F5E" w:rsidRDefault="00782898" w:rsidP="00782898">
      <w:pPr>
        <w:pStyle w:val="MAPara1"/>
      </w:pPr>
    </w:p>
    <w:p w:rsidR="00782898" w:rsidRPr="00A3405D" w:rsidRDefault="00782898" w:rsidP="00782898">
      <w:pPr>
        <w:pStyle w:val="MAPara1"/>
      </w:pPr>
      <w:r w:rsidRPr="00A3405D">
        <w:t>In contrast, Fabio Silva’s more recent paper, which appeal</w:t>
      </w:r>
      <w:r>
        <w:t>s</w:t>
      </w:r>
      <w:r w:rsidRPr="00A3405D">
        <w:t xml:space="preserve"> beyond academia to a general interest readership, both refutes and builds on aspects of Hoskin’s work, offers insight into other research findings, and provides some of his own hypotheses for megalithic alignments within the area of study. He states that this research completes and complements a prior preliminary analysis carried out on a smaller sample of dolmens in the same region. Other goals included expanding on the number of sites surveyed by Hoskin, including newly excavated sites, </w:t>
      </w:r>
      <w:r>
        <w:t>and extending</w:t>
      </w:r>
      <w:r w:rsidRPr="00A3405D">
        <w:t xml:space="preserve"> the employed methodology.</w:t>
      </w:r>
      <w:r w:rsidRPr="00A3405D">
        <w:rPr>
          <w:rStyle w:val="FootnoteReference"/>
        </w:rPr>
        <w:footnoteReference w:id="4"/>
      </w:r>
    </w:p>
    <w:p w:rsidR="00782898" w:rsidRDefault="00782898" w:rsidP="00782898">
      <w:pPr>
        <w:pStyle w:val="MAPara1"/>
      </w:pPr>
    </w:p>
    <w:p w:rsidR="00782898" w:rsidRDefault="00782898" w:rsidP="00782898">
      <w:pPr>
        <w:pStyle w:val="MAPara1"/>
      </w:pPr>
      <w:r>
        <w:t>As indicated in the title of his paper, he adopts a time-space-action approach to megalithism, introducing the concept and value to be gained from a ‘window of visibility’ (‘the maximum extent of the horizon which, given the dolmen’s corridor and entrance geometry, can be seen from the chamber’) compared to Hoskin’s ‘straight-line’ general orientation measured ‘from the centre of the backstone to the centre of the entrance or passage’.</w:t>
      </w:r>
      <w:r>
        <w:rPr>
          <w:rStyle w:val="FootnoteReference"/>
        </w:rPr>
        <w:footnoteReference w:id="5"/>
      </w:r>
      <w:r>
        <w:t xml:space="preserve"> </w:t>
      </w:r>
      <w:r w:rsidRPr="00CA5605">
        <w:t xml:space="preserve">Unfortunately, Silva refers to a separate paper </w:t>
      </w:r>
      <w:r w:rsidRPr="00CA5605">
        <w:lastRenderedPageBreak/>
        <w:t>for an in-depth discussion of the window of visibility methodology.</w:t>
      </w:r>
      <w:r w:rsidRPr="00CA5605">
        <w:rPr>
          <w:rStyle w:val="FootnoteReference"/>
        </w:rPr>
        <w:footnoteReference w:id="6"/>
      </w:r>
      <w:r w:rsidRPr="00CA5605">
        <w:t xml:space="preserve"> It is also worth noting that there can be no certainty that any particular line was meaningful to dolmen builders.</w:t>
      </w:r>
      <w:r w:rsidRPr="00CA5605">
        <w:rPr>
          <w:rStyle w:val="FootnoteReference"/>
        </w:rPr>
        <w:footnoteReference w:id="7"/>
      </w:r>
    </w:p>
    <w:p w:rsidR="00782898" w:rsidRPr="00CA5605" w:rsidRDefault="00782898" w:rsidP="00782898">
      <w:pPr>
        <w:pStyle w:val="MAPara1"/>
      </w:pPr>
    </w:p>
    <w:p w:rsidR="00782898" w:rsidRDefault="00782898" w:rsidP="00782898">
      <w:pPr>
        <w:pStyle w:val="MAPara1"/>
      </w:pPr>
      <w:r w:rsidRPr="00CA5605">
        <w:t>Since Hoskin’s paper is self-limited in its scope for discussion beyond the recording of data, the focus of this essay will be on the interpretations offered by Silva.</w:t>
      </w:r>
    </w:p>
    <w:p w:rsidR="00782898" w:rsidRPr="00CA5605" w:rsidRDefault="00782898" w:rsidP="00782898">
      <w:pPr>
        <w:pStyle w:val="MAPara1"/>
      </w:pPr>
    </w:p>
    <w:p w:rsidR="00782898" w:rsidRPr="00CA5605" w:rsidRDefault="00782898" w:rsidP="00782898">
      <w:pPr>
        <w:pStyle w:val="MAPara1"/>
      </w:pPr>
      <w:r w:rsidRPr="00CA5605">
        <w:t>Silva presents background to the Neolithic, highlighting areas such as topographical context, monumentalisation of the landscape, and the megalithic archaeoastronomy of the region, and goes onto explore the location and orientation of Mondego platform’s Neolithic dolmens using elements from landscape archaeology and archaeoastronomy.</w:t>
      </w:r>
      <w:r w:rsidRPr="00CA5605">
        <w:rPr>
          <w:rStyle w:val="FootnoteReference"/>
        </w:rPr>
        <w:t xml:space="preserve"> </w:t>
      </w:r>
      <w:r w:rsidRPr="00CA5605">
        <w:rPr>
          <w:rStyle w:val="FootnoteReference"/>
        </w:rPr>
        <w:footnoteReference w:id="8"/>
      </w:r>
    </w:p>
    <w:p w:rsidR="00782898" w:rsidRPr="00CA5605" w:rsidRDefault="00782898" w:rsidP="00782898">
      <w:pPr>
        <w:pStyle w:val="MAPara1"/>
      </w:pPr>
    </w:p>
    <w:p w:rsidR="00782898" w:rsidRDefault="00782898" w:rsidP="00782898">
      <w:pPr>
        <w:pStyle w:val="MAPara1"/>
      </w:pPr>
      <w:r>
        <w:t>While some a</w:t>
      </w:r>
      <w:r w:rsidRPr="00CA5605">
        <w:t>rchaeological evidence and discoveries in the 20-year period since Hoskin’s publication, suggests that transition to the Neolithic may have been the result of colonization and/or acculturation</w:t>
      </w:r>
      <w:r>
        <w:t xml:space="preserve">, </w:t>
      </w:r>
      <w:r w:rsidRPr="001B131B">
        <w:t>Silva draws on the structuration model suggested by Tilley to explain this and suggests a ‘continuity and transformation’ model be employed to explain diversity in the archaeological record and give agency back to ‘hunter-gatherers’.</w:t>
      </w:r>
      <w:r w:rsidRPr="001B131B">
        <w:rPr>
          <w:rStyle w:val="FootnoteReference"/>
        </w:rPr>
        <w:footnoteReference w:id="9"/>
      </w:r>
      <w:r w:rsidRPr="001B131B">
        <w:t xml:space="preserve"> I</w:t>
      </w:r>
      <w:r w:rsidRPr="00CA5605">
        <w:t>rrespective, various scholars have indicated that communities shared similar landscape choices, settlement patterns, mobility and broad-spectrum subsistence strategies.</w:t>
      </w:r>
      <w:r w:rsidRPr="00CA5605">
        <w:rPr>
          <w:rStyle w:val="FootnoteReference"/>
        </w:rPr>
        <w:footnoteReference w:id="10"/>
      </w:r>
    </w:p>
    <w:p w:rsidR="00782898" w:rsidRDefault="00782898" w:rsidP="00782898">
      <w:pPr>
        <w:pStyle w:val="MAPara1"/>
      </w:pPr>
    </w:p>
    <w:p w:rsidR="00782898" w:rsidRDefault="00782898" w:rsidP="00782898">
      <w:pPr>
        <w:pStyle w:val="MAPara1"/>
      </w:pPr>
      <w:r>
        <w:t>Tilley has argued for the significance of topographic features in Mesolithic and Neolithic times, claiming that, in the Mesolithic, ‘known, named and significant places [were] linked by paths of movement to which populations repeatedly returned during their seasonal activity rounds’.</w:t>
      </w:r>
      <w:r>
        <w:rPr>
          <w:rStyle w:val="FootnoteReference"/>
        </w:rPr>
        <w:footnoteReference w:id="11"/>
      </w:r>
      <w:r>
        <w:t xml:space="preserve"> In the Neolithic it is suggested that this dynamic would have changed, as megaliths became the anchors of seasonal movement.</w:t>
      </w:r>
      <w:r>
        <w:rPr>
          <w:rStyle w:val="FootnoteReference"/>
        </w:rPr>
        <w:footnoteReference w:id="12"/>
      </w:r>
      <w:r>
        <w:t xml:space="preserve"> Rodríguez-Rellán and Fábregas Valcarce’s paper on assessing megalith’s interaction with the NW Iberian landscape, also suggests that megalithic architecture is dynamic and linked to a not only a cognitive geography developed by communities in Late Prehistory, but also represent past memories and the dead, forever anchored to a particular place – fusing and intersecting time and space at specific points in the landscape.</w:t>
      </w:r>
      <w:r>
        <w:rPr>
          <w:rStyle w:val="FootnoteReference"/>
        </w:rPr>
        <w:footnoteReference w:id="13"/>
      </w:r>
      <w:r>
        <w:t xml:space="preserve"> </w:t>
      </w:r>
    </w:p>
    <w:p w:rsidR="00782898" w:rsidRDefault="00782898" w:rsidP="00782898">
      <w:pPr>
        <w:pStyle w:val="MAPara1"/>
      </w:pPr>
    </w:p>
    <w:p w:rsidR="00782898" w:rsidRDefault="00782898" w:rsidP="00782898">
      <w:pPr>
        <w:pStyle w:val="MAPara1"/>
      </w:pPr>
      <w:r>
        <w:t>Other researchers have also suggested that settlements in the Modego basin appear in close proximity to the dolmens and suggest an autumn and winter occupation.</w:t>
      </w:r>
      <w:r>
        <w:rPr>
          <w:rStyle w:val="FootnoteReference"/>
        </w:rPr>
        <w:footnoteReference w:id="14"/>
      </w:r>
      <w:r>
        <w:t xml:space="preserve"> </w:t>
      </w:r>
      <w:r w:rsidRPr="00CA5605">
        <w:t xml:space="preserve">Although the existence of exchange </w:t>
      </w:r>
      <w:r w:rsidRPr="00CA5605">
        <w:lastRenderedPageBreak/>
        <w:t xml:space="preserve">networks </w:t>
      </w:r>
      <w:r>
        <w:t xml:space="preserve">and seasonal movement </w:t>
      </w:r>
      <w:r w:rsidRPr="00CA5605">
        <w:t>has been suggested, there is no evidence of transport routes presented by Silva.</w:t>
      </w:r>
      <w:r w:rsidRPr="00CA5605">
        <w:rPr>
          <w:rStyle w:val="FootnoteReference"/>
        </w:rPr>
        <w:footnoteReference w:id="15"/>
      </w:r>
    </w:p>
    <w:p w:rsidR="00782898" w:rsidRDefault="00782898" w:rsidP="00782898">
      <w:pPr>
        <w:pStyle w:val="MAPara1"/>
      </w:pPr>
    </w:p>
    <w:p w:rsidR="00782898" w:rsidRDefault="00782898" w:rsidP="00782898">
      <w:pPr>
        <w:pStyle w:val="MAPara1"/>
      </w:pPr>
      <w:r w:rsidRPr="00CA5605">
        <w:t>Despite claiming that agriculture may have played only a minor role in Neolithic communities, there is evidence of Neolithic settlers raising small livestock (sheep and goats), and Silva suggests that winters were spent on low grounds and the spring and summer season on the high pastures of Serra da Estrela</w:t>
      </w:r>
      <w:r>
        <w:t>, further reinforcing seasonal movement</w:t>
      </w:r>
      <w:r w:rsidRPr="00CA5605">
        <w:t>.</w:t>
      </w:r>
      <w:r w:rsidRPr="00CA5605">
        <w:rPr>
          <w:rStyle w:val="FootnoteReference"/>
        </w:rPr>
        <w:footnoteReference w:id="16"/>
      </w:r>
      <w:r>
        <w:t xml:space="preserve"> </w:t>
      </w:r>
    </w:p>
    <w:p w:rsidR="00782898" w:rsidRDefault="00782898" w:rsidP="00782898">
      <w:pPr>
        <w:pStyle w:val="MAPara1"/>
        <w:rPr>
          <w:color w:val="0070C0"/>
        </w:rPr>
      </w:pPr>
      <w:r w:rsidRPr="00956122">
        <w:rPr>
          <w:color w:val="0070C0"/>
        </w:rPr>
        <w:t>Suggests that the custom of transhumance was being developed, whereby flocks (mostly of sheep and goats) were taken to high pastures in the spring and summer and returned to lower ground for autumn and winter, which became a time for gathering and preparing acorns, etc., along with the production of pottery, the hunting of animals, the search for minerals, and so forth. This we think was the practice of those who built and utilised the dolmens.</w:t>
      </w:r>
      <w:r w:rsidRPr="00956122">
        <w:rPr>
          <w:rStyle w:val="FootnoteReference"/>
          <w:color w:val="0070C0"/>
        </w:rPr>
        <w:footnoteReference w:id="17"/>
      </w:r>
      <w:r w:rsidRPr="00956122">
        <w:rPr>
          <w:color w:val="0070C0"/>
        </w:rPr>
        <w:t xml:space="preserve"> (Ref the Mondego platform of Central Portugal)</w:t>
      </w:r>
    </w:p>
    <w:p w:rsidR="00782898" w:rsidRDefault="00782898" w:rsidP="00782898">
      <w:pPr>
        <w:pStyle w:val="MAPara1"/>
      </w:pPr>
    </w:p>
    <w:p w:rsidR="00782898" w:rsidRDefault="00782898" w:rsidP="00782898">
      <w:pPr>
        <w:pStyle w:val="MAPara1"/>
      </w:pPr>
      <w:r>
        <w:t>With available GIS technology, analysis of movement using a least cost path analysis model may offer additional insight into movement networks, potentially indicating connections between monuments rather than different places in the landscape, and reflect traditional movement strategies across the landscape. According to research conducted by Rodríguez-Rellán and Fábregas Valcarce, an analysis of mounds and petroglyphs of the Barbanza peninsula suggests a strong spatial relationship between tombs and transit routes.</w:t>
      </w:r>
      <w:r>
        <w:rPr>
          <w:rStyle w:val="FootnoteReference"/>
        </w:rPr>
        <w:footnoteReference w:id="18"/>
      </w:r>
    </w:p>
    <w:p w:rsidR="00782898" w:rsidRDefault="00782898" w:rsidP="00782898">
      <w:pPr>
        <w:pStyle w:val="MAPara1"/>
      </w:pPr>
    </w:p>
    <w:p w:rsidR="00782898" w:rsidRDefault="00782898" w:rsidP="00782898">
      <w:pPr>
        <w:pStyle w:val="MAPara1"/>
      </w:pPr>
      <w:r w:rsidRPr="00CA5605">
        <w:t>Shedding one’s ‘agricultural thinking’, as has been suggested, is in this author’s opinion a possible oversight and one that could at least be afforded a parallel track</w:t>
      </w:r>
      <w:r>
        <w:t xml:space="preserve"> with the supposed ritual function of ceremonial feasts and initiation rites derived from ethnographic analogy</w:t>
      </w:r>
      <w:r w:rsidRPr="00CA5605">
        <w:t>.</w:t>
      </w:r>
      <w:r w:rsidRPr="00CA5605">
        <w:rPr>
          <w:rStyle w:val="FootnoteReference"/>
        </w:rPr>
        <w:footnoteReference w:id="19"/>
      </w:r>
    </w:p>
    <w:p w:rsidR="00782898" w:rsidRPr="005143DE" w:rsidRDefault="00782898" w:rsidP="00782898">
      <w:pPr>
        <w:pStyle w:val="MAPara1"/>
      </w:pPr>
    </w:p>
    <w:p w:rsidR="00782898" w:rsidRDefault="00782898" w:rsidP="00782898">
      <w:pPr>
        <w:pStyle w:val="MAPara1"/>
      </w:pPr>
      <w:r w:rsidRPr="00351228">
        <w:t xml:space="preserve">Both Hoskin and Silva considered whether the dolmens’ orientation had an astronomical connection. </w:t>
      </w:r>
      <w:r>
        <w:rPr>
          <w:color w:val="0070C0"/>
        </w:rPr>
        <w:t>Oliviera and Da Silva suggest that an awareness of the cosmic order beyond the immediate cycles of the sun and the moon may have been a result of the process of becoming sedentary.</w:t>
      </w:r>
      <w:r>
        <w:rPr>
          <w:rStyle w:val="FootnoteReference"/>
          <w:color w:val="0070C0"/>
        </w:rPr>
        <w:footnoteReference w:id="20"/>
      </w:r>
      <w:r>
        <w:rPr>
          <w:color w:val="0070C0"/>
        </w:rPr>
        <w:t xml:space="preserve"> </w:t>
      </w:r>
      <w:r>
        <w:t>However, u</w:t>
      </w:r>
      <w:r w:rsidRPr="00351228">
        <w:t>nlike Hoskin, Silva did not determine sun- or moon-rise, or any solar or lunar event as an explanation for dolmen location.</w:t>
      </w:r>
      <w:r w:rsidRPr="00351228">
        <w:rPr>
          <w:rStyle w:val="FootnoteReference"/>
        </w:rPr>
        <w:footnoteReference w:id="21"/>
      </w:r>
      <w:r w:rsidRPr="00351228">
        <w:t xml:space="preserve"> </w:t>
      </w:r>
      <w:r>
        <w:t xml:space="preserve">Oliviera and Da Silva, however, drawing on Hoskin’s ‘regular and meticulous’ measurements, were able to ‘demonstrate the preferential corridor orientation of 8° south of East, </w:t>
      </w:r>
      <w:r>
        <w:lastRenderedPageBreak/>
        <w:t>and excellent correspondence between the range of the rising Spring Full Moon azimuths and the distribution of the dolmen’s orientations’.</w:t>
      </w:r>
      <w:r>
        <w:rPr>
          <w:rStyle w:val="FootnoteReference"/>
        </w:rPr>
        <w:footnoteReference w:id="22"/>
      </w:r>
    </w:p>
    <w:p w:rsidR="00782898" w:rsidRDefault="00782898" w:rsidP="00782898">
      <w:pPr>
        <w:pStyle w:val="MAPara1"/>
      </w:pPr>
    </w:p>
    <w:p w:rsidR="00782898" w:rsidRDefault="00782898" w:rsidP="00782898">
      <w:pPr>
        <w:pStyle w:val="MAPara1"/>
      </w:pPr>
      <w:r w:rsidRPr="00351228">
        <w:t>However, tying in with a seasonal model, Silva suggests that the heliacal rising of Aldebaran may have been the trigger for seasonal movement to higher pastures.</w:t>
      </w:r>
      <w:r w:rsidRPr="00351228">
        <w:rPr>
          <w:rStyle w:val="FootnoteReference"/>
        </w:rPr>
        <w:footnoteReference w:id="23"/>
      </w:r>
      <w:r w:rsidRPr="00351228">
        <w:t xml:space="preserve"> The star’s invisibility from late February to early April, according to Silva, would provide the ‘perfect amount of time to make preparations for whatever rituals were going to be enacted at the dolmens, as well as to prepare for the move to higher ground’.</w:t>
      </w:r>
      <w:r w:rsidRPr="00351228">
        <w:rPr>
          <w:rStyle w:val="FootnoteReference"/>
        </w:rPr>
        <w:footnoteReference w:id="24"/>
      </w:r>
      <w:r w:rsidRPr="00351228">
        <w:t xml:space="preserve"> However this raises questions not only about Neolithic concepts of time, but also why so many dolmens would have been built for this purpose, particularly since Aldebaran can be seen with the naked eye.</w:t>
      </w:r>
      <w:r>
        <w:t xml:space="preserve"> Additionally, if the trigger for seasonal movement is attributed to the alignment of star, mountain range and megalithic corridor, this prompts the question as to what trigger, if any, there might have been for the reverse movement.</w:t>
      </w:r>
    </w:p>
    <w:p w:rsidR="00782898" w:rsidRDefault="00782898" w:rsidP="00782898">
      <w:pPr>
        <w:pStyle w:val="MAPara1"/>
      </w:pPr>
    </w:p>
    <w:p w:rsidR="00782898" w:rsidRDefault="00782898" w:rsidP="00782898">
      <w:pPr>
        <w:pStyle w:val="MAPara1"/>
      </w:pPr>
      <w:r w:rsidRPr="00351228">
        <w:t>Silva goes on to discuss the role of Aldebaran in Neolithic cosmology and questions what role it would have played in the beliefs of megalith builders, reaching the conclusion that the alignment was observed just before the seasonal move, or may have a symbolic and/or ritual connection with the dead in the chamber.</w:t>
      </w:r>
      <w:r w:rsidRPr="00351228">
        <w:rPr>
          <w:rStyle w:val="FootnoteReference"/>
        </w:rPr>
        <w:footnoteReference w:id="25"/>
      </w:r>
      <w:r w:rsidRPr="00351228">
        <w:t xml:space="preserve"> Whether Aldebaran was for the dead or the living is expanded on within the framework of ‘intangible afterlife ideologies of long-gone communities’.</w:t>
      </w:r>
      <w:r w:rsidRPr="00351228">
        <w:rPr>
          <w:rStyle w:val="FootnoteReference"/>
        </w:rPr>
        <w:footnoteReference w:id="26"/>
      </w:r>
      <w:r w:rsidRPr="00351228">
        <w:t xml:space="preserve"> </w:t>
      </w:r>
      <w:r>
        <w:t>Interestingly, in many cultures it is believed that the buried dead go to the moon to regenerate in a new existence.</w:t>
      </w:r>
      <w:r>
        <w:rPr>
          <w:rStyle w:val="FootnoteReference"/>
        </w:rPr>
        <w:footnoteReference w:id="27"/>
      </w:r>
      <w:r>
        <w:t xml:space="preserve"> According to Elizabeth McCormac, the physical manifestation of </w:t>
      </w:r>
      <w:r w:rsidRPr="0064504E">
        <w:t>architectural areas of passage grave construction bear a striking resemblance to those realms comprising the tiered cosmos</w:t>
      </w:r>
      <w:r>
        <w:t>: t</w:t>
      </w:r>
      <w:r w:rsidRPr="0064504E">
        <w:t>he realm of the living represented by the forecourt and entrance, the vortex by the passage, and the realm of the dead by the chamber</w:t>
      </w:r>
      <w:r>
        <w:t>.</w:t>
      </w:r>
      <w:r>
        <w:rPr>
          <w:rStyle w:val="FootnoteReference"/>
        </w:rPr>
        <w:footnoteReference w:id="28"/>
      </w:r>
      <w:r>
        <w:t xml:space="preserve"> </w:t>
      </w:r>
      <w:r w:rsidRPr="00351228">
        <w:t xml:space="preserve">However, </w:t>
      </w:r>
      <w:r>
        <w:t xml:space="preserve">all of </w:t>
      </w:r>
      <w:r w:rsidRPr="00351228">
        <w:t>these hypotheses are based on the supposition that dolmens were tombs, which Silva claims is the default assumption of archaeologists, despite scarce evidence to this effect.</w:t>
      </w:r>
      <w:r w:rsidRPr="00351228">
        <w:rPr>
          <w:rStyle w:val="FootnoteReference"/>
        </w:rPr>
        <w:footnoteReference w:id="29"/>
      </w:r>
      <w:r>
        <w:t xml:space="preserve"> However, as Tilley points out, monuments ensure that the ritual and mythological significance of a place is not forgotten and ‘stabilise both the cultural memory of the place and the relationship between places’.</w:t>
      </w:r>
      <w:r>
        <w:rPr>
          <w:rStyle w:val="FootnoteReference"/>
        </w:rPr>
        <w:footnoteReference w:id="30"/>
      </w:r>
    </w:p>
    <w:p w:rsidR="00782898" w:rsidRDefault="00782898" w:rsidP="00782898">
      <w:pPr>
        <w:pStyle w:val="MAPara1"/>
      </w:pPr>
    </w:p>
    <w:p w:rsidR="00782898" w:rsidRDefault="00782898" w:rsidP="00782898">
      <w:pPr>
        <w:pStyle w:val="MAPara1"/>
      </w:pPr>
      <w:r>
        <w:t>Megalith builders, as Silva suggests, may have oriented the chambers to point towards or direct one’s gaze to a broad area of the horizon, where an ‘obvious’ topographical feature would mark the important astronomical event.</w:t>
      </w:r>
      <w:r>
        <w:rPr>
          <w:rStyle w:val="FootnoteReference"/>
        </w:rPr>
        <w:footnoteReference w:id="31"/>
      </w:r>
      <w:r>
        <w:t xml:space="preserve"> While plausible as demonstrated by Silva’s research findings, one must query the dependence on the presence of a topographical feature and what would have been considered an ‘important astronomical event’ at that time?</w:t>
      </w:r>
    </w:p>
    <w:p w:rsidR="00782898" w:rsidRDefault="00782898" w:rsidP="00782898">
      <w:pPr>
        <w:pStyle w:val="MAPara1"/>
        <w:rPr>
          <w:color w:val="002060"/>
        </w:rPr>
      </w:pPr>
    </w:p>
    <w:p w:rsidR="00782898" w:rsidRDefault="00782898" w:rsidP="00782898">
      <w:pPr>
        <w:pStyle w:val="MAPara1"/>
      </w:pPr>
      <w:r>
        <w:lastRenderedPageBreak/>
        <w:t>Using a digital elevation model (DEM), GPS readings and direct comparison to topographic charts, Silva clearly sets out the method used to reconstruct the landscape surrounding the surveyed Mondego platform dolmens, using the window of visibility and the horizon that is visible from within all dolmens.</w:t>
      </w:r>
      <w:r>
        <w:rPr>
          <w:rStyle w:val="FootnoteReference"/>
        </w:rPr>
        <w:footnoteReference w:id="32"/>
      </w:r>
      <w:r>
        <w:t xml:space="preserve"> It was found that the telescopic-like corridors are all oriented towards Serra da Estrela.</w:t>
      </w:r>
      <w:r>
        <w:rPr>
          <w:rStyle w:val="FootnoteReference"/>
        </w:rPr>
        <w:footnoteReference w:id="33"/>
      </w:r>
      <w:r>
        <w:t xml:space="preserve"> Silva contends that this focus highlights the role of the cosmology of Neolithic communities, with possible connection between the function of the dolmens and the mountain range.</w:t>
      </w:r>
      <w:r>
        <w:rPr>
          <w:rStyle w:val="FootnoteReference"/>
        </w:rPr>
        <w:footnoteReference w:id="34"/>
      </w:r>
      <w:r>
        <w:t xml:space="preserve"> It has been suggested that the dolmens marked winter territories, while Sera da Estrela in the horizon marked their summer pastures.</w:t>
      </w:r>
      <w:r w:rsidRPr="00F04003">
        <w:t xml:space="preserve"> </w:t>
      </w:r>
      <w:r>
        <w:t>Consequently, it seems that both human-made and natural landscape markers were anchoring the seasonal movement of these Neolithic communities. Thus the orientation of the dolmens makes sense from a landscape perspective.</w:t>
      </w:r>
      <w:r>
        <w:rPr>
          <w:rStyle w:val="FootnoteReference"/>
        </w:rPr>
        <w:footnoteReference w:id="35"/>
      </w:r>
      <w:r>
        <w:t xml:space="preserve"> Due to their visual and physical impact on the landscape, the dolmens functioned as determinants in space-time understanding and determined people’s movement in their territory.</w:t>
      </w:r>
      <w:r>
        <w:rPr>
          <w:rStyle w:val="FootnoteReference"/>
        </w:rPr>
        <w:footnoteReference w:id="36"/>
      </w:r>
    </w:p>
    <w:p w:rsidR="00782898" w:rsidRDefault="00782898" w:rsidP="00782898">
      <w:pPr>
        <w:pStyle w:val="MAPara1"/>
      </w:pPr>
    </w:p>
    <w:p w:rsidR="00782898" w:rsidRPr="00D13520" w:rsidRDefault="00782898" w:rsidP="00782898">
      <w:pPr>
        <w:pStyle w:val="MAPara1"/>
      </w:pPr>
      <w:r>
        <w:t>There is no evidence that Hoskin attempted similar reconstructions using the data he had collected. Orientations were measured using compass readings, and the azimuth was corrected for magnetic variation and error in construction of the compass.</w:t>
      </w:r>
      <w:r>
        <w:rPr>
          <w:rStyle w:val="FootnoteReference"/>
        </w:rPr>
        <w:footnoteReference w:id="37"/>
      </w:r>
      <w:r>
        <w:t xml:space="preserve"> Altitudes were measured using a clinometer, and the declination were calculated with a computer program written by Dr Clive Ruggles.</w:t>
      </w:r>
      <w:r>
        <w:rPr>
          <w:rStyle w:val="FootnoteReference"/>
        </w:rPr>
        <w:footnoteReference w:id="38"/>
      </w:r>
      <w:r>
        <w:t xml:space="preserve"> No further information is given about the computational method used. </w:t>
      </w:r>
      <w:r w:rsidRPr="00553CB4">
        <w:rPr>
          <w:color w:val="0070C0"/>
        </w:rPr>
        <w:t>According to Silva, Hoskin was unable to find a distinct pattern that applied to all dolmens: they all seemed to have different orientations, although within a given azimuthal range. The measured orientations were then interpreted as solar alignments at the beginning of their construction</w:t>
      </w:r>
      <w:r>
        <w:rPr>
          <w:color w:val="0070C0"/>
        </w:rPr>
        <w:t xml:space="preserve"> as an explanation for </w:t>
      </w:r>
      <w:r w:rsidRPr="00553CB4">
        <w:rPr>
          <w:color w:val="0070C0"/>
        </w:rPr>
        <w:t>the variability in orientation.</w:t>
      </w:r>
      <w:r w:rsidRPr="00553CB4">
        <w:rPr>
          <w:rStyle w:val="FootnoteReference"/>
          <w:color w:val="0070C0"/>
        </w:rPr>
        <w:footnoteReference w:id="39"/>
      </w:r>
    </w:p>
    <w:p w:rsidR="00782898" w:rsidRDefault="00782898" w:rsidP="00782898">
      <w:pPr>
        <w:pStyle w:val="MAPara1"/>
        <w:rPr>
          <w:color w:val="FFC000"/>
        </w:rPr>
      </w:pPr>
    </w:p>
    <w:p w:rsidR="00782898" w:rsidRDefault="00782898" w:rsidP="00782898">
      <w:pPr>
        <w:pStyle w:val="MAPara1"/>
      </w:pPr>
      <w:r>
        <w:t>Silva reaches the conclusion that the Mondego platform dolmens served a purpose other than territorial markers or tombs; ‘they were the very materialisation of liminality’.</w:t>
      </w:r>
      <w:r>
        <w:rPr>
          <w:rStyle w:val="FootnoteReference"/>
        </w:rPr>
        <w:footnoteReference w:id="40"/>
      </w:r>
      <w:r>
        <w:t xml:space="preserve"> While this may be a reasonable assertion in this context, it is not necessarily a thematic universality; and as Silva indicates, history </w:t>
      </w:r>
      <w:r w:rsidRPr="00544237">
        <w:t xml:space="preserve">and anthropology are ground in the specifics of </w:t>
      </w:r>
      <w:r>
        <w:t>t</w:t>
      </w:r>
      <w:r w:rsidRPr="00544237">
        <w:t>imes and places, of individuals and cultures</w:t>
      </w:r>
      <w:r>
        <w:t>. They may not also necessarily extend to areas that do not have high/low ground and mountain ranges. Silva also acknowledges that the apparent density of megaliths could be because the study are has been more thoroughly surveyed than others.</w:t>
      </w:r>
    </w:p>
    <w:p w:rsidR="00782898" w:rsidRDefault="00782898" w:rsidP="00782898">
      <w:pPr>
        <w:pStyle w:val="MAPara1"/>
        <w:rPr>
          <w:color w:val="002060"/>
        </w:rPr>
      </w:pPr>
    </w:p>
    <w:p w:rsidR="00782898" w:rsidRPr="007571F6" w:rsidRDefault="00782898" w:rsidP="00782898">
      <w:pPr>
        <w:pStyle w:val="MAPara1"/>
      </w:pPr>
      <w:r>
        <w:t>This review of the</w:t>
      </w:r>
      <w:r w:rsidRPr="007571F6">
        <w:t xml:space="preserve"> interpretations of passage graves of western Iberia </w:t>
      </w:r>
      <w:r>
        <w:t xml:space="preserve">suggested by Hoskin and Silva has considered the </w:t>
      </w:r>
      <w:r w:rsidRPr="007571F6">
        <w:t xml:space="preserve">different methodologies, theories and evidence offered </w:t>
      </w:r>
      <w:r>
        <w:t>by the authors.</w:t>
      </w:r>
    </w:p>
    <w:p w:rsidR="00782898" w:rsidRDefault="00782898" w:rsidP="00782898">
      <w:pPr>
        <w:pStyle w:val="MAPara1"/>
      </w:pPr>
    </w:p>
    <w:p w:rsidR="00782898" w:rsidRDefault="00782898" w:rsidP="00782898">
      <w:pPr>
        <w:pStyle w:val="MAPara1"/>
      </w:pPr>
      <w:r>
        <w:lastRenderedPageBreak/>
        <w:t>The seasonal model can be supported based on the archaeoastronomical analysis of the orientation of the entrance of the dolmens conducted by Hoskin, but it should be recognised as a generalised solar interpretation.</w:t>
      </w:r>
      <w:r>
        <w:rPr>
          <w:rStyle w:val="FootnoteReference"/>
        </w:rPr>
        <w:footnoteReference w:id="41"/>
      </w:r>
      <w:r>
        <w:t xml:space="preserve"> Silva used a methodology that borrows and integrates elements from landscape archaeology and archaeoastronomy, and offered hypotheses based on ethnographic and historical analogy, drawing attention to alignment of the rising of Aldebaran, the</w:t>
      </w:r>
      <w:r w:rsidRPr="007F795F">
        <w:t xml:space="preserve"> </w:t>
      </w:r>
      <w:r>
        <w:t>Serra de Estrela and the dolmen corridors. The consistency of orientation indicates some form of astronomical motivation in the absence of any other ways in which this consistency could have been achieved.</w:t>
      </w:r>
      <w:r>
        <w:rPr>
          <w:rStyle w:val="FootnoteReference"/>
        </w:rPr>
        <w:footnoteReference w:id="42"/>
      </w:r>
      <w:r>
        <w:t xml:space="preserve"> Particularly in instances (although not in this case) where there is no terrestrial landmark from which the construction of the tombs could have taken a bearing. As Silva suggests, the hypotheses are many and varied, and constrained only by the limitations of ethnographic or historical analogy, and the imagination of the scholar.</w:t>
      </w:r>
      <w:r>
        <w:rPr>
          <w:rStyle w:val="FootnoteReference"/>
        </w:rPr>
        <w:footnoteReference w:id="43"/>
      </w:r>
    </w:p>
    <w:p w:rsidR="003F65CB" w:rsidRDefault="003F65CB">
      <w:bookmarkStart w:id="0" w:name="_GoBack"/>
      <w:bookmarkEnd w:id="0"/>
    </w:p>
    <w:sectPr w:rsidR="003F65C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828E1" w:rsidRDefault="00A828E1" w:rsidP="00782898">
      <w:r>
        <w:separator/>
      </w:r>
    </w:p>
  </w:endnote>
  <w:endnote w:type="continuationSeparator" w:id="0">
    <w:p w:rsidR="00A828E1" w:rsidRDefault="00A828E1" w:rsidP="007828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828E1" w:rsidRDefault="00A828E1" w:rsidP="00782898">
      <w:r>
        <w:separator/>
      </w:r>
    </w:p>
  </w:footnote>
  <w:footnote w:type="continuationSeparator" w:id="0">
    <w:p w:rsidR="00A828E1" w:rsidRDefault="00A828E1" w:rsidP="00782898">
      <w:r>
        <w:continuationSeparator/>
      </w:r>
    </w:p>
  </w:footnote>
  <w:footnote w:id="1">
    <w:p w:rsidR="00782898" w:rsidRDefault="00782898" w:rsidP="00782898">
      <w:pPr>
        <w:pStyle w:val="FootnoteText"/>
      </w:pPr>
      <w:r w:rsidRPr="00460F8B">
        <w:rPr>
          <w:rStyle w:val="FootnoteReference"/>
        </w:rPr>
        <w:footnoteRef/>
      </w:r>
      <w:r w:rsidRPr="00460F8B">
        <w:t xml:space="preserve"> M</w:t>
      </w:r>
      <w:r>
        <w:t>ichael</w:t>
      </w:r>
      <w:r w:rsidRPr="00460F8B">
        <w:t xml:space="preserve"> Hoskin, ‘Studies in Iberian Archaeoastronomy (5) Orientations of Megalithic Tombs of Northern and Western Iberia’, </w:t>
      </w:r>
      <w:r w:rsidRPr="00415DA5">
        <w:rPr>
          <w:i/>
        </w:rPr>
        <w:t>Archaeoastronomy</w:t>
      </w:r>
      <w:r w:rsidRPr="00460F8B">
        <w:t>, 23 (JHA xxix) (1998), S39</w:t>
      </w:r>
      <w:r w:rsidRPr="00460F8B">
        <w:sym w:font="Symbol" w:char="F02D"/>
      </w:r>
      <w:r w:rsidRPr="00460F8B">
        <w:t xml:space="preserve">S48, which discusses areas of Western Catalunya, Alava, Burgos, La Rioja, Soria and Eastern Navarra; </w:t>
      </w:r>
      <w:r>
        <w:t>Fabio</w:t>
      </w:r>
      <w:r w:rsidRPr="00460F8B">
        <w:t xml:space="preserve"> Silva, ‘The View from Within: A </w:t>
      </w:r>
      <w:r w:rsidRPr="00460F8B">
        <w:rPr>
          <w:rFonts w:cs="Calibri"/>
        </w:rPr>
        <w:t>“</w:t>
      </w:r>
      <w:r w:rsidRPr="00460F8B">
        <w:t>Time-Space-Action</w:t>
      </w:r>
      <w:r w:rsidRPr="00460F8B">
        <w:rPr>
          <w:rFonts w:cs="Calibri"/>
        </w:rPr>
        <w:t>”</w:t>
      </w:r>
      <w:r w:rsidRPr="00460F8B">
        <w:t xml:space="preserve"> Approach to Megalithism in Central Portugal</w:t>
      </w:r>
      <w:r w:rsidRPr="00460F8B">
        <w:rPr>
          <w:rFonts w:cs="Calibri"/>
        </w:rPr>
        <w:t xml:space="preserve">’ in Fabio Silva and Nick Campion (eds) </w:t>
      </w:r>
      <w:r w:rsidRPr="00415DA5">
        <w:rPr>
          <w:rFonts w:cs="Calibri"/>
          <w:i/>
        </w:rPr>
        <w:t>Skyscapes: The role and importance of the sky in archaeology</w:t>
      </w:r>
      <w:r w:rsidRPr="00460F8B">
        <w:rPr>
          <w:rFonts w:cs="Calibri"/>
        </w:rPr>
        <w:t xml:space="preserve"> (Oxford: Oxbow Books, 2015) on the Mondego platform, with specific reference to Serra da Estrela.</w:t>
      </w:r>
    </w:p>
  </w:footnote>
  <w:footnote w:id="2">
    <w:p w:rsidR="00782898" w:rsidRDefault="00782898" w:rsidP="00782898">
      <w:pPr>
        <w:pStyle w:val="FootnoteText"/>
      </w:pPr>
      <w:r>
        <w:rPr>
          <w:rStyle w:val="FootnoteReference"/>
        </w:rPr>
        <w:footnoteRef/>
      </w:r>
      <w:r>
        <w:t xml:space="preserve"> Hoskin, ‘Studies in Iberian Archaeoastronomy’, S39, S41</w:t>
      </w:r>
    </w:p>
  </w:footnote>
  <w:footnote w:id="3">
    <w:p w:rsidR="00782898" w:rsidRDefault="00782898" w:rsidP="00782898">
      <w:pPr>
        <w:pStyle w:val="FootnoteText"/>
      </w:pPr>
      <w:r>
        <w:rPr>
          <w:rStyle w:val="FootnoteReference"/>
        </w:rPr>
        <w:footnoteRef/>
      </w:r>
      <w:r>
        <w:t xml:space="preserve"> Hoskin, ‘Studies in Iberian Archaeoastronomy’, S39</w:t>
      </w:r>
    </w:p>
  </w:footnote>
  <w:footnote w:id="4">
    <w:p w:rsidR="00782898" w:rsidRDefault="00782898" w:rsidP="00782898">
      <w:pPr>
        <w:pStyle w:val="FootnoteText"/>
      </w:pPr>
      <w:r>
        <w:rPr>
          <w:rStyle w:val="FootnoteReference"/>
        </w:rPr>
        <w:footnoteRef/>
      </w:r>
      <w:r>
        <w:t xml:space="preserve"> Silva, ‘The View from Within’, 140, 143</w:t>
      </w:r>
    </w:p>
  </w:footnote>
  <w:footnote w:id="5">
    <w:p w:rsidR="00782898" w:rsidRDefault="00782898" w:rsidP="00782898">
      <w:pPr>
        <w:pStyle w:val="FootnoteText"/>
      </w:pPr>
      <w:r w:rsidRPr="00415DA5">
        <w:rPr>
          <w:rStyle w:val="FootnoteReference"/>
        </w:rPr>
        <w:footnoteRef/>
      </w:r>
      <w:r w:rsidRPr="00415DA5">
        <w:t xml:space="preserve"> Time-space-action model is attributed to Darvill: Timothy Darvill, ‘The historic environment, historic landscapes, and space-time-action models in landscape archaeology’, in Ucko, P.J. and Layton, R. (eds), </w:t>
      </w:r>
      <w:r w:rsidRPr="00415DA5">
        <w:rPr>
          <w:i/>
        </w:rPr>
        <w:t>The Archaeology and Anthropology of Landscape: Shaping your landscape</w:t>
      </w:r>
      <w:r w:rsidRPr="00415DA5">
        <w:t xml:space="preserve"> (London and New York: Routledge, 1999), 104-118, cited in in Silva, ‘The View from Within’, 140; Michael Hoskin, </w:t>
      </w:r>
      <w:r w:rsidRPr="00415DA5">
        <w:rPr>
          <w:i/>
        </w:rPr>
        <w:t xml:space="preserve">Tombs, Temples and their </w:t>
      </w:r>
      <w:r w:rsidRPr="0065746A">
        <w:rPr>
          <w:i/>
          <w:color w:val="002060"/>
        </w:rPr>
        <w:t>Orientations</w:t>
      </w:r>
      <w:r>
        <w:rPr>
          <w:color w:val="002060"/>
        </w:rPr>
        <w:t xml:space="preserve"> (Bognor Regis: Ocarina Books, 2001)</w:t>
      </w:r>
      <w:r>
        <w:t>, 12, cited by Silva, ‘The View from Within’, 142; Silva, ‘The View from Within’, 143.</w:t>
      </w:r>
    </w:p>
  </w:footnote>
  <w:footnote w:id="6">
    <w:p w:rsidR="00782898" w:rsidRDefault="00782898" w:rsidP="00782898">
      <w:pPr>
        <w:pStyle w:val="FootnoteText"/>
      </w:pPr>
      <w:r>
        <w:rPr>
          <w:rStyle w:val="FootnoteReference"/>
        </w:rPr>
        <w:footnoteRef/>
      </w:r>
      <w:r>
        <w:t xml:space="preserve"> Silva, ‘The View from Within’, 143.</w:t>
      </w:r>
    </w:p>
  </w:footnote>
  <w:footnote w:id="7">
    <w:p w:rsidR="00782898" w:rsidRDefault="00782898" w:rsidP="00782898">
      <w:pPr>
        <w:pStyle w:val="FootnoteText"/>
      </w:pPr>
      <w:r>
        <w:rPr>
          <w:rStyle w:val="FootnoteReference"/>
        </w:rPr>
        <w:footnoteRef/>
      </w:r>
      <w:r>
        <w:t xml:space="preserve"> Silva, ‘The View from Within’, 143.</w:t>
      </w:r>
    </w:p>
  </w:footnote>
  <w:footnote w:id="8">
    <w:p w:rsidR="00782898" w:rsidRDefault="00782898" w:rsidP="00782898">
      <w:pPr>
        <w:pStyle w:val="FootnoteText"/>
      </w:pPr>
      <w:r>
        <w:rPr>
          <w:rStyle w:val="FootnoteReference"/>
        </w:rPr>
        <w:footnoteRef/>
      </w:r>
      <w:r>
        <w:t xml:space="preserve"> Silva, ‘The View from Within’, 141.</w:t>
      </w:r>
    </w:p>
  </w:footnote>
  <w:footnote w:id="9">
    <w:p w:rsidR="00782898" w:rsidRDefault="00782898" w:rsidP="00782898">
      <w:pPr>
        <w:pStyle w:val="FootnoteText"/>
      </w:pPr>
      <w:r>
        <w:rPr>
          <w:rStyle w:val="FootnoteReference"/>
        </w:rPr>
        <w:footnoteRef/>
      </w:r>
      <w:r>
        <w:t xml:space="preserve"> Silva, ‘The View from Within’, 140; F. Silva and R. Frank, ‘Deconstructing the Neolithic Myth: The implications of continuity for European Late Prehistory’, </w:t>
      </w:r>
      <w:r w:rsidRPr="00415DA5">
        <w:rPr>
          <w:i/>
        </w:rPr>
        <w:t>Anthropological Notebooks</w:t>
      </w:r>
      <w:r>
        <w:t>, 2:1 (2013), 24-37, cited in Silva, ‘The View from Within’, 140-141.</w:t>
      </w:r>
    </w:p>
  </w:footnote>
  <w:footnote w:id="10">
    <w:p w:rsidR="00782898" w:rsidRDefault="00782898" w:rsidP="00782898">
      <w:pPr>
        <w:pStyle w:val="FootnoteText"/>
      </w:pPr>
      <w:r>
        <w:rPr>
          <w:rStyle w:val="FootnoteReference"/>
        </w:rPr>
        <w:footnoteRef/>
      </w:r>
      <w:r>
        <w:t xml:space="preserve"> J. Soares and C.T. da Silva, ‘A transi</w:t>
      </w:r>
      <w:r>
        <w:rPr>
          <w:rFonts w:cs="Calibri"/>
        </w:rPr>
        <w:t>çã</w:t>
      </w:r>
      <w:r>
        <w:t>o para o Neol</w:t>
      </w:r>
      <w:r>
        <w:rPr>
          <w:rFonts w:cs="Calibri"/>
        </w:rPr>
        <w:t>í</w:t>
      </w:r>
      <w:r>
        <w:t xml:space="preserve">tico na costa sudoeste portuguesa’, </w:t>
      </w:r>
      <w:r w:rsidRPr="003A7347">
        <w:rPr>
          <w:i/>
        </w:rPr>
        <w:t>Trabalhos de Arqueologia</w:t>
      </w:r>
      <w:r>
        <w:t>, 25 (2003), 51, cited in Silva,</w:t>
      </w:r>
      <w:r w:rsidRPr="003A7347">
        <w:t xml:space="preserve"> </w:t>
      </w:r>
      <w:r>
        <w:t>‘The View from Within’, 140.</w:t>
      </w:r>
    </w:p>
  </w:footnote>
  <w:footnote w:id="11">
    <w:p w:rsidR="00782898" w:rsidRDefault="00782898" w:rsidP="00782898">
      <w:pPr>
        <w:pStyle w:val="FootnoteText"/>
      </w:pPr>
      <w:r>
        <w:rPr>
          <w:rStyle w:val="FootnoteReference"/>
        </w:rPr>
        <w:footnoteRef/>
      </w:r>
      <w:r>
        <w:t xml:space="preserve"> Christopher Tilley, </w:t>
      </w:r>
      <w:proofErr w:type="gramStart"/>
      <w:r w:rsidRPr="003A7347">
        <w:rPr>
          <w:i/>
        </w:rPr>
        <w:t>A</w:t>
      </w:r>
      <w:proofErr w:type="gramEnd"/>
      <w:r w:rsidRPr="003A7347">
        <w:rPr>
          <w:i/>
        </w:rPr>
        <w:t xml:space="preserve"> Phenomenology of Landscape</w:t>
      </w:r>
      <w:r>
        <w:t xml:space="preserve"> (Oxford: Berg Publishers, 1994), 202.</w:t>
      </w:r>
    </w:p>
  </w:footnote>
  <w:footnote w:id="12">
    <w:p w:rsidR="00782898" w:rsidRDefault="00782898" w:rsidP="00782898">
      <w:pPr>
        <w:pStyle w:val="FootnoteText"/>
      </w:pPr>
      <w:r>
        <w:rPr>
          <w:rStyle w:val="FootnoteReference"/>
        </w:rPr>
        <w:footnoteRef/>
      </w:r>
      <w:r>
        <w:t xml:space="preserve"> Tilley, </w:t>
      </w:r>
      <w:proofErr w:type="gramStart"/>
      <w:r w:rsidRPr="003A7347">
        <w:rPr>
          <w:i/>
        </w:rPr>
        <w:t>A</w:t>
      </w:r>
      <w:proofErr w:type="gramEnd"/>
      <w:r w:rsidRPr="003A7347">
        <w:rPr>
          <w:i/>
        </w:rPr>
        <w:t xml:space="preserve"> Phenomenology of Landscape</w:t>
      </w:r>
      <w:r>
        <w:t>, 202-3.</w:t>
      </w:r>
    </w:p>
  </w:footnote>
  <w:footnote w:id="13">
    <w:p w:rsidR="00782898" w:rsidRPr="00FD17A6" w:rsidRDefault="00782898" w:rsidP="00782898">
      <w:pPr>
        <w:rPr>
          <w:rFonts w:asciiTheme="minorHAnsi" w:hAnsiTheme="minorHAnsi" w:cstheme="minorHAnsi"/>
          <w:sz w:val="20"/>
          <w:szCs w:val="20"/>
        </w:rPr>
      </w:pPr>
      <w:r w:rsidRPr="00FD17A6">
        <w:rPr>
          <w:rStyle w:val="FootnoteReference"/>
          <w:rFonts w:asciiTheme="minorHAnsi" w:hAnsiTheme="minorHAnsi" w:cstheme="minorHAnsi"/>
          <w:sz w:val="20"/>
          <w:szCs w:val="20"/>
        </w:rPr>
        <w:footnoteRef/>
      </w:r>
      <w:r w:rsidRPr="00FD17A6">
        <w:rPr>
          <w:rFonts w:asciiTheme="minorHAnsi" w:hAnsiTheme="minorHAnsi" w:cstheme="minorHAnsi"/>
          <w:sz w:val="20"/>
          <w:szCs w:val="20"/>
        </w:rPr>
        <w:t xml:space="preserve"> Carlos Rodríguez-Rellán and Ramón Fábregas Valcarce</w:t>
      </w:r>
      <w:proofErr w:type="gramStart"/>
      <w:r w:rsidRPr="00FD17A6">
        <w:rPr>
          <w:rFonts w:asciiTheme="minorHAnsi" w:hAnsiTheme="minorHAnsi" w:cstheme="minorHAnsi"/>
          <w:sz w:val="20"/>
          <w:szCs w:val="20"/>
        </w:rPr>
        <w:t>,  ‘Monuments</w:t>
      </w:r>
      <w:proofErr w:type="gramEnd"/>
      <w:r w:rsidRPr="00FD17A6">
        <w:rPr>
          <w:rFonts w:asciiTheme="minorHAnsi" w:hAnsiTheme="minorHAnsi" w:cstheme="minorHAnsi"/>
          <w:sz w:val="20"/>
          <w:szCs w:val="20"/>
        </w:rPr>
        <w:t xml:space="preserve"> on the Move: Assessing megaliths’ interaction with the NW Iberian Landscapes’, in M. Hinz (ed.), </w:t>
      </w:r>
      <w:r w:rsidRPr="00FD17A6">
        <w:rPr>
          <w:rFonts w:asciiTheme="minorHAnsi" w:hAnsiTheme="minorHAnsi" w:cstheme="minorHAnsi"/>
          <w:i/>
          <w:sz w:val="20"/>
          <w:szCs w:val="20"/>
        </w:rPr>
        <w:t>Megaliths, Societies and Landscapes: Early Monumentality and Social Differentiation in Neolithic Europe</w:t>
      </w:r>
      <w:r w:rsidRPr="00FD17A6">
        <w:rPr>
          <w:rFonts w:asciiTheme="minorHAnsi" w:hAnsiTheme="minorHAnsi" w:cstheme="minorHAnsi"/>
          <w:sz w:val="20"/>
          <w:szCs w:val="20"/>
        </w:rPr>
        <w:t xml:space="preserve"> (Kiel: Universität zu Keil, 2018).</w:t>
      </w:r>
    </w:p>
  </w:footnote>
  <w:footnote w:id="14">
    <w:p w:rsidR="00782898" w:rsidRDefault="00782898" w:rsidP="00782898">
      <w:pPr>
        <w:pStyle w:val="FootnoteText"/>
      </w:pPr>
      <w:r>
        <w:rPr>
          <w:rStyle w:val="FootnoteReference"/>
        </w:rPr>
        <w:footnoteRef/>
      </w:r>
      <w:r>
        <w:t xml:space="preserve"> J.C. Senna Martinez and J.M.Q. Ventura, ‘Neolitiza</w:t>
      </w:r>
      <w:r>
        <w:rPr>
          <w:rFonts w:cs="Calibri"/>
        </w:rPr>
        <w:t>çã</w:t>
      </w:r>
      <w:r>
        <w:t>o e Megalitismo na Platforma do Mondego: Algumas Reflex</w:t>
      </w:r>
      <w:r>
        <w:rPr>
          <w:rFonts w:cs="Calibri"/>
        </w:rPr>
        <w:t>õ</w:t>
      </w:r>
      <w:r>
        <w:t>es sobre a Transi</w:t>
      </w:r>
      <w:r>
        <w:rPr>
          <w:rFonts w:cs="Calibri"/>
        </w:rPr>
        <w:t>çã</w:t>
      </w:r>
      <w:r>
        <w:t>o Neolitico Antigo/Neol</w:t>
      </w:r>
      <w:r>
        <w:rPr>
          <w:rFonts w:cs="Calibri"/>
        </w:rPr>
        <w:t>í</w:t>
      </w:r>
      <w:r>
        <w:t>tico M</w:t>
      </w:r>
      <w:r>
        <w:rPr>
          <w:rFonts w:cs="Calibri"/>
        </w:rPr>
        <w:t>é</w:t>
      </w:r>
      <w:r>
        <w:t xml:space="preserve">dio’, </w:t>
      </w:r>
      <w:r w:rsidRPr="00374D3C">
        <w:rPr>
          <w:i/>
        </w:rPr>
        <w:t>Actas do IV Congreso del Neol</w:t>
      </w:r>
      <w:r>
        <w:rPr>
          <w:rFonts w:cs="Calibri"/>
          <w:i/>
        </w:rPr>
        <w:t>í</w:t>
      </w:r>
      <w:r w:rsidRPr="00374D3C">
        <w:rPr>
          <w:i/>
        </w:rPr>
        <w:t>tico en la Pen</w:t>
      </w:r>
      <w:r>
        <w:rPr>
          <w:rFonts w:cs="Calibri"/>
          <w:i/>
        </w:rPr>
        <w:t>í</w:t>
      </w:r>
      <w:r w:rsidRPr="00374D3C">
        <w:rPr>
          <w:i/>
        </w:rPr>
        <w:t>nsula Ib</w:t>
      </w:r>
      <w:r>
        <w:rPr>
          <w:rFonts w:cs="Calibri"/>
          <w:i/>
        </w:rPr>
        <w:t>é</w:t>
      </w:r>
      <w:r w:rsidRPr="00374D3C">
        <w:rPr>
          <w:i/>
        </w:rPr>
        <w:t>rica</w:t>
      </w:r>
      <w:r>
        <w:t xml:space="preserve"> (2008a), 82, and J.C. Senna Martinez and J.M.Q. Ventura, ‘Do Mundo das Sombras ao Mundo dos Vivos: Oct</w:t>
      </w:r>
      <w:r>
        <w:rPr>
          <w:rFonts w:cs="Calibri"/>
        </w:rPr>
        <w:t>á</w:t>
      </w:r>
      <w:r>
        <w:t>vio da Veiga Ferreira e o Megalitismo da Beira Alta, Meio S</w:t>
      </w:r>
      <w:r>
        <w:rPr>
          <w:rFonts w:cs="Calibri"/>
        </w:rPr>
        <w:t>é</w:t>
      </w:r>
      <w:r>
        <w:t xml:space="preserve">culo Depois’, </w:t>
      </w:r>
      <w:r w:rsidRPr="00374D3C">
        <w:rPr>
          <w:i/>
        </w:rPr>
        <w:t>Estudos Arqueol</w:t>
      </w:r>
      <w:r w:rsidRPr="00374D3C">
        <w:rPr>
          <w:rFonts w:cs="Calibri"/>
          <w:i/>
        </w:rPr>
        <w:t>ó</w:t>
      </w:r>
      <w:r w:rsidRPr="00374D3C">
        <w:rPr>
          <w:i/>
        </w:rPr>
        <w:t>gicos de Oeiras</w:t>
      </w:r>
      <w:r>
        <w:t>, 16 (2008b), cited in Silva, ‘The View from Within’, 142.</w:t>
      </w:r>
    </w:p>
  </w:footnote>
  <w:footnote w:id="15">
    <w:p w:rsidR="00782898" w:rsidRDefault="00782898" w:rsidP="00782898">
      <w:pPr>
        <w:pStyle w:val="FootnoteText"/>
      </w:pPr>
      <w:r>
        <w:rPr>
          <w:rStyle w:val="FootnoteReference"/>
        </w:rPr>
        <w:footnoteRef/>
      </w:r>
      <w:r>
        <w:t xml:space="preserve"> Silva, ‘The View from Within’, 141.</w:t>
      </w:r>
    </w:p>
  </w:footnote>
  <w:footnote w:id="16">
    <w:p w:rsidR="00782898" w:rsidRDefault="00782898" w:rsidP="00782898">
      <w:pPr>
        <w:pStyle w:val="FootnoteText"/>
      </w:pPr>
      <w:r>
        <w:rPr>
          <w:rStyle w:val="FootnoteReference"/>
        </w:rPr>
        <w:footnoteRef/>
      </w:r>
      <w:r>
        <w:t xml:space="preserve"> Silva, ‘The View from Within’, 141.</w:t>
      </w:r>
    </w:p>
  </w:footnote>
  <w:footnote w:id="17">
    <w:p w:rsidR="00782898" w:rsidRDefault="00782898" w:rsidP="00782898">
      <w:pPr>
        <w:pStyle w:val="FootnoteText"/>
      </w:pPr>
      <w:r>
        <w:rPr>
          <w:rStyle w:val="FootnoteReference"/>
        </w:rPr>
        <w:footnoteRef/>
      </w:r>
      <w:r>
        <w:t xml:space="preserve"> Hoskin, ‘Studies in Iberian Archaeoastronomy’, S63.</w:t>
      </w:r>
    </w:p>
  </w:footnote>
  <w:footnote w:id="18">
    <w:p w:rsidR="00782898" w:rsidRDefault="00782898" w:rsidP="00782898">
      <w:pPr>
        <w:pStyle w:val="FootnoteText"/>
      </w:pPr>
      <w:r>
        <w:rPr>
          <w:rStyle w:val="FootnoteReference"/>
        </w:rPr>
        <w:footnoteRef/>
      </w:r>
      <w:r>
        <w:t xml:space="preserve"> </w:t>
      </w:r>
      <w:r w:rsidRPr="00FD17A6">
        <w:rPr>
          <w:rFonts w:asciiTheme="minorHAnsi" w:hAnsiTheme="minorHAnsi" w:cstheme="minorHAnsi"/>
        </w:rPr>
        <w:t>Rodríguez-Rellán and Fábregas Valcarce</w:t>
      </w:r>
      <w:proofErr w:type="gramStart"/>
      <w:r w:rsidRPr="00FD17A6">
        <w:rPr>
          <w:rFonts w:asciiTheme="minorHAnsi" w:hAnsiTheme="minorHAnsi" w:cstheme="minorHAnsi"/>
        </w:rPr>
        <w:t>,  ‘Monuments</w:t>
      </w:r>
      <w:proofErr w:type="gramEnd"/>
      <w:r w:rsidRPr="00FD17A6">
        <w:rPr>
          <w:rFonts w:asciiTheme="minorHAnsi" w:hAnsiTheme="minorHAnsi" w:cstheme="minorHAnsi"/>
        </w:rPr>
        <w:t xml:space="preserve"> on the Move</w:t>
      </w:r>
      <w:r>
        <w:rPr>
          <w:rFonts w:asciiTheme="minorHAnsi" w:hAnsiTheme="minorHAnsi" w:cstheme="minorHAnsi"/>
        </w:rPr>
        <w:t>’.</w:t>
      </w:r>
    </w:p>
  </w:footnote>
  <w:footnote w:id="19">
    <w:p w:rsidR="00782898" w:rsidRDefault="00782898" w:rsidP="00782898">
      <w:pPr>
        <w:pStyle w:val="FootnoteText"/>
      </w:pPr>
      <w:r>
        <w:rPr>
          <w:rStyle w:val="FootnoteReference"/>
        </w:rPr>
        <w:footnoteRef/>
      </w:r>
      <w:r>
        <w:t xml:space="preserve"> C. Gamble, W. Davies, P. Pettit, L. Hazelwood and M. Richards, ‘The Archaeological and Genetic Foundations of the European Population during the Late Glacial: Implications for </w:t>
      </w:r>
      <w:r>
        <w:rPr>
          <w:rFonts w:cs="Calibri"/>
        </w:rPr>
        <w:t>“</w:t>
      </w:r>
      <w:r>
        <w:t>Agricultural Thinking</w:t>
      </w:r>
      <w:r>
        <w:rPr>
          <w:rFonts w:cs="Calibri"/>
        </w:rPr>
        <w:t>”</w:t>
      </w:r>
      <w:r>
        <w:t xml:space="preserve">’, </w:t>
      </w:r>
      <w:r w:rsidRPr="001B4731">
        <w:rPr>
          <w:i/>
        </w:rPr>
        <w:t>Cambridge Archaeological Journal</w:t>
      </w:r>
      <w:r>
        <w:t xml:space="preserve">, 15 (2005), 193-223, and Silva and Frank, </w:t>
      </w:r>
      <w:r w:rsidRPr="001B4731">
        <w:rPr>
          <w:i/>
        </w:rPr>
        <w:t>Deconstructing the Neolithic Myth</w:t>
      </w:r>
      <w:r>
        <w:t xml:space="preserve">, cited in Silva, ‘The View from Within’, 155; B. Hayden and S. Villeneuve, ‘Astronomy in the Upper Paleolithic?’, </w:t>
      </w:r>
      <w:r w:rsidRPr="001B4731">
        <w:rPr>
          <w:i/>
        </w:rPr>
        <w:t>Cambridge Archaeological Journal</w:t>
      </w:r>
      <w:r>
        <w:t>, 21 (2011), 331-355, cited in Silva, ‘The View from Within’, 155.</w:t>
      </w:r>
    </w:p>
  </w:footnote>
  <w:footnote w:id="20">
    <w:p w:rsidR="00782898" w:rsidRPr="00024EE6" w:rsidRDefault="00782898" w:rsidP="00782898">
      <w:pPr>
        <w:jc w:val="both"/>
      </w:pPr>
      <w:r w:rsidRPr="00024EE6">
        <w:rPr>
          <w:rStyle w:val="FootnoteReference"/>
          <w:rFonts w:asciiTheme="minorHAnsi" w:hAnsiTheme="minorHAnsi" w:cstheme="minorHAnsi"/>
          <w:sz w:val="20"/>
          <w:szCs w:val="20"/>
        </w:rPr>
        <w:footnoteRef/>
      </w:r>
      <w:r w:rsidRPr="00024EE6">
        <w:rPr>
          <w:rFonts w:asciiTheme="minorHAnsi" w:hAnsiTheme="minorHAnsi" w:cstheme="minorHAnsi"/>
          <w:sz w:val="20"/>
          <w:szCs w:val="20"/>
        </w:rPr>
        <w:t xml:space="preserve"> Catarina Oliviera and C. Marciano da Silva, ‘Moon, </w:t>
      </w:r>
      <w:proofErr w:type="gramStart"/>
      <w:r w:rsidRPr="00024EE6">
        <w:rPr>
          <w:rFonts w:asciiTheme="minorHAnsi" w:hAnsiTheme="minorHAnsi" w:cstheme="minorHAnsi"/>
          <w:sz w:val="20"/>
          <w:szCs w:val="20"/>
        </w:rPr>
        <w:t>Spring</w:t>
      </w:r>
      <w:proofErr w:type="gramEnd"/>
      <w:r w:rsidRPr="00024EE6">
        <w:rPr>
          <w:rFonts w:asciiTheme="minorHAnsi" w:hAnsiTheme="minorHAnsi" w:cstheme="minorHAnsi"/>
          <w:sz w:val="20"/>
          <w:szCs w:val="20"/>
        </w:rPr>
        <w:t xml:space="preserve"> and Large Stones: Landscape and ritual calendar perception and symbolization’, in Calado, D., Baldia, M. and Boulanger, M. (eds), </w:t>
      </w:r>
      <w:r w:rsidRPr="00024EE6">
        <w:rPr>
          <w:rFonts w:asciiTheme="minorHAnsi" w:hAnsiTheme="minorHAnsi" w:cstheme="minorHAnsi"/>
          <w:i/>
          <w:sz w:val="20"/>
          <w:szCs w:val="20"/>
        </w:rPr>
        <w:t xml:space="preserve">Monumental Questions: Prehistoric Megaliths, Mounds, and Enclosures, </w:t>
      </w:r>
      <w:r w:rsidRPr="00024EE6">
        <w:rPr>
          <w:rFonts w:asciiTheme="minorHAnsi" w:hAnsiTheme="minorHAnsi" w:cstheme="minorHAnsi"/>
          <w:sz w:val="20"/>
          <w:szCs w:val="20"/>
        </w:rPr>
        <w:t>Proceedings of the XV World Congress UISPP (Lisbon, 4</w:t>
      </w:r>
      <w:r w:rsidRPr="00024EE6">
        <w:rPr>
          <w:rFonts w:asciiTheme="minorHAnsi" w:hAnsiTheme="minorHAnsi" w:cstheme="minorHAnsi"/>
          <w:sz w:val="20"/>
          <w:szCs w:val="20"/>
        </w:rPr>
        <w:sym w:font="Symbol" w:char="F02D"/>
      </w:r>
      <w:r w:rsidRPr="00024EE6">
        <w:rPr>
          <w:rFonts w:asciiTheme="minorHAnsi" w:hAnsiTheme="minorHAnsi" w:cstheme="minorHAnsi"/>
          <w:sz w:val="20"/>
          <w:szCs w:val="20"/>
        </w:rPr>
        <w:t>9 September 2006), (Oxford: BAR Publishing, 2010).</w:t>
      </w:r>
    </w:p>
  </w:footnote>
  <w:footnote w:id="21">
    <w:p w:rsidR="00782898" w:rsidRDefault="00782898" w:rsidP="00782898">
      <w:pPr>
        <w:pStyle w:val="FootnoteText"/>
      </w:pPr>
      <w:r>
        <w:rPr>
          <w:rStyle w:val="FootnoteReference"/>
        </w:rPr>
        <w:footnoteRef/>
      </w:r>
      <w:r>
        <w:t xml:space="preserve"> Silva, ‘The View from Within’, 150-151.</w:t>
      </w:r>
    </w:p>
  </w:footnote>
  <w:footnote w:id="22">
    <w:p w:rsidR="00782898" w:rsidRDefault="00782898" w:rsidP="00782898">
      <w:pPr>
        <w:pStyle w:val="FootnoteText"/>
      </w:pPr>
      <w:r>
        <w:rPr>
          <w:rStyle w:val="FootnoteReference"/>
        </w:rPr>
        <w:footnoteRef/>
      </w:r>
      <w:r>
        <w:t xml:space="preserve"> </w:t>
      </w:r>
      <w:r w:rsidRPr="00024EE6">
        <w:rPr>
          <w:rFonts w:asciiTheme="minorHAnsi" w:hAnsiTheme="minorHAnsi" w:cstheme="minorHAnsi"/>
        </w:rPr>
        <w:t>Oliviera</w:t>
      </w:r>
      <w:r>
        <w:rPr>
          <w:rFonts w:asciiTheme="minorHAnsi" w:hAnsiTheme="minorHAnsi" w:cstheme="minorHAnsi"/>
        </w:rPr>
        <w:t xml:space="preserve"> and Da</w:t>
      </w:r>
      <w:r w:rsidRPr="00024EE6">
        <w:rPr>
          <w:rFonts w:asciiTheme="minorHAnsi" w:hAnsiTheme="minorHAnsi" w:cstheme="minorHAnsi"/>
        </w:rPr>
        <w:t xml:space="preserve"> Silva, ‘Moon, </w:t>
      </w:r>
      <w:proofErr w:type="gramStart"/>
      <w:r w:rsidRPr="00024EE6">
        <w:rPr>
          <w:rFonts w:asciiTheme="minorHAnsi" w:hAnsiTheme="minorHAnsi" w:cstheme="minorHAnsi"/>
        </w:rPr>
        <w:t>Spring</w:t>
      </w:r>
      <w:proofErr w:type="gramEnd"/>
      <w:r w:rsidRPr="00024EE6">
        <w:rPr>
          <w:rFonts w:asciiTheme="minorHAnsi" w:hAnsiTheme="minorHAnsi" w:cstheme="minorHAnsi"/>
        </w:rPr>
        <w:t xml:space="preserve"> and Large Stones</w:t>
      </w:r>
      <w:r>
        <w:rPr>
          <w:rFonts w:asciiTheme="minorHAnsi" w:hAnsiTheme="minorHAnsi" w:cstheme="minorHAnsi"/>
        </w:rPr>
        <w:t>’, 84.</w:t>
      </w:r>
    </w:p>
  </w:footnote>
  <w:footnote w:id="23">
    <w:p w:rsidR="00782898" w:rsidRDefault="00782898" w:rsidP="00782898">
      <w:pPr>
        <w:pStyle w:val="FootnoteText"/>
      </w:pPr>
      <w:r>
        <w:rPr>
          <w:rStyle w:val="FootnoteReference"/>
        </w:rPr>
        <w:footnoteRef/>
      </w:r>
      <w:r>
        <w:t xml:space="preserve"> Silva, ‘The View from Within’, 151.</w:t>
      </w:r>
    </w:p>
  </w:footnote>
  <w:footnote w:id="24">
    <w:p w:rsidR="00782898" w:rsidRDefault="00782898" w:rsidP="00782898">
      <w:pPr>
        <w:pStyle w:val="FootnoteText"/>
      </w:pPr>
      <w:r>
        <w:rPr>
          <w:rStyle w:val="FootnoteReference"/>
        </w:rPr>
        <w:footnoteRef/>
      </w:r>
      <w:r>
        <w:t xml:space="preserve"> Silva, ‘The View from Within’, 151.</w:t>
      </w:r>
    </w:p>
  </w:footnote>
  <w:footnote w:id="25">
    <w:p w:rsidR="00782898" w:rsidRDefault="00782898" w:rsidP="00782898">
      <w:pPr>
        <w:pStyle w:val="FootnoteText"/>
      </w:pPr>
      <w:r>
        <w:rPr>
          <w:rStyle w:val="FootnoteReference"/>
        </w:rPr>
        <w:footnoteRef/>
      </w:r>
      <w:r>
        <w:t xml:space="preserve"> Silva, ‘The View from Within’, 153, 154.</w:t>
      </w:r>
    </w:p>
  </w:footnote>
  <w:footnote w:id="26">
    <w:p w:rsidR="00782898" w:rsidRDefault="00782898" w:rsidP="00782898">
      <w:pPr>
        <w:pStyle w:val="FootnoteText"/>
      </w:pPr>
      <w:r>
        <w:rPr>
          <w:rStyle w:val="FootnoteReference"/>
        </w:rPr>
        <w:footnoteRef/>
      </w:r>
      <w:r>
        <w:t xml:space="preserve"> Silva, ‘The View from Within’, 154.</w:t>
      </w:r>
    </w:p>
  </w:footnote>
  <w:footnote w:id="27">
    <w:p w:rsidR="00782898" w:rsidRDefault="00782898" w:rsidP="00782898">
      <w:pPr>
        <w:pStyle w:val="FootnoteText"/>
      </w:pPr>
      <w:r>
        <w:rPr>
          <w:rStyle w:val="FootnoteReference"/>
        </w:rPr>
        <w:footnoteRef/>
      </w:r>
      <w:r>
        <w:t xml:space="preserve"> </w:t>
      </w:r>
      <w:r w:rsidRPr="00024EE6">
        <w:rPr>
          <w:rFonts w:asciiTheme="minorHAnsi" w:hAnsiTheme="minorHAnsi" w:cstheme="minorHAnsi"/>
        </w:rPr>
        <w:t>Oliviera</w:t>
      </w:r>
      <w:r>
        <w:rPr>
          <w:rFonts w:asciiTheme="minorHAnsi" w:hAnsiTheme="minorHAnsi" w:cstheme="minorHAnsi"/>
        </w:rPr>
        <w:t xml:space="preserve"> and Da</w:t>
      </w:r>
      <w:r w:rsidRPr="00024EE6">
        <w:rPr>
          <w:rFonts w:asciiTheme="minorHAnsi" w:hAnsiTheme="minorHAnsi" w:cstheme="minorHAnsi"/>
        </w:rPr>
        <w:t xml:space="preserve"> Silva, ‘Moon, </w:t>
      </w:r>
      <w:proofErr w:type="gramStart"/>
      <w:r w:rsidRPr="00024EE6">
        <w:rPr>
          <w:rFonts w:asciiTheme="minorHAnsi" w:hAnsiTheme="minorHAnsi" w:cstheme="minorHAnsi"/>
        </w:rPr>
        <w:t>Spring</w:t>
      </w:r>
      <w:proofErr w:type="gramEnd"/>
      <w:r w:rsidRPr="00024EE6">
        <w:rPr>
          <w:rFonts w:asciiTheme="minorHAnsi" w:hAnsiTheme="minorHAnsi" w:cstheme="minorHAnsi"/>
        </w:rPr>
        <w:t xml:space="preserve"> and Large Stones</w:t>
      </w:r>
      <w:r>
        <w:rPr>
          <w:rFonts w:asciiTheme="minorHAnsi" w:hAnsiTheme="minorHAnsi" w:cstheme="minorHAnsi"/>
        </w:rPr>
        <w:t>’, 86.</w:t>
      </w:r>
    </w:p>
  </w:footnote>
  <w:footnote w:id="28">
    <w:p w:rsidR="00782898" w:rsidRPr="0064504E" w:rsidRDefault="00782898" w:rsidP="00782898">
      <w:pPr>
        <w:rPr>
          <w:rFonts w:asciiTheme="minorHAnsi" w:hAnsiTheme="minorHAnsi" w:cstheme="minorHAnsi"/>
          <w:sz w:val="20"/>
          <w:szCs w:val="20"/>
        </w:rPr>
      </w:pPr>
      <w:r w:rsidRPr="0064504E">
        <w:rPr>
          <w:rStyle w:val="FootnoteReference"/>
          <w:rFonts w:asciiTheme="minorHAnsi" w:hAnsiTheme="minorHAnsi" w:cstheme="minorHAnsi"/>
          <w:sz w:val="20"/>
          <w:szCs w:val="20"/>
        </w:rPr>
        <w:footnoteRef/>
      </w:r>
      <w:r>
        <w:rPr>
          <w:rFonts w:asciiTheme="minorHAnsi" w:hAnsiTheme="minorHAnsi" w:cstheme="minorHAnsi"/>
          <w:sz w:val="20"/>
          <w:szCs w:val="20"/>
        </w:rPr>
        <w:t xml:space="preserve"> </w:t>
      </w:r>
      <w:r w:rsidRPr="0064504E">
        <w:rPr>
          <w:rFonts w:asciiTheme="minorHAnsi" w:hAnsiTheme="minorHAnsi" w:cstheme="minorHAnsi"/>
          <w:sz w:val="20"/>
          <w:szCs w:val="20"/>
        </w:rPr>
        <w:t>Elizabeth A.</w:t>
      </w:r>
      <w:r>
        <w:rPr>
          <w:rFonts w:asciiTheme="minorHAnsi" w:hAnsiTheme="minorHAnsi" w:cstheme="minorHAnsi"/>
          <w:sz w:val="20"/>
          <w:szCs w:val="20"/>
        </w:rPr>
        <w:t xml:space="preserve"> </w:t>
      </w:r>
      <w:r w:rsidRPr="0064504E">
        <w:rPr>
          <w:rFonts w:asciiTheme="minorHAnsi" w:hAnsiTheme="minorHAnsi" w:cstheme="minorHAnsi"/>
          <w:sz w:val="20"/>
          <w:szCs w:val="20"/>
        </w:rPr>
        <w:t>McCormack, ‘Passages: The Neolothic passage grave as tiered cosmos’, Masters dissertation, Archaeology Department, University of Reading (2007). Available at: https://www.scribd.com/document/100825469/Neolithic-Passage-Graves-as-Tiered-Cosmos [Accessed 16 February 2019].</w:t>
      </w:r>
    </w:p>
  </w:footnote>
  <w:footnote w:id="29">
    <w:p w:rsidR="00782898" w:rsidRDefault="00782898" w:rsidP="00782898">
      <w:pPr>
        <w:pStyle w:val="FootnoteText"/>
      </w:pPr>
      <w:r>
        <w:rPr>
          <w:rStyle w:val="FootnoteReference"/>
        </w:rPr>
        <w:footnoteRef/>
      </w:r>
      <w:r>
        <w:t xml:space="preserve"> Silva, ‘The View from Within’, 154.</w:t>
      </w:r>
    </w:p>
  </w:footnote>
  <w:footnote w:id="30">
    <w:p w:rsidR="00782898" w:rsidRDefault="00782898" w:rsidP="00782898">
      <w:pPr>
        <w:pStyle w:val="FootnoteText"/>
      </w:pPr>
      <w:r>
        <w:rPr>
          <w:rStyle w:val="FootnoteReference"/>
        </w:rPr>
        <w:footnoteRef/>
      </w:r>
      <w:r>
        <w:t xml:space="preserve"> Tilley, </w:t>
      </w:r>
      <w:proofErr w:type="gramStart"/>
      <w:r w:rsidRPr="00B74E2A">
        <w:rPr>
          <w:i/>
        </w:rPr>
        <w:t>The</w:t>
      </w:r>
      <w:proofErr w:type="gramEnd"/>
      <w:r w:rsidRPr="00B74E2A">
        <w:rPr>
          <w:i/>
        </w:rPr>
        <w:t xml:space="preserve"> Phenomenology of Landscape</w:t>
      </w:r>
      <w:r>
        <w:t>, 204.</w:t>
      </w:r>
    </w:p>
  </w:footnote>
  <w:footnote w:id="31">
    <w:p w:rsidR="00782898" w:rsidRDefault="00782898" w:rsidP="00782898">
      <w:pPr>
        <w:pStyle w:val="FootnoteText"/>
      </w:pPr>
      <w:r>
        <w:rPr>
          <w:rStyle w:val="FootnoteReference"/>
        </w:rPr>
        <w:footnoteRef/>
      </w:r>
      <w:r>
        <w:t xml:space="preserve"> Silva, ‘The View from Within’, 143.</w:t>
      </w:r>
    </w:p>
  </w:footnote>
  <w:footnote w:id="32">
    <w:p w:rsidR="00782898" w:rsidRDefault="00782898" w:rsidP="00782898">
      <w:pPr>
        <w:pStyle w:val="FootnoteText"/>
      </w:pPr>
      <w:r>
        <w:rPr>
          <w:rStyle w:val="FootnoteReference"/>
        </w:rPr>
        <w:footnoteRef/>
      </w:r>
      <w:r>
        <w:t xml:space="preserve"> Silva, ‘The View from Within’, 146.</w:t>
      </w:r>
    </w:p>
  </w:footnote>
  <w:footnote w:id="33">
    <w:p w:rsidR="00782898" w:rsidRDefault="00782898" w:rsidP="00782898">
      <w:pPr>
        <w:pStyle w:val="FootnoteText"/>
      </w:pPr>
      <w:r>
        <w:rPr>
          <w:rStyle w:val="FootnoteReference"/>
        </w:rPr>
        <w:footnoteRef/>
      </w:r>
      <w:r>
        <w:t xml:space="preserve"> Silva, ‘The View from Within’, 146, 150.</w:t>
      </w:r>
    </w:p>
  </w:footnote>
  <w:footnote w:id="34">
    <w:p w:rsidR="00782898" w:rsidRDefault="00782898" w:rsidP="00782898">
      <w:pPr>
        <w:pStyle w:val="FootnoteText"/>
      </w:pPr>
      <w:r>
        <w:rPr>
          <w:rStyle w:val="FootnoteReference"/>
        </w:rPr>
        <w:footnoteRef/>
      </w:r>
      <w:r>
        <w:t xml:space="preserve"> Silva, ‘The View from Within’, 150.</w:t>
      </w:r>
    </w:p>
  </w:footnote>
  <w:footnote w:id="35">
    <w:p w:rsidR="00782898" w:rsidRDefault="00782898" w:rsidP="00782898">
      <w:pPr>
        <w:pStyle w:val="FootnoteText"/>
      </w:pPr>
      <w:r>
        <w:rPr>
          <w:rStyle w:val="FootnoteReference"/>
        </w:rPr>
        <w:footnoteRef/>
      </w:r>
      <w:r>
        <w:t xml:space="preserve"> Silva, ‘The View from Within’, 150.</w:t>
      </w:r>
    </w:p>
  </w:footnote>
  <w:footnote w:id="36">
    <w:p w:rsidR="00782898" w:rsidRPr="00603AE9" w:rsidRDefault="00782898" w:rsidP="00782898">
      <w:pPr>
        <w:rPr>
          <w:rFonts w:asciiTheme="minorHAnsi" w:hAnsiTheme="minorHAnsi" w:cstheme="minorHAnsi"/>
          <w:sz w:val="20"/>
          <w:szCs w:val="20"/>
        </w:rPr>
      </w:pPr>
      <w:r w:rsidRPr="00603AE9">
        <w:rPr>
          <w:rStyle w:val="FootnoteReference"/>
          <w:rFonts w:asciiTheme="minorHAnsi" w:hAnsiTheme="minorHAnsi" w:cstheme="minorHAnsi"/>
          <w:sz w:val="20"/>
          <w:szCs w:val="20"/>
        </w:rPr>
        <w:footnoteRef/>
      </w:r>
      <w:r w:rsidRPr="00603AE9">
        <w:rPr>
          <w:rFonts w:asciiTheme="minorHAnsi" w:hAnsiTheme="minorHAnsi" w:cstheme="minorHAnsi"/>
          <w:sz w:val="20"/>
          <w:szCs w:val="20"/>
        </w:rPr>
        <w:t xml:space="preserve"> Maria de Jesus Sanchez, ‘Passage-Graves of Northwestern Iberia: Setting and Movements. An approach to the relationship between architecture and iconography’, in Jorge, Vítor Oliveira (</w:t>
      </w:r>
      <w:proofErr w:type="gramStart"/>
      <w:r w:rsidRPr="00603AE9">
        <w:rPr>
          <w:rFonts w:asciiTheme="minorHAnsi" w:hAnsiTheme="minorHAnsi" w:cstheme="minorHAnsi"/>
          <w:sz w:val="20"/>
          <w:szCs w:val="20"/>
        </w:rPr>
        <w:t>ed</w:t>
      </w:r>
      <w:proofErr w:type="gramEnd"/>
      <w:r w:rsidRPr="00603AE9">
        <w:rPr>
          <w:rFonts w:asciiTheme="minorHAnsi" w:hAnsiTheme="minorHAnsi" w:cstheme="minorHAnsi"/>
          <w:sz w:val="20"/>
          <w:szCs w:val="20"/>
        </w:rPr>
        <w:t xml:space="preserve">), </w:t>
      </w:r>
      <w:r w:rsidRPr="00603AE9">
        <w:rPr>
          <w:rFonts w:asciiTheme="minorHAnsi" w:hAnsiTheme="minorHAnsi" w:cstheme="minorHAnsi"/>
          <w:i/>
          <w:sz w:val="20"/>
          <w:szCs w:val="20"/>
        </w:rPr>
        <w:t>Approaching ‘Prehistoric and Protohistoric Architectures’ of Europe from a ‘Dwelling Perspective’</w:t>
      </w:r>
      <w:r w:rsidRPr="00603AE9">
        <w:rPr>
          <w:rFonts w:asciiTheme="minorHAnsi" w:hAnsiTheme="minorHAnsi" w:cstheme="minorHAnsi"/>
          <w:sz w:val="20"/>
          <w:szCs w:val="20"/>
        </w:rPr>
        <w:t>, Proceedings of the TAG session (Sheffiel</w:t>
      </w:r>
      <w:r>
        <w:rPr>
          <w:rFonts w:asciiTheme="minorHAnsi" w:hAnsiTheme="minorHAnsi" w:cstheme="minorHAnsi"/>
          <w:sz w:val="20"/>
          <w:szCs w:val="20"/>
        </w:rPr>
        <w:t>d, 2005), (Porto: ADECAP, 2006), 133.</w:t>
      </w:r>
    </w:p>
  </w:footnote>
  <w:footnote w:id="37">
    <w:p w:rsidR="00782898" w:rsidRDefault="00782898" w:rsidP="00782898">
      <w:pPr>
        <w:pStyle w:val="FootnoteText"/>
      </w:pPr>
      <w:r>
        <w:rPr>
          <w:rStyle w:val="FootnoteReference"/>
        </w:rPr>
        <w:footnoteRef/>
      </w:r>
      <w:r>
        <w:t xml:space="preserve"> Hoskin, ‘Studies in Iberian Archaeoastronomy’, S40.</w:t>
      </w:r>
    </w:p>
  </w:footnote>
  <w:footnote w:id="38">
    <w:p w:rsidR="00782898" w:rsidRDefault="00782898" w:rsidP="00782898">
      <w:pPr>
        <w:pStyle w:val="FootnoteText"/>
      </w:pPr>
      <w:r>
        <w:rPr>
          <w:rStyle w:val="FootnoteReference"/>
        </w:rPr>
        <w:footnoteRef/>
      </w:r>
      <w:r>
        <w:t xml:space="preserve"> Hoskin, ‘Studies in Iberian Archaeoastronomy’, S40.</w:t>
      </w:r>
    </w:p>
  </w:footnote>
  <w:footnote w:id="39">
    <w:p w:rsidR="00782898" w:rsidRDefault="00782898" w:rsidP="00782898">
      <w:pPr>
        <w:pStyle w:val="FootnoteText"/>
      </w:pPr>
      <w:r>
        <w:rPr>
          <w:rStyle w:val="FootnoteReference"/>
        </w:rPr>
        <w:footnoteRef/>
      </w:r>
      <w:r>
        <w:t xml:space="preserve"> Silva, ‘The View from Within’, 142.</w:t>
      </w:r>
    </w:p>
  </w:footnote>
  <w:footnote w:id="40">
    <w:p w:rsidR="00782898" w:rsidRDefault="00782898" w:rsidP="00782898">
      <w:pPr>
        <w:pStyle w:val="FootnoteText"/>
      </w:pPr>
      <w:r>
        <w:rPr>
          <w:rStyle w:val="FootnoteReference"/>
        </w:rPr>
        <w:footnoteRef/>
      </w:r>
      <w:r>
        <w:t xml:space="preserve"> Silva, ‘The View from Within’, 156.</w:t>
      </w:r>
    </w:p>
  </w:footnote>
  <w:footnote w:id="41">
    <w:p w:rsidR="00782898" w:rsidRDefault="00782898" w:rsidP="00782898">
      <w:pPr>
        <w:pStyle w:val="FootnoteText"/>
      </w:pPr>
      <w:r>
        <w:rPr>
          <w:rStyle w:val="FootnoteReference"/>
        </w:rPr>
        <w:footnoteRef/>
      </w:r>
      <w:r>
        <w:t xml:space="preserve"> Hoskin, </w:t>
      </w:r>
      <w:r w:rsidRPr="001B4731">
        <w:rPr>
          <w:i/>
        </w:rPr>
        <w:t>Tombs, Temples and their Orientation</w:t>
      </w:r>
      <w:r>
        <w:t>, cited in Silva, ‘The View from Within’, 142.</w:t>
      </w:r>
    </w:p>
  </w:footnote>
  <w:footnote w:id="42">
    <w:p w:rsidR="00782898" w:rsidRDefault="00782898" w:rsidP="00782898">
      <w:pPr>
        <w:pStyle w:val="FootnoteText"/>
      </w:pPr>
      <w:r>
        <w:rPr>
          <w:rStyle w:val="FootnoteReference"/>
        </w:rPr>
        <w:footnoteRef/>
      </w:r>
      <w:r>
        <w:t xml:space="preserve"> Hoskin, ‘Studies in Iberian Archaeoastronomy’, S77, S79.</w:t>
      </w:r>
    </w:p>
  </w:footnote>
  <w:footnote w:id="43">
    <w:p w:rsidR="00782898" w:rsidRDefault="00782898" w:rsidP="00782898">
      <w:pPr>
        <w:pStyle w:val="FootnoteText"/>
      </w:pPr>
      <w:r>
        <w:rPr>
          <w:rStyle w:val="FootnoteReference"/>
        </w:rPr>
        <w:footnoteRef/>
      </w:r>
      <w:r>
        <w:t xml:space="preserve"> Silva, ‘The View from Within’, 156.</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24B2"/>
    <w:rsid w:val="000724B2"/>
    <w:rsid w:val="003F65CB"/>
    <w:rsid w:val="00782898"/>
    <w:rsid w:val="00A828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2035529-B415-48AF-A0BD-C47F85F025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2898"/>
    <w:pPr>
      <w:spacing w:after="0" w:line="240" w:lineRule="auto"/>
    </w:pPr>
    <w:rPr>
      <w:rFonts w:ascii="Times New Roman" w:eastAsia="SimSun" w:hAnsi="Times New Roman" w:cs="Times New Roman"/>
      <w:sz w:val="24"/>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782898"/>
    <w:rPr>
      <w:rFonts w:ascii="Calibri" w:eastAsia="Calibri" w:hAnsi="Calibri"/>
      <w:sz w:val="20"/>
      <w:szCs w:val="20"/>
      <w:lang w:eastAsia="en-US"/>
    </w:rPr>
  </w:style>
  <w:style w:type="character" w:customStyle="1" w:styleId="FootnoteTextChar">
    <w:name w:val="Footnote Text Char"/>
    <w:basedOn w:val="DefaultParagraphFont"/>
    <w:link w:val="FootnoteText"/>
    <w:uiPriority w:val="99"/>
    <w:rsid w:val="00782898"/>
    <w:rPr>
      <w:rFonts w:ascii="Calibri" w:eastAsia="Calibri" w:hAnsi="Calibri" w:cs="Times New Roman"/>
      <w:sz w:val="20"/>
      <w:szCs w:val="20"/>
    </w:rPr>
  </w:style>
  <w:style w:type="character" w:styleId="FootnoteReference">
    <w:name w:val="footnote reference"/>
    <w:uiPriority w:val="99"/>
    <w:unhideWhenUsed/>
    <w:rsid w:val="00782898"/>
    <w:rPr>
      <w:vertAlign w:val="superscript"/>
    </w:rPr>
  </w:style>
  <w:style w:type="paragraph" w:customStyle="1" w:styleId="MAPara1">
    <w:name w:val="MA Para1"/>
    <w:basedOn w:val="Normal"/>
    <w:link w:val="MAPara1Char"/>
    <w:qFormat/>
    <w:rsid w:val="00782898"/>
    <w:pPr>
      <w:spacing w:line="276" w:lineRule="auto"/>
      <w:jc w:val="both"/>
    </w:pPr>
    <w:rPr>
      <w:rFonts w:asciiTheme="minorHAnsi" w:hAnsiTheme="minorHAnsi" w:cstheme="minorHAnsi"/>
      <w:sz w:val="22"/>
      <w:szCs w:val="22"/>
    </w:rPr>
  </w:style>
  <w:style w:type="character" w:customStyle="1" w:styleId="MAPara1Char">
    <w:name w:val="MA Para1 Char"/>
    <w:basedOn w:val="DefaultParagraphFont"/>
    <w:link w:val="MAPara1"/>
    <w:rsid w:val="00782898"/>
    <w:rPr>
      <w:rFonts w:eastAsia="SimSun" w:cstheme="minorHAnsi"/>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2022</Words>
  <Characters>11532</Characters>
  <Application>Microsoft Office Word</Application>
  <DocSecurity>0</DocSecurity>
  <Lines>96</Lines>
  <Paragraphs>27</Paragraphs>
  <ScaleCrop>false</ScaleCrop>
  <Company/>
  <LinksUpToDate>false</LinksUpToDate>
  <CharactersWithSpaces>13527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Hilda Hermann</dc:creator>
  <cp:keywords/>
  <dc:description/>
  <cp:lastModifiedBy>Hilda Hermann</cp:lastModifiedBy>
  <cp:revision>2</cp:revision>
  <dcterms:created xsi:type="dcterms:W3CDTF">2019-03-04T09:01:00Z</dcterms:created>
  <dcterms:modified xsi:type="dcterms:W3CDTF">2019-03-04T09:01:00Z</dcterms:modified>
</cp:coreProperties>
</file>