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385BE" w14:textId="50C61086" w:rsidR="00E128DB" w:rsidRPr="008F0A0E" w:rsidRDefault="00E128DB">
      <w:pPr>
        <w:rPr>
          <w:rFonts w:ascii="Arial" w:eastAsia="Times New Roman" w:hAnsi="Arial" w:cs="Arial"/>
          <w:color w:val="444444"/>
          <w:kern w:val="0"/>
          <w:sz w:val="24"/>
          <w:szCs w:val="24"/>
          <w:lang w:eastAsia="en-GB"/>
          <w14:ligatures w14:val="none"/>
        </w:rPr>
      </w:pPr>
    </w:p>
    <w:p w14:paraId="6F5C1E00" w14:textId="77777777" w:rsidR="008F0A0E" w:rsidRPr="008F0A0E" w:rsidRDefault="008F0A0E" w:rsidP="008F0A0E">
      <w:pPr>
        <w:jc w:val="center"/>
        <w:rPr>
          <w:rFonts w:ascii="Arial" w:hAnsi="Arial" w:cs="Arial"/>
          <w:b/>
          <w:bCs/>
          <w:color w:val="000000" w:themeColor="text1"/>
          <w:sz w:val="24"/>
          <w:szCs w:val="24"/>
        </w:rPr>
      </w:pPr>
    </w:p>
    <w:p w14:paraId="3BF7DF76" w14:textId="77777777" w:rsidR="008F0A0E" w:rsidRPr="008F0A0E" w:rsidRDefault="008F0A0E" w:rsidP="008F0A0E">
      <w:pPr>
        <w:jc w:val="center"/>
        <w:rPr>
          <w:rFonts w:ascii="Arial" w:hAnsi="Arial" w:cs="Arial"/>
          <w:b/>
          <w:bCs/>
          <w:color w:val="000000" w:themeColor="text1"/>
          <w:sz w:val="24"/>
          <w:szCs w:val="24"/>
        </w:rPr>
      </w:pPr>
      <w:r w:rsidRPr="008F0A0E">
        <w:rPr>
          <w:rFonts w:ascii="Arial" w:hAnsi="Arial" w:cs="Arial"/>
          <w:b/>
          <w:bCs/>
          <w:color w:val="000000" w:themeColor="text1"/>
          <w:sz w:val="24"/>
          <w:szCs w:val="24"/>
        </w:rPr>
        <w:t>BA International Hotel Management</w:t>
      </w:r>
    </w:p>
    <w:p w14:paraId="2F447647" w14:textId="77777777" w:rsidR="008F0A0E" w:rsidRPr="008F0A0E" w:rsidRDefault="008F0A0E" w:rsidP="008F0A0E">
      <w:pPr>
        <w:jc w:val="center"/>
        <w:rPr>
          <w:rFonts w:ascii="Arial" w:hAnsi="Arial" w:cs="Arial"/>
          <w:b/>
          <w:bCs/>
          <w:sz w:val="24"/>
          <w:szCs w:val="24"/>
          <w:lang w:val="en-GB"/>
        </w:rPr>
      </w:pPr>
    </w:p>
    <w:p w14:paraId="707A5569" w14:textId="77777777" w:rsidR="008F0A0E" w:rsidRPr="008F0A0E" w:rsidRDefault="008F0A0E" w:rsidP="008F0A0E">
      <w:pPr>
        <w:jc w:val="center"/>
        <w:rPr>
          <w:rFonts w:ascii="Arial" w:hAnsi="Arial" w:cs="Arial"/>
          <w:b/>
          <w:bCs/>
          <w:sz w:val="24"/>
          <w:szCs w:val="24"/>
        </w:rPr>
      </w:pPr>
      <w:r w:rsidRPr="008F0A0E">
        <w:rPr>
          <w:rFonts w:ascii="Arial" w:hAnsi="Arial" w:cs="Arial"/>
          <w:b/>
          <w:bCs/>
          <w:sz w:val="24"/>
          <w:szCs w:val="24"/>
        </w:rPr>
        <w:t>BMIH5005 Personnel Resourcing and Development</w:t>
      </w:r>
    </w:p>
    <w:p w14:paraId="202B9242" w14:textId="77777777" w:rsidR="008F0A0E" w:rsidRPr="008F0A0E" w:rsidRDefault="008F0A0E" w:rsidP="008F0A0E">
      <w:pPr>
        <w:spacing w:before="120"/>
        <w:jc w:val="center"/>
        <w:rPr>
          <w:rFonts w:ascii="Arial" w:hAnsi="Arial" w:cs="Arial"/>
          <w:bCs/>
          <w:sz w:val="24"/>
          <w:szCs w:val="24"/>
        </w:rPr>
      </w:pPr>
    </w:p>
    <w:p w14:paraId="4296C438" w14:textId="77777777" w:rsidR="008F0A0E" w:rsidRPr="008F0A0E" w:rsidRDefault="008F0A0E" w:rsidP="008F0A0E">
      <w:pPr>
        <w:spacing w:before="120"/>
        <w:jc w:val="center"/>
        <w:rPr>
          <w:rFonts w:ascii="Arial" w:hAnsi="Arial" w:cs="Arial"/>
          <w:bCs/>
          <w:sz w:val="24"/>
          <w:szCs w:val="24"/>
        </w:rPr>
      </w:pPr>
      <w:r w:rsidRPr="008F0A0E">
        <w:rPr>
          <w:rFonts w:ascii="Arial" w:hAnsi="Arial" w:cs="Arial"/>
          <w:b/>
          <w:bCs/>
          <w:color w:val="000000"/>
          <w:sz w:val="24"/>
          <w:szCs w:val="24"/>
          <w:shd w:val="clear" w:color="auto" w:fill="FFFFFF"/>
        </w:rPr>
        <w:t>The title of the essay</w:t>
      </w:r>
      <w:r w:rsidRPr="008F0A0E">
        <w:rPr>
          <w:rFonts w:ascii="Arial" w:hAnsi="Arial" w:cs="Arial"/>
          <w:bCs/>
          <w:sz w:val="24"/>
          <w:szCs w:val="24"/>
        </w:rPr>
        <w:t xml:space="preserve">: How to engage employees “Generation </w:t>
      </w:r>
      <w:proofErr w:type="spellStart"/>
      <w:r w:rsidRPr="008F0A0E">
        <w:rPr>
          <w:rFonts w:ascii="Arial" w:hAnsi="Arial" w:cs="Arial"/>
          <w:bCs/>
          <w:sz w:val="24"/>
          <w:szCs w:val="24"/>
        </w:rPr>
        <w:t>Ys</w:t>
      </w:r>
      <w:proofErr w:type="spellEnd"/>
      <w:r w:rsidRPr="008F0A0E">
        <w:rPr>
          <w:rFonts w:ascii="Arial" w:hAnsi="Arial" w:cs="Arial"/>
          <w:bCs/>
          <w:sz w:val="24"/>
          <w:szCs w:val="24"/>
        </w:rPr>
        <w:t xml:space="preserve"> or </w:t>
      </w:r>
    </w:p>
    <w:p w14:paraId="2CF274CF" w14:textId="77777777" w:rsidR="008F0A0E" w:rsidRPr="008F0A0E" w:rsidRDefault="008F0A0E" w:rsidP="008F0A0E">
      <w:pPr>
        <w:spacing w:before="120"/>
        <w:jc w:val="center"/>
        <w:rPr>
          <w:rFonts w:ascii="Arial" w:hAnsi="Arial" w:cs="Arial"/>
          <w:bCs/>
          <w:sz w:val="24"/>
          <w:szCs w:val="24"/>
        </w:rPr>
      </w:pPr>
      <w:r w:rsidRPr="008F0A0E">
        <w:rPr>
          <w:rFonts w:ascii="Arial" w:hAnsi="Arial" w:cs="Arial"/>
          <w:bCs/>
          <w:sz w:val="24"/>
          <w:szCs w:val="24"/>
        </w:rPr>
        <w:t xml:space="preserve">                                                   Generation Zs” throughout the employee lifecycle?</w:t>
      </w:r>
    </w:p>
    <w:p w14:paraId="6C77E238" w14:textId="77777777" w:rsidR="008F0A0E" w:rsidRPr="008F0A0E" w:rsidRDefault="008F0A0E" w:rsidP="008F0A0E">
      <w:pPr>
        <w:jc w:val="center"/>
        <w:rPr>
          <w:rFonts w:ascii="Arial" w:hAnsi="Arial" w:cs="Arial"/>
          <w:sz w:val="24"/>
          <w:szCs w:val="24"/>
          <w:lang w:val="en-GB"/>
        </w:rPr>
      </w:pPr>
    </w:p>
    <w:p w14:paraId="4E2E60F3" w14:textId="77777777" w:rsidR="008F0A0E" w:rsidRPr="008F0A0E" w:rsidRDefault="008F0A0E" w:rsidP="008F0A0E">
      <w:pPr>
        <w:jc w:val="center"/>
        <w:rPr>
          <w:rFonts w:ascii="Arial" w:hAnsi="Arial" w:cs="Arial"/>
          <w:sz w:val="24"/>
          <w:szCs w:val="24"/>
          <w:lang w:val="en-GB"/>
        </w:rPr>
      </w:pPr>
      <w:r w:rsidRPr="008F0A0E">
        <w:rPr>
          <w:rFonts w:ascii="Arial" w:hAnsi="Arial" w:cs="Arial"/>
          <w:sz w:val="24"/>
          <w:szCs w:val="24"/>
          <w:lang w:val="en-GB"/>
        </w:rPr>
        <w:t xml:space="preserve">Student Name: </w:t>
      </w:r>
      <w:proofErr w:type="spellStart"/>
      <w:r w:rsidRPr="008F0A0E">
        <w:rPr>
          <w:rFonts w:ascii="Arial" w:hAnsi="Arial" w:cs="Arial"/>
          <w:sz w:val="24"/>
          <w:szCs w:val="24"/>
        </w:rPr>
        <w:t>Showkoth</w:t>
      </w:r>
      <w:proofErr w:type="spellEnd"/>
      <w:r w:rsidRPr="008F0A0E">
        <w:rPr>
          <w:rFonts w:ascii="Arial" w:hAnsi="Arial" w:cs="Arial"/>
          <w:sz w:val="24"/>
          <w:szCs w:val="24"/>
        </w:rPr>
        <w:t xml:space="preserve"> Choudhoury</w:t>
      </w:r>
    </w:p>
    <w:p w14:paraId="644A259D" w14:textId="77777777" w:rsidR="008F0A0E" w:rsidRPr="008F0A0E" w:rsidRDefault="008F0A0E" w:rsidP="008F0A0E">
      <w:pPr>
        <w:jc w:val="center"/>
        <w:rPr>
          <w:rFonts w:ascii="Arial" w:hAnsi="Arial" w:cs="Arial"/>
          <w:sz w:val="24"/>
          <w:szCs w:val="24"/>
          <w:lang w:val="en-GB"/>
        </w:rPr>
      </w:pPr>
      <w:r w:rsidRPr="008F0A0E">
        <w:rPr>
          <w:rFonts w:ascii="Arial" w:hAnsi="Arial" w:cs="Arial"/>
          <w:sz w:val="24"/>
          <w:szCs w:val="24"/>
          <w:lang w:val="en-GB"/>
        </w:rPr>
        <w:t>Student ID: 2208181</w:t>
      </w:r>
    </w:p>
    <w:p w14:paraId="0B91E1FD" w14:textId="77777777" w:rsidR="008F0A0E" w:rsidRPr="008F0A0E" w:rsidRDefault="008F0A0E" w:rsidP="008F0A0E">
      <w:pPr>
        <w:jc w:val="center"/>
        <w:rPr>
          <w:rFonts w:ascii="Arial" w:hAnsi="Arial" w:cs="Arial"/>
          <w:sz w:val="24"/>
          <w:szCs w:val="24"/>
          <w:lang w:val="en-GB"/>
        </w:rPr>
      </w:pPr>
      <w:r w:rsidRPr="008F0A0E">
        <w:rPr>
          <w:rFonts w:ascii="Arial" w:hAnsi="Arial" w:cs="Arial"/>
          <w:sz w:val="24"/>
          <w:szCs w:val="24"/>
          <w:lang w:val="en-GB"/>
        </w:rPr>
        <w:t>Lecturer Name: Helen Lee</w:t>
      </w:r>
    </w:p>
    <w:p w14:paraId="7697543D" w14:textId="77777777" w:rsidR="008F0A0E" w:rsidRPr="008F0A0E" w:rsidRDefault="008F0A0E" w:rsidP="008F0A0E">
      <w:pPr>
        <w:spacing w:line="360" w:lineRule="auto"/>
        <w:jc w:val="both"/>
        <w:rPr>
          <w:rFonts w:ascii="Arial" w:hAnsi="Arial" w:cs="Arial"/>
          <w:sz w:val="24"/>
          <w:szCs w:val="24"/>
        </w:rPr>
      </w:pPr>
    </w:p>
    <w:p w14:paraId="2687A43E" w14:textId="77777777" w:rsidR="008F0A0E" w:rsidRPr="008F0A0E" w:rsidRDefault="008F0A0E" w:rsidP="008F0A0E">
      <w:pPr>
        <w:spacing w:line="360" w:lineRule="auto"/>
        <w:jc w:val="both"/>
        <w:rPr>
          <w:rFonts w:ascii="Arial" w:hAnsi="Arial" w:cs="Arial"/>
          <w:sz w:val="24"/>
          <w:szCs w:val="24"/>
        </w:rPr>
      </w:pPr>
    </w:p>
    <w:p w14:paraId="3CB4B092" w14:textId="77777777" w:rsidR="008F0A0E" w:rsidRPr="008F0A0E" w:rsidRDefault="008F0A0E" w:rsidP="008F0A0E">
      <w:pPr>
        <w:spacing w:line="360" w:lineRule="auto"/>
        <w:jc w:val="both"/>
        <w:rPr>
          <w:rFonts w:ascii="Arial" w:hAnsi="Arial" w:cs="Arial"/>
          <w:sz w:val="24"/>
          <w:szCs w:val="24"/>
        </w:rPr>
      </w:pPr>
    </w:p>
    <w:p w14:paraId="7AE6A6E7" w14:textId="77777777" w:rsidR="008F0A0E" w:rsidRPr="008F0A0E" w:rsidRDefault="008F0A0E" w:rsidP="008F0A0E">
      <w:pPr>
        <w:spacing w:line="360" w:lineRule="auto"/>
        <w:jc w:val="both"/>
        <w:rPr>
          <w:rFonts w:ascii="Arial" w:hAnsi="Arial" w:cs="Arial"/>
          <w:sz w:val="24"/>
          <w:szCs w:val="24"/>
        </w:rPr>
      </w:pPr>
    </w:p>
    <w:p w14:paraId="7D9DF243" w14:textId="77777777" w:rsidR="008F0A0E" w:rsidRPr="008F0A0E" w:rsidRDefault="008F0A0E" w:rsidP="008F0A0E">
      <w:pPr>
        <w:spacing w:line="360" w:lineRule="auto"/>
        <w:jc w:val="both"/>
        <w:rPr>
          <w:rFonts w:ascii="Arial" w:hAnsi="Arial" w:cs="Arial"/>
          <w:sz w:val="24"/>
          <w:szCs w:val="24"/>
        </w:rPr>
      </w:pPr>
    </w:p>
    <w:p w14:paraId="2F63E868" w14:textId="77777777" w:rsidR="008F0A0E" w:rsidRPr="008F0A0E" w:rsidRDefault="008F0A0E" w:rsidP="008F0A0E">
      <w:pPr>
        <w:spacing w:line="360" w:lineRule="auto"/>
        <w:jc w:val="both"/>
        <w:rPr>
          <w:rFonts w:ascii="Arial" w:hAnsi="Arial" w:cs="Arial"/>
          <w:sz w:val="24"/>
          <w:szCs w:val="24"/>
        </w:rPr>
      </w:pPr>
    </w:p>
    <w:p w14:paraId="26D79F32" w14:textId="77777777" w:rsidR="008F0A0E" w:rsidRPr="008F0A0E" w:rsidRDefault="008F0A0E" w:rsidP="008F0A0E">
      <w:pPr>
        <w:spacing w:line="360" w:lineRule="auto"/>
        <w:jc w:val="both"/>
        <w:rPr>
          <w:rFonts w:ascii="Arial" w:hAnsi="Arial" w:cs="Arial"/>
          <w:sz w:val="24"/>
          <w:szCs w:val="24"/>
        </w:rPr>
      </w:pPr>
    </w:p>
    <w:p w14:paraId="39030A98" w14:textId="77777777" w:rsidR="008F0A0E" w:rsidRPr="008F0A0E" w:rsidRDefault="008F0A0E" w:rsidP="008F0A0E">
      <w:pPr>
        <w:spacing w:line="360" w:lineRule="auto"/>
        <w:rPr>
          <w:rFonts w:ascii="Arial" w:hAnsi="Arial" w:cs="Arial"/>
          <w:sz w:val="24"/>
          <w:szCs w:val="24"/>
        </w:rPr>
      </w:pPr>
      <w:r w:rsidRPr="008F0A0E">
        <w:rPr>
          <w:rFonts w:ascii="Arial" w:hAnsi="Arial" w:cs="Arial"/>
          <w:sz w:val="24"/>
          <w:szCs w:val="24"/>
        </w:rPr>
        <w:br w:type="page"/>
      </w:r>
    </w:p>
    <w:p w14:paraId="44BA435C" w14:textId="77777777" w:rsidR="008F0A0E" w:rsidRPr="008F0A0E" w:rsidRDefault="008F0A0E" w:rsidP="008F0A0E">
      <w:pPr>
        <w:spacing w:line="360" w:lineRule="auto"/>
        <w:jc w:val="center"/>
        <w:rPr>
          <w:rFonts w:ascii="Arial" w:hAnsi="Arial" w:cs="Arial"/>
          <w:b/>
          <w:bCs/>
          <w:sz w:val="24"/>
          <w:szCs w:val="24"/>
        </w:rPr>
      </w:pPr>
      <w:r w:rsidRPr="008F0A0E">
        <w:rPr>
          <w:rFonts w:ascii="Arial" w:hAnsi="Arial" w:cs="Arial"/>
          <w:b/>
          <w:bCs/>
          <w:sz w:val="24"/>
          <w:szCs w:val="24"/>
        </w:rPr>
        <w:lastRenderedPageBreak/>
        <w:t xml:space="preserve">“How to engage employees (Generation </w:t>
      </w:r>
      <w:proofErr w:type="spellStart"/>
      <w:r w:rsidRPr="008F0A0E">
        <w:rPr>
          <w:rFonts w:ascii="Arial" w:hAnsi="Arial" w:cs="Arial"/>
          <w:b/>
          <w:bCs/>
          <w:sz w:val="24"/>
          <w:szCs w:val="24"/>
        </w:rPr>
        <w:t>Ys</w:t>
      </w:r>
      <w:proofErr w:type="spellEnd"/>
      <w:r w:rsidRPr="008F0A0E">
        <w:rPr>
          <w:rFonts w:ascii="Arial" w:hAnsi="Arial" w:cs="Arial"/>
          <w:b/>
          <w:bCs/>
          <w:sz w:val="24"/>
          <w:szCs w:val="24"/>
        </w:rPr>
        <w:t xml:space="preserve">) throughout the employee </w:t>
      </w:r>
      <w:proofErr w:type="gramStart"/>
      <w:r w:rsidRPr="008F0A0E">
        <w:rPr>
          <w:rFonts w:ascii="Arial" w:hAnsi="Arial" w:cs="Arial"/>
          <w:b/>
          <w:bCs/>
          <w:sz w:val="24"/>
          <w:szCs w:val="24"/>
        </w:rPr>
        <w:t>lifecycle</w:t>
      </w:r>
      <w:proofErr w:type="gramEnd"/>
      <w:r w:rsidRPr="008F0A0E">
        <w:rPr>
          <w:rFonts w:ascii="Arial" w:hAnsi="Arial" w:cs="Arial"/>
          <w:b/>
          <w:bCs/>
          <w:sz w:val="24"/>
          <w:szCs w:val="24"/>
        </w:rPr>
        <w:t>”</w:t>
      </w:r>
    </w:p>
    <w:p w14:paraId="38B6E79B"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In the ever-evolving competitive landscape of the hospitality industry, the human resource department faces a compelling challenge in effectively engaging Generation Y employees throughout their entire employee lifecycle. Generation Y, often referred to as Millennials, has different values and priorities regarding their careers as they seek not just a job but a meaningful and fulfilling career that aligns with their personal aspirations. Their focus is not limited to the workplace, as they prioritize work-life balance, personal growth, and a supportive work environment. In a large hotel chain like the DoubleTree Hotel, where guest satisfaction stands as the primary goal, the engagement of employees, particularly those from Generation </w:t>
      </w:r>
      <w:proofErr w:type="gramStart"/>
      <w:r w:rsidRPr="008F0A0E">
        <w:rPr>
          <w:rFonts w:ascii="Arial" w:hAnsi="Arial" w:cs="Arial"/>
          <w:sz w:val="24"/>
          <w:szCs w:val="24"/>
        </w:rPr>
        <w:t>Y has</w:t>
      </w:r>
      <w:proofErr w:type="gramEnd"/>
      <w:r w:rsidRPr="008F0A0E">
        <w:rPr>
          <w:rFonts w:ascii="Arial" w:hAnsi="Arial" w:cs="Arial"/>
          <w:sz w:val="24"/>
          <w:szCs w:val="24"/>
        </w:rPr>
        <w:t xml:space="preserve"> great importance for gaining competitive advantage. Engaged employees greatly contribute to the overall guest experience, underscoring the critical role of the human resource department. This essay will </w:t>
      </w:r>
      <w:proofErr w:type="gramStart"/>
      <w:r w:rsidRPr="008F0A0E">
        <w:rPr>
          <w:rFonts w:ascii="Arial" w:hAnsi="Arial" w:cs="Arial"/>
          <w:sz w:val="24"/>
          <w:szCs w:val="24"/>
        </w:rPr>
        <w:t>look into</w:t>
      </w:r>
      <w:proofErr w:type="gramEnd"/>
      <w:r w:rsidRPr="008F0A0E">
        <w:rPr>
          <w:rFonts w:ascii="Arial" w:hAnsi="Arial" w:cs="Arial"/>
          <w:sz w:val="24"/>
          <w:szCs w:val="24"/>
        </w:rPr>
        <w:t xml:space="preserve"> the multifaceted challenge of engaging Generation Y employees in the workplace, within the specific context of a large DoubleTree Hotel. The objective is to explore various stages of the employee lifecycle, and introducing unique model and strategies required to create an engaging experience tailored to the needs and preferences of this generation in the hospitality sector (Gallagher, 2016).</w:t>
      </w:r>
    </w:p>
    <w:p w14:paraId="5BDFEE36"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The significance of the Human Resources department in fostering employee engagement within DoubleTree Hotel plays a pivotal role in establishing a constructive and efficient workplace atmosphere (Al-</w:t>
      </w:r>
      <w:proofErr w:type="spellStart"/>
      <w:r w:rsidRPr="008F0A0E">
        <w:rPr>
          <w:rFonts w:ascii="Arial" w:hAnsi="Arial" w:cs="Arial"/>
          <w:sz w:val="24"/>
          <w:szCs w:val="24"/>
        </w:rPr>
        <w:t>Darmaky</w:t>
      </w:r>
      <w:proofErr w:type="spellEnd"/>
      <w:r w:rsidRPr="008F0A0E">
        <w:rPr>
          <w:rFonts w:ascii="Arial" w:hAnsi="Arial" w:cs="Arial"/>
          <w:sz w:val="24"/>
          <w:szCs w:val="24"/>
        </w:rPr>
        <w:t xml:space="preserve">, 2021). Double Tree Hotel, like any other successful hospitality business, understands the importance of its workforce in delivering exceptional guest experiences. The human resource department of Double Tree Hotel performs several tasks to engage employees from recruiting employees </w:t>
      </w:r>
      <w:proofErr w:type="gramStart"/>
      <w:r w:rsidRPr="008F0A0E">
        <w:rPr>
          <w:rFonts w:ascii="Arial" w:hAnsi="Arial" w:cs="Arial"/>
          <w:sz w:val="24"/>
          <w:szCs w:val="24"/>
        </w:rPr>
        <w:t>to</w:t>
      </w:r>
      <w:proofErr w:type="gramEnd"/>
      <w:r w:rsidRPr="008F0A0E">
        <w:rPr>
          <w:rFonts w:ascii="Arial" w:hAnsi="Arial" w:cs="Arial"/>
          <w:sz w:val="24"/>
          <w:szCs w:val="24"/>
        </w:rPr>
        <w:t xml:space="preserve">, giving them training, motivation, and compensation, evaluating their performance, and maintaining relationships with them. They play a vital role in attracting talented individuals who align with the hotel's values and culture and always ensure a smooth onboarding process to give employees the feeling </w:t>
      </w:r>
      <w:proofErr w:type="gramStart"/>
      <w:r w:rsidRPr="008F0A0E">
        <w:rPr>
          <w:rFonts w:ascii="Arial" w:hAnsi="Arial" w:cs="Arial"/>
          <w:sz w:val="24"/>
          <w:szCs w:val="24"/>
        </w:rPr>
        <w:t>as</w:t>
      </w:r>
      <w:proofErr w:type="gramEnd"/>
      <w:r w:rsidRPr="008F0A0E">
        <w:rPr>
          <w:rFonts w:ascii="Arial" w:hAnsi="Arial" w:cs="Arial"/>
          <w:sz w:val="24"/>
          <w:szCs w:val="24"/>
        </w:rPr>
        <w:t xml:space="preserve"> welcomed and a member of the hotel from the very beginning. Double Tree Hotel </w:t>
      </w:r>
      <w:proofErr w:type="gramStart"/>
      <w:r w:rsidRPr="008F0A0E">
        <w:rPr>
          <w:rFonts w:ascii="Arial" w:hAnsi="Arial" w:cs="Arial"/>
          <w:sz w:val="24"/>
          <w:szCs w:val="24"/>
        </w:rPr>
        <w:t>arrange</w:t>
      </w:r>
      <w:proofErr w:type="gramEnd"/>
      <w:r w:rsidRPr="008F0A0E">
        <w:rPr>
          <w:rFonts w:ascii="Arial" w:hAnsi="Arial" w:cs="Arial"/>
          <w:sz w:val="24"/>
          <w:szCs w:val="24"/>
        </w:rPr>
        <w:t xml:space="preserve"> different training program continuously for their employees, which ensures that they are well-prepared to meet the high standards of service that Double Tree Hotel is known for (Bailey </w:t>
      </w:r>
      <w:r w:rsidRPr="008F0A0E">
        <w:rPr>
          <w:rFonts w:ascii="Arial" w:hAnsi="Arial" w:cs="Arial"/>
          <w:i/>
          <w:iCs/>
          <w:sz w:val="24"/>
          <w:szCs w:val="24"/>
        </w:rPr>
        <w:t>et al</w:t>
      </w:r>
      <w:r w:rsidRPr="008F0A0E">
        <w:rPr>
          <w:rFonts w:ascii="Arial" w:hAnsi="Arial" w:cs="Arial"/>
          <w:sz w:val="24"/>
          <w:szCs w:val="24"/>
        </w:rPr>
        <w:t xml:space="preserve">., 2018). Especially in the post-pandemic era, HR may focus on health and wellbeing initiatives </w:t>
      </w:r>
      <w:r w:rsidRPr="008F0A0E">
        <w:rPr>
          <w:rFonts w:ascii="Arial" w:hAnsi="Arial" w:cs="Arial"/>
          <w:sz w:val="24"/>
          <w:szCs w:val="24"/>
        </w:rPr>
        <w:lastRenderedPageBreak/>
        <w:t xml:space="preserve">to ensure the physical and mental health of employees. These programs can include stress management, wellness programs, and access to mental health resources. Effective communication is a cornerstone of HR's role in employee engagement. HR professionals are responsible for facilitating clear and transparent communication between management and employees. They also gather feedback from employees to understand their concerns, needs, and suggestions. Besides </w:t>
      </w:r>
      <w:proofErr w:type="gramStart"/>
      <w:r w:rsidRPr="008F0A0E">
        <w:rPr>
          <w:rFonts w:ascii="Arial" w:hAnsi="Arial" w:cs="Arial"/>
          <w:sz w:val="24"/>
          <w:szCs w:val="24"/>
        </w:rPr>
        <w:t>all of</w:t>
      </w:r>
      <w:proofErr w:type="gramEnd"/>
      <w:r w:rsidRPr="008F0A0E">
        <w:rPr>
          <w:rFonts w:ascii="Arial" w:hAnsi="Arial" w:cs="Arial"/>
          <w:sz w:val="24"/>
          <w:szCs w:val="24"/>
        </w:rPr>
        <w:t xml:space="preserve"> these works, human resources also evaluate every employee's performance and provide compensation accordingly. Generally, people who were born between 1981 and 1994 are considered Generation Y or Millennials who bring a distinct set of values, preferences, and expectations to the workplace (Cohen, 2017). They are well educated about the widespread access to </w:t>
      </w:r>
      <w:proofErr w:type="gramStart"/>
      <w:r w:rsidRPr="008F0A0E">
        <w:rPr>
          <w:rFonts w:ascii="Arial" w:hAnsi="Arial" w:cs="Arial"/>
          <w:sz w:val="24"/>
          <w:szCs w:val="24"/>
        </w:rPr>
        <w:t>internet</w:t>
      </w:r>
      <w:proofErr w:type="gramEnd"/>
      <w:r w:rsidRPr="008F0A0E">
        <w:rPr>
          <w:rFonts w:ascii="Arial" w:hAnsi="Arial" w:cs="Arial"/>
          <w:sz w:val="24"/>
          <w:szCs w:val="24"/>
        </w:rPr>
        <w:t xml:space="preserve"> and smartphones. They rely heavily on digital devices for communication, entertainment, and work. Social media platforms like Facebook, Instagram, and later, Snapchat and TikTok, have played a significant role in shaping their social interactions and self-expression. People of “Generation Y” prefer spending on experiences rather than material possessions which is why they spend more on travel, concerts, dining experiences, and other activities that create lasting memories. This shift in consumer behavior has influenced industries like travel and hospitality. Generation Y has distinct employment needs and preferences that have evolved in response to the changing economic and social landscape (Georgiades, 2015). They value open and transparent communication which provides platforms for team members to share ideas, feedback, and concerns. This fosters a sense of inclusion, encourages collaboration, and makes employees feel heard, which leads to improved team engagement. Flexibility is the most attractive thing to millennials because this accommodates the work-life balance that Generation Y values, making employees feel trusted and empowered, resulting in increased engagement. Millennials often seek opportunities to be part of innovative solutions and creative problem-solving. The reason </w:t>
      </w:r>
      <w:proofErr w:type="gramStart"/>
      <w:r w:rsidRPr="008F0A0E">
        <w:rPr>
          <w:rFonts w:ascii="Arial" w:hAnsi="Arial" w:cs="Arial"/>
          <w:sz w:val="24"/>
          <w:szCs w:val="24"/>
        </w:rPr>
        <w:t>is,</w:t>
      </w:r>
      <w:proofErr w:type="gramEnd"/>
      <w:r w:rsidRPr="008F0A0E">
        <w:rPr>
          <w:rFonts w:ascii="Arial" w:hAnsi="Arial" w:cs="Arial"/>
          <w:sz w:val="24"/>
          <w:szCs w:val="24"/>
        </w:rPr>
        <w:t xml:space="preserve"> that it encourages team members to contribute ideas and solutions to hotel operations. This empowers them and leads to a sense of ownership and engagement. Millennials appreciate diverse and inclusive leadership. The ultimate result of these activities is improved guest experiences and guest loyalty. The employee lifecycle at DoubleTree Hotel, like any other </w:t>
      </w:r>
      <w:proofErr w:type="spellStart"/>
      <w:r w:rsidRPr="008F0A0E">
        <w:rPr>
          <w:rFonts w:ascii="Arial" w:hAnsi="Arial" w:cs="Arial"/>
          <w:sz w:val="24"/>
          <w:szCs w:val="24"/>
        </w:rPr>
        <w:t>organisation</w:t>
      </w:r>
      <w:proofErr w:type="spellEnd"/>
      <w:r w:rsidRPr="008F0A0E">
        <w:rPr>
          <w:rFonts w:ascii="Arial" w:hAnsi="Arial" w:cs="Arial"/>
          <w:sz w:val="24"/>
          <w:szCs w:val="24"/>
        </w:rPr>
        <w:t xml:space="preserve">, can be divided into several stages: attraction, recruitment, onboarding, development, retention, and separation (Heizer &amp; Render, 2020). In the first stage, in the attraction stage, DoubleTree Hotel works on building a strong employer brand that showcases </w:t>
      </w:r>
      <w:r w:rsidRPr="008F0A0E">
        <w:rPr>
          <w:rFonts w:ascii="Arial" w:hAnsi="Arial" w:cs="Arial"/>
          <w:sz w:val="24"/>
          <w:szCs w:val="24"/>
        </w:rPr>
        <w:lastRenderedPageBreak/>
        <w:t xml:space="preserve">its commitment to excellent guest service, employee well-being, and career growth opportunities. This is particularly appealing to Generation Y, who value meaning in their work and a positive company reputation. The hotel needs to use its website and social media platforms to attract potential talent with engaging posts, employee testimonials, and information about the hotel's culture and values that resonate with job </w:t>
      </w:r>
      <w:proofErr w:type="gramStart"/>
      <w:r w:rsidRPr="008F0A0E">
        <w:rPr>
          <w:rFonts w:ascii="Arial" w:hAnsi="Arial" w:cs="Arial"/>
          <w:sz w:val="24"/>
          <w:szCs w:val="24"/>
        </w:rPr>
        <w:t>seekers</w:t>
      </w:r>
      <w:proofErr w:type="gramEnd"/>
      <w:r w:rsidRPr="008F0A0E">
        <w:rPr>
          <w:rFonts w:ascii="Arial" w:hAnsi="Arial" w:cs="Arial"/>
          <w:sz w:val="24"/>
          <w:szCs w:val="24"/>
        </w:rPr>
        <w:t xml:space="preserve"> expectations, including millennials. DoubleTree Hotel should actively seek a diverse talent pool, aligning with the values of Generation Y, who appreciate inclusive workplaces with focus on equal opportunity, non-discrimination, and diversity. The interview process must include behavioral and situational questions to assess a candidate's alignment with the hotel's values, to gain insight about dedication to work, customer service orientation, and adaptability. The hotel can employ modern recruitment methods, such as video interviews, online assessments, and AI-driven screening tools. HR of the DoubleTree Hotel can provide warm welcome using a smooth onboarding experience to new hires, for instances, a structured orientation program, a tour of the hotel, and introductions to team members, enhancing the sense of belonging and social needs of Generation Y (Ivancevich &amp; Konopaske, 2015). The onboarding process can be followed by a predetermined training </w:t>
      </w:r>
      <w:proofErr w:type="gramStart"/>
      <w:r w:rsidRPr="008F0A0E">
        <w:rPr>
          <w:rFonts w:ascii="Arial" w:hAnsi="Arial" w:cs="Arial"/>
          <w:sz w:val="24"/>
          <w:szCs w:val="24"/>
        </w:rPr>
        <w:t>modules</w:t>
      </w:r>
      <w:proofErr w:type="gramEnd"/>
      <w:r w:rsidRPr="008F0A0E">
        <w:rPr>
          <w:rFonts w:ascii="Arial" w:hAnsi="Arial" w:cs="Arial"/>
          <w:sz w:val="24"/>
          <w:szCs w:val="24"/>
        </w:rPr>
        <w:t xml:space="preserve">, mentorship, and access to resources that align with the desire of Generation Y for professional development and continuous learning. HR can provide training opportunities to this newcomer using cross-training, on-the-job training, outdoor </w:t>
      </w:r>
      <w:proofErr w:type="gramStart"/>
      <w:r w:rsidRPr="008F0A0E">
        <w:rPr>
          <w:rFonts w:ascii="Arial" w:hAnsi="Arial" w:cs="Arial"/>
          <w:sz w:val="24"/>
          <w:szCs w:val="24"/>
        </w:rPr>
        <w:t>training</w:t>
      </w:r>
      <w:proofErr w:type="gramEnd"/>
      <w:r w:rsidRPr="008F0A0E">
        <w:rPr>
          <w:rFonts w:ascii="Arial" w:hAnsi="Arial" w:cs="Arial"/>
          <w:sz w:val="24"/>
          <w:szCs w:val="24"/>
        </w:rPr>
        <w:t xml:space="preserve"> or any other training method that best suits the job to ensure they know what to do and to make a clear path for career progression. Generation Y employees are encouraged to take on new challenges, learn, and advance within the </w:t>
      </w:r>
      <w:proofErr w:type="spellStart"/>
      <w:r w:rsidRPr="008F0A0E">
        <w:rPr>
          <w:rFonts w:ascii="Arial" w:hAnsi="Arial" w:cs="Arial"/>
          <w:sz w:val="24"/>
          <w:szCs w:val="24"/>
        </w:rPr>
        <w:t>organisation</w:t>
      </w:r>
      <w:proofErr w:type="spellEnd"/>
      <w:r w:rsidRPr="008F0A0E">
        <w:rPr>
          <w:rFonts w:ascii="Arial" w:hAnsi="Arial" w:cs="Arial"/>
          <w:sz w:val="24"/>
          <w:szCs w:val="24"/>
        </w:rPr>
        <w:t xml:space="preserve">. They provide regular feedback and mentorship programs, recognizing Generation Y's need for recognition and guidance in their career development. It must prioritize the well-being of its </w:t>
      </w:r>
      <w:proofErr w:type="gramStart"/>
      <w:r w:rsidRPr="008F0A0E">
        <w:rPr>
          <w:rFonts w:ascii="Arial" w:hAnsi="Arial" w:cs="Arial"/>
          <w:sz w:val="24"/>
          <w:szCs w:val="24"/>
        </w:rPr>
        <w:t>employees</w:t>
      </w:r>
      <w:proofErr w:type="gramEnd"/>
      <w:r w:rsidRPr="008F0A0E">
        <w:rPr>
          <w:rFonts w:ascii="Arial" w:hAnsi="Arial" w:cs="Arial"/>
          <w:sz w:val="24"/>
          <w:szCs w:val="24"/>
        </w:rPr>
        <w:t xml:space="preserve"> using health and wellness programs, flexible scheduling to support work-life balance and access to mental health resources. The hotel has a structured recognition program that celebrates employee achievements and contributions. Generation Y employees are more likely to stay engaged when their efforts are acknowledged and rewarded. When an employee leaves DoubleTree Hotel, exit interviews are conducted to understand the reasons behind their departure. This feedback can help the hotel make improvements in areas that might affect retention. The hotel maintains an alumni network to keep former employees engaged and possibly consider returning in the future (Torrington, D, Hall, L, Atkinson, C, &amp; Taylor, </w:t>
      </w:r>
      <w:r w:rsidRPr="008F0A0E">
        <w:rPr>
          <w:rFonts w:ascii="Arial" w:hAnsi="Arial" w:cs="Arial"/>
          <w:sz w:val="24"/>
          <w:szCs w:val="24"/>
        </w:rPr>
        <w:lastRenderedPageBreak/>
        <w:t xml:space="preserve">2020). The employee lifecycle at DoubleTree Hotel should be designed to create a positive and engaging experience for employees, with a focus on values such as excellent guest service, diversity and inclusion, professional development, and employee well-being. Aligning with the preferences and needs of Generation Y, including meaningful work, recognition, and growth opportunities, is crucial for attracting and retaining top talent in the competitive industry. Through service excellence training, mentorship and shadowing, guest interaction recognition, guest feedback sessions, cross training, cultural and diversity celebrations, health and wellness initiatives, community engagement, recognition through social media, and team-appreciation events HR can engage their team (Jeffrey, 2017). Employee engagement is a vital factor in the achievement of </w:t>
      </w:r>
      <w:proofErr w:type="spellStart"/>
      <w:r w:rsidRPr="008F0A0E">
        <w:rPr>
          <w:rFonts w:ascii="Arial" w:hAnsi="Arial" w:cs="Arial"/>
          <w:sz w:val="24"/>
          <w:szCs w:val="24"/>
        </w:rPr>
        <w:t>organisational</w:t>
      </w:r>
      <w:proofErr w:type="spellEnd"/>
      <w:r w:rsidRPr="008F0A0E">
        <w:rPr>
          <w:rFonts w:ascii="Arial" w:hAnsi="Arial" w:cs="Arial"/>
          <w:sz w:val="24"/>
          <w:szCs w:val="24"/>
        </w:rPr>
        <w:t xml:space="preserve"> success, and various models can be employed to comprehensively comprehend and effectively implement it. One prominent model for enhancing employee engagement is the IES (Institute for Employment Studies) Employee Engagement Model which emphasizes three fundamental elements that play a pivotal role in fostering engagement: opportunities, personal resources, and a fulfilling work experience. It also </w:t>
      </w:r>
      <w:proofErr w:type="gramStart"/>
      <w:r w:rsidRPr="008F0A0E">
        <w:rPr>
          <w:rFonts w:ascii="Arial" w:hAnsi="Arial" w:cs="Arial"/>
          <w:sz w:val="24"/>
          <w:szCs w:val="24"/>
        </w:rPr>
        <w:t>takes into account</w:t>
      </w:r>
      <w:proofErr w:type="gramEnd"/>
      <w:r w:rsidRPr="008F0A0E">
        <w:rPr>
          <w:rFonts w:ascii="Arial" w:hAnsi="Arial" w:cs="Arial"/>
          <w:sz w:val="24"/>
          <w:szCs w:val="24"/>
        </w:rPr>
        <w:t xml:space="preserve"> the significance of individual and </w:t>
      </w:r>
      <w:proofErr w:type="spellStart"/>
      <w:r w:rsidRPr="008F0A0E">
        <w:rPr>
          <w:rFonts w:ascii="Arial" w:hAnsi="Arial" w:cs="Arial"/>
          <w:sz w:val="24"/>
          <w:szCs w:val="24"/>
        </w:rPr>
        <w:t>organisational</w:t>
      </w:r>
      <w:proofErr w:type="spellEnd"/>
      <w:r w:rsidRPr="008F0A0E">
        <w:rPr>
          <w:rFonts w:ascii="Arial" w:hAnsi="Arial" w:cs="Arial"/>
          <w:sz w:val="24"/>
          <w:szCs w:val="24"/>
        </w:rPr>
        <w:t xml:space="preserve"> factors in bolstering employee engagement. DoubleTree Hotel can provide opportunities for its employees to grow and advance in their careers within the </w:t>
      </w:r>
      <w:proofErr w:type="spellStart"/>
      <w:r w:rsidRPr="008F0A0E">
        <w:rPr>
          <w:rFonts w:ascii="Arial" w:hAnsi="Arial" w:cs="Arial"/>
          <w:sz w:val="24"/>
          <w:szCs w:val="24"/>
        </w:rPr>
        <w:t>organisation</w:t>
      </w:r>
      <w:proofErr w:type="spellEnd"/>
      <w:r w:rsidRPr="008F0A0E">
        <w:rPr>
          <w:rFonts w:ascii="Arial" w:hAnsi="Arial" w:cs="Arial"/>
          <w:sz w:val="24"/>
          <w:szCs w:val="24"/>
        </w:rPr>
        <w:t xml:space="preserve">. This includes roles in various hotel departments, from front desk to management positions (Whittington </w:t>
      </w:r>
      <w:r w:rsidRPr="008F0A0E">
        <w:rPr>
          <w:rFonts w:ascii="Arial" w:hAnsi="Arial" w:cs="Arial"/>
          <w:i/>
          <w:iCs/>
          <w:sz w:val="24"/>
          <w:szCs w:val="24"/>
        </w:rPr>
        <w:t>et al</w:t>
      </w:r>
      <w:r w:rsidRPr="008F0A0E">
        <w:rPr>
          <w:rFonts w:ascii="Arial" w:hAnsi="Arial" w:cs="Arial"/>
          <w:sz w:val="24"/>
          <w:szCs w:val="24"/>
        </w:rPr>
        <w:t xml:space="preserve">., 2017). Development of clear career paths for employees, offering training and development programs specific to the hospitality industry, encouraging employees to take on challenging tasks and projects, and regular communication about these growth opportunities through internal channels like the employee newsletter will help the employees grab these opportunities (Turner, 2019). By recognizing that employees bring unique skills, such as customer service, communication, and attention to detail, to the hotel as personal resources they can conduct assessments to identify individual employee strengths and preferences and provide the necessary resources and support to help employees leverage their skills in their roles, such as ongoing training in customer service excellence and interpersonal skills. Ensure that employees have </w:t>
      </w:r>
      <w:proofErr w:type="gramStart"/>
      <w:r w:rsidRPr="008F0A0E">
        <w:rPr>
          <w:rFonts w:ascii="Arial" w:hAnsi="Arial" w:cs="Arial"/>
          <w:sz w:val="24"/>
          <w:szCs w:val="24"/>
        </w:rPr>
        <w:t>a meaningful</w:t>
      </w:r>
      <w:proofErr w:type="gramEnd"/>
      <w:r w:rsidRPr="008F0A0E">
        <w:rPr>
          <w:rFonts w:ascii="Arial" w:hAnsi="Arial" w:cs="Arial"/>
          <w:sz w:val="24"/>
          <w:szCs w:val="24"/>
        </w:rPr>
        <w:t xml:space="preserve"> and satisfying work experience, given the nature of the hospitality industry. Design jobs that are engaging and align with the employees' skills and passions. This could include cross-training in various hotel functions and fostering a work culture that values excellent customer service and guest satisfaction (Ting, </w:t>
      </w:r>
      <w:r w:rsidRPr="008F0A0E">
        <w:rPr>
          <w:rFonts w:ascii="Arial" w:hAnsi="Arial" w:cs="Arial"/>
          <w:sz w:val="24"/>
          <w:szCs w:val="24"/>
        </w:rPr>
        <w:lastRenderedPageBreak/>
        <w:t xml:space="preserve">2019). Double Tree Hotel must understand that leadership, communication, and trust are vital for employee engagement in a hotel setting and must train managers and leaders in effective communication and leadership techniques. Promoting a culture of trust and open communication is crucial because only then do employees feel comfortable bringing up concerns or suggesting improvements (Lancaster &amp; Stillman, 2016). Continuous feedback and evaluation are crucial for maintaining and improving engagement in the hotel </w:t>
      </w:r>
      <w:proofErr w:type="gramStart"/>
      <w:r w:rsidRPr="008F0A0E">
        <w:rPr>
          <w:rFonts w:ascii="Arial" w:hAnsi="Arial" w:cs="Arial"/>
          <w:sz w:val="24"/>
          <w:szCs w:val="24"/>
        </w:rPr>
        <w:t>industry</w:t>
      </w:r>
      <w:proofErr w:type="gramEnd"/>
      <w:r w:rsidRPr="008F0A0E">
        <w:rPr>
          <w:rFonts w:ascii="Arial" w:hAnsi="Arial" w:cs="Arial"/>
          <w:sz w:val="24"/>
          <w:szCs w:val="24"/>
        </w:rPr>
        <w:t xml:space="preserve"> which can be accomplished by conducting regular employee satisfaction surveys and guest feedback reviews. Necessary activities must be taken upon the feedback to make necessary adjustments and improvements, whether it's improving the guest experience or enhancing employee working conditions. Employee engagement may vary among different roles within the Hotel, so, customization is needed in the engagement strategies based on the specific roles and teams within the hotel (Sheahan, 2019). Front-line staff may need different types of recognition and support compared to management or housekeeping staff. Incorporating the IES Employee Engagement Model into the DoubleTree Hotel's operations can lead to a more engaged and motivated workforce, which, in turn, can enhance the guest experience and the overall success of the hotel. By implementing these strategies of the IES model, DoubleTree Hotel can create an environment where employees feel valued, empowered, and motivated to provide exceptional hospitality services (Mangelsdorf, 2020).</w:t>
      </w:r>
    </w:p>
    <w:p w14:paraId="38C283B4"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In conclusion, the role of the human resource department in engaging Generation Y employees throughout the employee lifecycle within a large DoubleTree Hotel is undeniably vital in the pursuit of both </w:t>
      </w:r>
      <w:proofErr w:type="spellStart"/>
      <w:r w:rsidRPr="008F0A0E">
        <w:rPr>
          <w:rFonts w:ascii="Arial" w:hAnsi="Arial" w:cs="Arial"/>
          <w:sz w:val="24"/>
          <w:szCs w:val="24"/>
        </w:rPr>
        <w:t>organisational</w:t>
      </w:r>
      <w:proofErr w:type="spellEnd"/>
      <w:r w:rsidRPr="008F0A0E">
        <w:rPr>
          <w:rFonts w:ascii="Arial" w:hAnsi="Arial" w:cs="Arial"/>
          <w:sz w:val="24"/>
          <w:szCs w:val="24"/>
        </w:rPr>
        <w:t xml:space="preserve"> success and the enhancement of guest experiences. As we've explored in this essay, Generation Y brings with them a unique set of expectations, driven by a desire for meaningful careers, work-life balance, and a supportive work environment. Addressing these preferences and effectively engaging this generation is not just a matter of choice but a necessity for the modern hospitality industry. To achieve this goal, HR departments within DoubleTree Hotels must embrace tailored approaches at every stage of the employee lifecycle. From the initial recruitment, where they highlight career prospects and supportive work culture, to the onboarding phase, which emphasizes technology-driven learning and integration, these strategies set the tone for engagement. Throughout an employee's tenure, training programs, feedback mechanisms, and </w:t>
      </w:r>
      <w:r w:rsidRPr="008F0A0E">
        <w:rPr>
          <w:rFonts w:ascii="Arial" w:hAnsi="Arial" w:cs="Arial"/>
          <w:sz w:val="24"/>
          <w:szCs w:val="24"/>
        </w:rPr>
        <w:lastRenderedPageBreak/>
        <w:t>career development opportunities are crucial in sustaining that engagement. Recognizing the significance of personal growth and work-life balance, along with creating a sense of belonging and purpose, will keep employees motivated, committed, and enthusiastic about their roles. Ultimately, the efforts invested in engaging Generation Y employees yield substantial returns. A satisfied and engaged workforce contributes to enhanced guest experiences, thus bolstering the reputation and success of the DoubleTree Hotel, even in the face of a competitive and ever-evolving hospitality landscape. In this symbiotic relationship between employee engagement and guest satisfaction, the human resource department holds the key to achieving sustainable success in the industry (</w:t>
      </w:r>
      <w:hyperlink r:id="rId7" w:history="1">
        <w:r w:rsidRPr="008F0A0E">
          <w:rPr>
            <w:rStyle w:val="Hyperlink"/>
            <w:rFonts w:ascii="Arial" w:hAnsi="Arial" w:cs="Arial"/>
            <w:color w:val="000000" w:themeColor="text1"/>
            <w:sz w:val="24"/>
            <w:szCs w:val="24"/>
            <w:shd w:val="clear" w:color="auto" w:fill="FFFFFF"/>
          </w:rPr>
          <w:t>Nel</w:t>
        </w:r>
      </w:hyperlink>
      <w:hyperlink r:id="rId8" w:history="1">
        <w:r w:rsidRPr="008F0A0E">
          <w:rPr>
            <w:rStyle w:val="Hyperlink"/>
            <w:rFonts w:ascii="Arial" w:hAnsi="Arial" w:cs="Arial"/>
            <w:color w:val="000000" w:themeColor="text1"/>
            <w:sz w:val="24"/>
            <w:szCs w:val="24"/>
            <w:shd w:val="clear" w:color="auto" w:fill="FFFFFF"/>
          </w:rPr>
          <w:t>, Piet and  Van</w:t>
        </w:r>
      </w:hyperlink>
      <w:r w:rsidRPr="008F0A0E">
        <w:rPr>
          <w:rFonts w:ascii="Arial" w:hAnsi="Arial" w:cs="Arial"/>
          <w:sz w:val="24"/>
          <w:szCs w:val="24"/>
        </w:rPr>
        <w:t>., 2021).</w:t>
      </w:r>
    </w:p>
    <w:p w14:paraId="1943746C" w14:textId="77777777" w:rsidR="008F0A0E" w:rsidRPr="008F0A0E" w:rsidRDefault="008F0A0E" w:rsidP="008F0A0E">
      <w:pPr>
        <w:spacing w:line="360" w:lineRule="auto"/>
        <w:rPr>
          <w:rFonts w:ascii="Arial" w:hAnsi="Arial" w:cs="Arial"/>
          <w:sz w:val="24"/>
          <w:szCs w:val="24"/>
        </w:rPr>
      </w:pPr>
      <w:r w:rsidRPr="008F0A0E">
        <w:rPr>
          <w:rFonts w:ascii="Arial" w:hAnsi="Arial" w:cs="Arial"/>
          <w:sz w:val="24"/>
          <w:szCs w:val="24"/>
        </w:rPr>
        <w:br w:type="page"/>
      </w:r>
    </w:p>
    <w:p w14:paraId="4BD61984" w14:textId="77777777" w:rsidR="008F0A0E" w:rsidRPr="008F0A0E" w:rsidRDefault="008F0A0E" w:rsidP="008F0A0E">
      <w:pPr>
        <w:spacing w:line="360" w:lineRule="auto"/>
        <w:rPr>
          <w:rFonts w:ascii="Arial" w:hAnsi="Arial" w:cs="Arial"/>
          <w:sz w:val="24"/>
          <w:szCs w:val="24"/>
        </w:rPr>
      </w:pPr>
      <w:r w:rsidRPr="008F0A0E">
        <w:rPr>
          <w:rFonts w:ascii="Arial" w:hAnsi="Arial" w:cs="Arial"/>
          <w:sz w:val="24"/>
          <w:szCs w:val="24"/>
        </w:rPr>
        <w:lastRenderedPageBreak/>
        <w:t>Reference</w:t>
      </w:r>
    </w:p>
    <w:p w14:paraId="6F9DC553" w14:textId="77777777" w:rsidR="008F0A0E" w:rsidRPr="008F0A0E" w:rsidRDefault="008F0A0E" w:rsidP="008F0A0E">
      <w:pPr>
        <w:spacing w:line="360" w:lineRule="auto"/>
        <w:jc w:val="both"/>
        <w:rPr>
          <w:rFonts w:ascii="Arial" w:hAnsi="Arial" w:cs="Arial"/>
          <w:sz w:val="24"/>
          <w:szCs w:val="24"/>
        </w:rPr>
      </w:pPr>
      <w:proofErr w:type="spellStart"/>
      <w:r w:rsidRPr="008F0A0E">
        <w:rPr>
          <w:rFonts w:ascii="Arial" w:hAnsi="Arial" w:cs="Arial"/>
          <w:sz w:val="24"/>
          <w:szCs w:val="24"/>
        </w:rPr>
        <w:t>Abdusaitovich</w:t>
      </w:r>
      <w:proofErr w:type="spellEnd"/>
      <w:r w:rsidRPr="008F0A0E">
        <w:rPr>
          <w:rFonts w:ascii="Arial" w:hAnsi="Arial" w:cs="Arial"/>
          <w:sz w:val="24"/>
          <w:szCs w:val="24"/>
        </w:rPr>
        <w:t xml:space="preserve">, R.H. (2022) ‘Ways to improve the efficiency of the hotel industry’, </w:t>
      </w:r>
      <w:r w:rsidRPr="008F0A0E">
        <w:rPr>
          <w:rFonts w:ascii="Arial" w:hAnsi="Arial" w:cs="Arial"/>
          <w:i/>
          <w:iCs/>
          <w:sz w:val="24"/>
          <w:szCs w:val="24"/>
        </w:rPr>
        <w:t>The American Journal of Social Science and Education Innovations</w:t>
      </w:r>
      <w:r w:rsidRPr="008F0A0E">
        <w:rPr>
          <w:rFonts w:ascii="Arial" w:hAnsi="Arial" w:cs="Arial"/>
          <w:sz w:val="24"/>
          <w:szCs w:val="24"/>
        </w:rPr>
        <w:t>, 04(02), pp. 20–22. doi:10.37547/</w:t>
      </w:r>
      <w:proofErr w:type="spellStart"/>
      <w:r w:rsidRPr="008F0A0E">
        <w:rPr>
          <w:rFonts w:ascii="Arial" w:hAnsi="Arial" w:cs="Arial"/>
          <w:sz w:val="24"/>
          <w:szCs w:val="24"/>
        </w:rPr>
        <w:t>tajssei</w:t>
      </w:r>
      <w:proofErr w:type="spellEnd"/>
      <w:r w:rsidRPr="008F0A0E">
        <w:rPr>
          <w:rFonts w:ascii="Arial" w:hAnsi="Arial" w:cs="Arial"/>
          <w:sz w:val="24"/>
          <w:szCs w:val="24"/>
        </w:rPr>
        <w:t xml:space="preserve">/volume04issue02-05. </w:t>
      </w:r>
    </w:p>
    <w:p w14:paraId="12A80255"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Al-</w:t>
      </w:r>
      <w:proofErr w:type="spellStart"/>
      <w:r w:rsidRPr="008F0A0E">
        <w:rPr>
          <w:rFonts w:ascii="Arial" w:hAnsi="Arial" w:cs="Arial"/>
          <w:sz w:val="24"/>
          <w:szCs w:val="24"/>
        </w:rPr>
        <w:t>Darmaky</w:t>
      </w:r>
      <w:proofErr w:type="spellEnd"/>
      <w:r w:rsidRPr="008F0A0E">
        <w:rPr>
          <w:rFonts w:ascii="Arial" w:hAnsi="Arial" w:cs="Arial"/>
          <w:sz w:val="24"/>
          <w:szCs w:val="24"/>
        </w:rPr>
        <w:t xml:space="preserve">, S.J. (2021) </w:t>
      </w:r>
      <w:r w:rsidRPr="008F0A0E">
        <w:rPr>
          <w:rFonts w:ascii="Arial" w:hAnsi="Arial" w:cs="Arial"/>
          <w:i/>
          <w:iCs/>
          <w:sz w:val="24"/>
          <w:szCs w:val="24"/>
        </w:rPr>
        <w:t xml:space="preserve">The role of selected Human Resource Management Practices in mediating the relationship between employee engagement drivers and </w:t>
      </w:r>
      <w:proofErr w:type="spellStart"/>
      <w:r w:rsidRPr="008F0A0E">
        <w:rPr>
          <w:rFonts w:ascii="Arial" w:hAnsi="Arial" w:cs="Arial"/>
          <w:i/>
          <w:iCs/>
          <w:sz w:val="24"/>
          <w:szCs w:val="24"/>
        </w:rPr>
        <w:t>Organisational</w:t>
      </w:r>
      <w:proofErr w:type="spellEnd"/>
      <w:r w:rsidRPr="008F0A0E">
        <w:rPr>
          <w:rFonts w:ascii="Arial" w:hAnsi="Arial" w:cs="Arial"/>
          <w:i/>
          <w:iCs/>
          <w:sz w:val="24"/>
          <w:szCs w:val="24"/>
        </w:rPr>
        <w:t xml:space="preserve"> Innovation</w:t>
      </w:r>
      <w:r w:rsidRPr="008F0A0E">
        <w:rPr>
          <w:rFonts w:ascii="Arial" w:hAnsi="Arial" w:cs="Arial"/>
          <w:sz w:val="24"/>
          <w:szCs w:val="24"/>
        </w:rPr>
        <w:t xml:space="preserve">. Kuala Lumpur: University </w:t>
      </w:r>
      <w:proofErr w:type="spellStart"/>
      <w:r w:rsidRPr="008F0A0E">
        <w:rPr>
          <w:rFonts w:ascii="Arial" w:hAnsi="Arial" w:cs="Arial"/>
          <w:sz w:val="24"/>
          <w:szCs w:val="24"/>
        </w:rPr>
        <w:t>teknology</w:t>
      </w:r>
      <w:proofErr w:type="spellEnd"/>
      <w:r w:rsidRPr="008F0A0E">
        <w:rPr>
          <w:rFonts w:ascii="Arial" w:hAnsi="Arial" w:cs="Arial"/>
          <w:sz w:val="24"/>
          <w:szCs w:val="24"/>
        </w:rPr>
        <w:t xml:space="preserve"> Malaysia. </w:t>
      </w:r>
    </w:p>
    <w:p w14:paraId="526E300C"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Amos T, Ristow A. and Pearse J. N. (2019) </w:t>
      </w:r>
      <w:r w:rsidRPr="008F0A0E">
        <w:rPr>
          <w:rFonts w:ascii="Arial" w:hAnsi="Arial" w:cs="Arial"/>
          <w:i/>
          <w:iCs/>
          <w:sz w:val="24"/>
          <w:szCs w:val="24"/>
        </w:rPr>
        <w:t>Human Resource Management</w:t>
      </w:r>
      <w:r w:rsidRPr="008F0A0E">
        <w:rPr>
          <w:rFonts w:ascii="Arial" w:hAnsi="Arial" w:cs="Arial"/>
          <w:sz w:val="24"/>
          <w:szCs w:val="24"/>
        </w:rPr>
        <w:t xml:space="preserve">. Cape Town: Juta. </w:t>
      </w:r>
    </w:p>
    <w:p w14:paraId="68362CE6" w14:textId="77777777" w:rsidR="008F0A0E" w:rsidRPr="008F0A0E" w:rsidRDefault="008F0A0E" w:rsidP="008F0A0E">
      <w:pPr>
        <w:shd w:val="clear" w:color="auto" w:fill="FFFFFF"/>
        <w:spacing w:line="360" w:lineRule="auto"/>
        <w:rPr>
          <w:rFonts w:ascii="Arial" w:eastAsia="Times New Roman" w:hAnsi="Arial" w:cs="Arial"/>
          <w:b/>
          <w:bCs/>
          <w:color w:val="111111"/>
          <w:kern w:val="0"/>
          <w:sz w:val="24"/>
          <w:szCs w:val="24"/>
          <w:lang w:val="en-GB" w:eastAsia="en-GB"/>
          <w14:ligatures w14:val="none"/>
        </w:rPr>
      </w:pPr>
      <w:r w:rsidRPr="008F0A0E">
        <w:rPr>
          <w:rFonts w:ascii="Arial" w:hAnsi="Arial" w:cs="Arial"/>
          <w:sz w:val="24"/>
          <w:szCs w:val="24"/>
        </w:rPr>
        <w:t xml:space="preserve">Bailey C. Mankin D., Kelliher </w:t>
      </w:r>
      <w:proofErr w:type="gramStart"/>
      <w:r w:rsidRPr="008F0A0E">
        <w:rPr>
          <w:rFonts w:ascii="Arial" w:hAnsi="Arial" w:cs="Arial"/>
          <w:sz w:val="24"/>
          <w:szCs w:val="24"/>
        </w:rPr>
        <w:t>C.</w:t>
      </w:r>
      <w:proofErr w:type="gramEnd"/>
      <w:r w:rsidRPr="008F0A0E">
        <w:rPr>
          <w:rFonts w:ascii="Arial" w:hAnsi="Arial" w:cs="Arial"/>
          <w:sz w:val="24"/>
          <w:szCs w:val="24"/>
        </w:rPr>
        <w:t xml:space="preserve"> and </w:t>
      </w:r>
      <w:proofErr w:type="spellStart"/>
      <w:r w:rsidRPr="008F0A0E">
        <w:rPr>
          <w:rFonts w:ascii="Arial" w:hAnsi="Arial" w:cs="Arial"/>
          <w:sz w:val="24"/>
          <w:szCs w:val="24"/>
        </w:rPr>
        <w:t>Gavavar</w:t>
      </w:r>
      <w:proofErr w:type="spellEnd"/>
      <w:r w:rsidRPr="008F0A0E">
        <w:rPr>
          <w:rFonts w:ascii="Arial" w:hAnsi="Arial" w:cs="Arial"/>
          <w:sz w:val="24"/>
          <w:szCs w:val="24"/>
        </w:rPr>
        <w:t xml:space="preserve"> T. N. </w:t>
      </w:r>
      <w:r w:rsidRPr="008F0A0E">
        <w:rPr>
          <w:rFonts w:ascii="Arial" w:eastAsia="Times New Roman" w:hAnsi="Arial" w:cs="Arial"/>
          <w:b/>
          <w:bCs/>
          <w:color w:val="111111"/>
          <w:kern w:val="0"/>
          <w:sz w:val="24"/>
          <w:szCs w:val="24"/>
          <w:lang w:val="en-GB" w:eastAsia="en-GB"/>
          <w14:ligatures w14:val="none"/>
        </w:rPr>
        <w:t xml:space="preserve"> </w:t>
      </w:r>
      <w:r w:rsidRPr="008F0A0E">
        <w:rPr>
          <w:rFonts w:ascii="Arial" w:hAnsi="Arial" w:cs="Arial"/>
          <w:sz w:val="24"/>
          <w:szCs w:val="24"/>
        </w:rPr>
        <w:t xml:space="preserve">(2018) ‘Strategic Human Resource Management and Change Management’, </w:t>
      </w:r>
      <w:r w:rsidRPr="008F0A0E">
        <w:rPr>
          <w:rFonts w:ascii="Arial" w:hAnsi="Arial" w:cs="Arial"/>
          <w:i/>
          <w:iCs/>
          <w:sz w:val="24"/>
          <w:szCs w:val="24"/>
        </w:rPr>
        <w:t xml:space="preserve">Strategic Human Resource </w:t>
      </w:r>
      <w:proofErr w:type="gramStart"/>
      <w:r w:rsidRPr="008F0A0E">
        <w:rPr>
          <w:rFonts w:ascii="Arial" w:hAnsi="Arial" w:cs="Arial"/>
          <w:i/>
          <w:iCs/>
          <w:sz w:val="24"/>
          <w:szCs w:val="24"/>
        </w:rPr>
        <w:t>Management</w:t>
      </w:r>
      <w:r w:rsidRPr="008F0A0E">
        <w:rPr>
          <w:rFonts w:ascii="Arial" w:hAnsi="Arial" w:cs="Arial"/>
          <w:sz w:val="24"/>
          <w:szCs w:val="24"/>
        </w:rPr>
        <w:t xml:space="preserve"> .</w:t>
      </w:r>
      <w:proofErr w:type="gramEnd"/>
      <w:r w:rsidRPr="008F0A0E">
        <w:rPr>
          <w:rFonts w:ascii="Arial" w:hAnsi="Arial" w:cs="Arial"/>
          <w:sz w:val="24"/>
          <w:szCs w:val="24"/>
        </w:rPr>
        <w:t xml:space="preserve"> doi:10.1093/</w:t>
      </w:r>
      <w:proofErr w:type="spellStart"/>
      <w:r w:rsidRPr="008F0A0E">
        <w:rPr>
          <w:rFonts w:ascii="Arial" w:hAnsi="Arial" w:cs="Arial"/>
          <w:sz w:val="24"/>
          <w:szCs w:val="24"/>
        </w:rPr>
        <w:t>hebz</w:t>
      </w:r>
      <w:proofErr w:type="spellEnd"/>
      <w:r w:rsidRPr="008F0A0E">
        <w:rPr>
          <w:rFonts w:ascii="Arial" w:hAnsi="Arial" w:cs="Arial"/>
          <w:sz w:val="24"/>
          <w:szCs w:val="24"/>
        </w:rPr>
        <w:t xml:space="preserve">/9780198705406.003.0015. </w:t>
      </w:r>
    </w:p>
    <w:p w14:paraId="01656D05"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Cohen, E. (2017) ‘The employee </w:t>
      </w:r>
      <w:proofErr w:type="gramStart"/>
      <w:r w:rsidRPr="008F0A0E">
        <w:rPr>
          <w:rFonts w:ascii="Arial" w:hAnsi="Arial" w:cs="Arial"/>
          <w:sz w:val="24"/>
          <w:szCs w:val="24"/>
        </w:rPr>
        <w:t>life-cycle</w:t>
      </w:r>
      <w:proofErr w:type="gramEnd"/>
      <w:r w:rsidRPr="008F0A0E">
        <w:rPr>
          <w:rFonts w:ascii="Arial" w:hAnsi="Arial" w:cs="Arial"/>
          <w:sz w:val="24"/>
          <w:szCs w:val="24"/>
        </w:rPr>
        <w:t xml:space="preserve">’, </w:t>
      </w:r>
      <w:r w:rsidRPr="008F0A0E">
        <w:rPr>
          <w:rFonts w:ascii="Arial" w:hAnsi="Arial" w:cs="Arial"/>
          <w:i/>
          <w:iCs/>
          <w:sz w:val="24"/>
          <w:szCs w:val="24"/>
        </w:rPr>
        <w:t>CSR for HR</w:t>
      </w:r>
      <w:r w:rsidRPr="008F0A0E">
        <w:rPr>
          <w:rFonts w:ascii="Arial" w:hAnsi="Arial" w:cs="Arial"/>
          <w:sz w:val="24"/>
          <w:szCs w:val="24"/>
        </w:rPr>
        <w:t xml:space="preserve">, pp. 248–257. doi:10.4324/9781351278607-15. </w:t>
      </w:r>
    </w:p>
    <w:p w14:paraId="2B13F6CA"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Georgiades, S. (2015) ‘Employee engagement implementation leading towards employee creativity’, </w:t>
      </w:r>
      <w:r w:rsidRPr="008F0A0E">
        <w:rPr>
          <w:rFonts w:ascii="Arial" w:hAnsi="Arial" w:cs="Arial"/>
          <w:i/>
          <w:iCs/>
          <w:sz w:val="24"/>
          <w:szCs w:val="24"/>
        </w:rPr>
        <w:t>Employee Engagement in Media Management</w:t>
      </w:r>
      <w:r w:rsidRPr="008F0A0E">
        <w:rPr>
          <w:rFonts w:ascii="Arial" w:hAnsi="Arial" w:cs="Arial"/>
          <w:sz w:val="24"/>
          <w:szCs w:val="24"/>
        </w:rPr>
        <w:t xml:space="preserve">, pp. 83–100. doi:10.1007/978-3-319-16217-1_5. </w:t>
      </w:r>
    </w:p>
    <w:p w14:paraId="37EF7009" w14:textId="77777777" w:rsidR="008F0A0E" w:rsidRPr="008F0A0E" w:rsidRDefault="008F0A0E" w:rsidP="008F0A0E">
      <w:pPr>
        <w:spacing w:line="360" w:lineRule="auto"/>
        <w:jc w:val="both"/>
        <w:rPr>
          <w:rFonts w:ascii="Arial" w:hAnsi="Arial" w:cs="Arial"/>
          <w:sz w:val="24"/>
          <w:szCs w:val="24"/>
        </w:rPr>
      </w:pPr>
      <w:bookmarkStart w:id="0" w:name="_Hlk148208913"/>
      <w:bookmarkStart w:id="1" w:name="_Hlk148209424"/>
      <w:r w:rsidRPr="008F0A0E">
        <w:rPr>
          <w:rFonts w:ascii="Arial" w:hAnsi="Arial" w:cs="Arial"/>
          <w:sz w:val="24"/>
          <w:szCs w:val="24"/>
        </w:rPr>
        <w:t>Gallagher, K. (2016)</w:t>
      </w:r>
      <w:bookmarkEnd w:id="0"/>
      <w:r w:rsidRPr="008F0A0E">
        <w:rPr>
          <w:rFonts w:ascii="Arial" w:hAnsi="Arial" w:cs="Arial"/>
          <w:sz w:val="24"/>
          <w:szCs w:val="24"/>
        </w:rPr>
        <w:t xml:space="preserve"> </w:t>
      </w:r>
      <w:bookmarkEnd w:id="1"/>
      <w:r w:rsidRPr="008F0A0E">
        <w:rPr>
          <w:rFonts w:ascii="Arial" w:hAnsi="Arial" w:cs="Arial"/>
          <w:i/>
          <w:iCs/>
          <w:sz w:val="24"/>
          <w:szCs w:val="24"/>
        </w:rPr>
        <w:t>Essential study and employment skills for business and management students</w:t>
      </w:r>
      <w:r w:rsidRPr="008F0A0E">
        <w:rPr>
          <w:rFonts w:ascii="Arial" w:hAnsi="Arial" w:cs="Arial"/>
          <w:sz w:val="24"/>
          <w:szCs w:val="24"/>
        </w:rPr>
        <w:t>. Oxford: Oxford University Press.</w:t>
      </w:r>
    </w:p>
    <w:p w14:paraId="77A9E7A3"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Heizer, J. and Render, B. (2020) </w:t>
      </w:r>
      <w:r w:rsidRPr="008F0A0E">
        <w:rPr>
          <w:rFonts w:ascii="Arial" w:hAnsi="Arial" w:cs="Arial"/>
          <w:i/>
          <w:iCs/>
          <w:sz w:val="24"/>
          <w:szCs w:val="24"/>
        </w:rPr>
        <w:t>Operations management</w:t>
      </w:r>
      <w:r w:rsidRPr="008F0A0E">
        <w:rPr>
          <w:rFonts w:ascii="Arial" w:hAnsi="Arial" w:cs="Arial"/>
          <w:sz w:val="24"/>
          <w:szCs w:val="24"/>
        </w:rPr>
        <w:t xml:space="preserve">. Upper Saddle River, NJ: Pearson Prentice Hall. </w:t>
      </w:r>
    </w:p>
    <w:p w14:paraId="4C2862FB"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Ivancevich, J.M. and Konopaske, R. (2015) </w:t>
      </w:r>
      <w:r w:rsidRPr="008F0A0E">
        <w:rPr>
          <w:rFonts w:ascii="Arial" w:hAnsi="Arial" w:cs="Arial"/>
          <w:i/>
          <w:iCs/>
          <w:sz w:val="24"/>
          <w:szCs w:val="24"/>
        </w:rPr>
        <w:t>Human Resource Management</w:t>
      </w:r>
      <w:r w:rsidRPr="008F0A0E">
        <w:rPr>
          <w:rFonts w:ascii="Arial" w:hAnsi="Arial" w:cs="Arial"/>
          <w:sz w:val="24"/>
          <w:szCs w:val="24"/>
        </w:rPr>
        <w:t xml:space="preserve">. New York, NY: McGraw-Hill Irwin. </w:t>
      </w:r>
    </w:p>
    <w:p w14:paraId="446A204F"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Jeffrey, L. (2017) </w:t>
      </w:r>
      <w:r w:rsidRPr="008F0A0E">
        <w:rPr>
          <w:rFonts w:ascii="Arial" w:hAnsi="Arial" w:cs="Arial"/>
          <w:i/>
          <w:iCs/>
          <w:sz w:val="24"/>
          <w:szCs w:val="24"/>
        </w:rPr>
        <w:t>Work life balance: Perceptions of generation Y graduates</w:t>
      </w:r>
      <w:r w:rsidRPr="008F0A0E">
        <w:rPr>
          <w:rFonts w:ascii="Arial" w:hAnsi="Arial" w:cs="Arial"/>
          <w:sz w:val="24"/>
          <w:szCs w:val="24"/>
        </w:rPr>
        <w:t xml:space="preserve">. Oxford: Oxford Brookes University. </w:t>
      </w:r>
    </w:p>
    <w:p w14:paraId="36664A78"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Lancaster, L.C. and Stillman, D. (2016) </w:t>
      </w:r>
      <w:r w:rsidRPr="008F0A0E">
        <w:rPr>
          <w:rFonts w:ascii="Arial" w:hAnsi="Arial" w:cs="Arial"/>
          <w:i/>
          <w:iCs/>
          <w:sz w:val="24"/>
          <w:szCs w:val="24"/>
        </w:rPr>
        <w:t>The M-factor: How The millennial generation is rocking the workplace</w:t>
      </w:r>
      <w:r w:rsidRPr="008F0A0E">
        <w:rPr>
          <w:rFonts w:ascii="Arial" w:hAnsi="Arial" w:cs="Arial"/>
          <w:sz w:val="24"/>
          <w:szCs w:val="24"/>
        </w:rPr>
        <w:t xml:space="preserve">. New York: </w:t>
      </w:r>
      <w:proofErr w:type="spellStart"/>
      <w:r w:rsidRPr="008F0A0E">
        <w:rPr>
          <w:rFonts w:ascii="Arial" w:hAnsi="Arial" w:cs="Arial"/>
          <w:sz w:val="24"/>
          <w:szCs w:val="24"/>
        </w:rPr>
        <w:t>HarperBusiness</w:t>
      </w:r>
      <w:proofErr w:type="spellEnd"/>
      <w:r w:rsidRPr="008F0A0E">
        <w:rPr>
          <w:rFonts w:ascii="Arial" w:hAnsi="Arial" w:cs="Arial"/>
          <w:sz w:val="24"/>
          <w:szCs w:val="24"/>
        </w:rPr>
        <w:t xml:space="preserve">. </w:t>
      </w:r>
    </w:p>
    <w:p w14:paraId="0D43BA49"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Mangelsdorf, M. (2020) </w:t>
      </w:r>
      <w:r w:rsidRPr="008F0A0E">
        <w:rPr>
          <w:rFonts w:ascii="Arial" w:hAnsi="Arial" w:cs="Arial"/>
          <w:i/>
          <w:iCs/>
          <w:sz w:val="24"/>
          <w:szCs w:val="24"/>
        </w:rPr>
        <w:t>Generation Y</w:t>
      </w:r>
      <w:r w:rsidRPr="008F0A0E">
        <w:rPr>
          <w:rFonts w:ascii="Arial" w:hAnsi="Arial" w:cs="Arial"/>
          <w:sz w:val="24"/>
          <w:szCs w:val="24"/>
        </w:rPr>
        <w:t xml:space="preserve">. Offenbach: GABAL Verlag GmbH. </w:t>
      </w:r>
    </w:p>
    <w:p w14:paraId="7A4E2A14" w14:textId="77777777" w:rsidR="008F0A0E" w:rsidRPr="008F0A0E" w:rsidRDefault="008F0A0E" w:rsidP="008F0A0E">
      <w:pPr>
        <w:spacing w:line="360" w:lineRule="auto"/>
        <w:jc w:val="both"/>
        <w:rPr>
          <w:rFonts w:ascii="Arial" w:hAnsi="Arial" w:cs="Arial"/>
          <w:sz w:val="24"/>
          <w:szCs w:val="24"/>
        </w:rPr>
      </w:pPr>
      <w:hyperlink r:id="rId9" w:history="1">
        <w:r w:rsidRPr="008F0A0E">
          <w:rPr>
            <w:rStyle w:val="Hyperlink"/>
            <w:rFonts w:ascii="Arial" w:hAnsi="Arial" w:cs="Arial"/>
            <w:color w:val="000000" w:themeColor="text1"/>
            <w:sz w:val="24"/>
            <w:szCs w:val="24"/>
            <w:shd w:val="clear" w:color="auto" w:fill="FFFFFF"/>
          </w:rPr>
          <w:t>Nel</w:t>
        </w:r>
      </w:hyperlink>
      <w:r w:rsidRPr="008F0A0E">
        <w:rPr>
          <w:rFonts w:ascii="Arial" w:hAnsi="Arial" w:cs="Arial"/>
          <w:color w:val="000000" w:themeColor="text1"/>
          <w:sz w:val="24"/>
          <w:szCs w:val="24"/>
          <w:shd w:val="clear" w:color="auto" w:fill="FFFFFF"/>
        </w:rPr>
        <w:t>, </w:t>
      </w:r>
      <w:hyperlink r:id="rId10" w:history="1">
        <w:r w:rsidRPr="008F0A0E">
          <w:rPr>
            <w:rStyle w:val="Hyperlink"/>
            <w:rFonts w:ascii="Arial" w:hAnsi="Arial" w:cs="Arial"/>
            <w:color w:val="000000" w:themeColor="text1"/>
            <w:sz w:val="24"/>
            <w:szCs w:val="24"/>
            <w:shd w:val="clear" w:color="auto" w:fill="FFFFFF"/>
          </w:rPr>
          <w:t>P. S., Piet S. and  Van Dyk</w:t>
        </w:r>
      </w:hyperlink>
      <w:r w:rsidRPr="008F0A0E">
        <w:rPr>
          <w:rFonts w:ascii="Arial" w:hAnsi="Arial" w:cs="Arial"/>
          <w:sz w:val="24"/>
          <w:szCs w:val="24"/>
        </w:rPr>
        <w:t xml:space="preserve">. (2021) </w:t>
      </w:r>
      <w:r w:rsidRPr="008F0A0E">
        <w:rPr>
          <w:rFonts w:ascii="Arial" w:hAnsi="Arial" w:cs="Arial"/>
          <w:i/>
          <w:iCs/>
          <w:sz w:val="24"/>
          <w:szCs w:val="24"/>
        </w:rPr>
        <w:t>Human Resource Management</w:t>
      </w:r>
      <w:r w:rsidRPr="008F0A0E">
        <w:rPr>
          <w:rFonts w:ascii="Arial" w:hAnsi="Arial" w:cs="Arial"/>
          <w:sz w:val="24"/>
          <w:szCs w:val="24"/>
        </w:rPr>
        <w:t xml:space="preserve">. Goodwood, Cape Town: Oxford University Press Southern Africa (Pty) Limited. </w:t>
      </w:r>
    </w:p>
    <w:p w14:paraId="23B13DE0"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Sheahan, P. (2019) </w:t>
      </w:r>
      <w:r w:rsidRPr="008F0A0E">
        <w:rPr>
          <w:rFonts w:ascii="Arial" w:hAnsi="Arial" w:cs="Arial"/>
          <w:i/>
          <w:iCs/>
          <w:sz w:val="24"/>
          <w:szCs w:val="24"/>
        </w:rPr>
        <w:t>Generation Y: Thriving and surviving with generation Y at work</w:t>
      </w:r>
      <w:r w:rsidRPr="008F0A0E">
        <w:rPr>
          <w:rFonts w:ascii="Arial" w:hAnsi="Arial" w:cs="Arial"/>
          <w:sz w:val="24"/>
          <w:szCs w:val="24"/>
        </w:rPr>
        <w:t xml:space="preserve">. Prahran, Vic.: Hardie Grant Books. </w:t>
      </w:r>
    </w:p>
    <w:p w14:paraId="619F708C"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Stanimir, A. (2018) ‘Generation Y - the balance between lifestyle and work’, </w:t>
      </w:r>
      <w:r w:rsidRPr="008F0A0E">
        <w:rPr>
          <w:rFonts w:ascii="Arial" w:hAnsi="Arial" w:cs="Arial"/>
          <w:i/>
          <w:iCs/>
          <w:sz w:val="24"/>
          <w:szCs w:val="24"/>
        </w:rPr>
        <w:t>Academic Journal of Interdisciplinary Studies</w:t>
      </w:r>
      <w:r w:rsidRPr="008F0A0E">
        <w:rPr>
          <w:rFonts w:ascii="Arial" w:hAnsi="Arial" w:cs="Arial"/>
          <w:sz w:val="24"/>
          <w:szCs w:val="24"/>
        </w:rPr>
        <w:t xml:space="preserve"> [Preprint]. doi:10.5901/</w:t>
      </w:r>
      <w:proofErr w:type="gramStart"/>
      <w:r w:rsidRPr="008F0A0E">
        <w:rPr>
          <w:rFonts w:ascii="Arial" w:hAnsi="Arial" w:cs="Arial"/>
          <w:sz w:val="24"/>
          <w:szCs w:val="24"/>
        </w:rPr>
        <w:t>ajis.2014.v</w:t>
      </w:r>
      <w:proofErr w:type="gramEnd"/>
      <w:r w:rsidRPr="008F0A0E">
        <w:rPr>
          <w:rFonts w:ascii="Arial" w:hAnsi="Arial" w:cs="Arial"/>
          <w:sz w:val="24"/>
          <w:szCs w:val="24"/>
        </w:rPr>
        <w:t xml:space="preserve">3n3p24. </w:t>
      </w:r>
    </w:p>
    <w:p w14:paraId="3CAD9136"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Thompson, L. (2016) </w:t>
      </w:r>
      <w:r w:rsidRPr="008F0A0E">
        <w:rPr>
          <w:rFonts w:ascii="Arial" w:hAnsi="Arial" w:cs="Arial"/>
          <w:i/>
          <w:iCs/>
          <w:sz w:val="24"/>
          <w:szCs w:val="24"/>
        </w:rPr>
        <w:t xml:space="preserve">Mastering the challenges of change: Strategies for each stage in your </w:t>
      </w:r>
      <w:proofErr w:type="spellStart"/>
      <w:r w:rsidRPr="008F0A0E">
        <w:rPr>
          <w:rFonts w:ascii="Arial" w:hAnsi="Arial" w:cs="Arial"/>
          <w:i/>
          <w:iCs/>
          <w:sz w:val="24"/>
          <w:szCs w:val="24"/>
        </w:rPr>
        <w:t>organisation’s</w:t>
      </w:r>
      <w:proofErr w:type="spellEnd"/>
      <w:r w:rsidRPr="008F0A0E">
        <w:rPr>
          <w:rFonts w:ascii="Arial" w:hAnsi="Arial" w:cs="Arial"/>
          <w:i/>
          <w:iCs/>
          <w:sz w:val="24"/>
          <w:szCs w:val="24"/>
        </w:rPr>
        <w:t xml:space="preserve"> life cycle</w:t>
      </w:r>
      <w:r w:rsidRPr="008F0A0E">
        <w:rPr>
          <w:rFonts w:ascii="Arial" w:hAnsi="Arial" w:cs="Arial"/>
          <w:sz w:val="24"/>
          <w:szCs w:val="24"/>
        </w:rPr>
        <w:t xml:space="preserve">. New York: American Management Association. </w:t>
      </w:r>
    </w:p>
    <w:p w14:paraId="69A8A319"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Ting, C. (2019) </w:t>
      </w:r>
      <w:r w:rsidRPr="008F0A0E">
        <w:rPr>
          <w:rFonts w:ascii="Arial" w:hAnsi="Arial" w:cs="Arial"/>
          <w:i/>
          <w:iCs/>
          <w:sz w:val="24"/>
          <w:szCs w:val="24"/>
        </w:rPr>
        <w:t>Employer branding and the employee life cycle: How to become an attractive employer</w:t>
      </w:r>
      <w:r w:rsidRPr="008F0A0E">
        <w:rPr>
          <w:rFonts w:ascii="Arial" w:hAnsi="Arial" w:cs="Arial"/>
          <w:sz w:val="24"/>
          <w:szCs w:val="24"/>
        </w:rPr>
        <w:t xml:space="preserve">. </w:t>
      </w:r>
      <w:proofErr w:type="spellStart"/>
      <w:r w:rsidRPr="008F0A0E">
        <w:rPr>
          <w:rFonts w:ascii="Arial" w:hAnsi="Arial" w:cs="Arial"/>
          <w:sz w:val="24"/>
          <w:szCs w:val="24"/>
        </w:rPr>
        <w:t>Saarbrücken</w:t>
      </w:r>
      <w:proofErr w:type="spellEnd"/>
      <w:r w:rsidRPr="008F0A0E">
        <w:rPr>
          <w:rFonts w:ascii="Arial" w:hAnsi="Arial" w:cs="Arial"/>
          <w:sz w:val="24"/>
          <w:szCs w:val="24"/>
        </w:rPr>
        <w:t xml:space="preserve">: AV </w:t>
      </w:r>
      <w:proofErr w:type="spellStart"/>
      <w:r w:rsidRPr="008F0A0E">
        <w:rPr>
          <w:rFonts w:ascii="Arial" w:hAnsi="Arial" w:cs="Arial"/>
          <w:sz w:val="24"/>
          <w:szCs w:val="24"/>
        </w:rPr>
        <w:t>Akademikerverlag</w:t>
      </w:r>
      <w:proofErr w:type="spellEnd"/>
      <w:r w:rsidRPr="008F0A0E">
        <w:rPr>
          <w:rFonts w:ascii="Arial" w:hAnsi="Arial" w:cs="Arial"/>
          <w:sz w:val="24"/>
          <w:szCs w:val="24"/>
        </w:rPr>
        <w:t xml:space="preserve">. </w:t>
      </w:r>
    </w:p>
    <w:p w14:paraId="0585F829" w14:textId="77777777" w:rsidR="008F0A0E" w:rsidRPr="008F0A0E" w:rsidRDefault="008F0A0E" w:rsidP="008F0A0E">
      <w:pPr>
        <w:spacing w:line="360" w:lineRule="auto"/>
        <w:jc w:val="both"/>
        <w:rPr>
          <w:rFonts w:ascii="Arial" w:hAnsi="Arial" w:cs="Arial"/>
          <w:sz w:val="24"/>
          <w:szCs w:val="24"/>
        </w:rPr>
      </w:pPr>
      <w:bookmarkStart w:id="2" w:name="_Hlk148209457"/>
      <w:r w:rsidRPr="008F0A0E">
        <w:rPr>
          <w:rFonts w:ascii="Arial" w:hAnsi="Arial" w:cs="Arial"/>
          <w:sz w:val="24"/>
          <w:szCs w:val="24"/>
        </w:rPr>
        <w:t>Torrington, D, Hall, L, Atkinson, C, &amp; Taylor, S 2020</w:t>
      </w:r>
      <w:bookmarkEnd w:id="2"/>
      <w:r w:rsidRPr="008F0A0E">
        <w:rPr>
          <w:rFonts w:ascii="Arial" w:hAnsi="Arial" w:cs="Arial"/>
          <w:sz w:val="24"/>
          <w:szCs w:val="24"/>
        </w:rPr>
        <w:t xml:space="preserve">, </w:t>
      </w:r>
      <w:r w:rsidRPr="008F0A0E">
        <w:rPr>
          <w:rFonts w:ascii="Arial" w:hAnsi="Arial" w:cs="Arial"/>
          <w:i/>
          <w:iCs/>
          <w:sz w:val="24"/>
          <w:szCs w:val="24"/>
        </w:rPr>
        <w:t xml:space="preserve">Human Resource Management PDF </w:t>
      </w:r>
      <w:proofErr w:type="spellStart"/>
      <w:r w:rsidRPr="008F0A0E">
        <w:rPr>
          <w:rFonts w:ascii="Arial" w:hAnsi="Arial" w:cs="Arial"/>
          <w:i/>
          <w:iCs/>
          <w:sz w:val="24"/>
          <w:szCs w:val="24"/>
        </w:rPr>
        <w:t>EBook</w:t>
      </w:r>
      <w:proofErr w:type="spellEnd"/>
      <w:r w:rsidRPr="008F0A0E">
        <w:rPr>
          <w:rFonts w:ascii="Arial" w:hAnsi="Arial" w:cs="Arial"/>
          <w:sz w:val="24"/>
          <w:szCs w:val="24"/>
        </w:rPr>
        <w:t xml:space="preserve">, Pearson Education, Limited, Harlow. Available from: ProQuest </w:t>
      </w:r>
      <w:proofErr w:type="spellStart"/>
      <w:r w:rsidRPr="008F0A0E">
        <w:rPr>
          <w:rFonts w:ascii="Arial" w:hAnsi="Arial" w:cs="Arial"/>
          <w:sz w:val="24"/>
          <w:szCs w:val="24"/>
        </w:rPr>
        <w:t>Ebook</w:t>
      </w:r>
      <w:proofErr w:type="spellEnd"/>
      <w:r w:rsidRPr="008F0A0E">
        <w:rPr>
          <w:rFonts w:ascii="Arial" w:hAnsi="Arial" w:cs="Arial"/>
          <w:sz w:val="24"/>
          <w:szCs w:val="24"/>
        </w:rPr>
        <w:t xml:space="preserve"> Central.</w:t>
      </w:r>
    </w:p>
    <w:p w14:paraId="7F8DFCF4"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Turner, P. (2019) ‘A model for employee engagement’, </w:t>
      </w:r>
      <w:r w:rsidRPr="008F0A0E">
        <w:rPr>
          <w:rFonts w:ascii="Arial" w:hAnsi="Arial" w:cs="Arial"/>
          <w:i/>
          <w:iCs/>
          <w:sz w:val="24"/>
          <w:szCs w:val="24"/>
        </w:rPr>
        <w:t xml:space="preserve">Employee Engagement in Contemporary </w:t>
      </w:r>
      <w:proofErr w:type="spellStart"/>
      <w:r w:rsidRPr="008F0A0E">
        <w:rPr>
          <w:rFonts w:ascii="Arial" w:hAnsi="Arial" w:cs="Arial"/>
          <w:i/>
          <w:iCs/>
          <w:sz w:val="24"/>
          <w:szCs w:val="24"/>
        </w:rPr>
        <w:t>Organisations</w:t>
      </w:r>
      <w:proofErr w:type="spellEnd"/>
      <w:r w:rsidRPr="008F0A0E">
        <w:rPr>
          <w:rFonts w:ascii="Arial" w:hAnsi="Arial" w:cs="Arial"/>
          <w:sz w:val="24"/>
          <w:szCs w:val="24"/>
        </w:rPr>
        <w:t xml:space="preserve">, pp. 85–111. doi:10.1007/978-3-030-36387-1_4. </w:t>
      </w:r>
    </w:p>
    <w:p w14:paraId="052E2876" w14:textId="1F37973E" w:rsidR="008F0A0E" w:rsidRPr="008F0A0E" w:rsidRDefault="008F0A0E" w:rsidP="008F0A0E">
      <w:pPr>
        <w:spacing w:line="360" w:lineRule="auto"/>
        <w:jc w:val="both"/>
        <w:rPr>
          <w:rFonts w:ascii="Arial" w:hAnsi="Arial" w:cs="Arial"/>
          <w:sz w:val="24"/>
          <w:szCs w:val="24"/>
        </w:rPr>
      </w:pPr>
      <w:r w:rsidRPr="008F0A0E">
        <w:rPr>
          <w:rFonts w:ascii="Arial" w:hAnsi="Arial" w:cs="Arial"/>
          <w:color w:val="000000" w:themeColor="text1"/>
          <w:sz w:val="24"/>
          <w:szCs w:val="24"/>
        </w:rPr>
        <w:t xml:space="preserve">Whittington, J.L., </w:t>
      </w:r>
      <w:proofErr w:type="spellStart"/>
      <w:r w:rsidRPr="008F0A0E">
        <w:rPr>
          <w:rFonts w:ascii="Arial" w:hAnsi="Arial" w:cs="Arial"/>
          <w:sz w:val="24"/>
          <w:szCs w:val="24"/>
        </w:rPr>
        <w:t>Meskelis</w:t>
      </w:r>
      <w:proofErr w:type="spellEnd"/>
      <w:r w:rsidRPr="008F0A0E">
        <w:rPr>
          <w:rFonts w:ascii="Arial" w:hAnsi="Arial" w:cs="Arial"/>
          <w:sz w:val="24"/>
          <w:szCs w:val="24"/>
        </w:rPr>
        <w:t xml:space="preserve"> </w:t>
      </w:r>
      <w:r w:rsidRPr="008F0A0E">
        <w:rPr>
          <w:rFonts w:ascii="Arial" w:eastAsia="Times New Roman" w:hAnsi="Arial" w:cs="Arial"/>
          <w:color w:val="000000" w:themeColor="text1"/>
          <w:kern w:val="0"/>
          <w:sz w:val="24"/>
          <w:szCs w:val="24"/>
          <w:lang w:val="en-GB" w:eastAsia="en-GB"/>
          <w14:ligatures w14:val="none"/>
        </w:rPr>
        <w:t xml:space="preserve">S., Asare </w:t>
      </w:r>
      <w:proofErr w:type="gramStart"/>
      <w:r w:rsidRPr="008F0A0E">
        <w:rPr>
          <w:rFonts w:ascii="Arial" w:eastAsia="Times New Roman" w:hAnsi="Arial" w:cs="Arial"/>
          <w:color w:val="000000" w:themeColor="text1"/>
          <w:kern w:val="0"/>
          <w:sz w:val="24"/>
          <w:szCs w:val="24"/>
          <w:lang w:val="en-GB" w:eastAsia="en-GB"/>
          <w14:ligatures w14:val="none"/>
        </w:rPr>
        <w:t>E.</w:t>
      </w:r>
      <w:proofErr w:type="gramEnd"/>
      <w:r w:rsidRPr="008F0A0E">
        <w:rPr>
          <w:rFonts w:ascii="Arial" w:eastAsia="Times New Roman" w:hAnsi="Arial" w:cs="Arial"/>
          <w:color w:val="000000" w:themeColor="text1"/>
          <w:kern w:val="0"/>
          <w:sz w:val="24"/>
          <w:szCs w:val="24"/>
          <w:lang w:val="en-GB" w:eastAsia="en-GB"/>
          <w14:ligatures w14:val="none"/>
        </w:rPr>
        <w:t xml:space="preserve"> and </w:t>
      </w:r>
      <w:proofErr w:type="spellStart"/>
      <w:r w:rsidRPr="008F0A0E">
        <w:rPr>
          <w:rFonts w:ascii="Arial" w:eastAsia="Times New Roman" w:hAnsi="Arial" w:cs="Arial"/>
          <w:color w:val="000000" w:themeColor="text1"/>
          <w:kern w:val="0"/>
          <w:sz w:val="24"/>
          <w:szCs w:val="24"/>
          <w:lang w:val="en-GB" w:eastAsia="en-GB"/>
          <w14:ligatures w14:val="none"/>
        </w:rPr>
        <w:t>Beldona</w:t>
      </w:r>
      <w:proofErr w:type="spellEnd"/>
      <w:r w:rsidRPr="008F0A0E">
        <w:rPr>
          <w:rFonts w:ascii="Arial" w:eastAsia="Times New Roman" w:hAnsi="Arial" w:cs="Arial"/>
          <w:color w:val="000000" w:themeColor="text1"/>
          <w:kern w:val="0"/>
          <w:sz w:val="24"/>
          <w:szCs w:val="24"/>
          <w:lang w:val="en-GB" w:eastAsia="en-GB"/>
          <w14:ligatures w14:val="none"/>
        </w:rPr>
        <w:t xml:space="preserve"> S. </w:t>
      </w:r>
      <w:r w:rsidRPr="008F0A0E">
        <w:rPr>
          <w:rFonts w:ascii="Arial" w:hAnsi="Arial" w:cs="Arial"/>
          <w:color w:val="000000" w:themeColor="text1"/>
          <w:sz w:val="24"/>
          <w:szCs w:val="24"/>
        </w:rPr>
        <w:t xml:space="preserve"> </w:t>
      </w:r>
      <w:r w:rsidRPr="008F0A0E">
        <w:rPr>
          <w:rFonts w:ascii="Arial" w:hAnsi="Arial" w:cs="Arial"/>
          <w:sz w:val="24"/>
          <w:szCs w:val="24"/>
        </w:rPr>
        <w:t xml:space="preserve">(2017) ‘A comprehensive, integrative model of employee </w:t>
      </w:r>
      <w:proofErr w:type="spellStart"/>
      <w:r w:rsidRPr="008F0A0E">
        <w:rPr>
          <w:rFonts w:ascii="Arial" w:hAnsi="Arial" w:cs="Arial"/>
          <w:sz w:val="24"/>
          <w:szCs w:val="24"/>
        </w:rPr>
        <w:t>engageme</w:t>
      </w:r>
      <w:proofErr w:type="spellEnd"/>
      <w:r w:rsidRPr="008F0A0E">
        <w:rPr>
          <w:rFonts w:ascii="Arial" w:hAnsi="Arial" w:cs="Arial"/>
          <w:sz w:val="24"/>
          <w:szCs w:val="24"/>
        </w:rPr>
        <w:t xml:space="preserve"> </w:t>
      </w:r>
      <w:proofErr w:type="spellStart"/>
      <w:r w:rsidRPr="008F0A0E">
        <w:rPr>
          <w:rFonts w:ascii="Arial" w:hAnsi="Arial" w:cs="Arial"/>
          <w:sz w:val="24"/>
          <w:szCs w:val="24"/>
        </w:rPr>
        <w:t>nt</w:t>
      </w:r>
      <w:proofErr w:type="spellEnd"/>
      <w:r w:rsidRPr="008F0A0E">
        <w:rPr>
          <w:rFonts w:ascii="Arial" w:hAnsi="Arial" w:cs="Arial"/>
          <w:sz w:val="24"/>
          <w:szCs w:val="24"/>
        </w:rPr>
        <w:t xml:space="preserve">’, </w:t>
      </w:r>
      <w:r w:rsidRPr="008F0A0E">
        <w:rPr>
          <w:rFonts w:ascii="Arial" w:hAnsi="Arial" w:cs="Arial"/>
          <w:i/>
          <w:iCs/>
          <w:sz w:val="24"/>
          <w:szCs w:val="24"/>
        </w:rPr>
        <w:t>Enhancing Employee Engagement</w:t>
      </w:r>
      <w:r w:rsidRPr="008F0A0E">
        <w:rPr>
          <w:rFonts w:ascii="Arial" w:hAnsi="Arial" w:cs="Arial"/>
          <w:sz w:val="24"/>
          <w:szCs w:val="24"/>
        </w:rPr>
        <w:t>, pp. 9–18. doi:10.1007/978-3-319-54732-9_</w:t>
      </w:r>
      <w:r w:rsidRPr="008F0A0E">
        <w:rPr>
          <w:rFonts w:ascii="Arial" w:hAnsi="Arial" w:cs="Arial"/>
          <w:sz w:val="24"/>
          <w:szCs w:val="24"/>
        </w:rPr>
        <w:t>2.</w:t>
      </w:r>
    </w:p>
    <w:p w14:paraId="56D2E83E" w14:textId="77777777" w:rsidR="008F0A0E" w:rsidRPr="008F0A0E" w:rsidRDefault="008F0A0E" w:rsidP="008F0A0E">
      <w:pPr>
        <w:spacing w:line="360" w:lineRule="auto"/>
        <w:jc w:val="both"/>
        <w:rPr>
          <w:rFonts w:ascii="Arial" w:hAnsi="Arial" w:cs="Arial"/>
          <w:sz w:val="24"/>
          <w:szCs w:val="24"/>
        </w:rPr>
      </w:pPr>
      <w:r w:rsidRPr="008F0A0E">
        <w:rPr>
          <w:rFonts w:ascii="Arial" w:hAnsi="Arial" w:cs="Arial"/>
          <w:sz w:val="24"/>
          <w:szCs w:val="24"/>
        </w:rPr>
        <w:t xml:space="preserve"> </w:t>
      </w:r>
    </w:p>
    <w:p w14:paraId="74248742" w14:textId="77777777" w:rsidR="008F0A0E" w:rsidRPr="008F0A0E" w:rsidRDefault="008F0A0E" w:rsidP="008F0A0E">
      <w:pPr>
        <w:spacing w:line="360" w:lineRule="auto"/>
        <w:jc w:val="both"/>
        <w:rPr>
          <w:rFonts w:ascii="Arial" w:hAnsi="Arial" w:cs="Arial"/>
          <w:sz w:val="24"/>
          <w:szCs w:val="24"/>
        </w:rPr>
      </w:pPr>
    </w:p>
    <w:p w14:paraId="3865EF08" w14:textId="77777777" w:rsidR="008F0A0E" w:rsidRPr="008F0A0E" w:rsidRDefault="008F0A0E" w:rsidP="008F0A0E">
      <w:pPr>
        <w:spacing w:line="360" w:lineRule="auto"/>
        <w:jc w:val="both"/>
        <w:rPr>
          <w:rFonts w:ascii="Arial" w:hAnsi="Arial" w:cs="Arial"/>
          <w:sz w:val="24"/>
          <w:szCs w:val="24"/>
        </w:rPr>
      </w:pPr>
    </w:p>
    <w:p w14:paraId="398FC9B8" w14:textId="77777777" w:rsidR="008F0A0E" w:rsidRPr="008F0A0E" w:rsidRDefault="008F0A0E" w:rsidP="008F0A0E">
      <w:pPr>
        <w:spacing w:line="360" w:lineRule="auto"/>
        <w:jc w:val="both"/>
        <w:rPr>
          <w:rFonts w:ascii="Arial" w:hAnsi="Arial" w:cs="Arial"/>
          <w:sz w:val="24"/>
          <w:szCs w:val="24"/>
        </w:rPr>
      </w:pPr>
    </w:p>
    <w:p w14:paraId="5C3A5A14" w14:textId="77777777" w:rsidR="008F0A0E" w:rsidRPr="008F0A0E" w:rsidRDefault="008F0A0E" w:rsidP="008F0A0E">
      <w:pPr>
        <w:spacing w:line="360" w:lineRule="auto"/>
        <w:jc w:val="both"/>
        <w:rPr>
          <w:rFonts w:ascii="Arial" w:hAnsi="Arial" w:cs="Arial"/>
          <w:sz w:val="24"/>
          <w:szCs w:val="24"/>
        </w:rPr>
      </w:pPr>
    </w:p>
    <w:p w14:paraId="40BB5FEF" w14:textId="77777777" w:rsidR="008F0A0E" w:rsidRPr="008F0A0E" w:rsidRDefault="008F0A0E">
      <w:pPr>
        <w:rPr>
          <w:rFonts w:ascii="Arial" w:hAnsi="Arial" w:cs="Arial"/>
          <w:sz w:val="24"/>
          <w:szCs w:val="24"/>
        </w:rPr>
      </w:pPr>
    </w:p>
    <w:sectPr w:rsidR="008F0A0E" w:rsidRPr="008F0A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BC519" w14:textId="77777777" w:rsidR="00211EB3" w:rsidRDefault="00211EB3" w:rsidP="00DC1FF8">
      <w:pPr>
        <w:spacing w:after="0" w:line="240" w:lineRule="auto"/>
      </w:pPr>
      <w:r>
        <w:separator/>
      </w:r>
    </w:p>
  </w:endnote>
  <w:endnote w:type="continuationSeparator" w:id="0">
    <w:p w14:paraId="4E69B2DF" w14:textId="77777777" w:rsidR="00211EB3" w:rsidRDefault="00211EB3" w:rsidP="00DC1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F0144" w14:textId="77777777" w:rsidR="00211EB3" w:rsidRDefault="00211EB3" w:rsidP="00DC1FF8">
      <w:pPr>
        <w:spacing w:after="0" w:line="240" w:lineRule="auto"/>
      </w:pPr>
      <w:r>
        <w:separator/>
      </w:r>
    </w:p>
  </w:footnote>
  <w:footnote w:type="continuationSeparator" w:id="0">
    <w:p w14:paraId="4B8ADF73" w14:textId="77777777" w:rsidR="00211EB3" w:rsidRDefault="00211EB3" w:rsidP="00DC1F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E176F"/>
    <w:multiLevelType w:val="multilevel"/>
    <w:tmpl w:val="4A541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2060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696"/>
    <w:rsid w:val="00026550"/>
    <w:rsid w:val="000A5468"/>
    <w:rsid w:val="00184C16"/>
    <w:rsid w:val="00211EB3"/>
    <w:rsid w:val="008F0A0E"/>
    <w:rsid w:val="00DC1FF8"/>
    <w:rsid w:val="00E128DB"/>
    <w:rsid w:val="00EB2696"/>
    <w:rsid w:val="00F95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A8F92"/>
  <w15:chartTrackingRefBased/>
  <w15:docId w15:val="{BA334BA4-E14C-4E51-9A6B-5BC915D8A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A0E"/>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1FF8"/>
    <w:pPr>
      <w:tabs>
        <w:tab w:val="center" w:pos="4513"/>
        <w:tab w:val="right" w:pos="9026"/>
      </w:tabs>
      <w:spacing w:after="0" w:line="240" w:lineRule="auto"/>
    </w:pPr>
    <w:rPr>
      <w:lang w:val="en-GB"/>
    </w:rPr>
  </w:style>
  <w:style w:type="character" w:customStyle="1" w:styleId="HeaderChar">
    <w:name w:val="Header Char"/>
    <w:basedOn w:val="DefaultParagraphFont"/>
    <w:link w:val="Header"/>
    <w:uiPriority w:val="99"/>
    <w:rsid w:val="00DC1FF8"/>
  </w:style>
  <w:style w:type="paragraph" w:styleId="Footer">
    <w:name w:val="footer"/>
    <w:basedOn w:val="Normal"/>
    <w:link w:val="FooterChar"/>
    <w:uiPriority w:val="99"/>
    <w:unhideWhenUsed/>
    <w:rsid w:val="00DC1FF8"/>
    <w:pPr>
      <w:tabs>
        <w:tab w:val="center" w:pos="4513"/>
        <w:tab w:val="right" w:pos="9026"/>
      </w:tabs>
      <w:spacing w:after="0" w:line="240" w:lineRule="auto"/>
    </w:pPr>
    <w:rPr>
      <w:lang w:val="en-GB"/>
    </w:rPr>
  </w:style>
  <w:style w:type="character" w:customStyle="1" w:styleId="FooterChar">
    <w:name w:val="Footer Char"/>
    <w:basedOn w:val="DefaultParagraphFont"/>
    <w:link w:val="Footer"/>
    <w:uiPriority w:val="99"/>
    <w:rsid w:val="00DC1FF8"/>
  </w:style>
  <w:style w:type="character" w:styleId="Hyperlink">
    <w:name w:val="Hyperlink"/>
    <w:basedOn w:val="DefaultParagraphFont"/>
    <w:uiPriority w:val="99"/>
    <w:semiHidden/>
    <w:unhideWhenUsed/>
    <w:rsid w:val="008F0A0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235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tbo=p&amp;tbm=bks&amp;q=inauthor:%22P.+S.+Van+Dyk%22" TargetMode="External"/><Relationship Id="rId3" Type="http://schemas.openxmlformats.org/officeDocument/2006/relationships/settings" Target="settings.xml"/><Relationship Id="rId7" Type="http://schemas.openxmlformats.org/officeDocument/2006/relationships/hyperlink" Target="https://www.google.co.uk/search?tbo=p&amp;tbm=bks&amp;q=inauthor:%22Piet+S.+Nel%2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google.co.uk/search?tbo=p&amp;tbm=bks&amp;q=inauthor:%22P.+S.+Van+Dyk%22" TargetMode="External"/><Relationship Id="rId4" Type="http://schemas.openxmlformats.org/officeDocument/2006/relationships/webSettings" Target="webSettings.xml"/><Relationship Id="rId9" Type="http://schemas.openxmlformats.org/officeDocument/2006/relationships/hyperlink" Target="https://www.google.co.uk/search?tbo=p&amp;tbm=bks&amp;q=inauthor:%22Piet+S.+Nel%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9</Pages>
  <Words>2688</Words>
  <Characters>15326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17ChoudhouryA</dc:creator>
  <cp:keywords/>
  <dc:description/>
  <cp:lastModifiedBy>17ChoudhouryA</cp:lastModifiedBy>
  <cp:revision>3</cp:revision>
  <dcterms:created xsi:type="dcterms:W3CDTF">2023-10-19T08:21:00Z</dcterms:created>
  <dcterms:modified xsi:type="dcterms:W3CDTF">2023-10-23T13:21:00Z</dcterms:modified>
</cp:coreProperties>
</file>