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65E2DB" w14:textId="6FA9CCC0" w:rsidR="00BE2A57" w:rsidRDefault="005E303D" w:rsidP="005E303D">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2. Ancient representations of India often include large numbers of monstrous and fantastical creatures. With reference to one ancient source, what impact does this have on the representation of the country?</w:t>
      </w:r>
    </w:p>
    <w:p w14:paraId="496DA16C" w14:textId="384E1DCF" w:rsidR="005E303D" w:rsidRDefault="001F49DF" w:rsidP="00C642DA">
      <w:pPr>
        <w:spacing w:line="480" w:lineRule="auto"/>
        <w:rPr>
          <w:rFonts w:ascii="Times New Roman" w:hAnsi="Times New Roman" w:cs="Times New Roman"/>
          <w:sz w:val="24"/>
          <w:szCs w:val="24"/>
        </w:rPr>
      </w:pPr>
      <w:r>
        <w:rPr>
          <w:rFonts w:ascii="Times New Roman" w:hAnsi="Times New Roman" w:cs="Times New Roman"/>
          <w:sz w:val="24"/>
          <w:szCs w:val="24"/>
        </w:rPr>
        <w:t xml:space="preserve">In Ancient Greece, India was </w:t>
      </w:r>
      <w:r w:rsidR="00DC39AE">
        <w:rPr>
          <w:rFonts w:ascii="Times New Roman" w:hAnsi="Times New Roman" w:cs="Times New Roman"/>
          <w:sz w:val="24"/>
          <w:szCs w:val="24"/>
        </w:rPr>
        <w:t>situated on the edge of the known world. This meant that it was regarded as a place of mysticism and wonder. The first person to write about India was the “father of history” Herodotus</w:t>
      </w:r>
      <w:r w:rsidR="001F1892">
        <w:rPr>
          <w:rFonts w:ascii="Times New Roman" w:hAnsi="Times New Roman" w:cs="Times New Roman"/>
          <w:sz w:val="24"/>
          <w:szCs w:val="24"/>
        </w:rPr>
        <w:t xml:space="preserve"> in the 5</w:t>
      </w:r>
      <w:r w:rsidR="001F1892" w:rsidRPr="001F1892">
        <w:rPr>
          <w:rFonts w:ascii="Times New Roman" w:hAnsi="Times New Roman" w:cs="Times New Roman"/>
          <w:sz w:val="24"/>
          <w:szCs w:val="24"/>
          <w:vertAlign w:val="superscript"/>
        </w:rPr>
        <w:t>th</w:t>
      </w:r>
      <w:r w:rsidR="001F1892">
        <w:rPr>
          <w:rFonts w:ascii="Times New Roman" w:hAnsi="Times New Roman" w:cs="Times New Roman"/>
          <w:sz w:val="24"/>
          <w:szCs w:val="24"/>
        </w:rPr>
        <w:t xml:space="preserve"> Century BC</w:t>
      </w:r>
      <w:r w:rsidR="00DC39AE">
        <w:rPr>
          <w:rFonts w:ascii="Times New Roman" w:hAnsi="Times New Roman" w:cs="Times New Roman"/>
          <w:sz w:val="24"/>
          <w:szCs w:val="24"/>
        </w:rPr>
        <w:t>.</w:t>
      </w:r>
      <w:r w:rsidR="001F1892">
        <w:rPr>
          <w:rFonts w:ascii="Times New Roman" w:hAnsi="Times New Roman" w:cs="Times New Roman"/>
          <w:sz w:val="24"/>
          <w:szCs w:val="24"/>
        </w:rPr>
        <w:t xml:space="preserve"> He writes, “</w:t>
      </w:r>
      <w:r w:rsidR="001F1892" w:rsidRPr="001F1892">
        <w:rPr>
          <w:rFonts w:ascii="Times New Roman" w:hAnsi="Times New Roman" w:cs="Times New Roman"/>
          <w:sz w:val="24"/>
          <w:szCs w:val="24"/>
        </w:rPr>
        <w:t>As far as India, Asia is an inhabited land; but thereafter, all to the east is desolation, nor can anyone say what kind of land is there</w:t>
      </w:r>
      <w:r w:rsidR="001F1892">
        <w:rPr>
          <w:rFonts w:ascii="Times New Roman" w:hAnsi="Times New Roman" w:cs="Times New Roman"/>
          <w:sz w:val="24"/>
          <w:szCs w:val="24"/>
        </w:rPr>
        <w:t>”.</w:t>
      </w:r>
      <w:r w:rsidR="001F1892">
        <w:rPr>
          <w:rStyle w:val="FootnoteReference"/>
          <w:rFonts w:ascii="Times New Roman" w:hAnsi="Times New Roman" w:cs="Times New Roman"/>
          <w:sz w:val="24"/>
          <w:szCs w:val="24"/>
        </w:rPr>
        <w:footnoteReference w:id="1"/>
      </w:r>
      <w:r w:rsidR="00DC39AE">
        <w:rPr>
          <w:rFonts w:ascii="Times New Roman" w:hAnsi="Times New Roman" w:cs="Times New Roman"/>
          <w:sz w:val="24"/>
          <w:szCs w:val="24"/>
        </w:rPr>
        <w:t xml:space="preserve"> </w:t>
      </w:r>
      <w:r w:rsidR="001F1892">
        <w:rPr>
          <w:rFonts w:ascii="Times New Roman" w:hAnsi="Times New Roman" w:cs="Times New Roman"/>
          <w:sz w:val="24"/>
          <w:szCs w:val="24"/>
        </w:rPr>
        <w:t>In “Histories</w:t>
      </w:r>
      <w:r w:rsidR="00DC39AE">
        <w:rPr>
          <w:rFonts w:ascii="Times New Roman" w:hAnsi="Times New Roman" w:cs="Times New Roman"/>
          <w:sz w:val="24"/>
          <w:szCs w:val="24"/>
        </w:rPr>
        <w:t>”, he writes briefly about India in the context of it being conquered by Darius the Great in 516BC.</w:t>
      </w:r>
      <w:r w:rsidR="00DC39AE">
        <w:rPr>
          <w:rStyle w:val="FootnoteReference"/>
          <w:rFonts w:ascii="Times New Roman" w:hAnsi="Times New Roman" w:cs="Times New Roman"/>
          <w:sz w:val="24"/>
          <w:szCs w:val="24"/>
        </w:rPr>
        <w:footnoteReference w:id="2"/>
      </w:r>
      <w:r w:rsidR="00DC39AE">
        <w:rPr>
          <w:rFonts w:ascii="Times New Roman" w:hAnsi="Times New Roman" w:cs="Times New Roman"/>
          <w:sz w:val="24"/>
          <w:szCs w:val="24"/>
        </w:rPr>
        <w:t xml:space="preserve"> </w:t>
      </w:r>
      <w:r w:rsidR="008C7081">
        <w:rPr>
          <w:rFonts w:ascii="Times New Roman" w:hAnsi="Times New Roman" w:cs="Times New Roman"/>
          <w:sz w:val="24"/>
          <w:szCs w:val="24"/>
        </w:rPr>
        <w:t xml:space="preserve">Herodotus is well known for using sources in his work, and using these </w:t>
      </w:r>
      <w:r w:rsidR="001F1892">
        <w:rPr>
          <w:rFonts w:ascii="Times New Roman" w:hAnsi="Times New Roman" w:cs="Times New Roman"/>
          <w:sz w:val="24"/>
          <w:szCs w:val="24"/>
        </w:rPr>
        <w:t xml:space="preserve">given </w:t>
      </w:r>
      <w:r w:rsidR="008C7081">
        <w:rPr>
          <w:rFonts w:ascii="Times New Roman" w:hAnsi="Times New Roman" w:cs="Times New Roman"/>
          <w:sz w:val="24"/>
          <w:szCs w:val="24"/>
        </w:rPr>
        <w:t>narratives to possibly embellish and exaggerate stories pertaining to a country. For example, Herodotu</w:t>
      </w:r>
      <w:r w:rsidR="00C642DA">
        <w:rPr>
          <w:rFonts w:ascii="Times New Roman" w:hAnsi="Times New Roman" w:cs="Times New Roman"/>
          <w:sz w:val="24"/>
          <w:szCs w:val="24"/>
        </w:rPr>
        <w:t>s</w:t>
      </w:r>
      <w:r w:rsidR="008C7081">
        <w:rPr>
          <w:rFonts w:ascii="Times New Roman" w:hAnsi="Times New Roman" w:cs="Times New Roman"/>
          <w:sz w:val="24"/>
          <w:szCs w:val="24"/>
        </w:rPr>
        <w:t xml:space="preserve"> states that </w:t>
      </w:r>
      <w:r w:rsidR="001F1892">
        <w:rPr>
          <w:rFonts w:ascii="Times New Roman" w:hAnsi="Times New Roman" w:cs="Times New Roman"/>
          <w:sz w:val="24"/>
          <w:szCs w:val="24"/>
        </w:rPr>
        <w:t>the Greeks only have knowledge due to Scylax of Caryanda and his interaction with the Persian Empire.</w:t>
      </w:r>
      <w:r w:rsidR="001F1892">
        <w:rPr>
          <w:rStyle w:val="FootnoteReference"/>
          <w:rFonts w:ascii="Times New Roman" w:hAnsi="Times New Roman" w:cs="Times New Roman"/>
          <w:sz w:val="24"/>
          <w:szCs w:val="24"/>
        </w:rPr>
        <w:footnoteReference w:id="3"/>
      </w:r>
      <w:r w:rsidR="00552B94">
        <w:rPr>
          <w:rFonts w:ascii="Times New Roman" w:hAnsi="Times New Roman" w:cs="Times New Roman"/>
          <w:sz w:val="24"/>
          <w:szCs w:val="24"/>
        </w:rPr>
        <w:t xml:space="preserve"> Therefore, it is entirely possible that Herodotus wrote monstrous and fantastical creatures into his work to emphasise the mysterious and foreign elements of this place on the edge of the Greek world. </w:t>
      </w:r>
      <w:r w:rsidR="008D0137">
        <w:rPr>
          <w:rFonts w:ascii="Times New Roman" w:hAnsi="Times New Roman" w:cs="Times New Roman"/>
          <w:sz w:val="24"/>
          <w:szCs w:val="24"/>
        </w:rPr>
        <w:t>According to Hartog and Lloyd, “i</w:t>
      </w:r>
      <w:r w:rsidR="008D0137" w:rsidRPr="008D0137">
        <w:rPr>
          <w:rFonts w:ascii="Times New Roman" w:hAnsi="Times New Roman" w:cs="Times New Roman"/>
          <w:sz w:val="24"/>
          <w:szCs w:val="24"/>
        </w:rPr>
        <w:t>t is therefore impossible to write about the Histories of Herodotus without considering the history of how they have been interpreted</w:t>
      </w:r>
      <w:r w:rsidR="008D0137">
        <w:rPr>
          <w:rFonts w:ascii="Times New Roman" w:hAnsi="Times New Roman" w:cs="Times New Roman"/>
          <w:sz w:val="24"/>
          <w:szCs w:val="24"/>
        </w:rPr>
        <w:t>”.</w:t>
      </w:r>
      <w:r w:rsidR="008D0137">
        <w:rPr>
          <w:rStyle w:val="FootnoteReference"/>
          <w:rFonts w:ascii="Times New Roman" w:hAnsi="Times New Roman" w:cs="Times New Roman"/>
          <w:sz w:val="24"/>
          <w:szCs w:val="24"/>
        </w:rPr>
        <w:footnoteReference w:id="4"/>
      </w:r>
      <w:r w:rsidR="008D0137" w:rsidRPr="008D0137">
        <w:rPr>
          <w:rFonts w:ascii="Times New Roman" w:hAnsi="Times New Roman" w:cs="Times New Roman"/>
          <w:sz w:val="24"/>
          <w:szCs w:val="24"/>
        </w:rPr>
        <w:t xml:space="preserve"> </w:t>
      </w:r>
      <w:r w:rsidR="00552B94">
        <w:rPr>
          <w:rFonts w:ascii="Times New Roman" w:hAnsi="Times New Roman" w:cs="Times New Roman"/>
          <w:sz w:val="24"/>
          <w:szCs w:val="24"/>
        </w:rPr>
        <w:t>It also has to be remembered that Herodotus is writing about these places from the perspective of a Greek: “</w:t>
      </w:r>
      <w:r w:rsidR="00552B94" w:rsidRPr="00552B94">
        <w:rPr>
          <w:rFonts w:ascii="Times New Roman" w:hAnsi="Times New Roman" w:cs="Times New Roman"/>
          <w:sz w:val="24"/>
          <w:szCs w:val="24"/>
        </w:rPr>
        <w:t>Herodotus's focus on the difference of a nation (and all three passages present cultural practices entirely different from the contemporary Greek in three fundamental spheres of social distinction: the recognition of male kinship and status, the acquisition of women, and burial practices) is by now not surprising.</w:t>
      </w:r>
      <w:r w:rsidR="00552B94">
        <w:rPr>
          <w:rFonts w:ascii="Times New Roman" w:hAnsi="Times New Roman" w:cs="Times New Roman"/>
          <w:sz w:val="24"/>
          <w:szCs w:val="24"/>
        </w:rPr>
        <w:t>”</w:t>
      </w:r>
      <w:r w:rsidR="00552B94">
        <w:rPr>
          <w:rStyle w:val="FootnoteReference"/>
          <w:rFonts w:ascii="Times New Roman" w:hAnsi="Times New Roman" w:cs="Times New Roman"/>
          <w:sz w:val="24"/>
          <w:szCs w:val="24"/>
        </w:rPr>
        <w:footnoteReference w:id="5"/>
      </w:r>
      <w:r w:rsidR="00F409E8">
        <w:rPr>
          <w:rFonts w:ascii="Times New Roman" w:hAnsi="Times New Roman" w:cs="Times New Roman"/>
          <w:sz w:val="24"/>
          <w:szCs w:val="24"/>
        </w:rPr>
        <w:t xml:space="preserve"> </w:t>
      </w:r>
      <w:r w:rsidR="00C642DA">
        <w:rPr>
          <w:rFonts w:ascii="Times New Roman" w:hAnsi="Times New Roman" w:cs="Times New Roman"/>
          <w:sz w:val="24"/>
          <w:szCs w:val="24"/>
        </w:rPr>
        <w:t xml:space="preserve">Herodotus’s emphasis on the differences of a place possibly show that if somewhere did not belong to Greece, or did not have Greek influences, it was shown as an unusual, and ‘barbaric’ environment. Often in </w:t>
      </w:r>
      <w:r w:rsidR="00C642DA">
        <w:rPr>
          <w:rFonts w:ascii="Times New Roman" w:hAnsi="Times New Roman" w:cs="Times New Roman"/>
          <w:sz w:val="24"/>
          <w:szCs w:val="24"/>
        </w:rPr>
        <w:lastRenderedPageBreak/>
        <w:t>scholarship, these places are referred to as ‘the other’:</w:t>
      </w:r>
      <w:r w:rsidR="00C642DA" w:rsidRPr="00C642DA">
        <w:t xml:space="preserve"> </w:t>
      </w:r>
      <w:r w:rsidR="00C642DA">
        <w:rPr>
          <w:rFonts w:ascii="Times New Roman" w:hAnsi="Times New Roman" w:cs="Times New Roman"/>
          <w:sz w:val="24"/>
          <w:szCs w:val="24"/>
        </w:rPr>
        <w:t>“</w:t>
      </w:r>
      <w:r w:rsidR="00C642DA" w:rsidRPr="00C642DA">
        <w:rPr>
          <w:rFonts w:ascii="Times New Roman" w:hAnsi="Times New Roman" w:cs="Times New Roman"/>
          <w:sz w:val="24"/>
          <w:szCs w:val="24"/>
        </w:rPr>
        <w:t xml:space="preserve">To speak of the "other" is to postulate it as different, to postulate that there are two terms, a and b, and that a is not b. For example, there are Greeks and there are non-Greeks. </w:t>
      </w:r>
      <w:r w:rsidR="00C642DA">
        <w:rPr>
          <w:rFonts w:ascii="Times New Roman" w:hAnsi="Times New Roman" w:cs="Times New Roman"/>
          <w:sz w:val="24"/>
          <w:szCs w:val="24"/>
        </w:rPr>
        <w:t>T</w:t>
      </w:r>
      <w:r w:rsidR="00C642DA" w:rsidRPr="00C642DA">
        <w:rPr>
          <w:rFonts w:ascii="Times New Roman" w:hAnsi="Times New Roman" w:cs="Times New Roman"/>
          <w:sz w:val="24"/>
          <w:szCs w:val="24"/>
        </w:rPr>
        <w:t>here are points of differentiation and hence a determinate and significant difference between the two terms.</w:t>
      </w:r>
      <w:r w:rsidR="00C642DA">
        <w:rPr>
          <w:rFonts w:ascii="Times New Roman" w:hAnsi="Times New Roman" w:cs="Times New Roman"/>
          <w:sz w:val="24"/>
          <w:szCs w:val="24"/>
        </w:rPr>
        <w:t xml:space="preserve"> </w:t>
      </w:r>
      <w:r w:rsidR="00C642DA" w:rsidRPr="00C642DA">
        <w:rPr>
          <w:rFonts w:ascii="Times New Roman" w:hAnsi="Times New Roman" w:cs="Times New Roman"/>
          <w:sz w:val="24"/>
          <w:szCs w:val="24"/>
        </w:rPr>
        <w:t>For example, there are Greeks and there are barbarians.</w:t>
      </w:r>
      <w:r w:rsidR="00C642DA">
        <w:rPr>
          <w:rFonts w:ascii="Times New Roman" w:hAnsi="Times New Roman" w:cs="Times New Roman"/>
          <w:sz w:val="24"/>
          <w:szCs w:val="24"/>
        </w:rPr>
        <w:t>”</w:t>
      </w:r>
      <w:r w:rsidR="00C642DA">
        <w:rPr>
          <w:rStyle w:val="FootnoteReference"/>
          <w:rFonts w:ascii="Times New Roman" w:hAnsi="Times New Roman" w:cs="Times New Roman"/>
          <w:sz w:val="24"/>
          <w:szCs w:val="24"/>
        </w:rPr>
        <w:footnoteReference w:id="6"/>
      </w:r>
      <w:r w:rsidR="000B2932">
        <w:rPr>
          <w:rFonts w:ascii="Times New Roman" w:hAnsi="Times New Roman" w:cs="Times New Roman"/>
          <w:sz w:val="24"/>
          <w:szCs w:val="24"/>
        </w:rPr>
        <w:t xml:space="preserve"> </w:t>
      </w:r>
      <w:r w:rsidR="00C02470">
        <w:rPr>
          <w:rFonts w:ascii="Times New Roman" w:hAnsi="Times New Roman" w:cs="Times New Roman"/>
          <w:sz w:val="24"/>
          <w:szCs w:val="24"/>
        </w:rPr>
        <w:t xml:space="preserve">When examining “Histories, these factors cannot be ignored, but rather they help to understand the background to the way Herodotus writes and their influences on the work. Herodotus focuses on his work through three perspectives: </w:t>
      </w:r>
      <w:r w:rsidR="00C02470" w:rsidRPr="00C02470">
        <w:rPr>
          <w:rFonts w:ascii="Times New Roman" w:hAnsi="Times New Roman" w:cs="Times New Roman"/>
          <w:sz w:val="24"/>
          <w:szCs w:val="24"/>
        </w:rPr>
        <w:t xml:space="preserve">ethnographical, geographical, </w:t>
      </w:r>
      <w:r w:rsidR="00C02470">
        <w:rPr>
          <w:rFonts w:ascii="Times New Roman" w:hAnsi="Times New Roman" w:cs="Times New Roman"/>
          <w:sz w:val="24"/>
          <w:szCs w:val="24"/>
        </w:rPr>
        <w:t xml:space="preserve">and </w:t>
      </w:r>
      <w:r w:rsidR="00C02470" w:rsidRPr="00C02470">
        <w:rPr>
          <w:rFonts w:ascii="Times New Roman" w:hAnsi="Times New Roman" w:cs="Times New Roman"/>
          <w:sz w:val="24"/>
          <w:szCs w:val="24"/>
        </w:rPr>
        <w:t>historiographical</w:t>
      </w:r>
      <w:r w:rsidR="00C02470">
        <w:rPr>
          <w:rFonts w:ascii="Times New Roman" w:hAnsi="Times New Roman" w:cs="Times New Roman"/>
          <w:sz w:val="24"/>
          <w:szCs w:val="24"/>
        </w:rPr>
        <w:t xml:space="preserve">. In order to discuss the </w:t>
      </w:r>
      <w:r w:rsidR="004952A9">
        <w:rPr>
          <w:rFonts w:ascii="Times New Roman" w:hAnsi="Times New Roman" w:cs="Times New Roman"/>
          <w:sz w:val="24"/>
          <w:szCs w:val="24"/>
        </w:rPr>
        <w:t>impact</w:t>
      </w:r>
      <w:r w:rsidR="00C02470">
        <w:rPr>
          <w:rFonts w:ascii="Times New Roman" w:hAnsi="Times New Roman" w:cs="Times New Roman"/>
          <w:sz w:val="24"/>
          <w:szCs w:val="24"/>
        </w:rPr>
        <w:t xml:space="preserve"> the “Histories” had on the representation of India, this essay will examine the geographical landscape described, the people described, and finally, the animals described.</w:t>
      </w:r>
    </w:p>
    <w:p w14:paraId="11FAB646" w14:textId="61E486BA" w:rsidR="00964792" w:rsidRDefault="00964792" w:rsidP="00C642DA">
      <w:pPr>
        <w:spacing w:line="480" w:lineRule="auto"/>
        <w:rPr>
          <w:rFonts w:ascii="Times New Roman" w:hAnsi="Times New Roman" w:cs="Times New Roman"/>
          <w:sz w:val="24"/>
          <w:szCs w:val="24"/>
        </w:rPr>
      </w:pPr>
    </w:p>
    <w:p w14:paraId="17118070" w14:textId="63B21F48" w:rsidR="00964792" w:rsidRDefault="00802BEF" w:rsidP="00C642DA">
      <w:pPr>
        <w:spacing w:line="480" w:lineRule="auto"/>
        <w:rPr>
          <w:rFonts w:ascii="Times New Roman" w:hAnsi="Times New Roman" w:cs="Times New Roman"/>
          <w:sz w:val="24"/>
          <w:szCs w:val="24"/>
        </w:rPr>
      </w:pPr>
      <w:r>
        <w:rPr>
          <w:rFonts w:ascii="Times New Roman" w:hAnsi="Times New Roman" w:cs="Times New Roman"/>
          <w:sz w:val="24"/>
          <w:szCs w:val="24"/>
        </w:rPr>
        <w:t>Referring to India’s place in the world, Priestley states, “a</w:t>
      </w:r>
      <w:r w:rsidRPr="00802BEF">
        <w:rPr>
          <w:rFonts w:ascii="Times New Roman" w:hAnsi="Times New Roman" w:cs="Times New Roman"/>
          <w:sz w:val="24"/>
          <w:szCs w:val="24"/>
        </w:rPr>
        <w:t>lthough at the extremes, India is nevertheless explicitly classified as part of the known world, suggesting that the reference points by which the wondrous elements will be judged are the norms of the Greek world.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
      </w:r>
      <w:r w:rsidRPr="00802BEF">
        <w:rPr>
          <w:rFonts w:ascii="Times New Roman" w:hAnsi="Times New Roman" w:cs="Times New Roman"/>
          <w:sz w:val="24"/>
          <w:szCs w:val="24"/>
        </w:rPr>
        <w:t xml:space="preserve"> </w:t>
      </w:r>
      <w:r>
        <w:rPr>
          <w:rFonts w:ascii="Times New Roman" w:hAnsi="Times New Roman" w:cs="Times New Roman"/>
          <w:sz w:val="24"/>
          <w:szCs w:val="24"/>
        </w:rPr>
        <w:t xml:space="preserve">This is a good place to start when examining the impact of the “Histories” on the representation of India, as to understand it, the place of India in the Greek world should be established. </w:t>
      </w:r>
      <w:r w:rsidR="00447706">
        <w:rPr>
          <w:rFonts w:ascii="Times New Roman" w:hAnsi="Times New Roman" w:cs="Times New Roman"/>
          <w:sz w:val="24"/>
          <w:szCs w:val="24"/>
        </w:rPr>
        <w:t>When describing India, Herodotus’ first words are: “</w:t>
      </w:r>
      <w:r w:rsidR="00447706" w:rsidRPr="00447706">
        <w:rPr>
          <w:rFonts w:ascii="Times New Roman" w:hAnsi="Times New Roman" w:cs="Times New Roman"/>
          <w:sz w:val="24"/>
          <w:szCs w:val="24"/>
        </w:rPr>
        <w:t>The Indians made up the twentieth province. These are more in number than any nation of which we know, and they paid a greater tribute than any other province, namely three hundred and sixty talents of gold dust.</w:t>
      </w:r>
      <w:r w:rsidR="00447706">
        <w:rPr>
          <w:rFonts w:ascii="Times New Roman" w:hAnsi="Times New Roman" w:cs="Times New Roman"/>
          <w:sz w:val="24"/>
          <w:szCs w:val="24"/>
        </w:rPr>
        <w:t>”</w:t>
      </w:r>
      <w:r w:rsidR="00447706">
        <w:rPr>
          <w:rStyle w:val="FootnoteReference"/>
          <w:rFonts w:ascii="Times New Roman" w:hAnsi="Times New Roman" w:cs="Times New Roman"/>
          <w:sz w:val="24"/>
          <w:szCs w:val="24"/>
        </w:rPr>
        <w:footnoteReference w:id="8"/>
      </w:r>
      <w:r w:rsidR="00447706">
        <w:rPr>
          <w:rFonts w:ascii="Times New Roman" w:hAnsi="Times New Roman" w:cs="Times New Roman"/>
          <w:sz w:val="24"/>
          <w:szCs w:val="24"/>
        </w:rPr>
        <w:t xml:space="preserve"> In this passage, Herodotus is discussing the tributes that the Indians pay to Darius the Great. Typically of Herodotus, he uses numbers and amounts to convey the size of India. This method is repeated throughout the “Histories”</w:t>
      </w:r>
      <w:r w:rsidR="008D0137">
        <w:rPr>
          <w:rFonts w:ascii="Times New Roman" w:hAnsi="Times New Roman" w:cs="Times New Roman"/>
          <w:sz w:val="24"/>
          <w:szCs w:val="24"/>
        </w:rPr>
        <w:t xml:space="preserve"> as Priestley explains, “n</w:t>
      </w:r>
      <w:r w:rsidR="008D0137" w:rsidRPr="008D0137">
        <w:rPr>
          <w:rFonts w:ascii="Times New Roman" w:hAnsi="Times New Roman" w:cs="Times New Roman"/>
          <w:sz w:val="24"/>
          <w:szCs w:val="24"/>
        </w:rPr>
        <w:t xml:space="preserve">umbers and measurements are a feature of Herodotus’ rhetoric in instances where he is reporting a wonder which is impressive for its size…Numbers </w:t>
      </w:r>
      <w:r w:rsidR="008D0137" w:rsidRPr="008D0137">
        <w:rPr>
          <w:rFonts w:ascii="Times New Roman" w:hAnsi="Times New Roman" w:cs="Times New Roman"/>
          <w:sz w:val="24"/>
          <w:szCs w:val="24"/>
        </w:rPr>
        <w:lastRenderedPageBreak/>
        <w:t>are designed to lend credibility to a description, as well as to act as a type of proof that the object being described does indeed deserve its tag of thōma</w:t>
      </w:r>
      <w:r w:rsidR="008D0137">
        <w:rPr>
          <w:rFonts w:ascii="Times New Roman" w:hAnsi="Times New Roman" w:cs="Times New Roman"/>
          <w:sz w:val="24"/>
          <w:szCs w:val="24"/>
        </w:rPr>
        <w:t xml:space="preserve"> (astonishment)</w:t>
      </w:r>
      <w:r w:rsidR="008D0137" w:rsidRPr="008D0137">
        <w:rPr>
          <w:rFonts w:ascii="Times New Roman" w:hAnsi="Times New Roman" w:cs="Times New Roman"/>
          <w:sz w:val="24"/>
          <w:szCs w:val="24"/>
        </w:rPr>
        <w:t>.</w:t>
      </w:r>
      <w:r w:rsidR="008D0137">
        <w:rPr>
          <w:rFonts w:ascii="Times New Roman" w:hAnsi="Times New Roman" w:cs="Times New Roman"/>
          <w:sz w:val="24"/>
          <w:szCs w:val="24"/>
        </w:rPr>
        <w:t>”</w:t>
      </w:r>
      <w:r w:rsidR="008D0137">
        <w:rPr>
          <w:rStyle w:val="FootnoteReference"/>
          <w:rFonts w:ascii="Times New Roman" w:hAnsi="Times New Roman" w:cs="Times New Roman"/>
          <w:sz w:val="24"/>
          <w:szCs w:val="24"/>
        </w:rPr>
        <w:footnoteReference w:id="9"/>
      </w:r>
      <w:r w:rsidR="00237423">
        <w:rPr>
          <w:rFonts w:ascii="Times New Roman" w:hAnsi="Times New Roman" w:cs="Times New Roman"/>
          <w:sz w:val="24"/>
          <w:szCs w:val="24"/>
        </w:rPr>
        <w:t xml:space="preserve"> In relating size in this manner, Herodotus is ensuring that his readers understand the enormity and significance of India, </w:t>
      </w:r>
      <w:r w:rsidR="00AA390A">
        <w:rPr>
          <w:rFonts w:ascii="Times New Roman" w:hAnsi="Times New Roman" w:cs="Times New Roman"/>
          <w:sz w:val="24"/>
          <w:szCs w:val="24"/>
        </w:rPr>
        <w:t>giving</w:t>
      </w:r>
      <w:r w:rsidR="00237423">
        <w:rPr>
          <w:rFonts w:ascii="Times New Roman" w:hAnsi="Times New Roman" w:cs="Times New Roman"/>
          <w:sz w:val="24"/>
          <w:szCs w:val="24"/>
        </w:rPr>
        <w:t xml:space="preserve"> it </w:t>
      </w:r>
      <w:r w:rsidR="00AA390A">
        <w:rPr>
          <w:rFonts w:ascii="Times New Roman" w:hAnsi="Times New Roman" w:cs="Times New Roman"/>
          <w:sz w:val="24"/>
          <w:szCs w:val="24"/>
        </w:rPr>
        <w:t>a bigger impact</w:t>
      </w:r>
      <w:r w:rsidR="00237423">
        <w:rPr>
          <w:rFonts w:ascii="Times New Roman" w:hAnsi="Times New Roman" w:cs="Times New Roman"/>
          <w:sz w:val="24"/>
          <w:szCs w:val="24"/>
        </w:rPr>
        <w:t>.</w:t>
      </w:r>
      <w:r w:rsidR="00F94FFB">
        <w:rPr>
          <w:rFonts w:ascii="Times New Roman" w:hAnsi="Times New Roman" w:cs="Times New Roman"/>
          <w:sz w:val="24"/>
          <w:szCs w:val="24"/>
        </w:rPr>
        <w:t xml:space="preserve"> The mention of gold makes India seem more exotic,</w:t>
      </w:r>
      <w:r w:rsidR="000902F9" w:rsidRPr="000902F9">
        <w:t xml:space="preserve"> </w:t>
      </w:r>
      <w:r w:rsidR="000902F9">
        <w:rPr>
          <w:rFonts w:ascii="Times New Roman" w:hAnsi="Times New Roman" w:cs="Times New Roman"/>
          <w:sz w:val="24"/>
          <w:szCs w:val="24"/>
        </w:rPr>
        <w:t>“t</w:t>
      </w:r>
      <w:r w:rsidR="000902F9" w:rsidRPr="000902F9">
        <w:rPr>
          <w:rFonts w:ascii="Times New Roman" w:hAnsi="Times New Roman" w:cs="Times New Roman"/>
          <w:sz w:val="24"/>
          <w:szCs w:val="24"/>
        </w:rPr>
        <w:t>he most outlying nations of the world have somehow drawn the finest things as their lot, exactly as Greece has drawn the possession of far the best seasons</w:t>
      </w:r>
      <w:r w:rsidR="000902F9">
        <w:rPr>
          <w:rFonts w:ascii="Times New Roman" w:hAnsi="Times New Roman" w:cs="Times New Roman"/>
          <w:sz w:val="24"/>
          <w:szCs w:val="24"/>
        </w:rPr>
        <w:t>”</w:t>
      </w:r>
      <w:r w:rsidR="000902F9">
        <w:rPr>
          <w:rStyle w:val="FootnoteReference"/>
          <w:rFonts w:ascii="Times New Roman" w:hAnsi="Times New Roman" w:cs="Times New Roman"/>
          <w:sz w:val="24"/>
          <w:szCs w:val="24"/>
        </w:rPr>
        <w:footnoteReference w:id="10"/>
      </w:r>
      <w:r w:rsidR="000902F9">
        <w:rPr>
          <w:rFonts w:ascii="Times New Roman" w:hAnsi="Times New Roman" w:cs="Times New Roman"/>
          <w:sz w:val="24"/>
          <w:szCs w:val="24"/>
        </w:rPr>
        <w:t>,</w:t>
      </w:r>
      <w:r w:rsidR="000902F9" w:rsidRPr="000902F9">
        <w:rPr>
          <w:rFonts w:ascii="Times New Roman" w:hAnsi="Times New Roman" w:cs="Times New Roman"/>
          <w:sz w:val="24"/>
          <w:szCs w:val="24"/>
        </w:rPr>
        <w:t xml:space="preserve"> </w:t>
      </w:r>
      <w:r w:rsidR="00F94FFB">
        <w:rPr>
          <w:rFonts w:ascii="Times New Roman" w:hAnsi="Times New Roman" w:cs="Times New Roman"/>
          <w:sz w:val="24"/>
          <w:szCs w:val="24"/>
        </w:rPr>
        <w:t xml:space="preserve"> but it is the method of how the gold is collected that is Herodotus’s main focus. This will be examined later on. </w:t>
      </w:r>
      <w:r w:rsidR="003937E8">
        <w:rPr>
          <w:rFonts w:ascii="Times New Roman" w:hAnsi="Times New Roman" w:cs="Times New Roman"/>
          <w:sz w:val="24"/>
          <w:szCs w:val="24"/>
        </w:rPr>
        <w:t>Geographically speaking, Herodotus’s main focus over the ensuing passages is on the sun: “</w:t>
      </w:r>
      <w:r w:rsidR="003937E8" w:rsidRPr="003937E8">
        <w:rPr>
          <w:rFonts w:ascii="Times New Roman" w:hAnsi="Times New Roman" w:cs="Times New Roman"/>
          <w:sz w:val="24"/>
          <w:szCs w:val="24"/>
        </w:rPr>
        <w:t>the Indians dwell nearest to the dawn and the rising sun; for on the eastern side of India all is desolate because of the sand</w:t>
      </w:r>
      <w:r w:rsidR="003937E8">
        <w:rPr>
          <w:rFonts w:ascii="Times New Roman" w:hAnsi="Times New Roman" w:cs="Times New Roman"/>
          <w:sz w:val="24"/>
          <w:szCs w:val="24"/>
        </w:rPr>
        <w:t>”.</w:t>
      </w:r>
      <w:r w:rsidR="003937E8">
        <w:rPr>
          <w:rStyle w:val="FootnoteReference"/>
          <w:rFonts w:ascii="Times New Roman" w:hAnsi="Times New Roman" w:cs="Times New Roman"/>
          <w:sz w:val="24"/>
          <w:szCs w:val="24"/>
        </w:rPr>
        <w:footnoteReference w:id="11"/>
      </w:r>
      <w:r w:rsidR="003937E8">
        <w:rPr>
          <w:rFonts w:ascii="Times New Roman" w:hAnsi="Times New Roman" w:cs="Times New Roman"/>
          <w:sz w:val="24"/>
          <w:szCs w:val="24"/>
        </w:rPr>
        <w:t xml:space="preserve"> Herodotus is therefore explaining why the Indians live to the west. However, he has possibly written this as the </w:t>
      </w:r>
      <w:r w:rsidR="00A02513">
        <w:rPr>
          <w:rFonts w:ascii="Times New Roman" w:hAnsi="Times New Roman" w:cs="Times New Roman"/>
          <w:sz w:val="24"/>
          <w:szCs w:val="24"/>
        </w:rPr>
        <w:t xml:space="preserve">eastern part of the Indus basin was unexplored and he could not write about it. Different tribes seem to live in different places in India according to their lifestyle. Herodotus mentions those living alongside rivers, </w:t>
      </w:r>
      <w:r w:rsidR="009A1B7F">
        <w:rPr>
          <w:rFonts w:ascii="Times New Roman" w:hAnsi="Times New Roman" w:cs="Times New Roman"/>
          <w:sz w:val="24"/>
          <w:szCs w:val="24"/>
        </w:rPr>
        <w:t>deserts,</w:t>
      </w:r>
      <w:r w:rsidR="00A02513">
        <w:rPr>
          <w:rFonts w:ascii="Times New Roman" w:hAnsi="Times New Roman" w:cs="Times New Roman"/>
          <w:sz w:val="24"/>
          <w:szCs w:val="24"/>
        </w:rPr>
        <w:t xml:space="preserve"> and the sun, suggesting that the Indians were not restricted by their landscape, and instead thrived in it, albeit not in a Greek manner. </w:t>
      </w:r>
      <w:r w:rsidR="009A1B7F">
        <w:rPr>
          <w:rFonts w:ascii="Times New Roman" w:hAnsi="Times New Roman" w:cs="Times New Roman"/>
          <w:sz w:val="24"/>
          <w:szCs w:val="24"/>
        </w:rPr>
        <w:t>Finally, Herodotus writes, “n</w:t>
      </w:r>
      <w:r w:rsidR="009A1B7F" w:rsidRPr="009A1B7F">
        <w:rPr>
          <w:rFonts w:ascii="Times New Roman" w:hAnsi="Times New Roman" w:cs="Times New Roman"/>
          <w:sz w:val="24"/>
          <w:szCs w:val="24"/>
        </w:rPr>
        <w:t>ow in these parts the sun is hottest in the morning, not at midday as elsewhere, but from sunrise to the hour of market-closing. Through these hours it is much hotter than in Hellas at noon, so that men are said to sprinkle themselves with water at this time. At midday the sun's heat is nearly the same in India as elsewhere. As it goes to afternoon, the sun of India has the power of the morning sun in other lands; as day declines it becomes ever cooler, until at sunset it is exceedingly cold</w:t>
      </w:r>
      <w:r w:rsidR="009A1B7F">
        <w:rPr>
          <w:rFonts w:ascii="Times New Roman" w:hAnsi="Times New Roman" w:cs="Times New Roman"/>
          <w:sz w:val="24"/>
          <w:szCs w:val="24"/>
        </w:rPr>
        <w:t>”.</w:t>
      </w:r>
      <w:r w:rsidR="009A1B7F">
        <w:rPr>
          <w:rStyle w:val="FootnoteReference"/>
          <w:rFonts w:ascii="Times New Roman" w:hAnsi="Times New Roman" w:cs="Times New Roman"/>
          <w:sz w:val="24"/>
          <w:szCs w:val="24"/>
        </w:rPr>
        <w:footnoteReference w:id="12"/>
      </w:r>
      <w:r w:rsidR="009A1B7F">
        <w:rPr>
          <w:rFonts w:ascii="Times New Roman" w:hAnsi="Times New Roman" w:cs="Times New Roman"/>
          <w:sz w:val="24"/>
          <w:szCs w:val="24"/>
        </w:rPr>
        <w:t xml:space="preserve"> This emphasis on the heat and the weather of India provides the reader with an image to visualise, explaining the colour of the inhabitants and its often-barren landscape. An environment such as this would have seemed like a completely </w:t>
      </w:r>
      <w:r w:rsidR="009A1B7F">
        <w:rPr>
          <w:rFonts w:ascii="Times New Roman" w:hAnsi="Times New Roman" w:cs="Times New Roman"/>
          <w:sz w:val="24"/>
          <w:szCs w:val="24"/>
        </w:rPr>
        <w:lastRenderedPageBreak/>
        <w:t>different world from the known Greek one and would have had a great impact on the imagination and representation of India as a mysterious and unique land.</w:t>
      </w:r>
    </w:p>
    <w:p w14:paraId="4366F7C8" w14:textId="0B0054E0" w:rsidR="001A172A" w:rsidRDefault="001A172A" w:rsidP="00C642DA">
      <w:pPr>
        <w:spacing w:line="480" w:lineRule="auto"/>
        <w:rPr>
          <w:rFonts w:ascii="Times New Roman" w:hAnsi="Times New Roman" w:cs="Times New Roman"/>
          <w:sz w:val="24"/>
          <w:szCs w:val="24"/>
        </w:rPr>
      </w:pPr>
    </w:p>
    <w:p w14:paraId="7C5723CB" w14:textId="2D82FE57" w:rsidR="001A172A" w:rsidRDefault="00DC5585" w:rsidP="00C642DA">
      <w:pPr>
        <w:spacing w:line="480" w:lineRule="auto"/>
        <w:rPr>
          <w:rFonts w:ascii="Times New Roman" w:hAnsi="Times New Roman" w:cs="Times New Roman"/>
          <w:sz w:val="24"/>
          <w:szCs w:val="24"/>
        </w:rPr>
      </w:pPr>
      <w:r>
        <w:rPr>
          <w:rFonts w:ascii="Times New Roman" w:hAnsi="Times New Roman" w:cs="Times New Roman"/>
          <w:sz w:val="24"/>
          <w:szCs w:val="24"/>
        </w:rPr>
        <w:t>The people represented in the “Histories” have been coloured by Herodotus to seem ‘otherworldly’ and ‘barbaric’ by Greek standards</w:t>
      </w:r>
      <w:r w:rsidR="00E37E20">
        <w:rPr>
          <w:rFonts w:ascii="Times New Roman" w:hAnsi="Times New Roman" w:cs="Times New Roman"/>
          <w:sz w:val="24"/>
          <w:szCs w:val="24"/>
        </w:rPr>
        <w:t>: “t</w:t>
      </w:r>
      <w:r w:rsidR="00E37E20" w:rsidRPr="00E37E20">
        <w:rPr>
          <w:rFonts w:ascii="Times New Roman" w:hAnsi="Times New Roman" w:cs="Times New Roman"/>
          <w:sz w:val="24"/>
          <w:szCs w:val="24"/>
        </w:rPr>
        <w:t>he superlative is then used, even at the moment when there are fewest extremes and minimal difference, to highlight difference from other men. Description of the extremes of a people's customs creates a hierarchy of customs, an evaluative ordering</w:t>
      </w:r>
      <w:r w:rsidR="00E37E20">
        <w:rPr>
          <w:rFonts w:ascii="Times New Roman" w:hAnsi="Times New Roman" w:cs="Times New Roman"/>
          <w:sz w:val="24"/>
          <w:szCs w:val="24"/>
        </w:rPr>
        <w:t>”</w:t>
      </w:r>
      <w:r w:rsidR="00E37E20" w:rsidRPr="00E37E20">
        <w:rPr>
          <w:rFonts w:ascii="Times New Roman" w:hAnsi="Times New Roman" w:cs="Times New Roman"/>
          <w:sz w:val="24"/>
          <w:szCs w:val="24"/>
        </w:rPr>
        <w:t>.</w:t>
      </w:r>
      <w:r w:rsidR="00E37E20">
        <w:rPr>
          <w:rStyle w:val="FootnoteReference"/>
          <w:rFonts w:ascii="Times New Roman" w:hAnsi="Times New Roman" w:cs="Times New Roman"/>
          <w:sz w:val="24"/>
          <w:szCs w:val="24"/>
        </w:rPr>
        <w:footnoteReference w:id="13"/>
      </w:r>
      <w:r w:rsidR="0056366A">
        <w:rPr>
          <w:rFonts w:ascii="Times New Roman" w:hAnsi="Times New Roman" w:cs="Times New Roman"/>
          <w:sz w:val="24"/>
          <w:szCs w:val="24"/>
        </w:rPr>
        <w:t xml:space="preserve"> Herodotus is writing under the assumption that Greek society is better than theirs, and by describing the Indians as being so different than the Greeks encourages the reader to, in a way, see them as a sort of ‘fantastical creature’. </w:t>
      </w:r>
      <w:r w:rsidR="0047106D">
        <w:rPr>
          <w:rFonts w:ascii="Times New Roman" w:hAnsi="Times New Roman" w:cs="Times New Roman"/>
          <w:sz w:val="24"/>
          <w:szCs w:val="24"/>
        </w:rPr>
        <w:t>He first mentions, “t</w:t>
      </w:r>
      <w:r w:rsidR="0047106D" w:rsidRPr="0047106D">
        <w:rPr>
          <w:rFonts w:ascii="Times New Roman" w:hAnsi="Times New Roman" w:cs="Times New Roman"/>
          <w:sz w:val="24"/>
          <w:szCs w:val="24"/>
        </w:rPr>
        <w:t>here are many Indian nations, none speaking the same language; some of them are nomads, some not; some dwell in the river marshes and live on raw fish, which they catch from reed boats. Each boat is made of one joint of reed. These Indians wear clothes of bullrushes; they mow and cut these from the river, then weave them crosswise like a mat, and wear them like a breastplate</w:t>
      </w:r>
      <w:r w:rsidR="0047106D">
        <w:rPr>
          <w:rFonts w:ascii="Times New Roman" w:hAnsi="Times New Roman" w:cs="Times New Roman"/>
          <w:sz w:val="24"/>
          <w:szCs w:val="24"/>
        </w:rPr>
        <w:t>”</w:t>
      </w:r>
      <w:r w:rsidR="0047106D" w:rsidRPr="0047106D">
        <w:rPr>
          <w:rFonts w:ascii="Times New Roman" w:hAnsi="Times New Roman" w:cs="Times New Roman"/>
          <w:sz w:val="24"/>
          <w:szCs w:val="24"/>
        </w:rPr>
        <w:t>.</w:t>
      </w:r>
      <w:r w:rsidR="0047106D">
        <w:rPr>
          <w:rStyle w:val="FootnoteReference"/>
          <w:rFonts w:ascii="Times New Roman" w:hAnsi="Times New Roman" w:cs="Times New Roman"/>
          <w:sz w:val="24"/>
          <w:szCs w:val="24"/>
        </w:rPr>
        <w:footnoteReference w:id="14"/>
      </w:r>
      <w:r w:rsidR="00CB4484">
        <w:rPr>
          <w:rFonts w:ascii="Times New Roman" w:hAnsi="Times New Roman" w:cs="Times New Roman"/>
          <w:sz w:val="24"/>
          <w:szCs w:val="24"/>
        </w:rPr>
        <w:t xml:space="preserve"> The fact that the Indians do not even speak the same language impresses on the reader how strange their society must be if they cannot even communicate with each other, even though they come from the same country. </w:t>
      </w:r>
      <w:r w:rsidR="00295B8C">
        <w:rPr>
          <w:rFonts w:ascii="Times New Roman" w:hAnsi="Times New Roman" w:cs="Times New Roman"/>
          <w:sz w:val="24"/>
          <w:szCs w:val="24"/>
        </w:rPr>
        <w:t>The mention of their clothing also alludes to the fact that they must be ‘uncivilised’, again leaving an impression o</w:t>
      </w:r>
      <w:r w:rsidR="00D60BFD">
        <w:rPr>
          <w:rFonts w:ascii="Times New Roman" w:hAnsi="Times New Roman" w:cs="Times New Roman"/>
          <w:sz w:val="24"/>
          <w:szCs w:val="24"/>
        </w:rPr>
        <w:t>n</w:t>
      </w:r>
      <w:r w:rsidR="00295B8C">
        <w:rPr>
          <w:rFonts w:ascii="Times New Roman" w:hAnsi="Times New Roman" w:cs="Times New Roman"/>
          <w:sz w:val="24"/>
          <w:szCs w:val="24"/>
        </w:rPr>
        <w:t xml:space="preserve"> the reader that colours their perception of the country.</w:t>
      </w:r>
      <w:r w:rsidR="00042F64">
        <w:rPr>
          <w:rFonts w:ascii="Times New Roman" w:hAnsi="Times New Roman" w:cs="Times New Roman"/>
          <w:sz w:val="24"/>
          <w:szCs w:val="24"/>
        </w:rPr>
        <w:t xml:space="preserve"> Herodotus’s next example of the people of India would definitely have left an impact on the representation, and the perception of the county: “o</w:t>
      </w:r>
      <w:r w:rsidR="00042F64" w:rsidRPr="00042F64">
        <w:rPr>
          <w:rFonts w:ascii="Times New Roman" w:hAnsi="Times New Roman" w:cs="Times New Roman"/>
          <w:sz w:val="24"/>
          <w:szCs w:val="24"/>
        </w:rPr>
        <w:t xml:space="preserve">ther Indians, to the east of these, are nomads and eat raw flesh; they are called Padaei. It is said to be their custom that when anyone of their fellows, whether man or woman, is sick, a man's closest friends kill him, saying that if wasted by disease he will be lost to them as meat; though he denies that he is sick, they will not </w:t>
      </w:r>
      <w:r w:rsidR="00042F64" w:rsidRPr="00042F64">
        <w:rPr>
          <w:rFonts w:ascii="Times New Roman" w:hAnsi="Times New Roman" w:cs="Times New Roman"/>
          <w:sz w:val="24"/>
          <w:szCs w:val="24"/>
        </w:rPr>
        <w:lastRenderedPageBreak/>
        <w:t>believe him, but kill and eat him. When a woman is sick, she is put to death like the men by the women who are her close acquaintances. As for one that has come to old age, they sacrifice him and feast on his flesh; but not many reach this reckoning, for before that everyone who falls ill they kill</w:t>
      </w:r>
      <w:r w:rsidR="00042F64">
        <w:rPr>
          <w:rFonts w:ascii="Times New Roman" w:hAnsi="Times New Roman" w:cs="Times New Roman"/>
          <w:sz w:val="24"/>
          <w:szCs w:val="24"/>
        </w:rPr>
        <w:t>”.</w:t>
      </w:r>
      <w:r w:rsidR="00042F64">
        <w:rPr>
          <w:rStyle w:val="FootnoteReference"/>
          <w:rFonts w:ascii="Times New Roman" w:hAnsi="Times New Roman" w:cs="Times New Roman"/>
          <w:sz w:val="24"/>
          <w:szCs w:val="24"/>
        </w:rPr>
        <w:footnoteReference w:id="15"/>
      </w:r>
      <w:r w:rsidR="00042F64">
        <w:rPr>
          <w:rFonts w:ascii="Times New Roman" w:hAnsi="Times New Roman" w:cs="Times New Roman"/>
          <w:sz w:val="24"/>
          <w:szCs w:val="24"/>
        </w:rPr>
        <w:t xml:space="preserve"> This example could, of course, be an invention of Herodotus to emphasise India’s difference from Greece, but it could also be true. In any case, to read of cannibalism would have definitively proved to the reader the monstrosity found within India</w:t>
      </w:r>
      <w:r w:rsidR="00357900">
        <w:rPr>
          <w:rFonts w:ascii="Times New Roman" w:hAnsi="Times New Roman" w:cs="Times New Roman"/>
          <w:sz w:val="24"/>
          <w:szCs w:val="24"/>
        </w:rPr>
        <w:t xml:space="preserve">, and not even from a fantastical creature, but from its inhabitants. </w:t>
      </w:r>
      <w:r w:rsidR="00C34690">
        <w:rPr>
          <w:rFonts w:ascii="Times New Roman" w:hAnsi="Times New Roman" w:cs="Times New Roman"/>
          <w:sz w:val="24"/>
          <w:szCs w:val="24"/>
        </w:rPr>
        <w:t>Herodotus’s next example is a tribe that are vegetarians; they eat grass and a naturally growing grain and do not live in houses.</w:t>
      </w:r>
      <w:r w:rsidR="00C34690">
        <w:rPr>
          <w:rStyle w:val="FootnoteReference"/>
          <w:rFonts w:ascii="Times New Roman" w:hAnsi="Times New Roman" w:cs="Times New Roman"/>
          <w:sz w:val="24"/>
          <w:szCs w:val="24"/>
        </w:rPr>
        <w:footnoteReference w:id="16"/>
      </w:r>
      <w:r w:rsidR="00C34690">
        <w:rPr>
          <w:rFonts w:ascii="Times New Roman" w:hAnsi="Times New Roman" w:cs="Times New Roman"/>
          <w:sz w:val="24"/>
          <w:szCs w:val="24"/>
        </w:rPr>
        <w:t xml:space="preserve"> As a meat eating society, this dietary difference would have again emphasised the difference between the two countries. The lack of housing would also have meant that the Indians were again seen as ‘uncivilised’ as they did not even have buildings to live in, a stark contrast to Greece. </w:t>
      </w:r>
      <w:r w:rsidR="00A5694E">
        <w:rPr>
          <w:rFonts w:ascii="Times New Roman" w:hAnsi="Times New Roman" w:cs="Times New Roman"/>
          <w:sz w:val="24"/>
          <w:szCs w:val="24"/>
        </w:rPr>
        <w:t>The emphasis on their skin colour, and other aspects of the body, would potentially have been intriguing to the typical reader, and given them a preconceived notion of the people who lived in India: “</w:t>
      </w:r>
      <w:r w:rsidR="00A5694E" w:rsidRPr="00A5694E">
        <w:rPr>
          <w:rFonts w:ascii="Times New Roman" w:hAnsi="Times New Roman" w:cs="Times New Roman"/>
          <w:sz w:val="24"/>
          <w:szCs w:val="24"/>
        </w:rPr>
        <w:t>they are all black-skinned, like the Ethiopians. Their semen too, which they ejaculate into the women, is not white like other men's, but black like their skin, and resembles in this respect that of the Ethiopians</w:t>
      </w:r>
      <w:r w:rsidR="00A5694E">
        <w:rPr>
          <w:rFonts w:ascii="Times New Roman" w:hAnsi="Times New Roman" w:cs="Times New Roman"/>
          <w:sz w:val="24"/>
          <w:szCs w:val="24"/>
        </w:rPr>
        <w:t>”</w:t>
      </w:r>
      <w:r w:rsidR="00A5694E" w:rsidRPr="00A5694E">
        <w:rPr>
          <w:rFonts w:ascii="Times New Roman" w:hAnsi="Times New Roman" w:cs="Times New Roman"/>
          <w:sz w:val="24"/>
          <w:szCs w:val="24"/>
        </w:rPr>
        <w:t>.</w:t>
      </w:r>
      <w:r w:rsidR="00A5694E">
        <w:rPr>
          <w:rStyle w:val="FootnoteReference"/>
          <w:rFonts w:ascii="Times New Roman" w:hAnsi="Times New Roman" w:cs="Times New Roman"/>
          <w:sz w:val="24"/>
          <w:szCs w:val="24"/>
        </w:rPr>
        <w:footnoteReference w:id="17"/>
      </w:r>
      <w:r w:rsidR="002A300F">
        <w:rPr>
          <w:rFonts w:ascii="Times New Roman" w:hAnsi="Times New Roman" w:cs="Times New Roman"/>
          <w:sz w:val="24"/>
          <w:szCs w:val="24"/>
        </w:rPr>
        <w:t xml:space="preserve"> Lastly, Herodotus mentions “the most war-like” of India’s inhabitants: “o</w:t>
      </w:r>
      <w:r w:rsidR="002A300F" w:rsidRPr="002A300F">
        <w:rPr>
          <w:rFonts w:ascii="Times New Roman" w:hAnsi="Times New Roman" w:cs="Times New Roman"/>
          <w:sz w:val="24"/>
          <w:szCs w:val="24"/>
        </w:rPr>
        <w:t>ther Indians dwell near the town of Caspatyrus and the Pactyic country,</w:t>
      </w:r>
      <w:r w:rsidR="002A300F">
        <w:rPr>
          <w:rFonts w:ascii="Times New Roman" w:hAnsi="Times New Roman" w:cs="Times New Roman"/>
          <w:sz w:val="24"/>
          <w:szCs w:val="24"/>
        </w:rPr>
        <w:t xml:space="preserve"> </w:t>
      </w:r>
      <w:r w:rsidR="002A300F" w:rsidRPr="002A300F">
        <w:rPr>
          <w:rFonts w:ascii="Times New Roman" w:hAnsi="Times New Roman" w:cs="Times New Roman"/>
          <w:sz w:val="24"/>
          <w:szCs w:val="24"/>
        </w:rPr>
        <w:t>north of the rest of India; these live like the Bactrians; they are of all Indians the most warlike, and it is they who are sent for the gold; for in these parts all is desolate because of the sand</w:t>
      </w:r>
      <w:r w:rsidR="002A300F">
        <w:rPr>
          <w:rFonts w:ascii="Times New Roman" w:hAnsi="Times New Roman" w:cs="Times New Roman"/>
          <w:sz w:val="24"/>
          <w:szCs w:val="24"/>
        </w:rPr>
        <w:t>”.</w:t>
      </w:r>
      <w:r w:rsidR="002A300F">
        <w:rPr>
          <w:rStyle w:val="FootnoteReference"/>
          <w:rFonts w:ascii="Times New Roman" w:hAnsi="Times New Roman" w:cs="Times New Roman"/>
          <w:sz w:val="24"/>
          <w:szCs w:val="24"/>
        </w:rPr>
        <w:footnoteReference w:id="18"/>
      </w:r>
      <w:r w:rsidR="002A300F">
        <w:rPr>
          <w:rFonts w:ascii="Times New Roman" w:hAnsi="Times New Roman" w:cs="Times New Roman"/>
          <w:sz w:val="24"/>
          <w:szCs w:val="24"/>
        </w:rPr>
        <w:t xml:space="preserve"> Interestingly, he has made the link between the most warlike, and potentially the more ‘heroic’, as those who must ‘battle’ the fantastical creature in order to get the gold.</w:t>
      </w:r>
      <w:r w:rsidR="00B205A1">
        <w:rPr>
          <w:rFonts w:ascii="Times New Roman" w:hAnsi="Times New Roman" w:cs="Times New Roman"/>
          <w:sz w:val="24"/>
          <w:szCs w:val="24"/>
        </w:rPr>
        <w:t xml:space="preserve"> “</w:t>
      </w:r>
      <w:r w:rsidR="00B205A1" w:rsidRPr="00B205A1">
        <w:rPr>
          <w:rFonts w:ascii="Times New Roman" w:hAnsi="Times New Roman" w:cs="Times New Roman"/>
          <w:sz w:val="24"/>
          <w:szCs w:val="24"/>
        </w:rPr>
        <w:t xml:space="preserve">In general, the Greeks have at their disposal a whole stock of personages available for use in every situation. As operators of intelligibility, they serve to classify phenomena and set them in order. They make it easier to </w:t>
      </w:r>
      <w:r w:rsidR="00B205A1" w:rsidRPr="00B205A1">
        <w:rPr>
          <w:rFonts w:ascii="Times New Roman" w:hAnsi="Times New Roman" w:cs="Times New Roman"/>
          <w:sz w:val="24"/>
          <w:szCs w:val="24"/>
        </w:rPr>
        <w:lastRenderedPageBreak/>
        <w:t>understand the world, operating almost as instruments of thought, even tools of logic</w:t>
      </w:r>
      <w:r w:rsidR="00B205A1">
        <w:rPr>
          <w:rFonts w:ascii="Times New Roman" w:hAnsi="Times New Roman" w:cs="Times New Roman"/>
          <w:sz w:val="24"/>
          <w:szCs w:val="24"/>
        </w:rPr>
        <w:t>”</w:t>
      </w:r>
      <w:r w:rsidR="00B205A1" w:rsidRPr="00B205A1">
        <w:rPr>
          <w:rFonts w:ascii="Times New Roman" w:hAnsi="Times New Roman" w:cs="Times New Roman"/>
          <w:sz w:val="24"/>
          <w:szCs w:val="24"/>
        </w:rPr>
        <w:t>.</w:t>
      </w:r>
      <w:r w:rsidR="00B205A1">
        <w:rPr>
          <w:rStyle w:val="FootnoteReference"/>
          <w:rFonts w:ascii="Times New Roman" w:hAnsi="Times New Roman" w:cs="Times New Roman"/>
          <w:sz w:val="24"/>
          <w:szCs w:val="24"/>
        </w:rPr>
        <w:footnoteReference w:id="19"/>
      </w:r>
      <w:r w:rsidR="000270E5">
        <w:rPr>
          <w:rFonts w:ascii="Times New Roman" w:hAnsi="Times New Roman" w:cs="Times New Roman"/>
          <w:sz w:val="24"/>
          <w:szCs w:val="24"/>
        </w:rPr>
        <w:t xml:space="preserve"> Herodotus’s description of people in India would have had an immense impact on the representation of the country. As a person, who perhaps had never even heard of India, these descriptions would have sounded fantastical and intriguing. They were such a stark contrast to Greek people and it would have made sense for them to be so different as India itself was so mysterious.</w:t>
      </w:r>
      <w:r w:rsidR="00DD5796">
        <w:rPr>
          <w:rFonts w:ascii="Times New Roman" w:hAnsi="Times New Roman" w:cs="Times New Roman"/>
          <w:sz w:val="24"/>
          <w:szCs w:val="24"/>
        </w:rPr>
        <w:t xml:space="preserve"> </w:t>
      </w:r>
    </w:p>
    <w:p w14:paraId="000D6A77" w14:textId="31C3DBB0" w:rsidR="000270E5" w:rsidRDefault="000270E5" w:rsidP="00C642DA">
      <w:pPr>
        <w:spacing w:line="480" w:lineRule="auto"/>
        <w:rPr>
          <w:rFonts w:ascii="Times New Roman" w:hAnsi="Times New Roman" w:cs="Times New Roman"/>
          <w:sz w:val="24"/>
          <w:szCs w:val="24"/>
        </w:rPr>
      </w:pPr>
    </w:p>
    <w:p w14:paraId="41CFBA51" w14:textId="67C7F4B1" w:rsidR="000270E5" w:rsidRDefault="00DD5796" w:rsidP="00C642DA">
      <w:pPr>
        <w:spacing w:line="480" w:lineRule="auto"/>
        <w:rPr>
          <w:rFonts w:ascii="Times New Roman" w:hAnsi="Times New Roman" w:cs="Times New Roman"/>
          <w:sz w:val="24"/>
          <w:szCs w:val="24"/>
        </w:rPr>
      </w:pPr>
      <w:r>
        <w:rPr>
          <w:rFonts w:ascii="Times New Roman" w:hAnsi="Times New Roman" w:cs="Times New Roman"/>
          <w:sz w:val="24"/>
          <w:szCs w:val="24"/>
        </w:rPr>
        <w:t xml:space="preserve">Finally, the animals written about in the “Histories” have to be fantastic and wondrous to properly represent Herodotus’s interpretation of India. </w:t>
      </w:r>
      <w:r w:rsidR="00F444AA">
        <w:rPr>
          <w:rFonts w:ascii="Times New Roman" w:hAnsi="Times New Roman" w:cs="Times New Roman"/>
          <w:sz w:val="24"/>
          <w:szCs w:val="24"/>
        </w:rPr>
        <w:t>The main creature that Herodotus writes about is the ants who dig holes in the sand revealing the gold underneath: “</w:t>
      </w:r>
      <w:r w:rsidR="00F444AA" w:rsidRPr="00F444AA">
        <w:rPr>
          <w:rFonts w:ascii="Times New Roman" w:hAnsi="Times New Roman" w:cs="Times New Roman"/>
          <w:sz w:val="24"/>
          <w:szCs w:val="24"/>
        </w:rPr>
        <w:t>In this sandy desert are ants, not as big as dogs but bigger than foxes; the Persian king has some of these, which have been caught there. These ants live underground, digging out the sand in the same way as the ants in Greece, to which they are very similar in shape, and the sand which they carry from the holes is full of gold</w:t>
      </w:r>
      <w:r w:rsidR="00F444AA">
        <w:rPr>
          <w:rFonts w:ascii="Times New Roman" w:hAnsi="Times New Roman" w:cs="Times New Roman"/>
          <w:sz w:val="24"/>
          <w:szCs w:val="24"/>
        </w:rPr>
        <w:t>”.</w:t>
      </w:r>
      <w:r w:rsidR="00F444AA">
        <w:rPr>
          <w:rStyle w:val="FootnoteReference"/>
          <w:rFonts w:ascii="Times New Roman" w:hAnsi="Times New Roman" w:cs="Times New Roman"/>
          <w:sz w:val="24"/>
          <w:szCs w:val="24"/>
        </w:rPr>
        <w:footnoteReference w:id="20"/>
      </w:r>
      <w:r w:rsidR="00F444AA">
        <w:rPr>
          <w:rFonts w:ascii="Times New Roman" w:hAnsi="Times New Roman" w:cs="Times New Roman"/>
          <w:sz w:val="24"/>
          <w:szCs w:val="24"/>
        </w:rPr>
        <w:t xml:space="preserve"> Again, the size of the ants is equated to something that Greek people would have known, and it therefore gives them a more concrete idea. </w:t>
      </w:r>
      <w:r w:rsidR="00053031">
        <w:rPr>
          <w:rFonts w:ascii="Times New Roman" w:hAnsi="Times New Roman" w:cs="Times New Roman"/>
          <w:sz w:val="24"/>
          <w:szCs w:val="24"/>
        </w:rPr>
        <w:t>Herodotus also portrays the ants as being dangerous to people, alongside their size: “</w:t>
      </w:r>
      <w:r w:rsidR="00053031" w:rsidRPr="00053031">
        <w:rPr>
          <w:rFonts w:ascii="Times New Roman" w:hAnsi="Times New Roman" w:cs="Times New Roman"/>
          <w:sz w:val="24"/>
          <w:szCs w:val="24"/>
        </w:rPr>
        <w:t>for the ants at once scent them out, the Persians say, and give chase. They say nothing is equal to them for speed, so that unless the Indians have a head start while the ants were gathering, not one of them would get away</w:t>
      </w:r>
      <w:r w:rsidR="00053031">
        <w:rPr>
          <w:rFonts w:ascii="Times New Roman" w:hAnsi="Times New Roman" w:cs="Times New Roman"/>
          <w:sz w:val="24"/>
          <w:szCs w:val="24"/>
        </w:rPr>
        <w:t>”</w:t>
      </w:r>
      <w:r w:rsidR="00053031" w:rsidRPr="00053031">
        <w:rPr>
          <w:rFonts w:ascii="Times New Roman" w:hAnsi="Times New Roman" w:cs="Times New Roman"/>
          <w:sz w:val="24"/>
          <w:szCs w:val="24"/>
        </w:rPr>
        <w:t>.</w:t>
      </w:r>
      <w:r w:rsidR="00053031">
        <w:rPr>
          <w:rStyle w:val="FootnoteReference"/>
          <w:rFonts w:ascii="Times New Roman" w:hAnsi="Times New Roman" w:cs="Times New Roman"/>
          <w:sz w:val="24"/>
          <w:szCs w:val="24"/>
        </w:rPr>
        <w:footnoteReference w:id="21"/>
      </w:r>
      <w:r w:rsidR="00053031">
        <w:rPr>
          <w:rFonts w:ascii="Times New Roman" w:hAnsi="Times New Roman" w:cs="Times New Roman"/>
          <w:sz w:val="24"/>
          <w:szCs w:val="24"/>
        </w:rPr>
        <w:t xml:space="preserve"> This </w:t>
      </w:r>
      <w:r w:rsidR="00895DD6">
        <w:rPr>
          <w:rFonts w:ascii="Times New Roman" w:hAnsi="Times New Roman" w:cs="Times New Roman"/>
          <w:sz w:val="24"/>
          <w:szCs w:val="24"/>
        </w:rPr>
        <w:t>example of fantastical creatures in India would have seemed impossible to the reader, but the evidence is confirmed by the Persians, making it seem more credible. Herodotus’s description would have let the mind run wild; this place was so wild and dangerous, but Herodotus had made it seem that way. Would it have been that interesting otherwise?</w:t>
      </w:r>
    </w:p>
    <w:p w14:paraId="7D0317D8" w14:textId="4B986169" w:rsidR="00895DD6" w:rsidRDefault="00895DD6" w:rsidP="00C642DA">
      <w:pPr>
        <w:spacing w:line="480" w:lineRule="auto"/>
        <w:rPr>
          <w:rFonts w:ascii="Times New Roman" w:hAnsi="Times New Roman" w:cs="Times New Roman"/>
          <w:sz w:val="24"/>
          <w:szCs w:val="24"/>
        </w:rPr>
      </w:pPr>
    </w:p>
    <w:p w14:paraId="2FDDD6F5" w14:textId="3F624B13" w:rsidR="00895DD6" w:rsidRDefault="00C00304" w:rsidP="00C642D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conclusion, Herodotus’s “Histories” would have had an immense impact on the representation of India, and the inclusion of fantastical creatures, whether animal or human, would have made India even more mystical and intriguing. Without wonder, the “Histories” would potentially not have been as interesting and would have not portrayed India as mythical as it seems. As Priestly argues, </w:t>
      </w:r>
      <w:r w:rsidRPr="00C00304">
        <w:rPr>
          <w:rFonts w:ascii="Times New Roman" w:hAnsi="Times New Roman" w:cs="Times New Roman"/>
          <w:sz w:val="24"/>
          <w:szCs w:val="24"/>
        </w:rPr>
        <w:t>thōma</w:t>
      </w:r>
      <w:r>
        <w:rPr>
          <w:rFonts w:ascii="Times New Roman" w:hAnsi="Times New Roman" w:cs="Times New Roman"/>
          <w:sz w:val="24"/>
          <w:szCs w:val="24"/>
        </w:rPr>
        <w:t xml:space="preserve"> (astonishment) was the most important aspect of the “Histories”: “a </w:t>
      </w:r>
      <w:r w:rsidRPr="00C00304">
        <w:rPr>
          <w:rFonts w:ascii="Times New Roman" w:hAnsi="Times New Roman" w:cs="Times New Roman"/>
          <w:sz w:val="24"/>
          <w:szCs w:val="24"/>
        </w:rPr>
        <w:t>thōma may be some aspect of the landscape or a natural peculiarity of a country. These could be geographical, zoological, or meteorological features. Another category of thōmata is works of art and monuments. Technical ingenuity is often the admirable quality present in this type of thōma; in addition, massive size and great expense seem to be important qualities of these types. Inventions and stratagems which put natural resources to good use or allow an obstacle to be circumvented are another source of wonder. Human beings can arouse wonder for their heroism, audacity, and intelligence. They can also provoke wonder because of their behaviour or by uttering unexpected words. Physical difference can arouse wonder, and so too can biological and ethnographical differences. Observed phenomena which are perceived as being in some way abnormal or ordinarily improbable can be wonders. Often these strange events are narrated in a way which suggests that they are an example of some divine being at work</w:t>
      </w:r>
      <w:r>
        <w:rPr>
          <w:rFonts w:ascii="Times New Roman" w:hAnsi="Times New Roman" w:cs="Times New Roman"/>
          <w:sz w:val="24"/>
          <w:szCs w:val="24"/>
        </w:rPr>
        <w:t>”</w:t>
      </w:r>
      <w:r w:rsidRPr="00C00304">
        <w:rPr>
          <w:rFonts w:ascii="Times New Roman" w:hAnsi="Times New Roman" w:cs="Times New Roman"/>
          <w:sz w:val="24"/>
          <w:szCs w:val="24"/>
        </w:rPr>
        <w:t>.</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Therefore, without potential embellishment, India would not have been portrayed the way it has been through ancient representations.</w:t>
      </w:r>
    </w:p>
    <w:p w14:paraId="38E6F68A" w14:textId="5A3A7149" w:rsidR="00DF50C1" w:rsidRDefault="00DF50C1" w:rsidP="00C642DA">
      <w:pPr>
        <w:spacing w:line="480" w:lineRule="auto"/>
        <w:rPr>
          <w:rFonts w:ascii="Times New Roman" w:hAnsi="Times New Roman" w:cs="Times New Roman"/>
          <w:sz w:val="24"/>
          <w:szCs w:val="24"/>
        </w:rPr>
      </w:pPr>
    </w:p>
    <w:p w14:paraId="0F18F46F" w14:textId="68340521" w:rsidR="00DF50C1" w:rsidRDefault="00DF50C1" w:rsidP="00C642DA">
      <w:pPr>
        <w:spacing w:line="480" w:lineRule="auto"/>
        <w:rPr>
          <w:rFonts w:ascii="Times New Roman" w:hAnsi="Times New Roman" w:cs="Times New Roman"/>
          <w:sz w:val="24"/>
          <w:szCs w:val="24"/>
        </w:rPr>
      </w:pPr>
    </w:p>
    <w:p w14:paraId="2EB5B9D3" w14:textId="5FB22715" w:rsidR="00DF50C1" w:rsidRDefault="00DF50C1" w:rsidP="00C642DA">
      <w:pPr>
        <w:spacing w:line="480" w:lineRule="auto"/>
        <w:rPr>
          <w:rFonts w:ascii="Times New Roman" w:hAnsi="Times New Roman" w:cs="Times New Roman"/>
          <w:sz w:val="24"/>
          <w:szCs w:val="24"/>
        </w:rPr>
      </w:pPr>
    </w:p>
    <w:p w14:paraId="50922752" w14:textId="6931EB85" w:rsidR="00DF50C1" w:rsidRDefault="00DF50C1" w:rsidP="00C642DA">
      <w:pPr>
        <w:spacing w:line="480" w:lineRule="auto"/>
        <w:rPr>
          <w:rFonts w:ascii="Times New Roman" w:hAnsi="Times New Roman" w:cs="Times New Roman"/>
          <w:sz w:val="24"/>
          <w:szCs w:val="24"/>
        </w:rPr>
      </w:pPr>
    </w:p>
    <w:p w14:paraId="3B2532D8" w14:textId="6D2ACD5E" w:rsidR="00DF50C1" w:rsidRDefault="00DF50C1" w:rsidP="00C642DA">
      <w:pPr>
        <w:spacing w:line="480" w:lineRule="auto"/>
        <w:rPr>
          <w:rFonts w:ascii="Times New Roman" w:hAnsi="Times New Roman" w:cs="Times New Roman"/>
          <w:sz w:val="24"/>
          <w:szCs w:val="24"/>
        </w:rPr>
      </w:pPr>
    </w:p>
    <w:p w14:paraId="1E158F34" w14:textId="32C6109E" w:rsidR="00DF50C1" w:rsidRDefault="00DF50C1" w:rsidP="00C642DA">
      <w:pPr>
        <w:spacing w:line="480" w:lineRule="auto"/>
        <w:rPr>
          <w:rFonts w:ascii="Times New Roman" w:hAnsi="Times New Roman" w:cs="Times New Roman"/>
          <w:sz w:val="24"/>
          <w:szCs w:val="24"/>
        </w:rPr>
      </w:pPr>
    </w:p>
    <w:p w14:paraId="40AB10F7" w14:textId="7353583F" w:rsidR="00DF50C1" w:rsidRDefault="00DF50C1" w:rsidP="00C642DA">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Bibliography:</w:t>
      </w:r>
    </w:p>
    <w:p w14:paraId="5F6D53CF" w14:textId="727EA16A" w:rsidR="00DF50C1" w:rsidRDefault="00DF50C1" w:rsidP="00DF50C1">
      <w:pPr>
        <w:spacing w:line="480" w:lineRule="auto"/>
        <w:rPr>
          <w:rFonts w:ascii="Times New Roman" w:hAnsi="Times New Roman" w:cs="Times New Roman"/>
          <w:sz w:val="24"/>
          <w:szCs w:val="24"/>
        </w:rPr>
      </w:pPr>
      <w:r>
        <w:rPr>
          <w:rFonts w:ascii="Times New Roman" w:hAnsi="Times New Roman" w:cs="Times New Roman"/>
          <w:sz w:val="24"/>
          <w:szCs w:val="24"/>
        </w:rPr>
        <w:t>Ancient Sources:</w:t>
      </w:r>
    </w:p>
    <w:p w14:paraId="7F034602" w14:textId="041348BE" w:rsidR="00DF50C1" w:rsidRDefault="00DF50C1" w:rsidP="00DF50C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Herodotus, </w:t>
      </w:r>
      <w:r>
        <w:rPr>
          <w:rFonts w:ascii="Times New Roman" w:hAnsi="Times New Roman" w:cs="Times New Roman"/>
          <w:i/>
          <w:sz w:val="24"/>
          <w:szCs w:val="24"/>
        </w:rPr>
        <w:t>The Histories</w:t>
      </w:r>
      <w:r>
        <w:rPr>
          <w:rFonts w:ascii="Times New Roman" w:hAnsi="Times New Roman" w:cs="Times New Roman"/>
          <w:sz w:val="24"/>
          <w:szCs w:val="24"/>
        </w:rPr>
        <w:t>. A.D. Godley (trans). 1920. Cambridge: Harvard University Press.</w:t>
      </w:r>
    </w:p>
    <w:p w14:paraId="72DA4C7B" w14:textId="0A446D8C" w:rsidR="00DF50C1" w:rsidRDefault="00DF50C1" w:rsidP="00DF50C1">
      <w:pPr>
        <w:spacing w:line="480" w:lineRule="auto"/>
        <w:rPr>
          <w:rFonts w:ascii="Times New Roman" w:hAnsi="Times New Roman" w:cs="Times New Roman"/>
          <w:sz w:val="24"/>
          <w:szCs w:val="24"/>
        </w:rPr>
      </w:pPr>
      <w:r>
        <w:rPr>
          <w:rFonts w:ascii="Times New Roman" w:hAnsi="Times New Roman" w:cs="Times New Roman"/>
          <w:sz w:val="24"/>
          <w:szCs w:val="24"/>
        </w:rPr>
        <w:t>Modern Sources:</w:t>
      </w:r>
    </w:p>
    <w:p w14:paraId="5FCD3F23" w14:textId="0B35AF29" w:rsidR="00DF50C1" w:rsidRDefault="00DF50C1" w:rsidP="00DF50C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Baragwanath, E and de Bakker, M. 2012. </w:t>
      </w:r>
      <w:r>
        <w:rPr>
          <w:rFonts w:ascii="Times New Roman" w:hAnsi="Times New Roman" w:cs="Times New Roman"/>
          <w:i/>
          <w:sz w:val="24"/>
          <w:szCs w:val="24"/>
        </w:rPr>
        <w:t>Myth and Narrative in Herodotus</w:t>
      </w:r>
      <w:r>
        <w:rPr>
          <w:rFonts w:ascii="Times New Roman" w:hAnsi="Times New Roman" w:cs="Times New Roman"/>
          <w:sz w:val="24"/>
          <w:szCs w:val="24"/>
        </w:rPr>
        <w:t>. Oxford Scholarship Online.</w:t>
      </w:r>
    </w:p>
    <w:p w14:paraId="7E2B4948" w14:textId="1A378A9C" w:rsidR="00DF50C1" w:rsidRDefault="00DF50C1" w:rsidP="00DF50C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Hartog, F and Lloyd, J. 1988. </w:t>
      </w:r>
      <w:r>
        <w:rPr>
          <w:rFonts w:ascii="Times New Roman" w:hAnsi="Times New Roman" w:cs="Times New Roman"/>
          <w:i/>
          <w:sz w:val="24"/>
          <w:szCs w:val="24"/>
        </w:rPr>
        <w:t>The Mirror of Herodotus: The Representation of the Other in the Writing of History</w:t>
      </w:r>
      <w:r>
        <w:rPr>
          <w:rFonts w:ascii="Times New Roman" w:hAnsi="Times New Roman" w:cs="Times New Roman"/>
          <w:sz w:val="24"/>
          <w:szCs w:val="24"/>
        </w:rPr>
        <w:t>. Los Angeles: University of California Press.</w:t>
      </w:r>
    </w:p>
    <w:p w14:paraId="3DF2AC7E" w14:textId="6CB90592" w:rsidR="00DF50C1" w:rsidRDefault="00DF50C1" w:rsidP="00DF50C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Priestley, J. 2014. </w:t>
      </w:r>
      <w:r>
        <w:rPr>
          <w:rFonts w:ascii="Times New Roman" w:hAnsi="Times New Roman" w:cs="Times New Roman"/>
          <w:i/>
          <w:sz w:val="24"/>
          <w:szCs w:val="24"/>
        </w:rPr>
        <w:t>Herodotus and Hellenistic Culture: Literary Studies in the Reception of the Histories</w:t>
      </w:r>
      <w:r>
        <w:rPr>
          <w:rFonts w:ascii="Times New Roman" w:hAnsi="Times New Roman" w:cs="Times New Roman"/>
          <w:sz w:val="24"/>
          <w:szCs w:val="24"/>
        </w:rPr>
        <w:t>. Oxford Scholarship Online.</w:t>
      </w:r>
    </w:p>
    <w:p w14:paraId="11179865" w14:textId="77B41B2D" w:rsidR="00DD0579" w:rsidRDefault="00DD0579" w:rsidP="00DD0579">
      <w:pPr>
        <w:spacing w:line="480" w:lineRule="auto"/>
        <w:rPr>
          <w:rFonts w:ascii="Times New Roman" w:hAnsi="Times New Roman" w:cs="Times New Roman"/>
          <w:sz w:val="24"/>
          <w:szCs w:val="24"/>
        </w:rPr>
      </w:pPr>
      <w:r>
        <w:rPr>
          <w:rFonts w:ascii="Times New Roman" w:hAnsi="Times New Roman" w:cs="Times New Roman"/>
          <w:sz w:val="24"/>
          <w:szCs w:val="24"/>
        </w:rPr>
        <w:t>Journals:</w:t>
      </w:r>
    </w:p>
    <w:p w14:paraId="53837F76" w14:textId="7FAB97BB" w:rsidR="00DD0579" w:rsidRPr="00DD0579" w:rsidRDefault="00DD0579" w:rsidP="00DD0579">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Bloomer, W.M. 1993. ‘The Superlative ‘nomoi’ of Herodotus ‘Histories’’. </w:t>
      </w:r>
      <w:r>
        <w:rPr>
          <w:rFonts w:ascii="Times New Roman" w:hAnsi="Times New Roman" w:cs="Times New Roman"/>
          <w:i/>
          <w:sz w:val="24"/>
          <w:szCs w:val="24"/>
        </w:rPr>
        <w:t>Classical Antiquity</w:t>
      </w:r>
      <w:r>
        <w:rPr>
          <w:rFonts w:ascii="Times New Roman" w:hAnsi="Times New Roman" w:cs="Times New Roman"/>
          <w:sz w:val="24"/>
          <w:szCs w:val="24"/>
        </w:rPr>
        <w:t>. 12.1. 30-50</w:t>
      </w:r>
      <w:bookmarkStart w:id="0" w:name="_GoBack"/>
      <w:bookmarkEnd w:id="0"/>
    </w:p>
    <w:p w14:paraId="6921175C" w14:textId="77777777" w:rsidR="00DF50C1" w:rsidRPr="00DF50C1" w:rsidRDefault="00DF50C1" w:rsidP="00DF50C1">
      <w:pPr>
        <w:pStyle w:val="ListParagraph"/>
        <w:spacing w:line="480" w:lineRule="auto"/>
        <w:rPr>
          <w:rFonts w:ascii="Times New Roman" w:hAnsi="Times New Roman" w:cs="Times New Roman"/>
          <w:sz w:val="24"/>
          <w:szCs w:val="24"/>
        </w:rPr>
      </w:pPr>
    </w:p>
    <w:p w14:paraId="22ED3340" w14:textId="77777777" w:rsidR="001A172A" w:rsidRDefault="001A172A" w:rsidP="00C642DA">
      <w:pPr>
        <w:spacing w:line="480" w:lineRule="auto"/>
        <w:rPr>
          <w:rFonts w:ascii="Times New Roman" w:hAnsi="Times New Roman" w:cs="Times New Roman"/>
          <w:sz w:val="24"/>
          <w:szCs w:val="24"/>
        </w:rPr>
      </w:pPr>
    </w:p>
    <w:p w14:paraId="549BBDEB" w14:textId="451B55DC" w:rsidR="004952A9" w:rsidRDefault="004952A9" w:rsidP="00C642DA">
      <w:pPr>
        <w:spacing w:line="480" w:lineRule="auto"/>
        <w:rPr>
          <w:rFonts w:ascii="Times New Roman" w:hAnsi="Times New Roman" w:cs="Times New Roman"/>
          <w:sz w:val="24"/>
          <w:szCs w:val="24"/>
        </w:rPr>
      </w:pPr>
    </w:p>
    <w:p w14:paraId="44B9AD24" w14:textId="77777777" w:rsidR="004952A9" w:rsidRDefault="004952A9" w:rsidP="00C642DA">
      <w:pPr>
        <w:spacing w:line="480" w:lineRule="auto"/>
        <w:rPr>
          <w:rFonts w:ascii="Times New Roman" w:hAnsi="Times New Roman" w:cs="Times New Roman"/>
          <w:sz w:val="24"/>
          <w:szCs w:val="24"/>
        </w:rPr>
      </w:pPr>
    </w:p>
    <w:p w14:paraId="4ED7A203" w14:textId="2A195781" w:rsidR="00C02470" w:rsidRDefault="00C02470" w:rsidP="00C642DA">
      <w:pPr>
        <w:spacing w:line="480" w:lineRule="auto"/>
        <w:rPr>
          <w:rFonts w:ascii="Times New Roman" w:hAnsi="Times New Roman" w:cs="Times New Roman"/>
          <w:sz w:val="24"/>
          <w:szCs w:val="24"/>
        </w:rPr>
      </w:pPr>
    </w:p>
    <w:p w14:paraId="293EAE0E" w14:textId="77777777" w:rsidR="00C02470" w:rsidRPr="001F49DF" w:rsidRDefault="00C02470" w:rsidP="00C642DA">
      <w:pPr>
        <w:spacing w:line="480" w:lineRule="auto"/>
        <w:rPr>
          <w:rFonts w:ascii="Times New Roman" w:hAnsi="Times New Roman" w:cs="Times New Roman"/>
          <w:sz w:val="24"/>
          <w:szCs w:val="24"/>
        </w:rPr>
      </w:pPr>
    </w:p>
    <w:sectPr w:rsidR="00C02470" w:rsidRPr="001F49D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9F8328" w14:textId="77777777" w:rsidR="00C00213" w:rsidRDefault="00C00213" w:rsidP="005E303D">
      <w:r>
        <w:separator/>
      </w:r>
    </w:p>
  </w:endnote>
  <w:endnote w:type="continuationSeparator" w:id="0">
    <w:p w14:paraId="57768479" w14:textId="77777777" w:rsidR="00C00213" w:rsidRDefault="00C00213" w:rsidP="005E30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989039"/>
      <w:docPartObj>
        <w:docPartGallery w:val="Page Numbers (Bottom of Page)"/>
        <w:docPartUnique/>
      </w:docPartObj>
    </w:sdtPr>
    <w:sdtEndPr>
      <w:rPr>
        <w:noProof/>
      </w:rPr>
    </w:sdtEndPr>
    <w:sdtContent>
      <w:p w14:paraId="692051A2" w14:textId="0528014A" w:rsidR="00DF50C1" w:rsidRDefault="00DF50C1">
        <w:pPr>
          <w:pStyle w:val="Footer"/>
          <w:jc w:val="right"/>
        </w:pPr>
        <w:r>
          <w:fldChar w:fldCharType="begin"/>
        </w:r>
        <w:r>
          <w:instrText xml:space="preserve"> PAGE   \* MERGEFORMAT </w:instrText>
        </w:r>
        <w:r>
          <w:fldChar w:fldCharType="separate"/>
        </w:r>
        <w:r w:rsidR="00DD0579">
          <w:rPr>
            <w:noProof/>
          </w:rPr>
          <w:t>8</w:t>
        </w:r>
        <w:r>
          <w:rPr>
            <w:noProof/>
          </w:rPr>
          <w:fldChar w:fldCharType="end"/>
        </w:r>
      </w:p>
    </w:sdtContent>
  </w:sdt>
  <w:p w14:paraId="3F08723C" w14:textId="77777777" w:rsidR="00DF50C1" w:rsidRDefault="00DF5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F43D9" w14:textId="77777777" w:rsidR="00C00213" w:rsidRDefault="00C00213" w:rsidP="005E303D">
      <w:r>
        <w:separator/>
      </w:r>
    </w:p>
  </w:footnote>
  <w:footnote w:type="continuationSeparator" w:id="0">
    <w:p w14:paraId="34E41B27" w14:textId="77777777" w:rsidR="00C00213" w:rsidRDefault="00C00213" w:rsidP="005E303D">
      <w:r>
        <w:continuationSeparator/>
      </w:r>
    </w:p>
  </w:footnote>
  <w:footnote w:id="1">
    <w:p w14:paraId="09BC3949" w14:textId="43418747" w:rsidR="00DF50C1" w:rsidRDefault="00DF50C1">
      <w:pPr>
        <w:pStyle w:val="FootnoteText"/>
      </w:pPr>
      <w:r>
        <w:rPr>
          <w:rStyle w:val="FootnoteReference"/>
        </w:rPr>
        <w:footnoteRef/>
      </w:r>
      <w:r>
        <w:t xml:space="preserve"> Hdt. Hist. 4.40</w:t>
      </w:r>
    </w:p>
  </w:footnote>
  <w:footnote w:id="2">
    <w:p w14:paraId="0C082067" w14:textId="716AF480" w:rsidR="00DF50C1" w:rsidRDefault="00DF50C1">
      <w:pPr>
        <w:pStyle w:val="FootnoteText"/>
      </w:pPr>
      <w:r>
        <w:rPr>
          <w:rStyle w:val="FootnoteReference"/>
        </w:rPr>
        <w:footnoteRef/>
      </w:r>
      <w:r>
        <w:t xml:space="preserve"> Priestley, 2014:12</w:t>
      </w:r>
    </w:p>
  </w:footnote>
  <w:footnote w:id="3">
    <w:p w14:paraId="43E3813C" w14:textId="0E5B4D4D" w:rsidR="00DF50C1" w:rsidRDefault="00DF50C1">
      <w:pPr>
        <w:pStyle w:val="FootnoteText"/>
      </w:pPr>
      <w:r>
        <w:rPr>
          <w:rStyle w:val="FootnoteReference"/>
        </w:rPr>
        <w:footnoteRef/>
      </w:r>
      <w:r>
        <w:t xml:space="preserve"> Hdt. Hist. 4.44</w:t>
      </w:r>
    </w:p>
  </w:footnote>
  <w:footnote w:id="4">
    <w:p w14:paraId="27DA64D1" w14:textId="428D2574" w:rsidR="00DF50C1" w:rsidRDefault="00DF50C1">
      <w:pPr>
        <w:pStyle w:val="FootnoteText"/>
      </w:pPr>
      <w:r>
        <w:rPr>
          <w:rStyle w:val="FootnoteReference"/>
        </w:rPr>
        <w:footnoteRef/>
      </w:r>
      <w:r>
        <w:t xml:space="preserve"> Hartog and Lloyd 1998: xvi</w:t>
      </w:r>
    </w:p>
  </w:footnote>
  <w:footnote w:id="5">
    <w:p w14:paraId="4875B105" w14:textId="5A8D46C0" w:rsidR="00DF50C1" w:rsidRDefault="00DF50C1">
      <w:pPr>
        <w:pStyle w:val="FootnoteText"/>
      </w:pPr>
      <w:r>
        <w:rPr>
          <w:rStyle w:val="FootnoteReference"/>
        </w:rPr>
        <w:footnoteRef/>
      </w:r>
      <w:r>
        <w:t xml:space="preserve"> Bloomer. 1993:42</w:t>
      </w:r>
    </w:p>
  </w:footnote>
  <w:footnote w:id="6">
    <w:p w14:paraId="4B22C144" w14:textId="233727C7" w:rsidR="00DF50C1" w:rsidRDefault="00DF50C1">
      <w:pPr>
        <w:pStyle w:val="FootnoteText"/>
      </w:pPr>
      <w:r>
        <w:rPr>
          <w:rStyle w:val="FootnoteReference"/>
        </w:rPr>
        <w:footnoteRef/>
      </w:r>
      <w:r>
        <w:t xml:space="preserve"> Hartog and Lloyd 1988:212</w:t>
      </w:r>
    </w:p>
  </w:footnote>
  <w:footnote w:id="7">
    <w:p w14:paraId="21AE6F75" w14:textId="715D0E3E" w:rsidR="00DF50C1" w:rsidRDefault="00DF50C1">
      <w:pPr>
        <w:pStyle w:val="FootnoteText"/>
      </w:pPr>
      <w:r>
        <w:rPr>
          <w:rStyle w:val="FootnoteReference"/>
        </w:rPr>
        <w:footnoteRef/>
      </w:r>
      <w:r>
        <w:t xml:space="preserve"> Priestley 2014: 59</w:t>
      </w:r>
    </w:p>
  </w:footnote>
  <w:footnote w:id="8">
    <w:p w14:paraId="62A1A885" w14:textId="6D3FE676" w:rsidR="00DF50C1" w:rsidRDefault="00DF50C1">
      <w:pPr>
        <w:pStyle w:val="FootnoteText"/>
      </w:pPr>
      <w:r>
        <w:rPr>
          <w:rStyle w:val="FootnoteReference"/>
        </w:rPr>
        <w:footnoteRef/>
      </w:r>
      <w:r>
        <w:t xml:space="preserve"> Hdt. Hist. 3.94</w:t>
      </w:r>
    </w:p>
  </w:footnote>
  <w:footnote w:id="9">
    <w:p w14:paraId="64EB53E3" w14:textId="54E4A817" w:rsidR="00DF50C1" w:rsidRDefault="00DF50C1">
      <w:pPr>
        <w:pStyle w:val="FootnoteText"/>
      </w:pPr>
      <w:r>
        <w:rPr>
          <w:rStyle w:val="FootnoteReference"/>
        </w:rPr>
        <w:footnoteRef/>
      </w:r>
      <w:r>
        <w:t xml:space="preserve"> Priestley 2014: 57</w:t>
      </w:r>
    </w:p>
  </w:footnote>
  <w:footnote w:id="10">
    <w:p w14:paraId="69BE6C43" w14:textId="3699A2CE" w:rsidR="00DF50C1" w:rsidRDefault="00DF50C1">
      <w:pPr>
        <w:pStyle w:val="FootnoteText"/>
      </w:pPr>
      <w:r>
        <w:rPr>
          <w:rStyle w:val="FootnoteReference"/>
        </w:rPr>
        <w:footnoteRef/>
      </w:r>
      <w:r>
        <w:t xml:space="preserve"> Hdt. Hist. 3.106</w:t>
      </w:r>
    </w:p>
  </w:footnote>
  <w:footnote w:id="11">
    <w:p w14:paraId="027EE71D" w14:textId="03AD196C" w:rsidR="00DF50C1" w:rsidRDefault="00DF50C1">
      <w:pPr>
        <w:pStyle w:val="FootnoteText"/>
      </w:pPr>
      <w:r>
        <w:rPr>
          <w:rStyle w:val="FootnoteReference"/>
        </w:rPr>
        <w:footnoteRef/>
      </w:r>
      <w:r>
        <w:t xml:space="preserve"> Hdt. Hist. 3.98</w:t>
      </w:r>
    </w:p>
  </w:footnote>
  <w:footnote w:id="12">
    <w:p w14:paraId="3E56D5CA" w14:textId="41D39FB5" w:rsidR="00DF50C1" w:rsidRDefault="00DF50C1">
      <w:pPr>
        <w:pStyle w:val="FootnoteText"/>
      </w:pPr>
      <w:r>
        <w:rPr>
          <w:rStyle w:val="FootnoteReference"/>
        </w:rPr>
        <w:footnoteRef/>
      </w:r>
      <w:r>
        <w:t xml:space="preserve"> Hdt. Hist. 3.104</w:t>
      </w:r>
    </w:p>
  </w:footnote>
  <w:footnote w:id="13">
    <w:p w14:paraId="193621DC" w14:textId="76F4711E" w:rsidR="00DF50C1" w:rsidRDefault="00DF50C1">
      <w:pPr>
        <w:pStyle w:val="FootnoteText"/>
      </w:pPr>
      <w:r>
        <w:rPr>
          <w:rStyle w:val="FootnoteReference"/>
        </w:rPr>
        <w:footnoteRef/>
      </w:r>
      <w:r>
        <w:t xml:space="preserve"> Bloomer 1993: 42</w:t>
      </w:r>
    </w:p>
  </w:footnote>
  <w:footnote w:id="14">
    <w:p w14:paraId="44AD90B8" w14:textId="65A8868F" w:rsidR="00DF50C1" w:rsidRDefault="00DF50C1">
      <w:pPr>
        <w:pStyle w:val="FootnoteText"/>
      </w:pPr>
      <w:r>
        <w:rPr>
          <w:rStyle w:val="FootnoteReference"/>
        </w:rPr>
        <w:footnoteRef/>
      </w:r>
      <w:r>
        <w:t xml:space="preserve"> Hdt. Hist. 3.98</w:t>
      </w:r>
    </w:p>
  </w:footnote>
  <w:footnote w:id="15">
    <w:p w14:paraId="2678876F" w14:textId="1D6246EC" w:rsidR="00DF50C1" w:rsidRDefault="00DF50C1">
      <w:pPr>
        <w:pStyle w:val="FootnoteText"/>
      </w:pPr>
      <w:r>
        <w:rPr>
          <w:rStyle w:val="FootnoteReference"/>
        </w:rPr>
        <w:footnoteRef/>
      </w:r>
      <w:r>
        <w:t xml:space="preserve"> Hdt. Hist. 3.99</w:t>
      </w:r>
    </w:p>
  </w:footnote>
  <w:footnote w:id="16">
    <w:p w14:paraId="173435AF" w14:textId="41555243" w:rsidR="00DF50C1" w:rsidRDefault="00DF50C1">
      <w:pPr>
        <w:pStyle w:val="FootnoteText"/>
      </w:pPr>
      <w:r>
        <w:rPr>
          <w:rStyle w:val="FootnoteReference"/>
        </w:rPr>
        <w:footnoteRef/>
      </w:r>
      <w:r>
        <w:t xml:space="preserve"> Hdt. Hist. 3.100</w:t>
      </w:r>
    </w:p>
  </w:footnote>
  <w:footnote w:id="17">
    <w:p w14:paraId="556B72D2" w14:textId="405C5431" w:rsidR="00DF50C1" w:rsidRDefault="00DF50C1">
      <w:pPr>
        <w:pStyle w:val="FootnoteText"/>
      </w:pPr>
      <w:r>
        <w:rPr>
          <w:rStyle w:val="FootnoteReference"/>
        </w:rPr>
        <w:footnoteRef/>
      </w:r>
      <w:r>
        <w:t xml:space="preserve"> Hdt. Hist. 3.101</w:t>
      </w:r>
    </w:p>
  </w:footnote>
  <w:footnote w:id="18">
    <w:p w14:paraId="6A615F2B" w14:textId="3A5DDF5E" w:rsidR="00DF50C1" w:rsidRDefault="00DF50C1">
      <w:pPr>
        <w:pStyle w:val="FootnoteText"/>
      </w:pPr>
      <w:r>
        <w:rPr>
          <w:rStyle w:val="FootnoteReference"/>
        </w:rPr>
        <w:footnoteRef/>
      </w:r>
      <w:r>
        <w:t xml:space="preserve"> Hdt. Hist. 3.102</w:t>
      </w:r>
    </w:p>
  </w:footnote>
  <w:footnote w:id="19">
    <w:p w14:paraId="5E111561" w14:textId="127270C5" w:rsidR="00DF50C1" w:rsidRDefault="00DF50C1">
      <w:pPr>
        <w:pStyle w:val="FootnoteText"/>
      </w:pPr>
      <w:r>
        <w:rPr>
          <w:rStyle w:val="FootnoteReference"/>
        </w:rPr>
        <w:footnoteRef/>
      </w:r>
      <w:r>
        <w:t xml:space="preserve"> Hartog and Lloyd 1988: 235</w:t>
      </w:r>
    </w:p>
  </w:footnote>
  <w:footnote w:id="20">
    <w:p w14:paraId="6DA50E74" w14:textId="4C0F9444" w:rsidR="00DF50C1" w:rsidRDefault="00DF50C1">
      <w:pPr>
        <w:pStyle w:val="FootnoteText"/>
      </w:pPr>
      <w:r>
        <w:rPr>
          <w:rStyle w:val="FootnoteReference"/>
        </w:rPr>
        <w:footnoteRef/>
      </w:r>
      <w:r>
        <w:t xml:space="preserve"> Hdt. Hist. 3.102</w:t>
      </w:r>
    </w:p>
  </w:footnote>
  <w:footnote w:id="21">
    <w:p w14:paraId="1CE4173D" w14:textId="397F0BF7" w:rsidR="00DF50C1" w:rsidRDefault="00DF50C1">
      <w:pPr>
        <w:pStyle w:val="FootnoteText"/>
      </w:pPr>
      <w:r>
        <w:rPr>
          <w:rStyle w:val="FootnoteReference"/>
        </w:rPr>
        <w:footnoteRef/>
      </w:r>
      <w:r>
        <w:t xml:space="preserve"> Hdt. Hist. 3.105</w:t>
      </w:r>
    </w:p>
  </w:footnote>
  <w:footnote w:id="22">
    <w:p w14:paraId="27D49855" w14:textId="2F5A1492" w:rsidR="00DF50C1" w:rsidRDefault="00DF50C1">
      <w:pPr>
        <w:pStyle w:val="FootnoteText"/>
      </w:pPr>
      <w:r>
        <w:rPr>
          <w:rStyle w:val="FootnoteReference"/>
        </w:rPr>
        <w:footnoteRef/>
      </w:r>
      <w:r>
        <w:t xml:space="preserve"> Priestley 2014: 55-56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5F8ED" w14:textId="3B3FC790" w:rsidR="00DF50C1" w:rsidRDefault="00DF50C1">
    <w:pPr>
      <w:pStyle w:val="Header"/>
    </w:pPr>
    <w:r>
      <w:t>19/01/2018</w:t>
    </w:r>
    <w:r>
      <w:ptab w:relativeTo="margin" w:alignment="center" w:leader="none"/>
    </w:r>
    <w:r>
      <w:t>CLCS6015</w:t>
    </w:r>
    <w:r>
      <w:ptab w:relativeTo="margin" w:alignment="right" w:leader="none"/>
    </w:r>
    <w:r>
      <w:t>Lauren Bird- Hall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E73BF2"/>
    <w:multiLevelType w:val="hybridMultilevel"/>
    <w:tmpl w:val="CDF0F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66275B"/>
    <w:multiLevelType w:val="hybridMultilevel"/>
    <w:tmpl w:val="FC529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3175B7"/>
    <w:multiLevelType w:val="hybridMultilevel"/>
    <w:tmpl w:val="5E680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03D"/>
    <w:rsid w:val="000270E5"/>
    <w:rsid w:val="00042F64"/>
    <w:rsid w:val="00053031"/>
    <w:rsid w:val="00081E9B"/>
    <w:rsid w:val="000902F9"/>
    <w:rsid w:val="000B2932"/>
    <w:rsid w:val="000D343C"/>
    <w:rsid w:val="0010014C"/>
    <w:rsid w:val="001A172A"/>
    <w:rsid w:val="001C3941"/>
    <w:rsid w:val="001E7867"/>
    <w:rsid w:val="001F1892"/>
    <w:rsid w:val="001F49DF"/>
    <w:rsid w:val="001F593C"/>
    <w:rsid w:val="00237423"/>
    <w:rsid w:val="002448C6"/>
    <w:rsid w:val="00290994"/>
    <w:rsid w:val="00295B8C"/>
    <w:rsid w:val="002A300F"/>
    <w:rsid w:val="002F733A"/>
    <w:rsid w:val="0032668A"/>
    <w:rsid w:val="00357900"/>
    <w:rsid w:val="00386C32"/>
    <w:rsid w:val="003937E8"/>
    <w:rsid w:val="003A08FF"/>
    <w:rsid w:val="003E57DA"/>
    <w:rsid w:val="00437F8B"/>
    <w:rsid w:val="00447706"/>
    <w:rsid w:val="00450A0E"/>
    <w:rsid w:val="0047106D"/>
    <w:rsid w:val="0049498E"/>
    <w:rsid w:val="004952A9"/>
    <w:rsid w:val="00552B94"/>
    <w:rsid w:val="0056366A"/>
    <w:rsid w:val="00575EBC"/>
    <w:rsid w:val="0058133D"/>
    <w:rsid w:val="00584370"/>
    <w:rsid w:val="00592FFA"/>
    <w:rsid w:val="005E303D"/>
    <w:rsid w:val="00650BA4"/>
    <w:rsid w:val="0066224A"/>
    <w:rsid w:val="00683B64"/>
    <w:rsid w:val="006C7A83"/>
    <w:rsid w:val="006D3C4F"/>
    <w:rsid w:val="00802BEF"/>
    <w:rsid w:val="00864751"/>
    <w:rsid w:val="008801F9"/>
    <w:rsid w:val="00895DD6"/>
    <w:rsid w:val="008C7081"/>
    <w:rsid w:val="008D0137"/>
    <w:rsid w:val="009100D5"/>
    <w:rsid w:val="0096201F"/>
    <w:rsid w:val="00964792"/>
    <w:rsid w:val="009A1B7F"/>
    <w:rsid w:val="009D44A3"/>
    <w:rsid w:val="00A02513"/>
    <w:rsid w:val="00A0305C"/>
    <w:rsid w:val="00A5694E"/>
    <w:rsid w:val="00AA390A"/>
    <w:rsid w:val="00AF0411"/>
    <w:rsid w:val="00B205A1"/>
    <w:rsid w:val="00B64648"/>
    <w:rsid w:val="00BB11DE"/>
    <w:rsid w:val="00BE2A57"/>
    <w:rsid w:val="00C00213"/>
    <w:rsid w:val="00C00304"/>
    <w:rsid w:val="00C02470"/>
    <w:rsid w:val="00C34690"/>
    <w:rsid w:val="00C52F6E"/>
    <w:rsid w:val="00C642DA"/>
    <w:rsid w:val="00CA11A6"/>
    <w:rsid w:val="00CB4484"/>
    <w:rsid w:val="00CF7CFE"/>
    <w:rsid w:val="00D3442A"/>
    <w:rsid w:val="00D60BFD"/>
    <w:rsid w:val="00DC39AE"/>
    <w:rsid w:val="00DC5585"/>
    <w:rsid w:val="00DD0579"/>
    <w:rsid w:val="00DD5796"/>
    <w:rsid w:val="00DF50C1"/>
    <w:rsid w:val="00E0302F"/>
    <w:rsid w:val="00E37E20"/>
    <w:rsid w:val="00E71CF5"/>
    <w:rsid w:val="00EA624E"/>
    <w:rsid w:val="00F27B9E"/>
    <w:rsid w:val="00F40376"/>
    <w:rsid w:val="00F409E8"/>
    <w:rsid w:val="00F444AA"/>
    <w:rsid w:val="00F65856"/>
    <w:rsid w:val="00F90B73"/>
    <w:rsid w:val="00F94FFB"/>
    <w:rsid w:val="00F963E1"/>
    <w:rsid w:val="00FD5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360B06"/>
  <w15:chartTrackingRefBased/>
  <w15:docId w15:val="{1FE20D87-DD73-4E86-98AB-921CD6E0E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ind w:right="-335"/>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303D"/>
    <w:pPr>
      <w:tabs>
        <w:tab w:val="center" w:pos="4513"/>
        <w:tab w:val="right" w:pos="9026"/>
      </w:tabs>
    </w:pPr>
  </w:style>
  <w:style w:type="character" w:customStyle="1" w:styleId="HeaderChar">
    <w:name w:val="Header Char"/>
    <w:basedOn w:val="DefaultParagraphFont"/>
    <w:link w:val="Header"/>
    <w:uiPriority w:val="99"/>
    <w:rsid w:val="005E303D"/>
  </w:style>
  <w:style w:type="paragraph" w:styleId="Footer">
    <w:name w:val="footer"/>
    <w:basedOn w:val="Normal"/>
    <w:link w:val="FooterChar"/>
    <w:uiPriority w:val="99"/>
    <w:unhideWhenUsed/>
    <w:rsid w:val="005E303D"/>
    <w:pPr>
      <w:tabs>
        <w:tab w:val="center" w:pos="4513"/>
        <w:tab w:val="right" w:pos="9026"/>
      </w:tabs>
    </w:pPr>
  </w:style>
  <w:style w:type="character" w:customStyle="1" w:styleId="FooterChar">
    <w:name w:val="Footer Char"/>
    <w:basedOn w:val="DefaultParagraphFont"/>
    <w:link w:val="Footer"/>
    <w:uiPriority w:val="99"/>
    <w:rsid w:val="005E303D"/>
  </w:style>
  <w:style w:type="paragraph" w:styleId="FootnoteText">
    <w:name w:val="footnote text"/>
    <w:basedOn w:val="Normal"/>
    <w:link w:val="FootnoteTextChar"/>
    <w:uiPriority w:val="99"/>
    <w:semiHidden/>
    <w:unhideWhenUsed/>
    <w:rsid w:val="00DC39AE"/>
    <w:rPr>
      <w:sz w:val="20"/>
      <w:szCs w:val="20"/>
    </w:rPr>
  </w:style>
  <w:style w:type="character" w:customStyle="1" w:styleId="FootnoteTextChar">
    <w:name w:val="Footnote Text Char"/>
    <w:basedOn w:val="DefaultParagraphFont"/>
    <w:link w:val="FootnoteText"/>
    <w:uiPriority w:val="99"/>
    <w:semiHidden/>
    <w:rsid w:val="00DC39AE"/>
    <w:rPr>
      <w:sz w:val="20"/>
      <w:szCs w:val="20"/>
    </w:rPr>
  </w:style>
  <w:style w:type="character" w:styleId="FootnoteReference">
    <w:name w:val="footnote reference"/>
    <w:basedOn w:val="DefaultParagraphFont"/>
    <w:uiPriority w:val="99"/>
    <w:semiHidden/>
    <w:unhideWhenUsed/>
    <w:rsid w:val="00DC39AE"/>
    <w:rPr>
      <w:vertAlign w:val="superscript"/>
    </w:rPr>
  </w:style>
  <w:style w:type="paragraph" w:styleId="ListParagraph">
    <w:name w:val="List Paragraph"/>
    <w:basedOn w:val="Normal"/>
    <w:uiPriority w:val="34"/>
    <w:qFormat/>
    <w:rsid w:val="00DF50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932"/>
    <w:rsid w:val="000E6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D9226103CC42A1B0539D80A7D3E4D2">
    <w:name w:val="A0D9226103CC42A1B0539D80A7D3E4D2"/>
    <w:rsid w:val="000E69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2A569C-387E-4A59-B877-560490005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8</Pages>
  <Words>2169</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Hall</dc:creator>
  <cp:keywords/>
  <dc:description/>
  <cp:lastModifiedBy>Lauren Hall</cp:lastModifiedBy>
  <cp:revision>41</cp:revision>
  <dcterms:created xsi:type="dcterms:W3CDTF">2018-01-19T13:06:00Z</dcterms:created>
  <dcterms:modified xsi:type="dcterms:W3CDTF">2018-01-19T15:26:00Z</dcterms:modified>
</cp:coreProperties>
</file>