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7381C" w14:textId="47857C85" w:rsidR="00A80E26" w:rsidRDefault="00CD3BF9">
      <w:pPr>
        <w:rPr>
          <w:u w:val="single"/>
        </w:rPr>
      </w:pPr>
      <w:r w:rsidRPr="00CD3BF9">
        <w:rPr>
          <w:u w:val="single"/>
        </w:rPr>
        <w:t>Introduction</w:t>
      </w:r>
    </w:p>
    <w:p w14:paraId="28971F6A" w14:textId="4A609EBC" w:rsidR="00CD3BF9" w:rsidRDefault="00CD3BF9">
      <w:r w:rsidRPr="00CD3BF9">
        <w:t>This chapter will focus on identifying the existing academic literature on the research topic chosen. This literature will include journals, books and research papers. Some existing statistics will also be discussed, and by identifying what research has already been implemented on this topic, it will allow for a better understanding on what areas require more research to be conducted.  There appears to be a wealth of research available regarding County Lines, however, data that links children to county lines is limited to that of what police forces provide. This chapter will look at the available research on what is meant by county lines, the effectiveness of child protection services when safeguarding children from being exploited in county lines, and the effectiveness of the criminal justice system when dealing with children and county lines.</w:t>
      </w:r>
    </w:p>
    <w:p w14:paraId="6970BE5B" w14:textId="77777777" w:rsidR="00CD3BF9" w:rsidRDefault="00CD3BF9"/>
    <w:p w14:paraId="2D1FE3B9" w14:textId="51B45526" w:rsidR="00CD3BF9" w:rsidRDefault="00CD3BF9">
      <w:pPr>
        <w:rPr>
          <w:u w:val="single"/>
        </w:rPr>
      </w:pPr>
      <w:r w:rsidRPr="00CD3BF9">
        <w:rPr>
          <w:u w:val="single"/>
        </w:rPr>
        <w:t>Definitions and prevalence of County Lines</w:t>
      </w:r>
    </w:p>
    <w:p w14:paraId="2A45E798" w14:textId="55E8A2F4" w:rsidR="00CD3BF9" w:rsidRPr="00CD3BF9" w:rsidRDefault="00CD3BF9" w:rsidP="00CD3BF9">
      <w:r w:rsidRPr="00CD3BF9">
        <w:t>The term “County Lines” has been used to describe a criminal operational structure since the mid-2010’s. In its National Intelligence Assessment, published in late 2015, The NCA describes County Lines as a “national issue” where criminal groups use mobile phone drug lines to expand their drug trafficking operations beyond their local areas and into other regions (NCA, 2015, p. 1). The involvement of children comes into existence when the criminal group take advantage of young persons to store and distribute drugs, transport cash profits and to “secure the use of dwellings”, a practice often referred to as “cuckooing” (NCA, 2017, p. 2). County Lines is a concerning tactic utilised by Organised Crime Groups (OCG) as a means of expanding their operations outside of their usual area of operation, often using vulnerable persons, like children, to maximise profits and minimise risk.</w:t>
      </w:r>
    </w:p>
    <w:p w14:paraId="23B325A2" w14:textId="7D78DB67" w:rsidR="00CD3BF9" w:rsidRDefault="00CD3BF9" w:rsidP="00CD3BF9">
      <w:r w:rsidRPr="00CD3BF9">
        <w:t>County Lines is often referred to as ‘the most violent model of drug supply’ with it being strongly linked with knife crime, violence against women and girls, and known for its exploitation of children in their criminal activity (Home office, 2025).  Although County Lines is a term used to describe a specific activity, the perpetrators often do not fit a certain demographic or criteria. For example, they can be “individuals or groups of any gender or nationality and can appear unsophisticated or organised” (Home Office, 2023, p. 4). Despite this, the goals of the perpetrator appear to be the aligned, to exploit children into working for them, in effort to remain anonymous and reduce the associated risks of drug dealing for themselves (NCA, 2015).</w:t>
      </w:r>
    </w:p>
    <w:p w14:paraId="64BC4115" w14:textId="77777777" w:rsidR="00CD3BF9" w:rsidRDefault="00CD3BF9" w:rsidP="00CD3BF9"/>
    <w:p w14:paraId="683A5836" w14:textId="7984107A" w:rsidR="00CD3BF9" w:rsidRDefault="00CD3BF9" w:rsidP="00CD3BF9">
      <w:pPr>
        <w:rPr>
          <w:u w:val="single"/>
        </w:rPr>
      </w:pPr>
      <w:r w:rsidRPr="00CD3BF9">
        <w:rPr>
          <w:u w:val="single"/>
        </w:rPr>
        <w:t>Vulnerability and recruitment of children</w:t>
      </w:r>
    </w:p>
    <w:p w14:paraId="709AD66D" w14:textId="05F931BB" w:rsidR="00CD3BF9" w:rsidRDefault="00CD3BF9" w:rsidP="00CD3BF9">
      <w:r w:rsidRPr="00CD3BF9">
        <w:t>The United Kingdom’s National Referral Mechanism (NRM) is a system designed to identify individuals who may be victims of modern slavery and to make sure they receive appropriate support and protection (Lumley-</w:t>
      </w:r>
      <w:proofErr w:type="spellStart"/>
      <w:r w:rsidRPr="00CD3BF9">
        <w:t>Sapanski</w:t>
      </w:r>
      <w:proofErr w:type="spellEnd"/>
      <w:r w:rsidRPr="00CD3BF9">
        <w:t xml:space="preserve"> et. al., 2024). NCA data collected in 2018, outlined the worrying use of children in County Lines when analysis conducted on the NRM identified the majority of referrals being conducted were for those aged between 15-17 (NCA, 2019). This factor alone demonstrates the importance of Child protection services in their role in combating County Lines crime. Furthermore, Home Office (2025) state how in 2023-2024 approximately 14,500 children were identified as at risk or involved in child criminal exploitation. This figure is worrying especially when it is likely to be an underestimate, as there will be a lot of children who go undetected.</w:t>
      </w:r>
    </w:p>
    <w:p w14:paraId="28E95DF9" w14:textId="554C2C74" w:rsidR="009F63BF" w:rsidRDefault="00DD5DC2" w:rsidP="00CD3BF9">
      <w:r>
        <w:t xml:space="preserve">Although, any child is at risk of being exploited, there </w:t>
      </w:r>
      <w:r w:rsidR="00A70E2E">
        <w:t>are factors that make them more vulnerabl</w:t>
      </w:r>
      <w:r w:rsidR="006E162B">
        <w:t>e to Organised Crime Gangs (OCGs).</w:t>
      </w:r>
      <w:r w:rsidR="002D6654" w:rsidRPr="002D6654">
        <w:t xml:space="preserve"> </w:t>
      </w:r>
      <w:r w:rsidR="00DE3D91">
        <w:t>One significant vulnerability comes in the form of</w:t>
      </w:r>
      <w:r w:rsidR="00923E7F" w:rsidRPr="00923E7F">
        <w:t xml:space="preserve"> experiencing </w:t>
      </w:r>
      <w:r w:rsidR="00923E7F" w:rsidRPr="00923E7F">
        <w:lastRenderedPageBreak/>
        <w:t>poverty or homelessness</w:t>
      </w:r>
      <w:r w:rsidR="00451570">
        <w:t xml:space="preserve">. </w:t>
      </w:r>
      <w:r w:rsidR="003F7D4B">
        <w:t>These c</w:t>
      </w:r>
      <w:r w:rsidR="00451570">
        <w:t xml:space="preserve">hildren may be driven to resort to </w:t>
      </w:r>
      <w:r w:rsidR="00923E7F" w:rsidRPr="00923E7F">
        <w:t xml:space="preserve">county lines </w:t>
      </w:r>
      <w:r w:rsidR="006815C0">
        <w:t xml:space="preserve">activities </w:t>
      </w:r>
      <w:r w:rsidR="00923E7F" w:rsidRPr="00923E7F">
        <w:t xml:space="preserve">as a way </w:t>
      </w:r>
      <w:r w:rsidR="006815C0">
        <w:t xml:space="preserve">of providing for basic </w:t>
      </w:r>
      <w:r w:rsidR="003F7D4B">
        <w:t>necessities</w:t>
      </w:r>
      <w:r w:rsidR="00C97128" w:rsidRPr="00C97128">
        <w:t xml:space="preserve"> </w:t>
      </w:r>
      <w:r w:rsidR="00C97128">
        <w:t>(Leicestershire County Council, 2025).</w:t>
      </w:r>
      <w:r w:rsidR="00EB5770">
        <w:t xml:space="preserve"> </w:t>
      </w:r>
      <w:r w:rsidR="00E07C15">
        <w:t>Other vulnerabilities include</w:t>
      </w:r>
      <w:r w:rsidR="00414BBF">
        <w:t>: e</w:t>
      </w:r>
      <w:r w:rsidR="00FA77CD">
        <w:t>xperiencing A</w:t>
      </w:r>
      <w:r w:rsidR="00562345">
        <w:t xml:space="preserve">dverse Childhood Experiences (ACEs), being in care, social isolation or difficulties, through association with </w:t>
      </w:r>
      <w:r w:rsidR="00CD669E">
        <w:t xml:space="preserve">other involved in gangs and mental health </w:t>
      </w:r>
      <w:r w:rsidR="00414BBF">
        <w:t>issues.</w:t>
      </w:r>
      <w:r w:rsidR="00DE0D61" w:rsidRPr="00DE0D61">
        <w:t xml:space="preserve"> </w:t>
      </w:r>
      <w:r w:rsidR="00DE0D61">
        <w:t>(</w:t>
      </w:r>
      <w:r w:rsidR="00DE0D61" w:rsidRPr="00DE0D61">
        <w:t>Blackburn with Darwen Borough Council</w:t>
      </w:r>
      <w:r w:rsidR="00B34C82">
        <w:t>, 2025)</w:t>
      </w:r>
      <w:r w:rsidR="00B34C82">
        <w:br/>
      </w:r>
      <w:r w:rsidR="00B34C82">
        <w:br/>
      </w:r>
      <w:r w:rsidR="0063248F">
        <w:t xml:space="preserve">Current data from </w:t>
      </w:r>
      <w:r w:rsidR="00037D99">
        <w:t xml:space="preserve">the </w:t>
      </w:r>
      <w:r w:rsidR="00037D99" w:rsidRPr="00037D99">
        <w:t>National County Lines Coordination Centre</w:t>
      </w:r>
      <w:r w:rsidR="00037D99">
        <w:t xml:space="preserve"> (NCLCC) states that </w:t>
      </w:r>
      <w:r w:rsidR="003F452A">
        <w:t>the majority of children involved in county lines are between 15</w:t>
      </w:r>
      <w:r w:rsidR="00BA1612">
        <w:t>-17 years old (Home Office, 2023)</w:t>
      </w:r>
      <w:r w:rsidR="008C6792">
        <w:t xml:space="preserve">. </w:t>
      </w:r>
      <w:r w:rsidR="00DC3D12">
        <w:t xml:space="preserve">To support </w:t>
      </w:r>
      <w:r w:rsidR="00CD29AF">
        <w:t>this, analysis</w:t>
      </w:r>
      <w:r w:rsidR="007C46A3">
        <w:t xml:space="preserve"> </w:t>
      </w:r>
      <w:r w:rsidR="00E27A45">
        <w:t>in 2024</w:t>
      </w:r>
      <w:r w:rsidR="00E97D8A">
        <w:t xml:space="preserve"> found </w:t>
      </w:r>
      <w:r w:rsidR="00501C35">
        <w:t xml:space="preserve">that British boys aged 17 and under comprised 45% </w:t>
      </w:r>
      <w:r w:rsidR="003B5392">
        <w:t xml:space="preserve">of all criminal </w:t>
      </w:r>
      <w:r w:rsidR="00584F30">
        <w:t>exploitation in the UK</w:t>
      </w:r>
      <w:r w:rsidR="00501C35">
        <w:t xml:space="preserve"> </w:t>
      </w:r>
      <w:r w:rsidR="00824642">
        <w:t>(</w:t>
      </w:r>
      <w:r w:rsidR="00824642" w:rsidRPr="00E809CD">
        <w:t>Centre for Social Justice and Justice and Care</w:t>
      </w:r>
      <w:r w:rsidR="00824642">
        <w:t>, 2024).</w:t>
      </w:r>
    </w:p>
    <w:p w14:paraId="39E4CD1C" w14:textId="4F38793F" w:rsidR="0058494A" w:rsidRDefault="000F1E74" w:rsidP="00CD3BF9">
      <w:r>
        <w:t xml:space="preserve">Some research suggests that racial disparities can be seen when looking at victim of county lines, with </w:t>
      </w:r>
      <w:r w:rsidR="004A3153">
        <w:t xml:space="preserve">black children being six times more likely </w:t>
      </w:r>
      <w:r w:rsidR="00D64AEA">
        <w:t xml:space="preserve">to be involved in </w:t>
      </w:r>
      <w:r w:rsidR="00D64AEA" w:rsidRPr="000F1E74">
        <w:t>county lines cohorts</w:t>
      </w:r>
      <w:r w:rsidR="00EB1E1D">
        <w:t xml:space="preserve"> </w:t>
      </w:r>
      <w:r w:rsidR="00F2519C">
        <w:t>(</w:t>
      </w:r>
      <w:r w:rsidR="00EB1E1D">
        <w:t>Koch et. al</w:t>
      </w:r>
      <w:r w:rsidR="00F2519C">
        <w:t>., 2024).</w:t>
      </w:r>
    </w:p>
    <w:p w14:paraId="6AFB2A7C" w14:textId="77777777" w:rsidR="004C5AF9" w:rsidRDefault="004C5AF9" w:rsidP="00CD3BF9"/>
    <w:p w14:paraId="0D17949B" w14:textId="624FCB94" w:rsidR="00CD3BF9" w:rsidRPr="00CD3BF9" w:rsidRDefault="00CD3BF9" w:rsidP="00CD3BF9">
      <w:pPr>
        <w:rPr>
          <w:u w:val="single"/>
        </w:rPr>
      </w:pPr>
      <w:r w:rsidRPr="00CD3BF9">
        <w:rPr>
          <w:u w:val="single"/>
        </w:rPr>
        <w:t>Responses of child protection services</w:t>
      </w:r>
    </w:p>
    <w:p w14:paraId="061CDF74" w14:textId="2A41D824" w:rsidR="00CD3BF9" w:rsidRDefault="00CD3BF9" w:rsidP="00CD3BF9">
      <w:r>
        <w:t xml:space="preserve">A whole system approach has been identified as the only effective way of tackling the problem of child exploitation in county lines; this where public health, department for education and social care all work together (NCA, 2025). It is key that child protection services intervene at the earliest opportunity to prevent the exploitation from initially happening (NCA, 2025). Once a child has already been recruited and exploited, it is much harder to deter the child from this life and safeguard them. Therefore, it is crucial that early intervention is implemented. </w:t>
      </w:r>
    </w:p>
    <w:p w14:paraId="701EE1F3" w14:textId="79BD80DE" w:rsidR="001D0052" w:rsidRDefault="00CD3BF9" w:rsidP="00CD3BF9">
      <w:r>
        <w:t xml:space="preserve">In her 2021 review of Child Criminal Exploitation (CCE), Marshall (2021) explores how young people involved in county lines drug dealing are identified as victims of CCE.  They are identified as victims due to the fact that even if the activity appears consensual, the child is usually coerced, controlled, manipulated, or deceived by these groups/individuals and subsequently, criminally exploited (Home office, 2023). </w:t>
      </w:r>
      <w:r w:rsidRPr="00646D59">
        <w:t>Sirona</w:t>
      </w:r>
      <w:r w:rsidR="001B092E">
        <w:t>, a no</w:t>
      </w:r>
      <w:r w:rsidR="00814905">
        <w:t xml:space="preserve">t-for-profit social care provider, </w:t>
      </w:r>
      <w:r>
        <w:t>also supports this by stating how children involved in county lines are not criminals and are actually victims</w:t>
      </w:r>
      <w:r w:rsidR="00814905">
        <w:t xml:space="preserve"> (Sirona, 2021).</w:t>
      </w:r>
    </w:p>
    <w:p w14:paraId="118CA1E3" w14:textId="15766755" w:rsidR="00467F1F" w:rsidRDefault="00E44BCC" w:rsidP="00E44BCC">
      <w:r>
        <w:t xml:space="preserve">The Social Services and Well-Being (Wales) Act (2014) </w:t>
      </w:r>
      <w:r w:rsidR="00467F1F">
        <w:t xml:space="preserve">came into force in 2016 to provide a legal framework for how social care is carried out in Wales. </w:t>
      </w:r>
      <w:r w:rsidR="009B5BEA">
        <w:t xml:space="preserve">Although not mentioned directly, it is clear that this Act is a key apparatus in Wales’s approach to county lines. For example, the Act </w:t>
      </w:r>
      <w:r w:rsidR="00467F1F">
        <w:t>places a duty on local authorities to make inquiries into children who are at risk of being exploited and assess their vulnerability to grooming or criminal exploitation</w:t>
      </w:r>
      <w:r w:rsidR="009B5BEA">
        <w:t xml:space="preserve">; like those involved in county lines. </w:t>
      </w:r>
      <w:r w:rsidR="00467F1F">
        <w:t xml:space="preserve">In addition to this, a key theme throughout the Act is the designation of children involved in </w:t>
      </w:r>
      <w:r w:rsidR="009B5BEA">
        <w:t xml:space="preserve">exploitation activities as victims who need protection, not criminals who need incarceration. </w:t>
      </w:r>
    </w:p>
    <w:p w14:paraId="765F666F" w14:textId="3559B7FE" w:rsidR="00D6542E" w:rsidRDefault="009B5BEA" w:rsidP="009B5BEA">
      <w:r>
        <w:t xml:space="preserve">Lloyd et. al. (2023, p. 3727) states that </w:t>
      </w:r>
      <w:r w:rsidR="002764DF">
        <w:t>c</w:t>
      </w:r>
      <w:r>
        <w:t xml:space="preserve">hildren social services have the “duty and power to provide welfare and support to children in need”. </w:t>
      </w:r>
      <w:r w:rsidR="002764DF">
        <w:t xml:space="preserve"> </w:t>
      </w:r>
      <w:r>
        <w:t>In spite of this, a UK Parliament (2019</w:t>
      </w:r>
      <w:r w:rsidR="003D47B3">
        <w:t>, sec. 98</w:t>
      </w:r>
      <w:r>
        <w:t xml:space="preserve">) publication, </w:t>
      </w:r>
      <w:r w:rsidR="003D47B3">
        <w:t>argues</w:t>
      </w:r>
      <w:r>
        <w:t xml:space="preserve"> that a common theme that could be recognised from the available evidence was the overall “failure of statutory safeguarding systems and processes to protect children from county lines exploitation”. </w:t>
      </w:r>
      <w:r w:rsidR="003D47B3" w:rsidRPr="003D47B3">
        <w:t xml:space="preserve">One contributing factor to this failure to support young people is the limited budget for social services, which has led to a higher threshold for accessing support </w:t>
      </w:r>
      <w:r w:rsidR="003D47B3">
        <w:t>(</w:t>
      </w:r>
      <w:r w:rsidR="003D47B3" w:rsidRPr="003D47B3">
        <w:t>UK Parliament, 2019</w:t>
      </w:r>
      <w:r w:rsidR="003D47B3">
        <w:t xml:space="preserve">). </w:t>
      </w:r>
      <w:r w:rsidR="00D6542E">
        <w:t xml:space="preserve">This is further supported in Hudek (2018) who identifies that </w:t>
      </w:r>
      <w:r w:rsidR="003D47B3" w:rsidRPr="003D47B3">
        <w:t>sustained investment in family support mechanisms and proactive multi</w:t>
      </w:r>
      <w:r w:rsidR="003D47B3" w:rsidRPr="003D47B3">
        <w:rPr>
          <w:rFonts w:ascii="Cambria Math" w:hAnsi="Cambria Math" w:cs="Cambria Math"/>
        </w:rPr>
        <w:t>‑</w:t>
      </w:r>
      <w:r w:rsidR="003D47B3" w:rsidRPr="003D47B3">
        <w:t xml:space="preserve">agency collaboration </w:t>
      </w:r>
      <w:r w:rsidR="00D6542E">
        <w:t>is needed to prevent escalation into criminal exploitation.</w:t>
      </w:r>
    </w:p>
    <w:p w14:paraId="44BC49E1" w14:textId="613D98F1" w:rsidR="009B5BEA" w:rsidRDefault="009B5BEA" w:rsidP="00CD3BF9">
      <w:r>
        <w:lastRenderedPageBreak/>
        <w:t>As a result of their failings, it has often been the responsibility of charities to aid in the safeguarding of young persons involved in county lines. In their effort to tackle the issue, in 2017, child protection charity ‘Children in Need’ set up the County Lines in Cymru (</w:t>
      </w:r>
      <w:proofErr w:type="spellStart"/>
      <w:r>
        <w:t>CLiC</w:t>
      </w:r>
      <w:proofErr w:type="spellEnd"/>
      <w:r>
        <w:t xml:space="preserve">) project to support children who are involved in county lines activity in the South Wales area (St. Giles Trust, 2023). Since its inception, </w:t>
      </w:r>
      <w:proofErr w:type="spellStart"/>
      <w:r>
        <w:t>CLiC</w:t>
      </w:r>
      <w:proofErr w:type="spellEnd"/>
      <w:r>
        <w:t xml:space="preserve"> has supported 140 children with in-depth assistance, leading to 74% exiting exploitation and 22 securing employment (St. Giles Trust, 2023).</w:t>
      </w:r>
    </w:p>
    <w:p w14:paraId="12482FCD" w14:textId="5A36CC38" w:rsidR="00702EFE" w:rsidRDefault="00CD3BF9" w:rsidP="00CD3BF9">
      <w:r>
        <w:t>Despite this, young persons involved in drug dealing h</w:t>
      </w:r>
      <w:r w:rsidR="00680862">
        <w:t>a</w:t>
      </w:r>
      <w:r w:rsidR="00646D59">
        <w:t>v</w:t>
      </w:r>
      <w:r w:rsidR="00680862">
        <w:t xml:space="preserve">e not always </w:t>
      </w:r>
      <w:r w:rsidR="00646D59">
        <w:t xml:space="preserve">been </w:t>
      </w:r>
      <w:r w:rsidR="00680862">
        <w:t xml:space="preserve">treated as victims. </w:t>
      </w:r>
      <w:r w:rsidR="00646D59">
        <w:t xml:space="preserve">For example, </w:t>
      </w:r>
      <w:r w:rsidR="00680862">
        <w:t>Koch (2021)</w:t>
      </w:r>
      <w:r w:rsidR="00646D59">
        <w:t xml:space="preserve"> suggests that a culture of criminalisation endures. Children who are involved in county lines are often misunderstood by the public and branded as criminals who choose to engage in illegal activities. This is often compounded by the child’s refusal to regard themselves as a victim, as they are manipulated by the construct that surrounds them as created by the exploiters (ICCA, 2025).</w:t>
      </w:r>
      <w:r w:rsidR="00702EFE">
        <w:t xml:space="preserve"> Furthermore, in his 2023 study, Shaw </w:t>
      </w:r>
      <w:r w:rsidR="00702EFE" w:rsidRPr="00702EFE">
        <w:t>argues that frontline responses often continue to criminalize children, leaving their victim status uncertain.</w:t>
      </w:r>
      <w:r w:rsidR="00702EFE">
        <w:t xml:space="preserve"> </w:t>
      </w:r>
      <w:r w:rsidR="00E44BCC">
        <w:t xml:space="preserve">Similarly, </w:t>
      </w:r>
      <w:proofErr w:type="spellStart"/>
      <w:r w:rsidR="00E44BCC">
        <w:t>Espeute</w:t>
      </w:r>
      <w:proofErr w:type="spellEnd"/>
      <w:r w:rsidR="00E44BCC">
        <w:t xml:space="preserve"> &amp; </w:t>
      </w:r>
      <w:proofErr w:type="spellStart"/>
      <w:r w:rsidR="00E44BCC">
        <w:t>Lanskey</w:t>
      </w:r>
      <w:proofErr w:type="spellEnd"/>
      <w:r w:rsidR="00E44BCC">
        <w:t xml:space="preserve"> (2023) note that there is a lack of uniformity by both researchers and practitioners in regarding those exploited in county lines as either victims or criminals. </w:t>
      </w:r>
      <w:r w:rsidR="00702EFE">
        <w:t xml:space="preserve">This emphasises both the importance placed on the response of child protection services and also highlight the need for </w:t>
      </w:r>
      <w:r w:rsidR="00702EFE" w:rsidRPr="00702EFE">
        <w:t>reconsideration of how county lines victimization is framed</w:t>
      </w:r>
      <w:r w:rsidR="00702EFE">
        <w:t xml:space="preserve"> in the UK.</w:t>
      </w:r>
    </w:p>
    <w:p w14:paraId="092C6D79" w14:textId="77777777" w:rsidR="00CD3BF9" w:rsidRDefault="00CD3BF9" w:rsidP="00CD3BF9">
      <w:pPr>
        <w:rPr>
          <w:u w:val="single"/>
        </w:rPr>
      </w:pPr>
    </w:p>
    <w:p w14:paraId="24FFFD59" w14:textId="595ABDB3" w:rsidR="00CD3BF9" w:rsidRDefault="00CD3BF9" w:rsidP="00CD3BF9">
      <w:pPr>
        <w:rPr>
          <w:u w:val="single"/>
        </w:rPr>
      </w:pPr>
      <w:r w:rsidRPr="00CD3BF9">
        <w:rPr>
          <w:u w:val="single"/>
        </w:rPr>
        <w:t>Criminal justice approaches</w:t>
      </w:r>
    </w:p>
    <w:p w14:paraId="16BBBC2D" w14:textId="247377FE" w:rsidR="00CD3BF9" w:rsidRDefault="00CD3BF9" w:rsidP="00CD3BF9">
      <w:r w:rsidRPr="00CD3BF9">
        <w:t>To address the policing aspect, set up by the NPCC, the ‘National County Lines Coordination Centre’ (NCLCC) was created to focus their efforts and create a working strategy. Two of the four aims outlined by the NCLCC’s 2024-2027 Policing Strategy document is regarding the prevention and safeguarding of children and vulnerable persons at risk to be exploited through County Lines (NPCC, 2024a). Since its inception in 2017, the NCLCC has coordinated 13 County Lines Intensification Weeks, resulting in closure of over 5,600 drug lines and the charging of approximately 8,000 individuals (NPCC, 2024b).</w:t>
      </w:r>
    </w:p>
    <w:p w14:paraId="37D79FF9" w14:textId="018FD196" w:rsidR="008C0E2A" w:rsidRDefault="00631179" w:rsidP="00631179">
      <w:r>
        <w:t>High levels of county lines activity have encouraged the need for a multi-police force partnerships in some areas. For example, the ‘</w:t>
      </w:r>
      <w:r w:rsidRPr="00641FD4">
        <w:t>County Lines Programme Taskforce</w:t>
      </w:r>
      <w:r>
        <w:t xml:space="preserve">’ consists of the </w:t>
      </w:r>
      <w:r w:rsidRPr="00641FD4">
        <w:t>Metropolitan Police Service, Merseyside Police, West Midlands Police, Greater Manchester Police and British Transport Police</w:t>
      </w:r>
      <w:r>
        <w:t xml:space="preserve"> who utilise intelligence led policing and collaboration </w:t>
      </w:r>
      <w:r w:rsidR="00C97501">
        <w:t xml:space="preserve">to obtain positive results. For instance, between July 2024 and March 2025, a total of </w:t>
      </w:r>
      <w:r w:rsidR="00C97501" w:rsidRPr="00641FD4">
        <w:t xml:space="preserve">1,225 county lines </w:t>
      </w:r>
      <w:r w:rsidR="00C97501">
        <w:t xml:space="preserve">were </w:t>
      </w:r>
      <w:r w:rsidR="00C97501" w:rsidRPr="00641FD4">
        <w:t>closed</w:t>
      </w:r>
      <w:r w:rsidR="008C0E2A">
        <w:t>,</w:t>
      </w:r>
      <w:r w:rsidR="00C97501">
        <w:t xml:space="preserve"> </w:t>
      </w:r>
      <w:proofErr w:type="gramStart"/>
      <w:r w:rsidR="00C97501" w:rsidRPr="00641FD4">
        <w:t>808 line</w:t>
      </w:r>
      <w:proofErr w:type="gramEnd"/>
      <w:r w:rsidR="00C97501" w:rsidRPr="00641FD4">
        <w:t xml:space="preserve"> holders charged</w:t>
      </w:r>
      <w:r w:rsidR="00C97501">
        <w:t xml:space="preserve"> and </w:t>
      </w:r>
      <w:r w:rsidR="00C97501" w:rsidRPr="00641FD4">
        <w:t xml:space="preserve">2,192 individuals </w:t>
      </w:r>
      <w:r w:rsidR="00C97501">
        <w:t xml:space="preserve">referred for safeguarding (Home Office, 2025, p. 3). </w:t>
      </w:r>
    </w:p>
    <w:p w14:paraId="444A0C8E" w14:textId="47784841" w:rsidR="00641FD4" w:rsidRDefault="002D5A16" w:rsidP="00CD3BF9">
      <w:r>
        <w:t>As</w:t>
      </w:r>
      <w:r w:rsidR="008C0E2A">
        <w:t xml:space="preserve"> positive as these statistics may appear, when compared to a 2022 report by HMICFRS, it appears that the UK has drastically underestimated the scale of the problem. For example, in the report, the HMICFRS </w:t>
      </w:r>
      <w:r>
        <w:t>has</w:t>
      </w:r>
      <w:r w:rsidR="008C0E2A">
        <w:t xml:space="preserve"> estimat</w:t>
      </w:r>
      <w:r>
        <w:t>ed</w:t>
      </w:r>
      <w:r w:rsidR="008C0E2A">
        <w:t xml:space="preserve"> the </w:t>
      </w:r>
      <w:r>
        <w:t xml:space="preserve">total </w:t>
      </w:r>
      <w:r w:rsidR="008C0E2A">
        <w:t xml:space="preserve">volume of county drugs lines in the UK as </w:t>
      </w:r>
      <w:r w:rsidR="008C0E2A" w:rsidRPr="008C0E2A">
        <w:t>approximately 1,000</w:t>
      </w:r>
      <w:r w:rsidR="00737085">
        <w:t xml:space="preserve"> (</w:t>
      </w:r>
      <w:r w:rsidR="00DC12D5">
        <w:t>HMICFRS, 2022)</w:t>
      </w:r>
      <w:r>
        <w:t xml:space="preserve">. However, this number is smaller than the number of lines closed in a one-year period from only four force areas (Home Office, 2025, p. 3). Simply put, if the scale of the issue is not completely understood, how can the problem effectively be tackled. This </w:t>
      </w:r>
      <w:r w:rsidR="00D9734F">
        <w:t>applies</w:t>
      </w:r>
      <w:r>
        <w:t xml:space="preserve"> to safeguarding children as well, as the criminal justice approach to county lines focuses on </w:t>
      </w:r>
      <w:r w:rsidR="008B32DD">
        <w:t xml:space="preserve">the prosecution of high-level drug dealers, to limit supply and thus limit the number of children who are exploited. </w:t>
      </w:r>
    </w:p>
    <w:p w14:paraId="68056515" w14:textId="77777777" w:rsidR="00CD3BF9" w:rsidRDefault="00CD3BF9" w:rsidP="00CD3BF9"/>
    <w:p w14:paraId="4923135B" w14:textId="77777777" w:rsidR="00D9734F" w:rsidRDefault="00D9734F" w:rsidP="00CD3BF9"/>
    <w:p w14:paraId="63792130" w14:textId="77777777" w:rsidR="00D9734F" w:rsidRDefault="00D9734F" w:rsidP="00CD3BF9"/>
    <w:p w14:paraId="0AD55D08" w14:textId="77777777" w:rsidR="00CD3BF9" w:rsidRPr="00CD3BF9" w:rsidRDefault="00CD3BF9" w:rsidP="00CD3BF9">
      <w:pPr>
        <w:rPr>
          <w:u w:val="single"/>
        </w:rPr>
      </w:pPr>
      <w:r w:rsidRPr="00CD3BF9">
        <w:rPr>
          <w:u w:val="single"/>
        </w:rPr>
        <w:lastRenderedPageBreak/>
        <w:t>Legislative and policy gaps</w:t>
      </w:r>
    </w:p>
    <w:p w14:paraId="21C963B8" w14:textId="6C78CA3D" w:rsidR="009C05CA" w:rsidRPr="009C05CA" w:rsidRDefault="00CD3BF9" w:rsidP="009C05CA">
      <w:r w:rsidRPr="00CD3BF9">
        <w:t xml:space="preserve">Historically, there has been a legislative void in addressing the perpetrators of child involvement in County Lines. An example of this is presented when looking at a key piece of legislation that addresses the safeguarding of children, The Children’s Act (2014). This Act focuses primarily on children who are subject to abuse in a domestic environment, providing it difficult to use this legislation when applying to children involved in County Lines (UK Parliament, 2019). </w:t>
      </w:r>
      <w:r w:rsidR="000C1BCF">
        <w:t xml:space="preserve">In his 2022 </w:t>
      </w:r>
      <w:r w:rsidR="00400839">
        <w:t xml:space="preserve">doctoral thesis, Ditcham </w:t>
      </w:r>
      <w:r w:rsidR="00042E0C">
        <w:t xml:space="preserve">outlines the importance to have </w:t>
      </w:r>
      <w:r w:rsidR="00042E0C" w:rsidRPr="00042E0C">
        <w:t xml:space="preserve">bespoke </w:t>
      </w:r>
      <w:r w:rsidR="00A9361A">
        <w:t>CCE</w:t>
      </w:r>
      <w:r w:rsidR="00042E0C" w:rsidRPr="00042E0C">
        <w:t xml:space="preserve"> legislation that explicitly labels exploiters as child abusers</w:t>
      </w:r>
      <w:r w:rsidR="005D1908">
        <w:t xml:space="preserve"> (Ditcham, 2022)</w:t>
      </w:r>
      <w:r w:rsidR="00A9361A">
        <w:t xml:space="preserve">. </w:t>
      </w:r>
      <w:r w:rsidR="00932D5E">
        <w:t>In most cases</w:t>
      </w:r>
      <w:r w:rsidRPr="00CD3BF9">
        <w:t xml:space="preserve">, the Modern Slavery Act (2015) </w:t>
      </w:r>
      <w:r w:rsidR="00932D5E">
        <w:t>is</w:t>
      </w:r>
      <w:r w:rsidRPr="00CD3BF9">
        <w:t xml:space="preserve"> utilised when addressing CCE due to the similarity of offences </w:t>
      </w:r>
      <w:r w:rsidR="0048235E">
        <w:t>(Harding, 2020</w:t>
      </w:r>
      <w:r w:rsidR="005344ED">
        <w:t>a</w:t>
      </w:r>
      <w:r w:rsidR="0048235E">
        <w:t>)</w:t>
      </w:r>
      <w:r w:rsidR="00B37402">
        <w:t xml:space="preserve">. </w:t>
      </w:r>
      <w:r w:rsidR="009C05CA">
        <w:t>Nevertheless</w:t>
      </w:r>
      <w:r w:rsidR="00535EEC">
        <w:t xml:space="preserve">, </w:t>
      </w:r>
      <w:r w:rsidR="009C05CA">
        <w:t>t</w:t>
      </w:r>
      <w:r w:rsidR="00932D5E">
        <w:t xml:space="preserve">his </w:t>
      </w:r>
      <w:r w:rsidR="00535EEC">
        <w:t xml:space="preserve">has significant limitations </w:t>
      </w:r>
      <w:r w:rsidR="009C05CA">
        <w:t xml:space="preserve">as </w:t>
      </w:r>
      <w:r w:rsidR="001D7CF3">
        <w:t xml:space="preserve">the Act was </w:t>
      </w:r>
      <w:r w:rsidR="00622207">
        <w:t xml:space="preserve">initiated to tackle </w:t>
      </w:r>
      <w:r w:rsidR="009C05CA" w:rsidRPr="009C05CA">
        <w:t xml:space="preserve">human trafficking and forced </w:t>
      </w:r>
      <w:r w:rsidR="00622207" w:rsidRPr="009C05CA">
        <w:t>labour</w:t>
      </w:r>
      <w:r w:rsidR="009C05CA" w:rsidRPr="009C05CA">
        <w:t xml:space="preserve">, not complex, coercive grooming of </w:t>
      </w:r>
      <w:r w:rsidR="00622207">
        <w:t>children</w:t>
      </w:r>
      <w:r w:rsidR="009C05CA" w:rsidRPr="009C05CA">
        <w:t xml:space="preserve"> by gangs.</w:t>
      </w:r>
    </w:p>
    <w:p w14:paraId="3B17B84B" w14:textId="488F6F54" w:rsidR="00CD3BF9" w:rsidRDefault="00CD3BF9" w:rsidP="00CD3BF9">
      <w:r w:rsidRPr="00CD3BF9">
        <w:t>However, in early 2025, a new bill was proposed which will make it an offence for an adult to use a child to commit any criminal activity</w:t>
      </w:r>
      <w:r>
        <w:t xml:space="preserve"> </w:t>
      </w:r>
      <w:r w:rsidRPr="00CD3BF9">
        <w:t>(Ministry of Justice, 2025). This provides front line police officers with the legislation they can use to tackle County Lines, by removing the exploiters and, in turn, reducing the dependency on social services to safeguard the children involved.</w:t>
      </w:r>
      <w:r w:rsidR="00194DF1">
        <w:t xml:space="preserve"> </w:t>
      </w:r>
    </w:p>
    <w:p w14:paraId="778501E1" w14:textId="77777777" w:rsidR="00CD3BF9" w:rsidRDefault="00CD3BF9" w:rsidP="00CD3BF9"/>
    <w:p w14:paraId="24CE8A09" w14:textId="72D53E09" w:rsidR="00CD3BF9" w:rsidRDefault="00CD3BF9" w:rsidP="00CD3BF9">
      <w:pPr>
        <w:rPr>
          <w:u w:val="single"/>
        </w:rPr>
      </w:pPr>
      <w:r w:rsidRPr="00CD3BF9">
        <w:rPr>
          <w:u w:val="single"/>
        </w:rPr>
        <w:t>Theoretical framework</w:t>
      </w:r>
    </w:p>
    <w:p w14:paraId="39AF6B80" w14:textId="33319268" w:rsidR="00EA02EF" w:rsidRPr="00676513" w:rsidRDefault="00676513" w:rsidP="00CD3BF9">
      <w:r>
        <w:t xml:space="preserve">When attempting to understand the </w:t>
      </w:r>
      <w:r w:rsidR="002836C0">
        <w:t>factors that encourage children to participate in county lines activity, it is important to regard the</w:t>
      </w:r>
      <w:r w:rsidR="00112F19">
        <w:t xml:space="preserve"> psychosocial theories </w:t>
      </w:r>
      <w:r w:rsidR="00003468">
        <w:t xml:space="preserve">that </w:t>
      </w:r>
      <w:r w:rsidR="00AC333B">
        <w:t>apply</w:t>
      </w:r>
      <w:r w:rsidR="000D2A10">
        <w:t xml:space="preserve">. </w:t>
      </w:r>
      <w:r w:rsidR="00F37D36" w:rsidRPr="00F37D36">
        <w:t xml:space="preserve">An understanding of the relevant push and pull factors can be developed through the application of </w:t>
      </w:r>
      <w:r w:rsidR="0099366D">
        <w:t>two</w:t>
      </w:r>
      <w:r w:rsidR="00F37D36" w:rsidRPr="00F37D36">
        <w:t xml:space="preserve"> main theories</w:t>
      </w:r>
      <w:r w:rsidR="00F37D36">
        <w:t>.</w:t>
      </w:r>
    </w:p>
    <w:p w14:paraId="683B13AC" w14:textId="2B4D97CF" w:rsidR="00CD3BF9" w:rsidRPr="0003171A" w:rsidRDefault="00DB20B1" w:rsidP="00CD3BF9">
      <w:pPr>
        <w:rPr>
          <w:i/>
          <w:iCs/>
        </w:rPr>
      </w:pPr>
      <w:r>
        <w:rPr>
          <w:i/>
          <w:iCs/>
        </w:rPr>
        <w:t>‘</w:t>
      </w:r>
      <w:r w:rsidR="00CD3BF9" w:rsidRPr="0003171A">
        <w:rPr>
          <w:i/>
          <w:iCs/>
        </w:rPr>
        <w:t xml:space="preserve">Social </w:t>
      </w:r>
      <w:r>
        <w:rPr>
          <w:i/>
          <w:iCs/>
        </w:rPr>
        <w:t>L</w:t>
      </w:r>
      <w:r w:rsidR="00CD3BF9" w:rsidRPr="0003171A">
        <w:rPr>
          <w:i/>
          <w:iCs/>
        </w:rPr>
        <w:t xml:space="preserve">earning </w:t>
      </w:r>
      <w:r>
        <w:rPr>
          <w:i/>
          <w:iCs/>
        </w:rPr>
        <w:t>T</w:t>
      </w:r>
      <w:r w:rsidR="00CD3BF9" w:rsidRPr="0003171A">
        <w:rPr>
          <w:i/>
          <w:iCs/>
        </w:rPr>
        <w:t>heory</w:t>
      </w:r>
      <w:r>
        <w:rPr>
          <w:i/>
          <w:iCs/>
        </w:rPr>
        <w:t>’</w:t>
      </w:r>
      <w:r w:rsidR="00CD3BF9" w:rsidRPr="0003171A">
        <w:rPr>
          <w:i/>
          <w:iCs/>
        </w:rPr>
        <w:t xml:space="preserve"> (</w:t>
      </w:r>
      <w:r w:rsidR="00CD3BF9" w:rsidRPr="00DB20B1">
        <w:rPr>
          <w:i/>
          <w:iCs/>
        </w:rPr>
        <w:t>Bandura</w:t>
      </w:r>
      <w:r w:rsidRPr="00DB20B1">
        <w:rPr>
          <w:i/>
          <w:iCs/>
        </w:rPr>
        <w:t>, 1977</w:t>
      </w:r>
      <w:r w:rsidR="00CD3BF9" w:rsidRPr="00DB20B1">
        <w:rPr>
          <w:i/>
          <w:iCs/>
        </w:rPr>
        <w:t>)</w:t>
      </w:r>
      <w:r w:rsidR="0003171A" w:rsidRPr="00DB20B1">
        <w:rPr>
          <w:i/>
          <w:iCs/>
        </w:rPr>
        <w:t>:</w:t>
      </w:r>
    </w:p>
    <w:p w14:paraId="32D7DD92" w14:textId="1ECF32C9" w:rsidR="00EE022F" w:rsidRDefault="003466FA" w:rsidP="00EE022F">
      <w:r w:rsidRPr="003466FA">
        <w:t>Bandura’s Social Learning Theory suggests that individuals learn behaviours, attitudes, and the consequences of behaviour from others in their social environment. It also proposes that if these behaviours are learned from others, they can be unlearned or altered through observation, imitation, or modelling</w:t>
      </w:r>
      <w:r>
        <w:t xml:space="preserve"> others (B</w:t>
      </w:r>
      <w:r w:rsidR="0003171A">
        <w:t>andura, 1977).</w:t>
      </w:r>
      <w:r w:rsidR="00927E49">
        <w:t xml:space="preserve"> In his 2020 book on county lines, </w:t>
      </w:r>
      <w:r w:rsidR="00CF1390">
        <w:t xml:space="preserve">Harding </w:t>
      </w:r>
      <w:r w:rsidR="005E08A2">
        <w:t>acknowledges the idea of ‘street capital’</w:t>
      </w:r>
      <w:r w:rsidR="00094301">
        <w:t xml:space="preserve">; where </w:t>
      </w:r>
      <w:r w:rsidR="003D33AD">
        <w:t xml:space="preserve">children </w:t>
      </w:r>
      <w:r w:rsidR="006326BC">
        <w:t>idolise</w:t>
      </w:r>
      <w:r w:rsidR="003D33AD">
        <w:t xml:space="preserve"> drug dealers who </w:t>
      </w:r>
      <w:r w:rsidR="00C06091">
        <w:t xml:space="preserve">appear </w:t>
      </w:r>
      <w:r w:rsidR="006326BC">
        <w:t xml:space="preserve">successful </w:t>
      </w:r>
      <w:r w:rsidR="00C06091">
        <w:t xml:space="preserve">and carry out </w:t>
      </w:r>
      <w:r w:rsidR="005344ED">
        <w:t>illegal activities to achieve higher s</w:t>
      </w:r>
      <w:r w:rsidR="005344ED" w:rsidRPr="005344ED">
        <w:t>tatus, reputation, and influence</w:t>
      </w:r>
      <w:r w:rsidR="005344ED">
        <w:t xml:space="preserve"> (Harding, 2020b)</w:t>
      </w:r>
      <w:r w:rsidR="00962130">
        <w:t xml:space="preserve">. </w:t>
      </w:r>
      <w:r w:rsidR="002D5F7C">
        <w:t xml:space="preserve">This </w:t>
      </w:r>
      <w:r w:rsidR="008C084C">
        <w:t xml:space="preserve">proposal </w:t>
      </w:r>
      <w:r w:rsidR="006F2D73">
        <w:t xml:space="preserve">is </w:t>
      </w:r>
      <w:r w:rsidR="009150D6">
        <w:t>further compounded</w:t>
      </w:r>
      <w:r w:rsidR="002D5F7C">
        <w:t xml:space="preserve"> when applied to </w:t>
      </w:r>
      <w:r w:rsidR="006F2D73">
        <w:t xml:space="preserve">children who </w:t>
      </w:r>
      <w:r w:rsidR="008C084C">
        <w:t>live</w:t>
      </w:r>
      <w:r w:rsidR="006F2D73">
        <w:t xml:space="preserve"> in marginalised areas, </w:t>
      </w:r>
      <w:r w:rsidR="00BC19E8">
        <w:t xml:space="preserve">who experience </w:t>
      </w:r>
      <w:r w:rsidR="008B190F">
        <w:t>an absence</w:t>
      </w:r>
      <w:r w:rsidR="003B3F8E" w:rsidRPr="003B3F8E">
        <w:t xml:space="preserve"> of clear and lawful alternatives</w:t>
      </w:r>
      <w:r w:rsidR="003B3F8E">
        <w:t xml:space="preserve"> to becoming successful</w:t>
      </w:r>
      <w:r w:rsidR="008F58B4">
        <w:t xml:space="preserve"> (Maxwell, 2022). </w:t>
      </w:r>
    </w:p>
    <w:p w14:paraId="6D7B6B7E" w14:textId="313FF552" w:rsidR="00DB20B1" w:rsidRDefault="008B190F" w:rsidP="00EE022F">
      <w:pPr>
        <w:rPr>
          <w:i/>
          <w:iCs/>
        </w:rPr>
      </w:pPr>
      <w:r>
        <w:rPr>
          <w:i/>
          <w:iCs/>
        </w:rPr>
        <w:t>‘</w:t>
      </w:r>
      <w:r w:rsidR="00DB20B1" w:rsidRPr="00D80D38">
        <w:rPr>
          <w:i/>
          <w:iCs/>
        </w:rPr>
        <w:t>Routine Activity Theory</w:t>
      </w:r>
      <w:r>
        <w:rPr>
          <w:i/>
          <w:iCs/>
        </w:rPr>
        <w:t>’</w:t>
      </w:r>
      <w:r w:rsidR="00DB20B1" w:rsidRPr="00D80D38">
        <w:rPr>
          <w:i/>
          <w:iCs/>
        </w:rPr>
        <w:t xml:space="preserve"> (</w:t>
      </w:r>
      <w:r w:rsidR="00D80D38" w:rsidRPr="00D80D38">
        <w:rPr>
          <w:i/>
          <w:iCs/>
        </w:rPr>
        <w:t>Cohen &amp; Felson, 1979)</w:t>
      </w:r>
      <w:r>
        <w:rPr>
          <w:i/>
          <w:iCs/>
        </w:rPr>
        <w:t>:</w:t>
      </w:r>
    </w:p>
    <w:p w14:paraId="25A926EA" w14:textId="5626F1F4" w:rsidR="00265FE5" w:rsidRDefault="0090320B" w:rsidP="00143449">
      <w:r>
        <w:t xml:space="preserve">Routine Activity Theory </w:t>
      </w:r>
      <w:r w:rsidR="00BD7956">
        <w:t xml:space="preserve">proposes </w:t>
      </w:r>
      <w:r w:rsidR="00A53625">
        <w:t xml:space="preserve">that crime occurs as a result of </w:t>
      </w:r>
      <w:r w:rsidR="00237088">
        <w:t xml:space="preserve">patterns of behaviour and opportunity. At </w:t>
      </w:r>
      <w:r w:rsidR="00104A82">
        <w:t>its</w:t>
      </w:r>
      <w:r w:rsidR="00237088">
        <w:t xml:space="preserve"> core</w:t>
      </w:r>
      <w:r w:rsidR="004C333D">
        <w:t>, it is comprised of three components; a motivated offender, a suitable target and the absence of a capable guardian</w:t>
      </w:r>
      <w:r w:rsidR="00D26FA0">
        <w:t>.</w:t>
      </w:r>
      <w:r w:rsidR="003A0482">
        <w:t xml:space="preserve"> When applied to county lines, </w:t>
      </w:r>
      <w:r w:rsidR="00947404">
        <w:t>Organised Crime Groups (OCG</w:t>
      </w:r>
      <w:r w:rsidR="00955A62">
        <w:t>s</w:t>
      </w:r>
      <w:r w:rsidR="00947404">
        <w:t>)</w:t>
      </w:r>
      <w:r w:rsidR="00955A62">
        <w:t xml:space="preserve"> are the motivated offender who seeks </w:t>
      </w:r>
      <w:r w:rsidR="001A367F">
        <w:t xml:space="preserve">to use children </w:t>
      </w:r>
      <w:r w:rsidR="009534D3">
        <w:t xml:space="preserve">(the suitable target) </w:t>
      </w:r>
      <w:r w:rsidR="001A367F">
        <w:t xml:space="preserve">for the transportation of drugs to </w:t>
      </w:r>
      <w:r w:rsidR="00396488">
        <w:t>minimalize</w:t>
      </w:r>
      <w:r w:rsidR="001A367F">
        <w:t xml:space="preserve"> </w:t>
      </w:r>
      <w:r w:rsidR="00396488">
        <w:t xml:space="preserve">the </w:t>
      </w:r>
      <w:r w:rsidR="001A367F">
        <w:t>risk on themselves (Harding, 2020</w:t>
      </w:r>
      <w:r w:rsidR="00396488">
        <w:t>b)</w:t>
      </w:r>
      <w:r w:rsidR="001A367F">
        <w:t xml:space="preserve">. </w:t>
      </w:r>
      <w:r w:rsidR="00947404">
        <w:t xml:space="preserve"> </w:t>
      </w:r>
      <w:r w:rsidR="00FD0DC5">
        <w:t>One factor that increases t</w:t>
      </w:r>
      <w:r w:rsidR="007A0BB6">
        <w:t xml:space="preserve">he suitability of the target </w:t>
      </w:r>
      <w:r w:rsidR="00FD0DC5">
        <w:t>is</w:t>
      </w:r>
      <w:r w:rsidR="00190695">
        <w:t xml:space="preserve"> being absent </w:t>
      </w:r>
      <w:r w:rsidR="001E7986">
        <w:t>from controlled social settings, like that of a</w:t>
      </w:r>
      <w:r w:rsidR="00E73286">
        <w:t xml:space="preserve"> </w:t>
      </w:r>
      <w:r w:rsidR="00190695">
        <w:t>school</w:t>
      </w:r>
      <w:r w:rsidR="00BF3D48">
        <w:t xml:space="preserve">, </w:t>
      </w:r>
      <w:r w:rsidR="00190695">
        <w:t>either by choice or as a result of exclusion</w:t>
      </w:r>
      <w:r w:rsidR="00AB7B61">
        <w:t xml:space="preserve"> (</w:t>
      </w:r>
      <w:r w:rsidR="00530659" w:rsidRPr="00530659">
        <w:t>Dempsey</w:t>
      </w:r>
      <w:r w:rsidR="00AB7B61">
        <w:t>, 2021).</w:t>
      </w:r>
      <w:r w:rsidR="001E7986">
        <w:t xml:space="preserve"> </w:t>
      </w:r>
      <w:r w:rsidR="008A2190">
        <w:t xml:space="preserve">The child involved then </w:t>
      </w:r>
      <w:r w:rsidR="0043173C">
        <w:t xml:space="preserve">joins social settings that aren’t monitored by </w:t>
      </w:r>
      <w:r w:rsidR="006721A9">
        <w:t xml:space="preserve">‘capable guardians’ like </w:t>
      </w:r>
      <w:r w:rsidR="0073196A">
        <w:t xml:space="preserve">those you find </w:t>
      </w:r>
      <w:r w:rsidR="00D841A7">
        <w:t>in the streets</w:t>
      </w:r>
      <w:r w:rsidR="008A1D46">
        <w:t>. Firmin</w:t>
      </w:r>
      <w:r w:rsidR="00445A24">
        <w:t xml:space="preserve"> (</w:t>
      </w:r>
      <w:r w:rsidR="008A1D46">
        <w:t>2017</w:t>
      </w:r>
      <w:r w:rsidR="00445A24">
        <w:t xml:space="preserve">) </w:t>
      </w:r>
      <w:r w:rsidR="0018358D">
        <w:t>argues that traditional safeguarding that occurs at home</w:t>
      </w:r>
      <w:r w:rsidR="00451615">
        <w:t xml:space="preserve"> and</w:t>
      </w:r>
      <w:r w:rsidR="0018358D">
        <w:t xml:space="preserve"> in schools </w:t>
      </w:r>
      <w:r w:rsidR="00BD7869">
        <w:t xml:space="preserve">is not effective in reaching children </w:t>
      </w:r>
      <w:r w:rsidR="0018507A">
        <w:t xml:space="preserve">who are socialising and </w:t>
      </w:r>
      <w:r w:rsidR="006B10AE">
        <w:t>building relationships elsewhere</w:t>
      </w:r>
      <w:r w:rsidR="00AA7509">
        <w:t xml:space="preserve">. These relationships </w:t>
      </w:r>
      <w:r w:rsidR="00DC0C04">
        <w:t>d</w:t>
      </w:r>
      <w:r w:rsidR="00DC0C04" w:rsidRPr="00DC0C04">
        <w:t>etermine the degree to which they experience protection or exploitation</w:t>
      </w:r>
      <w:r w:rsidR="00DC0C04">
        <w:t xml:space="preserve"> </w:t>
      </w:r>
      <w:r w:rsidR="008F66DC">
        <w:t xml:space="preserve">and can result in </w:t>
      </w:r>
      <w:r w:rsidR="008B2ED0">
        <w:t>the child developing “</w:t>
      </w:r>
      <w:r w:rsidR="008B2ED0" w:rsidRPr="00A46159">
        <w:t>anti-social, unsafe or promote problematic social norms as a means of navigating, or surviving in, those space</w:t>
      </w:r>
      <w:r w:rsidR="002349C1">
        <w:t>s</w:t>
      </w:r>
      <w:r w:rsidR="00DC0C04">
        <w:t>” (</w:t>
      </w:r>
      <w:r w:rsidR="002349C1">
        <w:t>Firmin, 2017)</w:t>
      </w:r>
      <w:r w:rsidR="003C2553">
        <w:t>.</w:t>
      </w:r>
    </w:p>
    <w:p w14:paraId="31D1BB0F" w14:textId="77777777" w:rsidR="00CD3BF9" w:rsidRPr="00CD3BF9" w:rsidRDefault="00CD3BF9" w:rsidP="00CD3BF9"/>
    <w:p w14:paraId="2C85B81F" w14:textId="64A389E5" w:rsidR="00CD3BF9" w:rsidRDefault="00CD3BF9" w:rsidP="00CD3BF9">
      <w:pPr>
        <w:rPr>
          <w:u w:val="single"/>
        </w:rPr>
      </w:pPr>
      <w:r w:rsidRPr="00CD3BF9">
        <w:rPr>
          <w:u w:val="single"/>
        </w:rPr>
        <w:t>Challenges in data collection and underreporting</w:t>
      </w:r>
    </w:p>
    <w:p w14:paraId="5E0FCCD5" w14:textId="2ECABDAC" w:rsidR="00C71680" w:rsidRDefault="00680862" w:rsidP="00680862">
      <w:pPr>
        <w:jc w:val="both"/>
        <w:rPr>
          <w:rFonts w:cs="Arial"/>
        </w:rPr>
      </w:pPr>
      <w:r>
        <w:rPr>
          <w:rFonts w:cs="Arial"/>
        </w:rPr>
        <w:t xml:space="preserve">As previously mentioned, there is a wealth of research available regarding County Lines, from both academics and professional organisations. </w:t>
      </w:r>
      <w:r w:rsidR="00C71680">
        <w:rPr>
          <w:rFonts w:cs="Arial"/>
        </w:rPr>
        <w:t xml:space="preserve">However, the NCA acknowledges that </w:t>
      </w:r>
      <w:r w:rsidR="00BA70B8">
        <w:rPr>
          <w:rFonts w:cs="Arial"/>
        </w:rPr>
        <w:t>“</w:t>
      </w:r>
      <w:r w:rsidR="00C71680">
        <w:rPr>
          <w:rFonts w:cs="Arial"/>
        </w:rPr>
        <w:t xml:space="preserve">the </w:t>
      </w:r>
      <w:r w:rsidR="00BA70B8" w:rsidRPr="00274FD4">
        <w:rPr>
          <w:rFonts w:cs="Arial"/>
        </w:rPr>
        <w:t>true scale of abuse remains an intelligence gap in many parts of the country</w:t>
      </w:r>
      <w:r w:rsidR="00BA70B8">
        <w:rPr>
          <w:rFonts w:cs="Arial"/>
        </w:rPr>
        <w:t>”</w:t>
      </w:r>
      <w:r w:rsidR="008D100A">
        <w:rPr>
          <w:rFonts w:cs="Arial"/>
        </w:rPr>
        <w:t xml:space="preserve"> (NCA, 2017, p.</w:t>
      </w:r>
      <w:r w:rsidR="00F77510">
        <w:rPr>
          <w:rFonts w:cs="Arial"/>
        </w:rPr>
        <w:t xml:space="preserve"> 3)</w:t>
      </w:r>
      <w:r w:rsidR="00EF3793">
        <w:rPr>
          <w:rFonts w:cs="Arial"/>
        </w:rPr>
        <w:t>.</w:t>
      </w:r>
    </w:p>
    <w:p w14:paraId="5F7AD8B8" w14:textId="004B1F21" w:rsidR="0022650C" w:rsidRDefault="007843AC" w:rsidP="00680862">
      <w:pPr>
        <w:jc w:val="both"/>
        <w:rPr>
          <w:rFonts w:cs="Arial"/>
        </w:rPr>
      </w:pPr>
      <w:r>
        <w:rPr>
          <w:rFonts w:cs="Arial"/>
        </w:rPr>
        <w:t xml:space="preserve">One of the key issues that </w:t>
      </w:r>
      <w:r w:rsidR="00912259">
        <w:rPr>
          <w:rFonts w:cs="Arial"/>
        </w:rPr>
        <w:t>appears is due to the hidden nature of</w:t>
      </w:r>
      <w:r w:rsidR="003C097F">
        <w:rPr>
          <w:rFonts w:cs="Arial"/>
        </w:rPr>
        <w:t xml:space="preserve"> </w:t>
      </w:r>
      <w:r w:rsidR="0030703C">
        <w:rPr>
          <w:rFonts w:cs="Arial"/>
        </w:rPr>
        <w:t>county lines</w:t>
      </w:r>
      <w:r w:rsidR="003C097F">
        <w:rPr>
          <w:rFonts w:cs="Arial"/>
        </w:rPr>
        <w:t xml:space="preserve"> </w:t>
      </w:r>
      <w:r w:rsidR="002E5421">
        <w:rPr>
          <w:rFonts w:cs="Arial"/>
        </w:rPr>
        <w:t xml:space="preserve">and </w:t>
      </w:r>
      <w:r w:rsidR="0030703C" w:rsidRPr="0030703C">
        <w:rPr>
          <w:rFonts w:cs="Arial"/>
        </w:rPr>
        <w:t>untraceab</w:t>
      </w:r>
      <w:r w:rsidR="00B51CD3">
        <w:rPr>
          <w:rFonts w:cs="Arial"/>
        </w:rPr>
        <w:t xml:space="preserve">le </w:t>
      </w:r>
      <w:r w:rsidR="0030703C">
        <w:rPr>
          <w:rFonts w:cs="Arial"/>
        </w:rPr>
        <w:t xml:space="preserve">drug markets. </w:t>
      </w:r>
      <w:r w:rsidR="00F118AD">
        <w:rPr>
          <w:rFonts w:cs="Arial"/>
        </w:rPr>
        <w:t>This creates it difficult to identi</w:t>
      </w:r>
      <w:r w:rsidR="00B3688A">
        <w:rPr>
          <w:rFonts w:cs="Arial"/>
        </w:rPr>
        <w:t xml:space="preserve">fy those who are </w:t>
      </w:r>
      <w:r w:rsidR="006722BB">
        <w:rPr>
          <w:rFonts w:cs="Arial"/>
        </w:rPr>
        <w:t>actively</w:t>
      </w:r>
      <w:r w:rsidR="00B3688A">
        <w:rPr>
          <w:rFonts w:cs="Arial"/>
        </w:rPr>
        <w:t xml:space="preserve"> involved in the drugs trade as markets can be described as “</w:t>
      </w:r>
      <w:r w:rsidR="00B3688A" w:rsidRPr="00B3688A">
        <w:rPr>
          <w:rFonts w:cs="Arial"/>
        </w:rPr>
        <w:t>a series of loosely interlinked local and regional market</w:t>
      </w:r>
      <w:r w:rsidR="00B3688A">
        <w:rPr>
          <w:rFonts w:cs="Arial"/>
        </w:rPr>
        <w:t xml:space="preserve">s” </w:t>
      </w:r>
      <w:r w:rsidR="0015316E">
        <w:rPr>
          <w:rFonts w:cs="Arial"/>
        </w:rPr>
        <w:t>(</w:t>
      </w:r>
      <w:r w:rsidR="0015316E" w:rsidRPr="0015316E">
        <w:rPr>
          <w:rFonts w:cs="Arial"/>
        </w:rPr>
        <w:t>Pearson et al. 2001</w:t>
      </w:r>
      <w:r w:rsidR="006E4CA7">
        <w:rPr>
          <w:rFonts w:cs="Arial"/>
        </w:rPr>
        <w:t>, p. vii</w:t>
      </w:r>
      <w:r w:rsidR="0015316E" w:rsidRPr="0015316E">
        <w:rPr>
          <w:rFonts w:cs="Arial"/>
        </w:rPr>
        <w:t>)</w:t>
      </w:r>
      <w:r w:rsidR="00EA13C2">
        <w:rPr>
          <w:rFonts w:cs="Arial"/>
        </w:rPr>
        <w:t>.</w:t>
      </w:r>
      <w:r w:rsidR="005B0E92">
        <w:rPr>
          <w:rFonts w:cs="Arial"/>
        </w:rPr>
        <w:t xml:space="preserve"> </w:t>
      </w:r>
      <w:r w:rsidR="004E09AF">
        <w:rPr>
          <w:rFonts w:cs="Arial"/>
        </w:rPr>
        <w:t>Those children who are also involved in county lines</w:t>
      </w:r>
      <w:r w:rsidR="004050DE">
        <w:rPr>
          <w:rFonts w:cs="Arial"/>
        </w:rPr>
        <w:t xml:space="preserve"> </w:t>
      </w:r>
      <w:r w:rsidR="0082563E">
        <w:rPr>
          <w:rFonts w:cs="Arial"/>
        </w:rPr>
        <w:t xml:space="preserve">either </w:t>
      </w:r>
      <w:r w:rsidR="004050DE">
        <w:rPr>
          <w:rFonts w:cs="Arial"/>
        </w:rPr>
        <w:t xml:space="preserve">do not see themselves as a victim </w:t>
      </w:r>
      <w:r w:rsidR="0082563E">
        <w:rPr>
          <w:rFonts w:cs="Arial"/>
        </w:rPr>
        <w:t xml:space="preserve">as they </w:t>
      </w:r>
      <w:r w:rsidR="0082563E" w:rsidRPr="0082563E">
        <w:rPr>
          <w:rFonts w:cs="Arial"/>
        </w:rPr>
        <w:t>appreciate the lifestyle</w:t>
      </w:r>
      <w:r w:rsidR="0082563E">
        <w:rPr>
          <w:rFonts w:cs="Arial"/>
        </w:rPr>
        <w:t xml:space="preserve"> </w:t>
      </w:r>
      <w:r w:rsidR="0082563E" w:rsidRPr="0082563E">
        <w:rPr>
          <w:rFonts w:cs="Arial"/>
        </w:rPr>
        <w:t>or fear retaliation if they attempt to leave</w:t>
      </w:r>
      <w:r w:rsidR="004A2F7B">
        <w:rPr>
          <w:rFonts w:cs="Arial"/>
        </w:rPr>
        <w:t xml:space="preserve"> (Moyle, 2019)</w:t>
      </w:r>
      <w:r w:rsidR="00E366EE">
        <w:rPr>
          <w:rFonts w:cs="Arial"/>
        </w:rPr>
        <w:t>. Through not regrading themselves as a victim,</w:t>
      </w:r>
      <w:r w:rsidR="0022650C">
        <w:rPr>
          <w:rFonts w:cs="Arial"/>
        </w:rPr>
        <w:t xml:space="preserve"> pressure is placed on p</w:t>
      </w:r>
      <w:r w:rsidR="0022650C" w:rsidRPr="00482B56">
        <w:rPr>
          <w:rFonts w:cs="Arial"/>
        </w:rPr>
        <w:t>ractitioners</w:t>
      </w:r>
      <w:r w:rsidR="0022650C">
        <w:rPr>
          <w:rFonts w:cs="Arial"/>
        </w:rPr>
        <w:t>, such as police and social services</w:t>
      </w:r>
      <w:r w:rsidR="002A28B1">
        <w:rPr>
          <w:rFonts w:cs="Arial"/>
        </w:rPr>
        <w:t xml:space="preserve">, to identify when safeguarding should be utilised. </w:t>
      </w:r>
    </w:p>
    <w:p w14:paraId="341FE0FD" w14:textId="77777777" w:rsidR="00313D2B" w:rsidRDefault="00167596" w:rsidP="002B0268">
      <w:pPr>
        <w:jc w:val="both"/>
        <w:rPr>
          <w:rFonts w:cs="Arial"/>
        </w:rPr>
      </w:pPr>
      <w:r>
        <w:rPr>
          <w:rFonts w:cs="Arial"/>
        </w:rPr>
        <w:t xml:space="preserve">A lack of accepted definition for the term ‘county lines’ </w:t>
      </w:r>
      <w:r w:rsidR="002B0268">
        <w:rPr>
          <w:rFonts w:cs="Arial"/>
        </w:rPr>
        <w:t>means that there is a procedural grey area when classifying those involved</w:t>
      </w:r>
      <w:r w:rsidR="004819CB">
        <w:rPr>
          <w:rFonts w:cs="Arial"/>
        </w:rPr>
        <w:t xml:space="preserve"> (Spicer, 2020)</w:t>
      </w:r>
      <w:r w:rsidR="002B0268">
        <w:rPr>
          <w:rFonts w:cs="Arial"/>
        </w:rPr>
        <w:t>. For example, c</w:t>
      </w:r>
      <w:r w:rsidR="002B0268" w:rsidRPr="00CC7323">
        <w:rPr>
          <w:rFonts w:cs="Arial"/>
        </w:rPr>
        <w:t>hildren</w:t>
      </w:r>
      <w:r w:rsidR="002B0268">
        <w:rPr>
          <w:rFonts w:cs="Arial"/>
        </w:rPr>
        <w:t xml:space="preserve"> </w:t>
      </w:r>
      <w:r w:rsidR="002B0268" w:rsidRPr="00CC7323">
        <w:rPr>
          <w:rFonts w:cs="Arial"/>
        </w:rPr>
        <w:t>engaged in county lines offending may simultaneously be victims and offenders</w:t>
      </w:r>
      <w:r w:rsidR="00066367">
        <w:rPr>
          <w:rFonts w:cs="Arial"/>
        </w:rPr>
        <w:t xml:space="preserve"> (HMICFRS, 2020).</w:t>
      </w:r>
      <w:r w:rsidR="00A74CA2">
        <w:rPr>
          <w:rFonts w:cs="Arial"/>
        </w:rPr>
        <w:t xml:space="preserve"> </w:t>
      </w:r>
    </w:p>
    <w:p w14:paraId="4D6456DD" w14:textId="52B8EA8B" w:rsidR="00346B23" w:rsidRDefault="004824C3" w:rsidP="002B0268">
      <w:pPr>
        <w:jc w:val="both"/>
        <w:rPr>
          <w:rFonts w:cs="Arial"/>
        </w:rPr>
      </w:pPr>
      <w:r>
        <w:rPr>
          <w:rFonts w:cs="Arial"/>
        </w:rPr>
        <w:t xml:space="preserve">Data collection can also be </w:t>
      </w:r>
      <w:r w:rsidR="00077895">
        <w:rPr>
          <w:rFonts w:cs="Arial"/>
        </w:rPr>
        <w:t xml:space="preserve">skewed </w:t>
      </w:r>
      <w:r w:rsidR="00717C38">
        <w:rPr>
          <w:rFonts w:cs="Arial"/>
        </w:rPr>
        <w:t xml:space="preserve">through </w:t>
      </w:r>
      <w:r w:rsidR="00140F76">
        <w:rPr>
          <w:rFonts w:cs="Arial"/>
        </w:rPr>
        <w:t xml:space="preserve">the </w:t>
      </w:r>
      <w:r w:rsidR="00717C38">
        <w:rPr>
          <w:rFonts w:cs="Arial"/>
        </w:rPr>
        <w:t xml:space="preserve">categorisation of victims </w:t>
      </w:r>
      <w:r w:rsidR="00B1774D">
        <w:rPr>
          <w:rFonts w:cs="Arial"/>
        </w:rPr>
        <w:t xml:space="preserve">when being processed </w:t>
      </w:r>
      <w:r w:rsidR="00717C38">
        <w:rPr>
          <w:rFonts w:cs="Arial"/>
        </w:rPr>
        <w:t>in the Multi-Agency Safe</w:t>
      </w:r>
      <w:r w:rsidR="00140F76">
        <w:rPr>
          <w:rFonts w:cs="Arial"/>
        </w:rPr>
        <w:t>guarding Hubs (MASH)</w:t>
      </w:r>
      <w:r w:rsidR="0049570F">
        <w:rPr>
          <w:rFonts w:cs="Arial"/>
        </w:rPr>
        <w:t>. For example,</w:t>
      </w:r>
      <w:r w:rsidR="00E753CB">
        <w:rPr>
          <w:rFonts w:cs="Arial"/>
        </w:rPr>
        <w:t xml:space="preserve"> </w:t>
      </w:r>
      <w:r w:rsidR="00006886">
        <w:rPr>
          <w:rFonts w:cs="Arial"/>
        </w:rPr>
        <w:t xml:space="preserve">individual preference plays a role </w:t>
      </w:r>
      <w:r w:rsidR="00E753CB">
        <w:rPr>
          <w:rFonts w:cs="Arial"/>
        </w:rPr>
        <w:t xml:space="preserve">when </w:t>
      </w:r>
      <w:r w:rsidR="00DF6D9E">
        <w:rPr>
          <w:rFonts w:cs="Arial"/>
        </w:rPr>
        <w:t>determining</w:t>
      </w:r>
      <w:r w:rsidR="00390730">
        <w:rPr>
          <w:rFonts w:cs="Arial"/>
        </w:rPr>
        <w:t xml:space="preserve"> </w:t>
      </w:r>
      <w:r w:rsidR="003371B0">
        <w:rPr>
          <w:rFonts w:cs="Arial"/>
        </w:rPr>
        <w:t xml:space="preserve">abuse types, such as </w:t>
      </w:r>
      <w:r w:rsidR="00DF6D9E">
        <w:rPr>
          <w:rFonts w:cs="Arial"/>
        </w:rPr>
        <w:t>‘</w:t>
      </w:r>
      <w:r w:rsidR="007B38ED" w:rsidRPr="007B38ED">
        <w:rPr>
          <w:rFonts w:cs="Arial"/>
        </w:rPr>
        <w:t>child criminal exploitation</w:t>
      </w:r>
      <w:r w:rsidR="00DF6D9E">
        <w:rPr>
          <w:rFonts w:cs="Arial"/>
        </w:rPr>
        <w:t>’</w:t>
      </w:r>
      <w:r w:rsidR="007B38ED" w:rsidRPr="007B38ED">
        <w:rPr>
          <w:rFonts w:cs="Arial"/>
        </w:rPr>
        <w:t xml:space="preserve"> </w:t>
      </w:r>
      <w:r w:rsidR="004D464D">
        <w:rPr>
          <w:rFonts w:cs="Arial"/>
        </w:rPr>
        <w:t>or</w:t>
      </w:r>
      <w:r w:rsidR="007B38ED" w:rsidRPr="007B38ED">
        <w:rPr>
          <w:rFonts w:cs="Arial"/>
        </w:rPr>
        <w:t xml:space="preserve"> </w:t>
      </w:r>
      <w:r w:rsidR="00DF6D9E">
        <w:rPr>
          <w:rFonts w:cs="Arial"/>
        </w:rPr>
        <w:t>‘</w:t>
      </w:r>
      <w:r w:rsidR="007B38ED" w:rsidRPr="007B38ED">
        <w:rPr>
          <w:rFonts w:cs="Arial"/>
        </w:rPr>
        <w:t>drug trafficking</w:t>
      </w:r>
      <w:r w:rsidR="00DF6D9E">
        <w:rPr>
          <w:rFonts w:cs="Arial"/>
        </w:rPr>
        <w:t xml:space="preserve">’; where classification </w:t>
      </w:r>
      <w:r w:rsidR="004D464D">
        <w:rPr>
          <w:rFonts w:cs="Arial"/>
        </w:rPr>
        <w:t>for either</w:t>
      </w:r>
      <w:r w:rsidR="00DF6D9E">
        <w:rPr>
          <w:rFonts w:cs="Arial"/>
        </w:rPr>
        <w:t xml:space="preserve"> can lead to inconsistent data</w:t>
      </w:r>
      <w:r w:rsidR="004D464D">
        <w:rPr>
          <w:rFonts w:cs="Arial"/>
        </w:rPr>
        <w:t xml:space="preserve"> (</w:t>
      </w:r>
      <w:r w:rsidR="00346B23">
        <w:rPr>
          <w:rFonts w:cs="Arial"/>
        </w:rPr>
        <w:t>Mc</w:t>
      </w:r>
      <w:r w:rsidR="0089719A">
        <w:rPr>
          <w:rFonts w:cs="Arial"/>
        </w:rPr>
        <w:t>D</w:t>
      </w:r>
      <w:r w:rsidR="00346B23">
        <w:rPr>
          <w:rFonts w:cs="Arial"/>
        </w:rPr>
        <w:t>onald et. al.</w:t>
      </w:r>
      <w:r w:rsidR="004D464D">
        <w:rPr>
          <w:rFonts w:cs="Arial"/>
        </w:rPr>
        <w:t>, 2017).</w:t>
      </w:r>
    </w:p>
    <w:p w14:paraId="74A1870E" w14:textId="6DC6F4E5" w:rsidR="00E119FF" w:rsidRDefault="003C796B" w:rsidP="00E119FF">
      <w:pPr>
        <w:jc w:val="both"/>
        <w:rPr>
          <w:rFonts w:cs="Arial"/>
        </w:rPr>
      </w:pPr>
      <w:r>
        <w:rPr>
          <w:rFonts w:cs="Arial"/>
        </w:rPr>
        <w:t>Another issue</w:t>
      </w:r>
      <w:r w:rsidR="007A5561">
        <w:rPr>
          <w:rFonts w:cs="Arial"/>
        </w:rPr>
        <w:t xml:space="preserve"> that impacts the data available for county lines is </w:t>
      </w:r>
      <w:r w:rsidR="00032B63">
        <w:rPr>
          <w:rFonts w:cs="Arial"/>
        </w:rPr>
        <w:t xml:space="preserve">from inadequate </w:t>
      </w:r>
      <w:r w:rsidR="009F11CC">
        <w:rPr>
          <w:rFonts w:cs="Arial"/>
        </w:rPr>
        <w:t xml:space="preserve">inter-agency collaboration. </w:t>
      </w:r>
      <w:r w:rsidR="00C90BCC">
        <w:rPr>
          <w:rFonts w:cs="Arial"/>
        </w:rPr>
        <w:t xml:space="preserve">This impacts </w:t>
      </w:r>
      <w:r w:rsidR="00337283">
        <w:rPr>
          <w:rFonts w:cs="Arial"/>
        </w:rPr>
        <w:t xml:space="preserve">data collection </w:t>
      </w:r>
      <w:r w:rsidR="00BC1D40">
        <w:rPr>
          <w:rFonts w:cs="Arial"/>
        </w:rPr>
        <w:t>a</w:t>
      </w:r>
      <w:r w:rsidR="00317D96">
        <w:rPr>
          <w:rFonts w:cs="Arial"/>
        </w:rPr>
        <w:t xml:space="preserve">s </w:t>
      </w:r>
      <w:r w:rsidR="00B52C87">
        <w:rPr>
          <w:rFonts w:cs="Arial"/>
        </w:rPr>
        <w:t xml:space="preserve">current systems do not have the functionality </w:t>
      </w:r>
      <w:r w:rsidR="009D105F">
        <w:rPr>
          <w:rFonts w:cs="Arial"/>
        </w:rPr>
        <w:t xml:space="preserve">to trace </w:t>
      </w:r>
      <w:r w:rsidR="009C7DEF">
        <w:rPr>
          <w:rFonts w:cs="Arial"/>
        </w:rPr>
        <w:t xml:space="preserve">the complex pathways </w:t>
      </w:r>
      <w:r w:rsidR="008A3807">
        <w:rPr>
          <w:rFonts w:cs="Arial"/>
        </w:rPr>
        <w:t>children travel between different forces and agencies</w:t>
      </w:r>
      <w:r w:rsidR="00E119FF">
        <w:rPr>
          <w:rFonts w:cs="Arial"/>
        </w:rPr>
        <w:t xml:space="preserve"> (Crowhurst, 2017).</w:t>
      </w:r>
      <w:r w:rsidR="00E119FF" w:rsidRPr="00E119FF">
        <w:rPr>
          <w:rFonts w:cs="Arial"/>
        </w:rPr>
        <w:t xml:space="preserve"> </w:t>
      </w:r>
      <w:r w:rsidR="00E119FF">
        <w:rPr>
          <w:rFonts w:cs="Arial"/>
        </w:rPr>
        <w:t xml:space="preserve">This also outlines a safeguarding concern, where </w:t>
      </w:r>
      <w:r w:rsidR="00B333C6">
        <w:rPr>
          <w:rFonts w:cs="Arial"/>
        </w:rPr>
        <w:t>indicators of</w:t>
      </w:r>
      <w:r w:rsidR="00E119FF">
        <w:rPr>
          <w:rFonts w:cs="Arial"/>
        </w:rPr>
        <w:t xml:space="preserve"> county lines activity </w:t>
      </w:r>
      <w:proofErr w:type="gramStart"/>
      <w:r w:rsidR="00A93F28">
        <w:rPr>
          <w:rFonts w:cs="Arial"/>
        </w:rPr>
        <w:t>is</w:t>
      </w:r>
      <w:proofErr w:type="gramEnd"/>
      <w:r w:rsidR="00A93F28">
        <w:rPr>
          <w:rFonts w:cs="Arial"/>
        </w:rPr>
        <w:t xml:space="preserve"> missed due to the </w:t>
      </w:r>
      <w:r w:rsidR="00266E0C">
        <w:rPr>
          <w:rFonts w:cs="Arial"/>
        </w:rPr>
        <w:t xml:space="preserve">absence of </w:t>
      </w:r>
      <w:r w:rsidR="007F1018">
        <w:rPr>
          <w:rFonts w:cs="Arial"/>
        </w:rPr>
        <w:t xml:space="preserve">a multi-agency </w:t>
      </w:r>
      <w:r w:rsidR="00266E0C">
        <w:rPr>
          <w:rFonts w:cs="Arial"/>
        </w:rPr>
        <w:t>sharing capacity.</w:t>
      </w:r>
    </w:p>
    <w:p w14:paraId="7527C7C9" w14:textId="57ED9EC8" w:rsidR="00317D96" w:rsidRDefault="00317D96" w:rsidP="002B0268">
      <w:pPr>
        <w:jc w:val="both"/>
        <w:rPr>
          <w:rFonts w:cs="Arial"/>
        </w:rPr>
      </w:pPr>
    </w:p>
    <w:p w14:paraId="0CA00E8D" w14:textId="77777777" w:rsidR="00420983" w:rsidRPr="00420983" w:rsidRDefault="00420983" w:rsidP="00420983">
      <w:pPr>
        <w:spacing w:after="0" w:line="240" w:lineRule="auto"/>
        <w:rPr>
          <w:rFonts w:eastAsia="Times New Roman" w:cstheme="minorHAnsi"/>
          <w:kern w:val="0"/>
          <w:u w:val="single"/>
          <w14:ligatures w14:val="none"/>
        </w:rPr>
      </w:pPr>
      <w:r w:rsidRPr="00420983">
        <w:rPr>
          <w:rFonts w:eastAsia="Times New Roman" w:cstheme="minorHAnsi"/>
          <w:kern w:val="0"/>
          <w:u w:val="single"/>
          <w14:ligatures w14:val="none"/>
        </w:rPr>
        <w:t>Reference list</w:t>
      </w:r>
    </w:p>
    <w:p w14:paraId="735ADEEF" w14:textId="77777777" w:rsidR="00420983" w:rsidRPr="00420983" w:rsidRDefault="00420983" w:rsidP="00420983">
      <w:pPr>
        <w:spacing w:after="0" w:line="240" w:lineRule="auto"/>
        <w:rPr>
          <w:rFonts w:eastAsia="Times New Roman" w:cstheme="minorHAnsi"/>
          <w:kern w:val="0"/>
          <w14:ligatures w14:val="none"/>
        </w:rPr>
      </w:pPr>
    </w:p>
    <w:p w14:paraId="00275B02"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Bandura, A. (1977) </w:t>
      </w:r>
      <w:r w:rsidRPr="00420983">
        <w:rPr>
          <w:rFonts w:eastAsia="Times New Roman" w:cstheme="minorHAnsi"/>
          <w:i/>
          <w:iCs/>
          <w:kern w:val="0"/>
          <w14:ligatures w14:val="none"/>
        </w:rPr>
        <w:t>Social learning theory</w:t>
      </w:r>
      <w:r w:rsidRPr="00420983">
        <w:rPr>
          <w:rFonts w:eastAsia="Times New Roman" w:cstheme="minorHAnsi"/>
          <w:kern w:val="0"/>
          <w14:ligatures w14:val="none"/>
        </w:rPr>
        <w:t>. Englewood Cliffs, NJ: Prentice-Hall [online].</w:t>
      </w:r>
      <w:r w:rsidRPr="00420983">
        <w:rPr>
          <w:rFonts w:eastAsia="Times New Roman" w:cstheme="minorHAnsi"/>
          <w:kern w:val="0"/>
          <w14:ligatures w14:val="none"/>
        </w:rPr>
        <w:br/>
        <w:t>Available at: https://archive.org/details/BanduraSocialLearningTheory (accessed: 28/07/2025).</w:t>
      </w:r>
      <w:r w:rsidRPr="00420983">
        <w:rPr>
          <w:rFonts w:eastAsia="Times New Roman" w:cstheme="minorHAnsi"/>
          <w:kern w:val="0"/>
          <w14:ligatures w14:val="none"/>
        </w:rPr>
        <w:br/>
      </w:r>
      <w:r w:rsidRPr="00420983">
        <w:rPr>
          <w:rFonts w:eastAsia="Times New Roman" w:cstheme="minorHAnsi"/>
          <w:kern w:val="0"/>
          <w14:ligatures w14:val="none"/>
        </w:rPr>
        <w:br/>
        <w:t>Blackburn with Darwen Borough Council (2025). Child Sexual Exploitation and Child Criminal Exploitation. Blackburn with Darwen Children's Service Procedures Manual [online].</w:t>
      </w:r>
    </w:p>
    <w:p w14:paraId="00DB09A9"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https://blackburndarwenchildcare.proceduresonline.com/p_cse_and_conr.html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Centre for Social Justice and Justice and Care (2024). </w:t>
      </w:r>
      <w:r w:rsidRPr="00420983">
        <w:rPr>
          <w:rFonts w:eastAsia="Times New Roman" w:cstheme="minorHAnsi"/>
          <w:i/>
          <w:iCs/>
          <w:kern w:val="0"/>
          <w14:ligatures w14:val="none"/>
        </w:rPr>
        <w:t>Criminal exploitation: Modern slavery by another name</w:t>
      </w:r>
      <w:r w:rsidRPr="00420983">
        <w:rPr>
          <w:rFonts w:eastAsia="Times New Roman" w:cstheme="minorHAnsi"/>
          <w:kern w:val="0"/>
          <w14:ligatures w14:val="none"/>
        </w:rPr>
        <w:t xml:space="preserve"> [online].</w:t>
      </w:r>
    </w:p>
    <w:p w14:paraId="6E0E5922"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https://justiceandcare.org/policies-and-reports/criminal-exploitation-modern-slavery-by-another-name/#:~:text=New%20analysis%20from%20the%20Centre,boys%20aged%2017%20and%20under. (accessed: 28/07/2025)</w:t>
      </w:r>
    </w:p>
    <w:p w14:paraId="377E532B" w14:textId="77777777" w:rsidR="00420983" w:rsidRPr="00420983" w:rsidRDefault="00420983" w:rsidP="00420983">
      <w:pPr>
        <w:spacing w:after="0" w:line="240" w:lineRule="auto"/>
        <w:rPr>
          <w:rFonts w:eastAsia="Times New Roman" w:cstheme="minorHAnsi"/>
          <w:kern w:val="0"/>
          <w14:ligatures w14:val="none"/>
        </w:rPr>
      </w:pPr>
    </w:p>
    <w:p w14:paraId="04496161"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Cohen, L.E. and Felson, M. (1979). </w:t>
      </w:r>
      <w:r w:rsidRPr="00420983">
        <w:rPr>
          <w:rFonts w:eastAsia="Times New Roman" w:cstheme="minorHAnsi"/>
          <w:i/>
          <w:iCs/>
          <w:kern w:val="0"/>
          <w14:ligatures w14:val="none"/>
        </w:rPr>
        <w:t xml:space="preserve">‘Social change and crime rate trends: A routine activity approach’. </w:t>
      </w:r>
      <w:r w:rsidRPr="00420983">
        <w:rPr>
          <w:rFonts w:eastAsia="Times New Roman" w:cstheme="minorHAnsi"/>
          <w:kern w:val="0"/>
          <w14:ligatures w14:val="none"/>
        </w:rPr>
        <w:t>American Sociological Review, 44(4), pp. 588–608 [online].</w:t>
      </w:r>
      <w:r w:rsidRPr="00420983">
        <w:rPr>
          <w:rFonts w:eastAsia="Times New Roman" w:cstheme="minorHAnsi"/>
          <w:kern w:val="0"/>
          <w14:ligatures w14:val="none"/>
        </w:rPr>
        <w:br/>
        <w:t xml:space="preserve">Available at: </w:t>
      </w:r>
      <w:r w:rsidRPr="00420983">
        <w:rPr>
          <w:rFonts w:eastAsia="Times New Roman" w:cstheme="minorHAnsi"/>
          <w:kern w:val="0"/>
          <w14:ligatures w14:val="none"/>
        </w:rPr>
        <w:lastRenderedPageBreak/>
        <w:t>https://faculty.washington.edu/matsueda/courses/587/readings/Cohen%20and%20Felson%201979%20Routine%20Activities.pdf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Crowhurst, L. (2017). </w:t>
      </w:r>
      <w:r w:rsidRPr="00420983">
        <w:rPr>
          <w:rFonts w:eastAsia="Times New Roman" w:cstheme="minorHAnsi"/>
          <w:i/>
          <w:iCs/>
          <w:kern w:val="0"/>
          <w14:ligatures w14:val="none"/>
        </w:rPr>
        <w:t>A Problem Shared: sharing data across local public services</w:t>
      </w:r>
      <w:r w:rsidRPr="00420983">
        <w:rPr>
          <w:rFonts w:eastAsia="Times New Roman" w:cstheme="minorHAnsi"/>
          <w:kern w:val="0"/>
          <w14:ligatures w14:val="none"/>
        </w:rPr>
        <w:t xml:space="preserve">. The Police Foundation [online]. </w:t>
      </w:r>
    </w:p>
    <w:p w14:paraId="0E298807"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https://www.police-foundation.org.uk/wp-content/uploads/2017/09/police_policy_dinners_data_sharing.pdf (accessed: 28/07/2025).</w:t>
      </w:r>
    </w:p>
    <w:p w14:paraId="6A543A73" w14:textId="77777777" w:rsidR="00420983" w:rsidRPr="00420983" w:rsidRDefault="00420983" w:rsidP="00420983">
      <w:pPr>
        <w:spacing w:after="0" w:line="240" w:lineRule="auto"/>
        <w:rPr>
          <w:rFonts w:eastAsia="Times New Roman" w:cstheme="minorHAnsi"/>
          <w:kern w:val="0"/>
          <w14:ligatures w14:val="none"/>
        </w:rPr>
      </w:pPr>
    </w:p>
    <w:p w14:paraId="3C5339AD"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Dempsey, M. (2021). </w:t>
      </w:r>
      <w:r w:rsidRPr="00420983">
        <w:rPr>
          <w:rFonts w:eastAsia="Times New Roman" w:cstheme="minorHAnsi"/>
          <w:i/>
          <w:iCs/>
          <w:kern w:val="0"/>
          <w14:ligatures w14:val="none"/>
        </w:rPr>
        <w:t>Still Not Safe: The public health response to youth violence</w:t>
      </w:r>
      <w:r w:rsidRPr="00420983">
        <w:rPr>
          <w:rFonts w:eastAsia="Times New Roman" w:cstheme="minorHAnsi"/>
          <w:kern w:val="0"/>
          <w14:ligatures w14:val="none"/>
        </w:rPr>
        <w:t>. Children’s Commissioner [Online].</w:t>
      </w:r>
    </w:p>
    <w:p w14:paraId="5FD86AE7"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https://www.childrenscommissioner.gov.uk/wp-content/uploads/2021/02/cco-still-not-safe.pdf (accessed: 28/07/2025).</w:t>
      </w:r>
    </w:p>
    <w:p w14:paraId="0C89FD95" w14:textId="77777777" w:rsidR="00420983" w:rsidRPr="00420983" w:rsidRDefault="00420983" w:rsidP="00420983">
      <w:pPr>
        <w:spacing w:after="0" w:line="240" w:lineRule="auto"/>
        <w:rPr>
          <w:rFonts w:eastAsia="Times New Roman" w:cstheme="minorHAnsi"/>
          <w:kern w:val="0"/>
          <w14:ligatures w14:val="none"/>
        </w:rPr>
      </w:pPr>
    </w:p>
    <w:p w14:paraId="24D1F28E"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Ditcham, K.L. (2022). </w:t>
      </w:r>
      <w:r w:rsidRPr="00420983">
        <w:rPr>
          <w:rFonts w:eastAsia="Times New Roman" w:cstheme="minorHAnsi"/>
          <w:i/>
          <w:iCs/>
          <w:kern w:val="0"/>
          <w14:ligatures w14:val="none"/>
        </w:rPr>
        <w:t xml:space="preserve">Child Criminal Exploitation in County Lines in England and Wales. </w:t>
      </w:r>
      <w:r w:rsidRPr="00420983">
        <w:rPr>
          <w:rFonts w:eastAsia="Times New Roman" w:cstheme="minorHAnsi"/>
          <w:kern w:val="0"/>
          <w14:ligatures w14:val="none"/>
        </w:rPr>
        <w:t>University of Portsmouth [online].</w:t>
      </w:r>
    </w:p>
    <w:p w14:paraId="2552F89F"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https://researchportal.port.ac.uk/en/studentTheses/child-criminal-exploitation-in-county-lines-in-england-and-wales (accessed: 19/05/2025).</w:t>
      </w:r>
    </w:p>
    <w:p w14:paraId="7B18A6BA" w14:textId="77777777" w:rsidR="00420983" w:rsidRPr="00420983" w:rsidRDefault="00420983" w:rsidP="00420983">
      <w:pPr>
        <w:spacing w:after="0" w:line="240" w:lineRule="auto"/>
        <w:rPr>
          <w:rFonts w:eastAsia="Times New Roman" w:cstheme="minorHAnsi"/>
          <w:kern w:val="0"/>
          <w14:ligatures w14:val="none"/>
        </w:rPr>
      </w:pPr>
    </w:p>
    <w:p w14:paraId="7BC12BE5" w14:textId="77777777" w:rsidR="00420983" w:rsidRPr="00420983" w:rsidRDefault="00420983" w:rsidP="00420983">
      <w:pPr>
        <w:spacing w:after="0" w:line="240" w:lineRule="auto"/>
        <w:rPr>
          <w:rFonts w:eastAsia="Times New Roman" w:cstheme="minorHAnsi"/>
          <w:kern w:val="0"/>
          <w14:ligatures w14:val="none"/>
        </w:rPr>
      </w:pPr>
      <w:proofErr w:type="spellStart"/>
      <w:r w:rsidRPr="00420983">
        <w:rPr>
          <w:rFonts w:eastAsia="Times New Roman" w:cstheme="minorHAnsi"/>
          <w:kern w:val="0"/>
          <w14:ligatures w14:val="none"/>
        </w:rPr>
        <w:t>Espeute</w:t>
      </w:r>
      <w:proofErr w:type="spellEnd"/>
      <w:r w:rsidRPr="00420983">
        <w:rPr>
          <w:rFonts w:eastAsia="Times New Roman" w:cstheme="minorHAnsi"/>
          <w:kern w:val="0"/>
          <w14:ligatures w14:val="none"/>
        </w:rPr>
        <w:t xml:space="preserve">, S., </w:t>
      </w:r>
      <w:proofErr w:type="spellStart"/>
      <w:r w:rsidRPr="00420983">
        <w:rPr>
          <w:rFonts w:eastAsia="Times New Roman" w:cstheme="minorHAnsi"/>
          <w:kern w:val="0"/>
          <w14:ligatures w14:val="none"/>
        </w:rPr>
        <w:t>Lanskey</w:t>
      </w:r>
      <w:proofErr w:type="spellEnd"/>
      <w:r w:rsidRPr="00420983">
        <w:rPr>
          <w:rFonts w:eastAsia="Times New Roman" w:cstheme="minorHAnsi"/>
          <w:kern w:val="0"/>
          <w14:ligatures w14:val="none"/>
        </w:rPr>
        <w:t xml:space="preserve">, C. (2023). </w:t>
      </w:r>
      <w:r w:rsidRPr="00420983">
        <w:rPr>
          <w:rFonts w:eastAsia="Times New Roman" w:cstheme="minorHAnsi"/>
          <w:i/>
          <w:iCs/>
          <w:kern w:val="0"/>
          <w14:ligatures w14:val="none"/>
        </w:rPr>
        <w:t>An exploration of police discretion in the identification of child victims of county lines drug trafficking</w:t>
      </w:r>
      <w:r w:rsidRPr="00420983">
        <w:rPr>
          <w:rFonts w:eastAsia="Times New Roman" w:cstheme="minorHAnsi"/>
          <w:kern w:val="0"/>
          <w14:ligatures w14:val="none"/>
        </w:rPr>
        <w:t xml:space="preserve"> [online]. </w:t>
      </w:r>
    </w:p>
    <w:p w14:paraId="3CBDF9FC"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https://doi.org/10.17863/CAM.97114.2 (accessed: 19/05/2025).</w:t>
      </w:r>
    </w:p>
    <w:p w14:paraId="5F2C13E2" w14:textId="77777777" w:rsidR="00420983" w:rsidRPr="00420983" w:rsidRDefault="00420983" w:rsidP="00420983">
      <w:pPr>
        <w:spacing w:after="0" w:line="240" w:lineRule="auto"/>
        <w:rPr>
          <w:rFonts w:eastAsia="Times New Roman" w:cstheme="minorHAnsi"/>
          <w:kern w:val="0"/>
          <w14:ligatures w14:val="none"/>
        </w:rPr>
      </w:pPr>
    </w:p>
    <w:p w14:paraId="3903AF0D"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Firmin, C. (2017). </w:t>
      </w:r>
      <w:r w:rsidRPr="00420983">
        <w:rPr>
          <w:rFonts w:eastAsia="Times New Roman" w:cstheme="minorHAnsi"/>
          <w:i/>
          <w:iCs/>
          <w:kern w:val="0"/>
          <w14:ligatures w14:val="none"/>
        </w:rPr>
        <w:t>Contextual Safeguarding: An overview of the operational, strategic and conceptual framework.</w:t>
      </w:r>
      <w:r w:rsidRPr="00420983">
        <w:rPr>
          <w:rFonts w:eastAsia="Times New Roman" w:cstheme="minorHAnsi"/>
          <w:kern w:val="0"/>
          <w14:ligatures w14:val="none"/>
        </w:rPr>
        <w:t xml:space="preserve"> University of Bedfordshire [online].</w:t>
      </w:r>
    </w:p>
    <w:p w14:paraId="5D5F596B"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https://uobrep.openrepository.com/bitstream/handle/10547/624844/Contextual-Safeguarding-Briefing.pdf?sequence=2&amp;isAllowed=y (accessed: 28/07/2025).</w:t>
      </w:r>
    </w:p>
    <w:p w14:paraId="2DF63397" w14:textId="77777777" w:rsidR="00420983" w:rsidRPr="00420983" w:rsidRDefault="00420983" w:rsidP="00420983">
      <w:pPr>
        <w:spacing w:after="0" w:line="240" w:lineRule="auto"/>
        <w:rPr>
          <w:rFonts w:eastAsia="Times New Roman" w:cstheme="minorHAnsi"/>
          <w:kern w:val="0"/>
          <w14:ligatures w14:val="none"/>
        </w:rPr>
      </w:pPr>
    </w:p>
    <w:p w14:paraId="5925F9E7"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Harding (2020a). </w:t>
      </w:r>
      <w:r w:rsidRPr="00420983">
        <w:rPr>
          <w:rFonts w:eastAsia="Times New Roman" w:cstheme="minorHAnsi"/>
          <w:i/>
          <w:iCs/>
          <w:kern w:val="0"/>
          <w14:ligatures w14:val="none"/>
        </w:rPr>
        <w:t>Getting to the Point? Reframing Narratives on Knife Crime</w:t>
      </w:r>
      <w:r w:rsidRPr="00420983">
        <w:rPr>
          <w:rFonts w:eastAsia="Times New Roman" w:cstheme="minorHAnsi"/>
          <w:kern w:val="0"/>
          <w14:ligatures w14:val="none"/>
        </w:rPr>
        <w:t>. Youth Justice, 20(1-2), 31-49. [Online].</w:t>
      </w:r>
    </w:p>
    <w:p w14:paraId="20F0E8CA"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https://journals.sagepub.com/doi/abs/10.1177/1473225419893781 (accessed: 24/07/2025).</w:t>
      </w:r>
    </w:p>
    <w:p w14:paraId="551F4700" w14:textId="77777777" w:rsidR="00420983" w:rsidRPr="00420983" w:rsidRDefault="00420983" w:rsidP="00420983">
      <w:pPr>
        <w:spacing w:after="0" w:line="240" w:lineRule="auto"/>
        <w:rPr>
          <w:rFonts w:eastAsia="Times New Roman" w:cstheme="minorHAnsi"/>
          <w:kern w:val="0"/>
          <w14:ligatures w14:val="none"/>
        </w:rPr>
      </w:pPr>
    </w:p>
    <w:p w14:paraId="2BF3BEFE"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Harding, S. (2020b). </w:t>
      </w:r>
      <w:r w:rsidRPr="00420983">
        <w:rPr>
          <w:rFonts w:eastAsia="Times New Roman" w:cstheme="minorHAnsi"/>
          <w:i/>
          <w:iCs/>
          <w:kern w:val="0"/>
          <w14:ligatures w14:val="none"/>
        </w:rPr>
        <w:t>County lines: Exploitation and drug dealing among urban street gangs</w:t>
      </w:r>
      <w:r w:rsidRPr="00420983">
        <w:rPr>
          <w:rFonts w:eastAsia="Times New Roman" w:cstheme="minorHAnsi"/>
          <w:kern w:val="0"/>
          <w14:ligatures w14:val="none"/>
        </w:rPr>
        <w:t>. Bristol: Policy Press.</w:t>
      </w:r>
    </w:p>
    <w:p w14:paraId="40F2D0A5" w14:textId="77777777" w:rsidR="00420983" w:rsidRPr="00420983" w:rsidRDefault="00420983" w:rsidP="00420983">
      <w:pPr>
        <w:spacing w:after="0" w:line="240" w:lineRule="auto"/>
        <w:rPr>
          <w:rFonts w:eastAsia="Times New Roman" w:cstheme="minorHAnsi"/>
          <w:kern w:val="0"/>
          <w14:ligatures w14:val="none"/>
        </w:rPr>
      </w:pPr>
    </w:p>
    <w:p w14:paraId="3E3B1086"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HMICFRS, (2020). </w:t>
      </w:r>
      <w:r w:rsidRPr="00420983">
        <w:rPr>
          <w:rFonts w:eastAsia="Times New Roman" w:cstheme="minorHAnsi"/>
          <w:i/>
          <w:iCs/>
          <w:kern w:val="0"/>
          <w14:ligatures w14:val="none"/>
        </w:rPr>
        <w:t>Both sides of the coin: The police and National Crime Agency’s response to vulnerable people in ’county lines drug offending</w:t>
      </w:r>
      <w:r w:rsidRPr="00420983">
        <w:rPr>
          <w:rFonts w:eastAsia="Times New Roman" w:cstheme="minorHAnsi"/>
          <w:kern w:val="0"/>
          <w14:ligatures w14:val="none"/>
        </w:rPr>
        <w:t>. London: Her Majesty’s Inspectorate of Constabulary and Fire &amp; Rescue Services [online].</w:t>
      </w:r>
      <w:r w:rsidRPr="00420983">
        <w:rPr>
          <w:rFonts w:eastAsia="Times New Roman" w:cstheme="minorHAnsi"/>
          <w:kern w:val="0"/>
          <w14:ligatures w14:val="none"/>
        </w:rPr>
        <w:br/>
        <w:t>Available at: https://hmicfrs.justiceinspectorates.gov.uk/publication-html/both-sides-of-the-coin-county-lines/ (accessed: 28/07/2025).</w:t>
      </w:r>
    </w:p>
    <w:p w14:paraId="7AF5C290"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br/>
        <w:t xml:space="preserve">HMICFRS (2022). </w:t>
      </w:r>
      <w:r w:rsidRPr="00420983">
        <w:rPr>
          <w:rFonts w:eastAsia="Times New Roman" w:cstheme="minorHAnsi"/>
          <w:i/>
          <w:iCs/>
          <w:kern w:val="0"/>
          <w14:ligatures w14:val="none"/>
        </w:rPr>
        <w:t>The police and National Crime Agency’s response to vulnerable people in ‘county lines’ drug offending</w:t>
      </w:r>
      <w:r w:rsidRPr="00420983">
        <w:rPr>
          <w:rFonts w:eastAsia="Times New Roman" w:cstheme="minorHAnsi"/>
          <w:kern w:val="0"/>
          <w14:ligatures w14:val="none"/>
        </w:rPr>
        <w:t xml:space="preserve"> [online]. </w:t>
      </w:r>
    </w:p>
    <w:p w14:paraId="4135FF01"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https://hmicfrs.justiceinspectorates.gov.uk/publication-html/both-sides-of-the-coin-county-lines/#:~:text=Most%20forces%20have%20significantly%20improved,to%20approximately%201%2C000%20county%20lines (accessed: 24/07/2025).</w:t>
      </w:r>
    </w:p>
    <w:p w14:paraId="4F84AA65" w14:textId="77777777" w:rsidR="00420983" w:rsidRPr="00420983" w:rsidRDefault="00420983" w:rsidP="00420983">
      <w:pPr>
        <w:spacing w:after="0" w:line="240" w:lineRule="auto"/>
        <w:rPr>
          <w:rFonts w:eastAsia="Times New Roman" w:cstheme="minorHAnsi"/>
          <w:kern w:val="0"/>
          <w14:ligatures w14:val="none"/>
        </w:rPr>
      </w:pPr>
    </w:p>
    <w:p w14:paraId="2F89C726"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Home Office (2023). </w:t>
      </w:r>
      <w:r w:rsidRPr="00420983">
        <w:rPr>
          <w:rFonts w:eastAsia="Times New Roman" w:cstheme="minorHAnsi"/>
          <w:i/>
          <w:iCs/>
          <w:kern w:val="0"/>
          <w14:ligatures w14:val="none"/>
        </w:rPr>
        <w:t>Criminal exploitation of children and vulnerable adults: county lines</w:t>
      </w:r>
      <w:r w:rsidRPr="00420983">
        <w:rPr>
          <w:rFonts w:eastAsia="Times New Roman" w:cstheme="minorHAnsi"/>
          <w:kern w:val="0"/>
          <w14:ligatures w14:val="none"/>
        </w:rPr>
        <w:t xml:space="preserve">. GOV.UK [online]. </w:t>
      </w:r>
    </w:p>
    <w:p w14:paraId="53A9CA34"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lastRenderedPageBreak/>
        <w:t>Available at: https://www.gov.uk/government/publications/criminal-exploitation-of-children-and-vulnerable-adults-county-lines (accessed: 19/05/2025).</w:t>
      </w:r>
    </w:p>
    <w:p w14:paraId="33BF1F15" w14:textId="77777777" w:rsidR="00420983" w:rsidRPr="00420983" w:rsidRDefault="00420983" w:rsidP="00420983">
      <w:pPr>
        <w:spacing w:after="0" w:line="240" w:lineRule="auto"/>
        <w:rPr>
          <w:rFonts w:eastAsia="Times New Roman" w:cstheme="minorHAnsi"/>
          <w:kern w:val="0"/>
          <w14:ligatures w14:val="none"/>
        </w:rPr>
      </w:pPr>
    </w:p>
    <w:p w14:paraId="46183B93" w14:textId="36C485B4" w:rsidR="00420983" w:rsidRPr="00420983" w:rsidRDefault="00420983" w:rsidP="00420983">
      <w:pPr>
        <w:spacing w:line="240" w:lineRule="auto"/>
        <w:rPr>
          <w:rFonts w:eastAsia="Times New Roman" w:cstheme="minorHAnsi"/>
          <w:kern w:val="0"/>
          <w14:ligatures w14:val="none"/>
        </w:rPr>
      </w:pPr>
      <w:r w:rsidRPr="00420983">
        <w:rPr>
          <w:rFonts w:eastAsia="Times New Roman" w:cstheme="minorHAnsi"/>
          <w:kern w:val="0"/>
          <w14:ligatures w14:val="none"/>
        </w:rPr>
        <w:t xml:space="preserve">Home Office (2025). </w:t>
      </w:r>
      <w:r w:rsidRPr="00420983">
        <w:rPr>
          <w:rFonts w:cstheme="minorHAnsi"/>
          <w:i/>
          <w:iCs/>
          <w:kern w:val="0"/>
          <w14:ligatures w14:val="none"/>
        </w:rPr>
        <w:t>County Lines Programme data</w:t>
      </w:r>
      <w:r w:rsidRPr="00420983">
        <w:rPr>
          <w:rFonts w:eastAsia="Times New Roman" w:cstheme="minorHAnsi"/>
          <w:kern w:val="0"/>
          <w14:ligatures w14:val="none"/>
        </w:rPr>
        <w:t>. GOV.UK [online].</w:t>
      </w:r>
      <w:r w:rsidRPr="00420983">
        <w:rPr>
          <w:rFonts w:eastAsia="Times New Roman" w:cstheme="minorHAnsi"/>
          <w:kern w:val="0"/>
          <w14:ligatures w14:val="none"/>
        </w:rPr>
        <w:br/>
        <w:t>Available at: https://www.gov.uk/government/publications/home-offices-county-lines-programme-data/county-lines-programme-data (accessed: 24/07/2025).</w:t>
      </w:r>
      <w:r w:rsidRPr="00420983">
        <w:rPr>
          <w:rFonts w:eastAsia="Times New Roman" w:cstheme="minorHAnsi"/>
          <w:kern w:val="0"/>
          <w14:ligatures w14:val="none"/>
        </w:rPr>
        <w:br/>
      </w:r>
      <w:r w:rsidRPr="00420983">
        <w:rPr>
          <w:rFonts w:eastAsia="Times New Roman" w:cstheme="minorHAnsi"/>
          <w:kern w:val="0"/>
          <w14:ligatures w14:val="none"/>
        </w:rPr>
        <w:br/>
        <w:t xml:space="preserve">Hudek, J. (2018). </w:t>
      </w:r>
      <w:r w:rsidRPr="00420983">
        <w:rPr>
          <w:rFonts w:eastAsia="Times New Roman" w:cstheme="minorHAnsi"/>
          <w:i/>
          <w:iCs/>
          <w:kern w:val="0"/>
          <w14:ligatures w14:val="none"/>
        </w:rPr>
        <w:t>Evaluation of County Lines Pilot Project</w:t>
      </w:r>
      <w:r w:rsidRPr="00420983">
        <w:rPr>
          <w:rFonts w:eastAsia="Times New Roman" w:cstheme="minorHAnsi"/>
          <w:kern w:val="0"/>
          <w14:ligatures w14:val="none"/>
        </w:rPr>
        <w:t xml:space="preserve"> [online]. </w:t>
      </w:r>
      <w:r w:rsidRPr="00420983">
        <w:rPr>
          <w:rFonts w:eastAsia="Times New Roman" w:cstheme="minorHAnsi"/>
          <w:kern w:val="0"/>
          <w14:ligatures w14:val="none"/>
        </w:rPr>
        <w:br/>
        <w:t>Available at: https://www.stgilestrust.org.uk/app/uploads/2021/06/County-Lines-Demonstration-Pilot-Evaluation-Report-May-2018-designed.pdf (accessed: 19/05/2025).</w:t>
      </w:r>
      <w:r w:rsidRPr="00420983">
        <w:rPr>
          <w:rFonts w:eastAsia="Times New Roman" w:cstheme="minorHAnsi"/>
          <w:kern w:val="0"/>
          <w14:ligatures w14:val="none"/>
        </w:rPr>
        <w:br/>
      </w:r>
      <w:r w:rsidRPr="00420983">
        <w:rPr>
          <w:rFonts w:eastAsia="Times New Roman" w:cstheme="minorHAnsi"/>
          <w:kern w:val="0"/>
          <w14:ligatures w14:val="none"/>
        </w:rPr>
        <w:br/>
        <w:t>ICCA (2025). </w:t>
      </w:r>
      <w:r w:rsidRPr="00420983">
        <w:rPr>
          <w:rFonts w:eastAsia="Times New Roman" w:cstheme="minorHAnsi"/>
          <w:i/>
          <w:iCs/>
          <w:kern w:val="0"/>
          <w14:ligatures w14:val="none"/>
        </w:rPr>
        <w:t xml:space="preserve">Child trafficking and ‘county </w:t>
      </w:r>
      <w:proofErr w:type="gramStart"/>
      <w:r w:rsidRPr="00420983">
        <w:rPr>
          <w:rFonts w:eastAsia="Times New Roman" w:cstheme="minorHAnsi"/>
          <w:i/>
          <w:iCs/>
          <w:kern w:val="0"/>
          <w14:ligatures w14:val="none"/>
        </w:rPr>
        <w:t>lines’</w:t>
      </w:r>
      <w:proofErr w:type="gramEnd"/>
      <w:r w:rsidRPr="00420983">
        <w:rPr>
          <w:rFonts w:eastAsia="Times New Roman" w:cstheme="minorHAnsi"/>
          <w:kern w:val="0"/>
          <w14:ligatures w14:val="none"/>
        </w:rPr>
        <w:t xml:space="preserve">. [online]. </w:t>
      </w:r>
      <w:r w:rsidRPr="00420983">
        <w:rPr>
          <w:rFonts w:eastAsia="Times New Roman" w:cstheme="minorHAnsi"/>
          <w:kern w:val="0"/>
          <w14:ligatures w14:val="none"/>
        </w:rPr>
        <w:br/>
        <w:t xml:space="preserve">Available at: </w:t>
      </w:r>
      <w:r w:rsidRPr="00420983">
        <w:rPr>
          <w:rFonts w:eastAsia="Times New Roman" w:cstheme="minorHAnsi"/>
          <w:color w:val="000000" w:themeColor="text1"/>
          <w:kern w:val="0"/>
          <w14:ligatures w14:val="none"/>
        </w:rPr>
        <w:t xml:space="preserve">https://www.icca.ac.uk/wp-content/uploads/2024/02/YJA06-edited-Feb-2024.pdf </w:t>
      </w:r>
      <w:r w:rsidRPr="00420983">
        <w:rPr>
          <w:rFonts w:eastAsia="Times New Roman" w:cstheme="minorHAnsi"/>
          <w:kern w:val="0"/>
          <w14:ligatures w14:val="none"/>
        </w:rPr>
        <w:t>(accessed: 21/06/2025).</w:t>
      </w:r>
      <w:r w:rsidRPr="00420983">
        <w:rPr>
          <w:rFonts w:eastAsia="Times New Roman" w:cstheme="minorHAnsi"/>
          <w:kern w:val="0"/>
          <w14:ligatures w14:val="none"/>
        </w:rPr>
        <w:br/>
      </w:r>
      <w:r w:rsidRPr="00420983">
        <w:rPr>
          <w:rFonts w:eastAsia="Times New Roman" w:cstheme="minorHAnsi"/>
          <w:kern w:val="0"/>
          <w14:ligatures w14:val="none"/>
        </w:rPr>
        <w:br/>
        <w:t xml:space="preserve">Koch, I., Williams, P., Wroe, L. (2024). </w:t>
      </w:r>
      <w:r w:rsidRPr="00420983">
        <w:rPr>
          <w:rFonts w:eastAsia="Times New Roman" w:cstheme="minorHAnsi"/>
          <w:i/>
          <w:iCs/>
          <w:kern w:val="0"/>
          <w14:ligatures w14:val="none"/>
        </w:rPr>
        <w:t>‘County lines’: racism, safeguarding and statecraft in Britain. Race &amp; Class</w:t>
      </w:r>
      <w:r w:rsidRPr="00420983">
        <w:rPr>
          <w:rFonts w:eastAsia="Times New Roman" w:cstheme="minorHAnsi"/>
          <w:kern w:val="0"/>
          <w14:ligatures w14:val="none"/>
        </w:rPr>
        <w:t xml:space="preserve"> 65, 3–26 [online].</w:t>
      </w:r>
      <w:r w:rsidRPr="00420983">
        <w:rPr>
          <w:rFonts w:eastAsia="Times New Roman" w:cstheme="minorHAnsi"/>
          <w:kern w:val="0"/>
          <w14:ligatures w14:val="none"/>
        </w:rPr>
        <w:br/>
        <w:t>Available at: https://doi.org/10.1177/03063968231201325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Leicestershire County Council (2025). </w:t>
      </w:r>
      <w:r w:rsidRPr="00420983">
        <w:rPr>
          <w:rFonts w:eastAsia="Times New Roman" w:cstheme="minorHAnsi"/>
          <w:i/>
          <w:iCs/>
          <w:kern w:val="0"/>
          <w14:ligatures w14:val="none"/>
        </w:rPr>
        <w:t>Child Criminal Exploitation and County Lines</w:t>
      </w:r>
      <w:r w:rsidRPr="00420983">
        <w:rPr>
          <w:rFonts w:eastAsia="Times New Roman" w:cstheme="minorHAnsi"/>
          <w:kern w:val="0"/>
          <w14:ligatures w14:val="none"/>
        </w:rPr>
        <w:t>. Leicestershire County Council Foster Carers Handbook [online].</w:t>
      </w:r>
      <w:r w:rsidRPr="00420983">
        <w:rPr>
          <w:rFonts w:eastAsia="Times New Roman" w:cstheme="minorHAnsi"/>
          <w:kern w:val="0"/>
          <w14:ligatures w14:val="none"/>
        </w:rPr>
        <w:br/>
        <w:t>Available at: https://leicestershireccfch.trixonline.co.uk/chapter/child-criminal-exploitation-and-county-lines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Lloyd, J., Manister, M., Wroe, L. (2023). </w:t>
      </w:r>
      <w:r w:rsidRPr="00420983">
        <w:rPr>
          <w:rFonts w:eastAsia="Times New Roman" w:cstheme="minorHAnsi"/>
          <w:i/>
          <w:iCs/>
          <w:kern w:val="0"/>
          <w14:ligatures w14:val="none"/>
        </w:rPr>
        <w:t>Social Care Responses to Children who Experience Criminal Exploitation and Violence: The Conditions for a Welfare Response</w:t>
      </w:r>
      <w:r w:rsidRPr="00420983">
        <w:rPr>
          <w:rFonts w:eastAsia="Times New Roman" w:cstheme="minorHAnsi"/>
          <w:kern w:val="0"/>
          <w14:ligatures w14:val="none"/>
        </w:rPr>
        <w:t>. The British Journal of Social Work 53, 3725–3743 [online].</w:t>
      </w:r>
      <w:r w:rsidRPr="00420983">
        <w:rPr>
          <w:rFonts w:eastAsia="Times New Roman" w:cstheme="minorHAnsi"/>
          <w:kern w:val="0"/>
          <w14:ligatures w14:val="none"/>
        </w:rPr>
        <w:br/>
        <w:t>Available at: https://doi.org/10.1093/bjsw/bcad145 (accessed: 19/05/2025).</w:t>
      </w:r>
      <w:r w:rsidRPr="00420983">
        <w:rPr>
          <w:rFonts w:eastAsia="Times New Roman" w:cstheme="minorHAnsi"/>
          <w:kern w:val="0"/>
          <w14:ligatures w14:val="none"/>
        </w:rPr>
        <w:br/>
      </w:r>
      <w:r w:rsidRPr="00420983">
        <w:rPr>
          <w:rFonts w:eastAsia="Times New Roman" w:cstheme="minorHAnsi"/>
          <w:kern w:val="0"/>
          <w14:ligatures w14:val="none"/>
        </w:rPr>
        <w:br/>
        <w:t>Lumley-</w:t>
      </w:r>
      <w:proofErr w:type="spellStart"/>
      <w:r w:rsidRPr="00420983">
        <w:rPr>
          <w:rFonts w:eastAsia="Times New Roman" w:cstheme="minorHAnsi"/>
          <w:kern w:val="0"/>
          <w14:ligatures w14:val="none"/>
        </w:rPr>
        <w:t>Sapanski</w:t>
      </w:r>
      <w:proofErr w:type="spellEnd"/>
      <w:r w:rsidRPr="00420983">
        <w:rPr>
          <w:rFonts w:eastAsia="Times New Roman" w:cstheme="minorHAnsi"/>
          <w:kern w:val="0"/>
          <w14:ligatures w14:val="none"/>
        </w:rPr>
        <w:t xml:space="preserve">, A., Rodriguez-Huerta, E., Young, M., Nicholson, A., Schwarz, K. (2024). </w:t>
      </w:r>
      <w:r w:rsidRPr="00420983">
        <w:rPr>
          <w:rFonts w:eastAsia="Times New Roman" w:cstheme="minorHAnsi"/>
          <w:i/>
          <w:iCs/>
          <w:kern w:val="0"/>
          <w14:ligatures w14:val="none"/>
        </w:rPr>
        <w:t>Criminalising survivors of modern slavery: the United Kingdom’s National Referral Mechanism as a border-making process</w:t>
      </w:r>
      <w:r w:rsidRPr="00420983">
        <w:rPr>
          <w:rFonts w:eastAsia="Times New Roman" w:cstheme="minorHAnsi"/>
          <w:kern w:val="0"/>
          <w14:ligatures w14:val="none"/>
        </w:rPr>
        <w:t xml:space="preserve">. Journal of Social Policy 1–20 [online]. </w:t>
      </w:r>
      <w:r w:rsidRPr="00420983">
        <w:rPr>
          <w:rFonts w:eastAsia="Times New Roman" w:cstheme="minorHAnsi"/>
          <w:kern w:val="0"/>
          <w14:ligatures w14:val="none"/>
        </w:rPr>
        <w:br/>
        <w:t>Available at: https://doi.org/10.1017/S0047279424000230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Marshall, H.J. (2021). </w:t>
      </w:r>
      <w:r w:rsidRPr="00420983">
        <w:rPr>
          <w:rFonts w:eastAsia="Times New Roman" w:cstheme="minorHAnsi"/>
          <w:i/>
          <w:iCs/>
          <w:kern w:val="0"/>
          <w14:ligatures w14:val="none"/>
        </w:rPr>
        <w:t>Child Criminal Exploitation, County Lines &amp; Victim Identification: An Exploratory Study</w:t>
      </w:r>
      <w:r w:rsidRPr="00420983">
        <w:rPr>
          <w:rFonts w:eastAsia="Times New Roman" w:cstheme="minorHAnsi"/>
          <w:kern w:val="0"/>
          <w14:ligatures w14:val="none"/>
        </w:rPr>
        <w:t>. Apollo - University of Cambridge Repository [online].</w:t>
      </w:r>
      <w:r w:rsidRPr="00420983">
        <w:rPr>
          <w:rFonts w:eastAsia="Times New Roman" w:cstheme="minorHAnsi"/>
          <w:kern w:val="0"/>
          <w14:ligatures w14:val="none"/>
        </w:rPr>
        <w:br/>
        <w:t>Available at: https://www.repository.cam.ac.uk/items/0611c22b-a197-4c51-be79-b3c25d26c680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Maxwell, N. (2022). </w:t>
      </w:r>
      <w:r w:rsidRPr="00420983">
        <w:rPr>
          <w:rFonts w:eastAsia="Times New Roman" w:cstheme="minorHAnsi"/>
          <w:i/>
          <w:iCs/>
          <w:kern w:val="0"/>
          <w14:ligatures w14:val="none"/>
        </w:rPr>
        <w:t>I’m Trying to Save My Family: Parent Experiences of Child Criminal Exploitation</w:t>
      </w:r>
      <w:r w:rsidRPr="00420983">
        <w:rPr>
          <w:rFonts w:eastAsia="Times New Roman" w:cstheme="minorHAnsi"/>
          <w:kern w:val="0"/>
          <w14:ligatures w14:val="none"/>
        </w:rPr>
        <w:t xml:space="preserve">. Youth Justice, 23(2), 243-258. </w:t>
      </w:r>
      <w:r w:rsidRPr="00420983">
        <w:rPr>
          <w:rFonts w:eastAsia="Times New Roman" w:cstheme="minorHAnsi"/>
          <w:kern w:val="0"/>
          <w14:ligatures w14:val="none"/>
        </w:rPr>
        <w:br/>
        <w:t>Available at: https://doi.org/10.1177/14732254221122559 (accessed: 28/07/2025).</w:t>
      </w:r>
      <w:r w:rsidRPr="00420983">
        <w:rPr>
          <w:rFonts w:eastAsia="Times New Roman" w:cstheme="minorHAnsi"/>
          <w:kern w:val="0"/>
          <w14:ligatures w14:val="none"/>
        </w:rPr>
        <w:br/>
      </w:r>
      <w:r w:rsidRPr="00420983">
        <w:rPr>
          <w:rFonts w:eastAsia="Times New Roman" w:cstheme="minorHAnsi"/>
          <w:kern w:val="0"/>
          <w14:ligatures w14:val="none"/>
        </w:rPr>
        <w:br/>
        <w:t>McDonald, G., Lewis, J., Ghate, D. Gardner, E., Adams, C., Kelly, G. (2017). Evaluation of the Safeguarding Children Assessment and Analysis Framework (SAAF). Government Social Research (GSR). Department for Education [online].</w:t>
      </w:r>
      <w:r w:rsidRPr="00420983">
        <w:rPr>
          <w:rFonts w:eastAsia="Times New Roman" w:cstheme="minorHAnsi"/>
          <w:kern w:val="0"/>
          <w14:ligatures w14:val="none"/>
        </w:rPr>
        <w:br/>
        <w:t>Available at: https://assets.publishing.service.gov.uk/media/5a81e20bed915d74e6234a0c/Evaluation_of_the_Safeguarding_Children_Assessment_and_Analysis_Framework.pdf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Ministry of Justice (2025). </w:t>
      </w:r>
      <w:r w:rsidRPr="00420983">
        <w:rPr>
          <w:rFonts w:eastAsia="Times New Roman" w:cstheme="minorHAnsi"/>
          <w:i/>
          <w:iCs/>
          <w:kern w:val="0"/>
          <w14:ligatures w14:val="none"/>
        </w:rPr>
        <w:t xml:space="preserve">Crime and Policing Bill: Child criminal exploitation and “cuckooing” </w:t>
      </w:r>
      <w:r w:rsidRPr="00420983">
        <w:rPr>
          <w:rFonts w:eastAsia="Times New Roman" w:cstheme="minorHAnsi"/>
          <w:i/>
          <w:iCs/>
          <w:kern w:val="0"/>
          <w14:ligatures w14:val="none"/>
        </w:rPr>
        <w:lastRenderedPageBreak/>
        <w:t>factsheet</w:t>
      </w:r>
      <w:r w:rsidRPr="00420983">
        <w:rPr>
          <w:rFonts w:eastAsia="Times New Roman" w:cstheme="minorHAnsi"/>
          <w:kern w:val="0"/>
          <w14:ligatures w14:val="none"/>
        </w:rPr>
        <w:t>. GOV.UK [online].</w:t>
      </w:r>
      <w:r w:rsidRPr="00420983">
        <w:rPr>
          <w:rFonts w:eastAsia="Times New Roman" w:cstheme="minorHAnsi"/>
          <w:kern w:val="0"/>
          <w14:ligatures w14:val="none"/>
        </w:rPr>
        <w:br/>
        <w:t>Available at: https://www.gov.uk/government/publications/crime-and-policing-bill-2025-factsheets/crime-and-policing-bill-child-criminal-exploitation-and-cuckooing-factsheet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Moyle, L. (2019). </w:t>
      </w:r>
      <w:r w:rsidRPr="00420983">
        <w:rPr>
          <w:rFonts w:eastAsia="Times New Roman" w:cstheme="minorHAnsi"/>
          <w:i/>
          <w:iCs/>
          <w:kern w:val="0"/>
          <w14:ligatures w14:val="none"/>
        </w:rPr>
        <w:t>Situating Vulnerability and Exploitation in Street-Level Drug Markets: Cuckooing, Commuting, and the “County Lines” Drug Supply Model</w:t>
      </w:r>
      <w:r w:rsidRPr="00420983">
        <w:rPr>
          <w:rFonts w:eastAsia="Times New Roman" w:cstheme="minorHAnsi"/>
          <w:kern w:val="0"/>
          <w14:ligatures w14:val="none"/>
        </w:rPr>
        <w:t xml:space="preserve">. Journal of Drug Issues, 49(4), 739-755 [online]. </w:t>
      </w:r>
      <w:r w:rsidRPr="00420983">
        <w:rPr>
          <w:rFonts w:eastAsia="Times New Roman" w:cstheme="minorHAnsi"/>
          <w:kern w:val="0"/>
          <w14:ligatures w14:val="none"/>
        </w:rPr>
        <w:br/>
        <w:t>Available at: https://doi.org/10.1177/0022042619861938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National Crime Agency (NCA) (2015). </w:t>
      </w:r>
      <w:r w:rsidRPr="00420983">
        <w:rPr>
          <w:rFonts w:eastAsia="Times New Roman" w:cstheme="minorHAnsi"/>
          <w:i/>
          <w:iCs/>
          <w:kern w:val="0"/>
          <w14:ligatures w14:val="none"/>
        </w:rPr>
        <w:t>NCA Intelligence Assessment - County Lines, Gangs, and Safeguarding</w:t>
      </w:r>
      <w:r w:rsidRPr="00420983">
        <w:rPr>
          <w:rFonts w:eastAsia="Times New Roman" w:cstheme="minorHAnsi"/>
          <w:kern w:val="0"/>
          <w14:ligatures w14:val="none"/>
        </w:rPr>
        <w:t xml:space="preserve"> [online].</w:t>
      </w:r>
      <w:r w:rsidRPr="00420983">
        <w:rPr>
          <w:rFonts w:eastAsia="Times New Roman" w:cstheme="minorHAnsi"/>
          <w:kern w:val="0"/>
          <w14:ligatures w14:val="none"/>
        </w:rPr>
        <w:br/>
        <w:t>Available at: https://www.nationalcrimeagency.gov.uk/who-we-are/publications/359-nca-intelligence-assessment-county-lines-gangs-and-safeguarding-2015/file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National Crime Agency (NCA) (2017). </w:t>
      </w:r>
      <w:r w:rsidRPr="00420983">
        <w:rPr>
          <w:rFonts w:eastAsia="Times New Roman" w:cstheme="minorHAnsi"/>
          <w:i/>
          <w:iCs/>
          <w:kern w:val="0"/>
          <w14:ligatures w14:val="none"/>
        </w:rPr>
        <w:t>County Lines Violence, Exploitation &amp; Drug Supply 2017</w:t>
      </w:r>
      <w:r w:rsidRPr="00420983">
        <w:rPr>
          <w:rFonts w:eastAsia="Times New Roman" w:cstheme="minorHAnsi"/>
          <w:kern w:val="0"/>
          <w14:ligatures w14:val="none"/>
        </w:rPr>
        <w:t>. [online].</w:t>
      </w:r>
      <w:r w:rsidRPr="00420983">
        <w:rPr>
          <w:rFonts w:eastAsia="Times New Roman" w:cstheme="minorHAnsi"/>
          <w:kern w:val="0"/>
          <w14:ligatures w14:val="none"/>
        </w:rPr>
        <w:br/>
        <w:t>Available at: https://www.nationalcrimeagency.gov.uk/who-we-are/publications/234-county-lines-violen-ce-exploitation-drug-supply-2017/file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National Crime Agency (NCA) (2019). </w:t>
      </w:r>
      <w:r w:rsidRPr="00420983">
        <w:rPr>
          <w:rFonts w:eastAsia="Times New Roman" w:cstheme="minorHAnsi"/>
          <w:i/>
          <w:iCs/>
          <w:kern w:val="0"/>
          <w14:ligatures w14:val="none"/>
        </w:rPr>
        <w:t>County Lines Drug Supply, Vulnerability and Harm 2018</w:t>
      </w:r>
      <w:r w:rsidRPr="00420983">
        <w:rPr>
          <w:rFonts w:eastAsia="Times New Roman" w:cstheme="minorHAnsi"/>
          <w:kern w:val="0"/>
          <w14:ligatures w14:val="none"/>
        </w:rPr>
        <w:t xml:space="preserve"> [online]. </w:t>
      </w:r>
      <w:r w:rsidRPr="00420983">
        <w:rPr>
          <w:rFonts w:eastAsia="Times New Roman" w:cstheme="minorHAnsi"/>
          <w:kern w:val="0"/>
          <w14:ligatures w14:val="none"/>
        </w:rPr>
        <w:br/>
        <w:t>Available at: https://www.nationalcrimeagency.gov.uk/who-we-are/publications/257-county-lines-drug-supply-vulnerability-and-harm-2018/file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National crime agency (2025). </w:t>
      </w:r>
      <w:r w:rsidRPr="00420983">
        <w:rPr>
          <w:rFonts w:eastAsia="Times New Roman" w:cstheme="minorHAnsi"/>
          <w:i/>
          <w:iCs/>
          <w:kern w:val="0"/>
          <w14:ligatures w14:val="none"/>
        </w:rPr>
        <w:t>Record numbers arrested and hundreds of children protected as County Lines drug networks targeted</w:t>
      </w:r>
      <w:r w:rsidRPr="00420983">
        <w:rPr>
          <w:rFonts w:eastAsia="Times New Roman" w:cstheme="minorHAnsi"/>
          <w:kern w:val="0"/>
          <w14:ligatures w14:val="none"/>
        </w:rPr>
        <w:t xml:space="preserve"> [online]. </w:t>
      </w:r>
      <w:r w:rsidRPr="00420983">
        <w:rPr>
          <w:rFonts w:eastAsia="Times New Roman" w:cstheme="minorHAnsi"/>
          <w:kern w:val="0"/>
          <w14:ligatures w14:val="none"/>
        </w:rPr>
        <w:br/>
        <w:t>Available at: https://www.nationalcrimeagency.gov.uk/news/record-numbers-arrested-and-hundreds-of-children-protected-as-county-lines-drug-networks-targeted?highlight=WyJuYXRpb24iLCJuYXRpb25hbCIsIm5hdGlvbmFsbHkiLCJuYXRpb25zJyIsIm5hdGlvbmFsaXR5IiwibmF0aW9uYWxzIiwibmF0aW9ucyIsIm5hdGlvbmFsbHknIiwibmF0aW9uYWxpdGllcyJd (accessed: 20/06/2025).</w:t>
      </w:r>
      <w:r w:rsidRPr="00420983">
        <w:rPr>
          <w:rFonts w:eastAsia="Times New Roman" w:cstheme="minorHAnsi"/>
          <w:kern w:val="0"/>
          <w14:ligatures w14:val="none"/>
        </w:rPr>
        <w:br/>
      </w:r>
      <w:r w:rsidRPr="00420983">
        <w:rPr>
          <w:rFonts w:eastAsia="Times New Roman" w:cstheme="minorHAnsi"/>
          <w:kern w:val="0"/>
          <w14:ligatures w14:val="none"/>
        </w:rPr>
        <w:br/>
        <w:t xml:space="preserve">National Police Chiefs Council (NPCC) (2024a). </w:t>
      </w:r>
      <w:r w:rsidRPr="00420983">
        <w:rPr>
          <w:rFonts w:eastAsia="Times New Roman" w:cstheme="minorHAnsi"/>
          <w:i/>
          <w:iCs/>
          <w:kern w:val="0"/>
          <w14:ligatures w14:val="none"/>
        </w:rPr>
        <w:t>Disrupting County Lines - Policing Strategy 2024–2027</w:t>
      </w:r>
      <w:r w:rsidRPr="00420983">
        <w:rPr>
          <w:rFonts w:eastAsia="Times New Roman" w:cstheme="minorHAnsi"/>
          <w:kern w:val="0"/>
          <w14:ligatures w14:val="none"/>
        </w:rPr>
        <w:t>. National County Lines Coordination Centre [online].</w:t>
      </w:r>
      <w:r w:rsidRPr="00420983">
        <w:rPr>
          <w:rFonts w:eastAsia="Times New Roman" w:cstheme="minorHAnsi"/>
          <w:kern w:val="0"/>
          <w14:ligatures w14:val="none"/>
        </w:rPr>
        <w:br/>
        <w:t>Available at: https://cdn.prgloo.com/media/748eae528e9b4b609551b3772f6330ff.pdf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National Police Chiefs Council (NPCC) (2024b). </w:t>
      </w:r>
      <w:r w:rsidRPr="00420983">
        <w:rPr>
          <w:rFonts w:eastAsia="Times New Roman" w:cstheme="minorHAnsi"/>
          <w:i/>
          <w:iCs/>
          <w:kern w:val="0"/>
          <w14:ligatures w14:val="none"/>
        </w:rPr>
        <w:t>The National County Lines Coordination Centre (NCLCC) is marking six years since its inception</w:t>
      </w:r>
      <w:r w:rsidRPr="00420983">
        <w:rPr>
          <w:rFonts w:eastAsia="Times New Roman" w:cstheme="minorHAnsi"/>
          <w:kern w:val="0"/>
          <w14:ligatures w14:val="none"/>
        </w:rPr>
        <w:t xml:space="preserve"> [online]. </w:t>
      </w:r>
      <w:r w:rsidRPr="00420983">
        <w:rPr>
          <w:rFonts w:eastAsia="Times New Roman" w:cstheme="minorHAnsi"/>
          <w:kern w:val="0"/>
          <w14:ligatures w14:val="none"/>
        </w:rPr>
        <w:br/>
        <w:t>Available at: https://www.linkedin.com/pulse/national-county-lines-coordination-centre-jccte (accessed 19/05/2025).</w:t>
      </w:r>
      <w:r w:rsidRPr="00420983">
        <w:rPr>
          <w:rFonts w:eastAsia="Times New Roman" w:cstheme="minorHAnsi"/>
          <w:kern w:val="0"/>
          <w14:ligatures w14:val="none"/>
        </w:rPr>
        <w:br/>
      </w:r>
      <w:r w:rsidRPr="00420983">
        <w:rPr>
          <w:rFonts w:eastAsia="Times New Roman" w:cstheme="minorHAnsi"/>
          <w:kern w:val="0"/>
          <w14:ligatures w14:val="none"/>
        </w:rPr>
        <w:br/>
        <w:t xml:space="preserve">Pearson, G., Hobbs, R., Jones, S., Tierney, J. and Ward, J. (2001). </w:t>
      </w:r>
      <w:r w:rsidRPr="00420983">
        <w:rPr>
          <w:rFonts w:eastAsia="Times New Roman" w:cstheme="minorHAnsi"/>
          <w:i/>
          <w:iCs/>
          <w:kern w:val="0"/>
          <w14:ligatures w14:val="none"/>
        </w:rPr>
        <w:t>Middle Market Drug Distribution</w:t>
      </w:r>
      <w:r w:rsidRPr="00420983">
        <w:rPr>
          <w:rFonts w:eastAsia="Times New Roman" w:cstheme="minorHAnsi"/>
          <w:kern w:val="0"/>
          <w14:ligatures w14:val="none"/>
        </w:rPr>
        <w:t>. Home Office Research Study. Home Office [online].</w:t>
      </w:r>
      <w:r w:rsidRPr="00420983">
        <w:rPr>
          <w:rFonts w:eastAsia="Times New Roman" w:cstheme="minorHAnsi"/>
          <w:kern w:val="0"/>
          <w14:ligatures w14:val="none"/>
        </w:rPr>
        <w:br/>
        <w:t>Available at: https://eprints.lse.ac.uk/13878/1/Middle_market_drug_distribution.pdf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Sirona (2021). </w:t>
      </w:r>
      <w:r w:rsidRPr="00420983">
        <w:rPr>
          <w:rFonts w:eastAsia="Times New Roman" w:cstheme="minorHAnsi"/>
          <w:i/>
          <w:iCs/>
          <w:kern w:val="0"/>
          <w14:ligatures w14:val="none"/>
        </w:rPr>
        <w:t>County Lines: a third of UK adults don’t know what County Lines is; 38% would not know what to do if their child was involved – new figures</w:t>
      </w:r>
      <w:r w:rsidRPr="00420983">
        <w:rPr>
          <w:rFonts w:eastAsia="Times New Roman" w:cstheme="minorHAnsi"/>
          <w:kern w:val="0"/>
          <w14:ligatures w14:val="none"/>
        </w:rPr>
        <w:t xml:space="preserve"> [online].</w:t>
      </w:r>
      <w:r w:rsidRPr="00420983">
        <w:rPr>
          <w:rFonts w:eastAsia="Times New Roman" w:cstheme="minorHAnsi"/>
          <w:kern w:val="0"/>
          <w14:ligatures w14:val="none"/>
        </w:rPr>
        <w:br/>
        <w:t>Available at: https://sirona-cic.org.uk/children-services/county-lines-a-third-uk-adults-dont-know-</w:t>
      </w:r>
      <w:r w:rsidRPr="00420983">
        <w:rPr>
          <w:rFonts w:eastAsia="Times New Roman" w:cstheme="minorHAnsi"/>
          <w:kern w:val="0"/>
          <w14:ligatures w14:val="none"/>
        </w:rPr>
        <w:lastRenderedPageBreak/>
        <w:t>what-county-lines-38-would-not-know-what-do-if-their-child-was-involved-new-figures/ (accessed 27/07/2025).</w:t>
      </w:r>
      <w:r w:rsidRPr="00420983">
        <w:rPr>
          <w:rFonts w:eastAsia="Times New Roman" w:cstheme="minorHAnsi"/>
          <w:kern w:val="0"/>
          <w14:ligatures w14:val="none"/>
        </w:rPr>
        <w:br/>
      </w:r>
      <w:r w:rsidRPr="00420983">
        <w:rPr>
          <w:rFonts w:eastAsia="Times New Roman" w:cstheme="minorHAnsi"/>
          <w:kern w:val="0"/>
          <w14:ligatures w14:val="none"/>
        </w:rPr>
        <w:br/>
        <w:t>Spicer J. (2020</w:t>
      </w:r>
      <w:r w:rsidRPr="00420983">
        <w:rPr>
          <w:rFonts w:eastAsia="Times New Roman" w:cstheme="minorHAnsi"/>
          <w:i/>
          <w:iCs/>
          <w:kern w:val="0"/>
          <w14:ligatures w14:val="none"/>
        </w:rPr>
        <w:t>). Between gang talk and prohibition: The transfer of blame for County Lines</w:t>
      </w:r>
      <w:r w:rsidRPr="00420983">
        <w:rPr>
          <w:rFonts w:eastAsia="Times New Roman" w:cstheme="minorHAnsi"/>
          <w:kern w:val="0"/>
          <w14:ligatures w14:val="none"/>
        </w:rPr>
        <w:t>. Int J Drug Policy [online].</w:t>
      </w:r>
      <w:r w:rsidRPr="00420983">
        <w:rPr>
          <w:rFonts w:eastAsia="Times New Roman" w:cstheme="minorHAnsi"/>
          <w:kern w:val="0"/>
          <w14:ligatures w14:val="none"/>
        </w:rPr>
        <w:br/>
        <w:t>Available at: https://www.sciencedirect.com/science/article/abs/pii/S0955395920300086?via%3Dihub (accessed 28/07/2025).</w:t>
      </w:r>
      <w:r w:rsidRPr="00420983">
        <w:rPr>
          <w:rFonts w:eastAsia="Times New Roman" w:cstheme="minorHAnsi"/>
          <w:kern w:val="0"/>
          <w14:ligatures w14:val="none"/>
        </w:rPr>
        <w:br/>
      </w:r>
      <w:r w:rsidRPr="00420983">
        <w:rPr>
          <w:rFonts w:eastAsia="Times New Roman" w:cstheme="minorHAnsi"/>
          <w:kern w:val="0"/>
          <w14:ligatures w14:val="none"/>
        </w:rPr>
        <w:br/>
        <w:t xml:space="preserve">St. Giles Trust (2023). </w:t>
      </w:r>
      <w:r w:rsidRPr="00420983">
        <w:rPr>
          <w:rFonts w:eastAsia="Times New Roman" w:cstheme="minorHAnsi"/>
          <w:i/>
          <w:iCs/>
          <w:kern w:val="0"/>
          <w14:ligatures w14:val="none"/>
        </w:rPr>
        <w:t>Evaluation of County Lines in Cymru (</w:t>
      </w:r>
      <w:proofErr w:type="spellStart"/>
      <w:r w:rsidRPr="00420983">
        <w:rPr>
          <w:rFonts w:eastAsia="Times New Roman" w:cstheme="minorHAnsi"/>
          <w:i/>
          <w:iCs/>
          <w:kern w:val="0"/>
          <w14:ligatures w14:val="none"/>
        </w:rPr>
        <w:t>CLiC</w:t>
      </w:r>
      <w:proofErr w:type="spellEnd"/>
      <w:r w:rsidRPr="00420983">
        <w:rPr>
          <w:rFonts w:eastAsia="Times New Roman" w:cstheme="minorHAnsi"/>
          <w:i/>
          <w:iCs/>
          <w:kern w:val="0"/>
          <w14:ligatures w14:val="none"/>
        </w:rPr>
        <w:t>).</w:t>
      </w:r>
      <w:r w:rsidRPr="00420983">
        <w:rPr>
          <w:rFonts w:eastAsia="Times New Roman" w:cstheme="minorHAnsi"/>
          <w:kern w:val="0"/>
          <w14:ligatures w14:val="none"/>
        </w:rPr>
        <w:t xml:space="preserve"> St Giles [online].</w:t>
      </w:r>
      <w:r w:rsidRPr="00420983">
        <w:rPr>
          <w:rFonts w:eastAsia="Times New Roman" w:cstheme="minorHAnsi"/>
          <w:kern w:val="0"/>
          <w14:ligatures w14:val="none"/>
        </w:rPr>
        <w:br/>
        <w:t>Available at: https://www.stgilestrust.org.uk/evaluation-of-county-lines-in-cymru-clic/ (accessed 19/05/2025).</w:t>
      </w:r>
    </w:p>
    <w:p w14:paraId="2AB2532A" w14:textId="77777777" w:rsidR="00420983" w:rsidRPr="00420983" w:rsidRDefault="00420983" w:rsidP="00420983">
      <w:pPr>
        <w:spacing w:after="0" w:line="240" w:lineRule="auto"/>
        <w:rPr>
          <w:rFonts w:eastAsia="Times New Roman" w:cstheme="minorHAnsi"/>
          <w:kern w:val="0"/>
          <w14:ligatures w14:val="none"/>
        </w:rPr>
      </w:pPr>
    </w:p>
    <w:p w14:paraId="162D4728"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UK Government (2014) </w:t>
      </w:r>
      <w:r w:rsidRPr="00420983">
        <w:rPr>
          <w:rFonts w:eastAsia="Times New Roman" w:cstheme="minorHAnsi"/>
          <w:i/>
          <w:iCs/>
          <w:kern w:val="0"/>
          <w14:ligatures w14:val="none"/>
        </w:rPr>
        <w:t>Children and Families Act 2014</w:t>
      </w:r>
      <w:r w:rsidRPr="00420983">
        <w:rPr>
          <w:rFonts w:eastAsia="Times New Roman" w:cstheme="minorHAnsi"/>
          <w:kern w:val="0"/>
          <w14:ligatures w14:val="none"/>
        </w:rPr>
        <w:t>. (c. 6). Available at: https://www.legislation.gov.uk/ukpga/2014/6/contents/enacted (Accessed: 20/06/2025).</w:t>
      </w:r>
    </w:p>
    <w:p w14:paraId="620F754A" w14:textId="77777777" w:rsidR="00420983" w:rsidRPr="00420983" w:rsidRDefault="00420983" w:rsidP="00420983">
      <w:pPr>
        <w:spacing w:after="0" w:line="240" w:lineRule="auto"/>
        <w:rPr>
          <w:rFonts w:eastAsia="Times New Roman" w:cstheme="minorHAnsi"/>
          <w:kern w:val="0"/>
          <w14:ligatures w14:val="none"/>
        </w:rPr>
      </w:pPr>
    </w:p>
    <w:p w14:paraId="061374B9"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UK Government (2014) </w:t>
      </w:r>
      <w:r w:rsidRPr="00420983">
        <w:rPr>
          <w:rFonts w:eastAsia="Times New Roman" w:cstheme="minorHAnsi"/>
          <w:i/>
          <w:iCs/>
          <w:kern w:val="0"/>
          <w14:ligatures w14:val="none"/>
        </w:rPr>
        <w:t>Social Services and Well-being (Wales) Act 2014</w:t>
      </w:r>
      <w:r w:rsidRPr="00420983">
        <w:rPr>
          <w:rFonts w:eastAsia="Times New Roman" w:cstheme="minorHAnsi"/>
          <w:kern w:val="0"/>
          <w14:ligatures w14:val="none"/>
        </w:rPr>
        <w:t>. (</w:t>
      </w:r>
      <w:proofErr w:type="spellStart"/>
      <w:r w:rsidRPr="00420983">
        <w:rPr>
          <w:rFonts w:eastAsia="Times New Roman" w:cstheme="minorHAnsi"/>
          <w:kern w:val="0"/>
          <w14:ligatures w14:val="none"/>
        </w:rPr>
        <w:t>anaw</w:t>
      </w:r>
      <w:proofErr w:type="spellEnd"/>
      <w:r w:rsidRPr="00420983">
        <w:rPr>
          <w:rFonts w:eastAsia="Times New Roman" w:cstheme="minorHAnsi"/>
          <w:kern w:val="0"/>
          <w14:ligatures w14:val="none"/>
        </w:rPr>
        <w:t xml:space="preserve"> 4). Available at: https://www.legislation.gov.uk/anaw/2014/4/contents/enacted (accessed: 20/06/2025).</w:t>
      </w:r>
    </w:p>
    <w:p w14:paraId="337192B5" w14:textId="77777777" w:rsidR="00420983" w:rsidRPr="00420983" w:rsidRDefault="00420983" w:rsidP="00420983">
      <w:pPr>
        <w:spacing w:after="0" w:line="240" w:lineRule="auto"/>
        <w:rPr>
          <w:rFonts w:eastAsia="Times New Roman" w:cstheme="minorHAnsi"/>
          <w:kern w:val="0"/>
          <w14:ligatures w14:val="none"/>
        </w:rPr>
      </w:pPr>
    </w:p>
    <w:p w14:paraId="2715F7C2"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UK Government (2015). </w:t>
      </w:r>
      <w:r w:rsidRPr="00420983">
        <w:rPr>
          <w:rFonts w:eastAsia="Times New Roman" w:cstheme="minorHAnsi"/>
          <w:i/>
          <w:iCs/>
          <w:kern w:val="0"/>
          <w14:ligatures w14:val="none"/>
        </w:rPr>
        <w:t>Modern Slavery Act 2015</w:t>
      </w:r>
      <w:r w:rsidRPr="00420983">
        <w:rPr>
          <w:rFonts w:eastAsia="Times New Roman" w:cstheme="minorHAnsi"/>
          <w:kern w:val="0"/>
          <w14:ligatures w14:val="none"/>
        </w:rPr>
        <w:t xml:space="preserve">. (c. 30). </w:t>
      </w:r>
      <w:r w:rsidRPr="00420983">
        <w:rPr>
          <w:rFonts w:eastAsia="Times New Roman" w:cstheme="minorHAnsi"/>
          <w:kern w:val="0"/>
          <w14:ligatures w14:val="none"/>
        </w:rPr>
        <w:br/>
        <w:t>Available at: https://www.legislation.gov.uk/ukpga/2015/30/contents/enacted (accessed: 28/07/2025).</w:t>
      </w:r>
    </w:p>
    <w:p w14:paraId="10CE8454" w14:textId="77777777" w:rsidR="00420983" w:rsidRPr="00420983" w:rsidRDefault="00420983" w:rsidP="00420983">
      <w:pPr>
        <w:spacing w:after="0" w:line="240" w:lineRule="auto"/>
        <w:rPr>
          <w:rFonts w:eastAsia="Times New Roman" w:cstheme="minorHAnsi"/>
          <w:kern w:val="0"/>
          <w14:ligatures w14:val="none"/>
        </w:rPr>
      </w:pPr>
    </w:p>
    <w:p w14:paraId="5DB73C7E"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 xml:space="preserve">UK Parliament (2019). </w:t>
      </w:r>
      <w:r w:rsidRPr="00420983">
        <w:rPr>
          <w:rFonts w:eastAsia="Times New Roman" w:cstheme="minorHAnsi"/>
          <w:i/>
          <w:iCs/>
          <w:kern w:val="0"/>
          <w14:ligatures w14:val="none"/>
        </w:rPr>
        <w:t>Serious youth violence - Home Affairs Committee</w:t>
      </w:r>
      <w:r w:rsidRPr="00420983">
        <w:rPr>
          <w:rFonts w:eastAsia="Times New Roman" w:cstheme="minorHAnsi"/>
          <w:kern w:val="0"/>
          <w14:ligatures w14:val="none"/>
        </w:rPr>
        <w:t>. House of Commons [online].</w:t>
      </w:r>
    </w:p>
    <w:p w14:paraId="59988D88" w14:textId="77777777" w:rsidR="00420983" w:rsidRPr="00420983" w:rsidRDefault="00420983" w:rsidP="00420983">
      <w:pPr>
        <w:spacing w:after="0" w:line="240" w:lineRule="auto"/>
        <w:rPr>
          <w:rFonts w:eastAsia="Times New Roman" w:cstheme="minorHAnsi"/>
          <w:kern w:val="0"/>
          <w14:ligatures w14:val="none"/>
        </w:rPr>
      </w:pPr>
      <w:r w:rsidRPr="00420983">
        <w:rPr>
          <w:rFonts w:eastAsia="Times New Roman" w:cstheme="minorHAnsi"/>
          <w:kern w:val="0"/>
          <w14:ligatures w14:val="none"/>
        </w:rPr>
        <w:t>Available at: https://publications.parliament.uk/pa/cm201719/cmselect/cmhaff/1016/101607.htm (accessed 19/05/2025).</w:t>
      </w:r>
    </w:p>
    <w:p w14:paraId="670CD38A" w14:textId="1A6B14B0" w:rsidR="00A65B62" w:rsidRPr="00A65B62" w:rsidRDefault="00A65B62" w:rsidP="00CD3BF9"/>
    <w:sectPr w:rsidR="00A65B62" w:rsidRPr="00A65B6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90018" w14:textId="77777777" w:rsidR="00DF2BF7" w:rsidRDefault="00DF2BF7" w:rsidP="00B84E67">
      <w:pPr>
        <w:spacing w:after="0" w:line="240" w:lineRule="auto"/>
      </w:pPr>
      <w:r>
        <w:separator/>
      </w:r>
    </w:p>
  </w:endnote>
  <w:endnote w:type="continuationSeparator" w:id="0">
    <w:p w14:paraId="432DB0EC" w14:textId="77777777" w:rsidR="00DF2BF7" w:rsidRDefault="00DF2BF7" w:rsidP="00B8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458F4" w14:textId="77777777" w:rsidR="00DF2BF7" w:rsidRDefault="00DF2BF7" w:rsidP="00B84E67">
      <w:pPr>
        <w:spacing w:after="0" w:line="240" w:lineRule="auto"/>
      </w:pPr>
      <w:r>
        <w:separator/>
      </w:r>
    </w:p>
  </w:footnote>
  <w:footnote w:type="continuationSeparator" w:id="0">
    <w:p w14:paraId="602F4745" w14:textId="77777777" w:rsidR="00DF2BF7" w:rsidRDefault="00DF2BF7" w:rsidP="00B84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8433" w14:textId="6D97EA33" w:rsidR="00B84E67" w:rsidRDefault="00B84E67">
    <w:pPr>
      <w:pStyle w:val="Header"/>
    </w:pPr>
    <w:r>
      <w:t>Jonathan Jenkins</w:t>
    </w:r>
    <w:r>
      <w:ptab w:relativeTo="margin" w:alignment="center" w:leader="none"/>
    </w:r>
    <w:r>
      <w:t>Literature Review</w:t>
    </w:r>
    <w:r>
      <w:ptab w:relativeTo="margin" w:alignment="right" w:leader="none"/>
    </w:r>
    <w:r w:rsidR="00915A17">
      <w:t>Id #. 2245736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29C"/>
    <w:multiLevelType w:val="multilevel"/>
    <w:tmpl w:val="AB14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91629A"/>
    <w:multiLevelType w:val="multilevel"/>
    <w:tmpl w:val="0EF8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3562052">
    <w:abstractNumId w:val="1"/>
  </w:num>
  <w:num w:numId="2" w16cid:durableId="841776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BF9"/>
    <w:rsid w:val="00003468"/>
    <w:rsid w:val="00006886"/>
    <w:rsid w:val="0003171A"/>
    <w:rsid w:val="00032B63"/>
    <w:rsid w:val="00037D99"/>
    <w:rsid w:val="00042E0C"/>
    <w:rsid w:val="00066367"/>
    <w:rsid w:val="00077895"/>
    <w:rsid w:val="00094301"/>
    <w:rsid w:val="00095A9C"/>
    <w:rsid w:val="000A078C"/>
    <w:rsid w:val="000C1BCF"/>
    <w:rsid w:val="000C1CA3"/>
    <w:rsid w:val="000C690C"/>
    <w:rsid w:val="000D2A10"/>
    <w:rsid w:val="000E552F"/>
    <w:rsid w:val="000F1E74"/>
    <w:rsid w:val="000F5EDB"/>
    <w:rsid w:val="00104A82"/>
    <w:rsid w:val="00112F19"/>
    <w:rsid w:val="001337A4"/>
    <w:rsid w:val="00140F76"/>
    <w:rsid w:val="00141CB9"/>
    <w:rsid w:val="00143449"/>
    <w:rsid w:val="0015316E"/>
    <w:rsid w:val="00167596"/>
    <w:rsid w:val="0018358D"/>
    <w:rsid w:val="0018507A"/>
    <w:rsid w:val="00190695"/>
    <w:rsid w:val="00194DF1"/>
    <w:rsid w:val="001A367F"/>
    <w:rsid w:val="001A781A"/>
    <w:rsid w:val="001B092E"/>
    <w:rsid w:val="001C33E2"/>
    <w:rsid w:val="001D0052"/>
    <w:rsid w:val="001D05D5"/>
    <w:rsid w:val="001D6685"/>
    <w:rsid w:val="001D7CF3"/>
    <w:rsid w:val="001E7986"/>
    <w:rsid w:val="001F24F7"/>
    <w:rsid w:val="0022650C"/>
    <w:rsid w:val="002349C1"/>
    <w:rsid w:val="0023551D"/>
    <w:rsid w:val="00237088"/>
    <w:rsid w:val="0024483D"/>
    <w:rsid w:val="00265FE5"/>
    <w:rsid w:val="00266E0C"/>
    <w:rsid w:val="00274FD4"/>
    <w:rsid w:val="002764DF"/>
    <w:rsid w:val="002836C0"/>
    <w:rsid w:val="002A28B1"/>
    <w:rsid w:val="002B0268"/>
    <w:rsid w:val="002D5A16"/>
    <w:rsid w:val="002D5F7C"/>
    <w:rsid w:val="002D6654"/>
    <w:rsid w:val="002D6F53"/>
    <w:rsid w:val="002E2F1C"/>
    <w:rsid w:val="002E5421"/>
    <w:rsid w:val="002E77D1"/>
    <w:rsid w:val="0030703C"/>
    <w:rsid w:val="00313840"/>
    <w:rsid w:val="00313D2B"/>
    <w:rsid w:val="00317D96"/>
    <w:rsid w:val="003371B0"/>
    <w:rsid w:val="00337283"/>
    <w:rsid w:val="003466FA"/>
    <w:rsid w:val="00346B23"/>
    <w:rsid w:val="00354B9A"/>
    <w:rsid w:val="00361E0F"/>
    <w:rsid w:val="00367735"/>
    <w:rsid w:val="00385608"/>
    <w:rsid w:val="003857D7"/>
    <w:rsid w:val="00385A9A"/>
    <w:rsid w:val="00390730"/>
    <w:rsid w:val="00392709"/>
    <w:rsid w:val="003954DE"/>
    <w:rsid w:val="00396488"/>
    <w:rsid w:val="003A0482"/>
    <w:rsid w:val="003A6AFE"/>
    <w:rsid w:val="003B3F8E"/>
    <w:rsid w:val="003B45AE"/>
    <w:rsid w:val="003B5392"/>
    <w:rsid w:val="003C097F"/>
    <w:rsid w:val="003C2553"/>
    <w:rsid w:val="003C796B"/>
    <w:rsid w:val="003D33AD"/>
    <w:rsid w:val="003D47B3"/>
    <w:rsid w:val="003F452A"/>
    <w:rsid w:val="003F7D4B"/>
    <w:rsid w:val="00400839"/>
    <w:rsid w:val="004050DE"/>
    <w:rsid w:val="00414BBF"/>
    <w:rsid w:val="00420983"/>
    <w:rsid w:val="0043173C"/>
    <w:rsid w:val="00444235"/>
    <w:rsid w:val="00445A24"/>
    <w:rsid w:val="00451570"/>
    <w:rsid w:val="00451615"/>
    <w:rsid w:val="0046097E"/>
    <w:rsid w:val="00467F1F"/>
    <w:rsid w:val="004819CB"/>
    <w:rsid w:val="0048235E"/>
    <w:rsid w:val="004824C3"/>
    <w:rsid w:val="00482B56"/>
    <w:rsid w:val="00490FEF"/>
    <w:rsid w:val="0049570F"/>
    <w:rsid w:val="004A2F7B"/>
    <w:rsid w:val="004A3153"/>
    <w:rsid w:val="004B7406"/>
    <w:rsid w:val="004C07C2"/>
    <w:rsid w:val="004C333D"/>
    <w:rsid w:val="004C5AF9"/>
    <w:rsid w:val="004C68EA"/>
    <w:rsid w:val="004D464D"/>
    <w:rsid w:val="004E09AF"/>
    <w:rsid w:val="00501C35"/>
    <w:rsid w:val="00501F1F"/>
    <w:rsid w:val="00505041"/>
    <w:rsid w:val="0051314C"/>
    <w:rsid w:val="00521AB0"/>
    <w:rsid w:val="00530659"/>
    <w:rsid w:val="005344ED"/>
    <w:rsid w:val="00535EEC"/>
    <w:rsid w:val="00543C0A"/>
    <w:rsid w:val="005531A7"/>
    <w:rsid w:val="00562345"/>
    <w:rsid w:val="0058494A"/>
    <w:rsid w:val="00584F30"/>
    <w:rsid w:val="00591F46"/>
    <w:rsid w:val="005958A2"/>
    <w:rsid w:val="005B0E92"/>
    <w:rsid w:val="005D1908"/>
    <w:rsid w:val="005E08A2"/>
    <w:rsid w:val="005E4BA3"/>
    <w:rsid w:val="005F0E4B"/>
    <w:rsid w:val="00610ECA"/>
    <w:rsid w:val="00611C60"/>
    <w:rsid w:val="00622207"/>
    <w:rsid w:val="00631179"/>
    <w:rsid w:val="006322BC"/>
    <w:rsid w:val="0063248F"/>
    <w:rsid w:val="006326BC"/>
    <w:rsid w:val="00641FD4"/>
    <w:rsid w:val="00646D59"/>
    <w:rsid w:val="006721A9"/>
    <w:rsid w:val="006722BB"/>
    <w:rsid w:val="00676513"/>
    <w:rsid w:val="00680862"/>
    <w:rsid w:val="006815C0"/>
    <w:rsid w:val="006B10AE"/>
    <w:rsid w:val="006E162B"/>
    <w:rsid w:val="006E4CA7"/>
    <w:rsid w:val="006F2D73"/>
    <w:rsid w:val="00702EFE"/>
    <w:rsid w:val="00717C38"/>
    <w:rsid w:val="007279D2"/>
    <w:rsid w:val="0073196A"/>
    <w:rsid w:val="00732795"/>
    <w:rsid w:val="00734A38"/>
    <w:rsid w:val="00737085"/>
    <w:rsid w:val="00757EEF"/>
    <w:rsid w:val="007702BC"/>
    <w:rsid w:val="00776115"/>
    <w:rsid w:val="007843AC"/>
    <w:rsid w:val="007961C4"/>
    <w:rsid w:val="007A0BB6"/>
    <w:rsid w:val="007A5561"/>
    <w:rsid w:val="007B38ED"/>
    <w:rsid w:val="007C46A3"/>
    <w:rsid w:val="007E29A7"/>
    <w:rsid w:val="007E48B3"/>
    <w:rsid w:val="007F1018"/>
    <w:rsid w:val="007F300F"/>
    <w:rsid w:val="007F41E7"/>
    <w:rsid w:val="00814905"/>
    <w:rsid w:val="00823EC7"/>
    <w:rsid w:val="00824642"/>
    <w:rsid w:val="0082563E"/>
    <w:rsid w:val="00826810"/>
    <w:rsid w:val="00840137"/>
    <w:rsid w:val="00842FC1"/>
    <w:rsid w:val="0085065F"/>
    <w:rsid w:val="0089719A"/>
    <w:rsid w:val="008A045F"/>
    <w:rsid w:val="008A1D46"/>
    <w:rsid w:val="008A2190"/>
    <w:rsid w:val="008A3807"/>
    <w:rsid w:val="008A45FD"/>
    <w:rsid w:val="008B190F"/>
    <w:rsid w:val="008B2ED0"/>
    <w:rsid w:val="008B32DD"/>
    <w:rsid w:val="008C084C"/>
    <w:rsid w:val="008C0E2A"/>
    <w:rsid w:val="008C6792"/>
    <w:rsid w:val="008D100A"/>
    <w:rsid w:val="008F370F"/>
    <w:rsid w:val="008F58B4"/>
    <w:rsid w:val="008F66DC"/>
    <w:rsid w:val="0090320B"/>
    <w:rsid w:val="009040F5"/>
    <w:rsid w:val="00907BAF"/>
    <w:rsid w:val="00912259"/>
    <w:rsid w:val="009150D6"/>
    <w:rsid w:val="00915A17"/>
    <w:rsid w:val="00923E7F"/>
    <w:rsid w:val="00927E49"/>
    <w:rsid w:val="00932D5E"/>
    <w:rsid w:val="00946A8C"/>
    <w:rsid w:val="00947404"/>
    <w:rsid w:val="009534D3"/>
    <w:rsid w:val="00955A62"/>
    <w:rsid w:val="00962130"/>
    <w:rsid w:val="0098266B"/>
    <w:rsid w:val="009878C3"/>
    <w:rsid w:val="0099366D"/>
    <w:rsid w:val="009A6FB2"/>
    <w:rsid w:val="009B3096"/>
    <w:rsid w:val="009B5BEA"/>
    <w:rsid w:val="009C05CA"/>
    <w:rsid w:val="009C7DEF"/>
    <w:rsid w:val="009D105F"/>
    <w:rsid w:val="009F0531"/>
    <w:rsid w:val="009F11CC"/>
    <w:rsid w:val="009F63BF"/>
    <w:rsid w:val="00A02335"/>
    <w:rsid w:val="00A46159"/>
    <w:rsid w:val="00A5092E"/>
    <w:rsid w:val="00A53625"/>
    <w:rsid w:val="00A65B62"/>
    <w:rsid w:val="00A70E2E"/>
    <w:rsid w:val="00A74CA2"/>
    <w:rsid w:val="00A80E26"/>
    <w:rsid w:val="00A83AF9"/>
    <w:rsid w:val="00A90A67"/>
    <w:rsid w:val="00A9361A"/>
    <w:rsid w:val="00A93F28"/>
    <w:rsid w:val="00AA7509"/>
    <w:rsid w:val="00AB7B61"/>
    <w:rsid w:val="00AC333B"/>
    <w:rsid w:val="00AE4FE8"/>
    <w:rsid w:val="00AF63A4"/>
    <w:rsid w:val="00B0445D"/>
    <w:rsid w:val="00B1774D"/>
    <w:rsid w:val="00B27C80"/>
    <w:rsid w:val="00B333C6"/>
    <w:rsid w:val="00B34C82"/>
    <w:rsid w:val="00B3688A"/>
    <w:rsid w:val="00B37402"/>
    <w:rsid w:val="00B51CD3"/>
    <w:rsid w:val="00B52C87"/>
    <w:rsid w:val="00B84E67"/>
    <w:rsid w:val="00B918F7"/>
    <w:rsid w:val="00BA1612"/>
    <w:rsid w:val="00BA70B8"/>
    <w:rsid w:val="00BC19E8"/>
    <w:rsid w:val="00BC1D40"/>
    <w:rsid w:val="00BC6887"/>
    <w:rsid w:val="00BD7869"/>
    <w:rsid w:val="00BD7956"/>
    <w:rsid w:val="00BF3D48"/>
    <w:rsid w:val="00C02FDA"/>
    <w:rsid w:val="00C06091"/>
    <w:rsid w:val="00C24C9A"/>
    <w:rsid w:val="00C3104A"/>
    <w:rsid w:val="00C31C3C"/>
    <w:rsid w:val="00C37010"/>
    <w:rsid w:val="00C47121"/>
    <w:rsid w:val="00C71680"/>
    <w:rsid w:val="00C90BCC"/>
    <w:rsid w:val="00C97128"/>
    <w:rsid w:val="00C97501"/>
    <w:rsid w:val="00CB1988"/>
    <w:rsid w:val="00CB3798"/>
    <w:rsid w:val="00CC72A3"/>
    <w:rsid w:val="00CC7323"/>
    <w:rsid w:val="00CD29AF"/>
    <w:rsid w:val="00CD3BF9"/>
    <w:rsid w:val="00CD669E"/>
    <w:rsid w:val="00CF1390"/>
    <w:rsid w:val="00D01A3D"/>
    <w:rsid w:val="00D140DB"/>
    <w:rsid w:val="00D26FA0"/>
    <w:rsid w:val="00D3570A"/>
    <w:rsid w:val="00D560D0"/>
    <w:rsid w:val="00D60D15"/>
    <w:rsid w:val="00D64AEA"/>
    <w:rsid w:val="00D6542E"/>
    <w:rsid w:val="00D748B9"/>
    <w:rsid w:val="00D80D38"/>
    <w:rsid w:val="00D841A7"/>
    <w:rsid w:val="00D9734F"/>
    <w:rsid w:val="00DA3D38"/>
    <w:rsid w:val="00DB20B1"/>
    <w:rsid w:val="00DB2511"/>
    <w:rsid w:val="00DC0C04"/>
    <w:rsid w:val="00DC12D5"/>
    <w:rsid w:val="00DC3D12"/>
    <w:rsid w:val="00DD0F88"/>
    <w:rsid w:val="00DD5DC2"/>
    <w:rsid w:val="00DE0D61"/>
    <w:rsid w:val="00DE2473"/>
    <w:rsid w:val="00DE3BA2"/>
    <w:rsid w:val="00DE3D91"/>
    <w:rsid w:val="00DF2BF7"/>
    <w:rsid w:val="00DF6D9E"/>
    <w:rsid w:val="00E010F1"/>
    <w:rsid w:val="00E07C15"/>
    <w:rsid w:val="00E119FF"/>
    <w:rsid w:val="00E159A9"/>
    <w:rsid w:val="00E27A45"/>
    <w:rsid w:val="00E3153D"/>
    <w:rsid w:val="00E366EE"/>
    <w:rsid w:val="00E44BCC"/>
    <w:rsid w:val="00E73286"/>
    <w:rsid w:val="00E753CB"/>
    <w:rsid w:val="00E809CD"/>
    <w:rsid w:val="00E97D8A"/>
    <w:rsid w:val="00EA02EF"/>
    <w:rsid w:val="00EA0F90"/>
    <w:rsid w:val="00EA13C2"/>
    <w:rsid w:val="00EB1E1D"/>
    <w:rsid w:val="00EB23D2"/>
    <w:rsid w:val="00EB4105"/>
    <w:rsid w:val="00EB5770"/>
    <w:rsid w:val="00EE022F"/>
    <w:rsid w:val="00EF3793"/>
    <w:rsid w:val="00F118AD"/>
    <w:rsid w:val="00F11A09"/>
    <w:rsid w:val="00F2519C"/>
    <w:rsid w:val="00F37D36"/>
    <w:rsid w:val="00F723BF"/>
    <w:rsid w:val="00F77510"/>
    <w:rsid w:val="00F80103"/>
    <w:rsid w:val="00F94CF6"/>
    <w:rsid w:val="00FA0EB0"/>
    <w:rsid w:val="00FA77CD"/>
    <w:rsid w:val="00FC7212"/>
    <w:rsid w:val="00FD0DC5"/>
    <w:rsid w:val="00FD2B0C"/>
    <w:rsid w:val="00FD681C"/>
    <w:rsid w:val="00FD6EDB"/>
    <w:rsid w:val="00FE2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85F38"/>
  <w15:chartTrackingRefBased/>
  <w15:docId w15:val="{BD99E0DE-68D1-405E-A4BD-6D2465414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B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3B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3B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3B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3B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3B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3B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3B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3B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3B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3B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F9"/>
    <w:rPr>
      <w:rFonts w:eastAsiaTheme="majorEastAsia" w:cstheme="majorBidi"/>
      <w:color w:val="272727" w:themeColor="text1" w:themeTint="D8"/>
    </w:rPr>
  </w:style>
  <w:style w:type="paragraph" w:styleId="Title">
    <w:name w:val="Title"/>
    <w:basedOn w:val="Normal"/>
    <w:next w:val="Normal"/>
    <w:link w:val="TitleChar"/>
    <w:uiPriority w:val="10"/>
    <w:qFormat/>
    <w:rsid w:val="00CD3B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F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F9"/>
    <w:rPr>
      <w:i/>
      <w:iCs/>
      <w:color w:val="404040" w:themeColor="text1" w:themeTint="BF"/>
    </w:rPr>
  </w:style>
  <w:style w:type="paragraph" w:styleId="ListParagraph">
    <w:name w:val="List Paragraph"/>
    <w:basedOn w:val="Normal"/>
    <w:uiPriority w:val="34"/>
    <w:qFormat/>
    <w:rsid w:val="00CD3BF9"/>
    <w:pPr>
      <w:ind w:left="720"/>
      <w:contextualSpacing/>
    </w:pPr>
  </w:style>
  <w:style w:type="character" w:styleId="IntenseEmphasis">
    <w:name w:val="Intense Emphasis"/>
    <w:basedOn w:val="DefaultParagraphFont"/>
    <w:uiPriority w:val="21"/>
    <w:qFormat/>
    <w:rsid w:val="00CD3BF9"/>
    <w:rPr>
      <w:i/>
      <w:iCs/>
      <w:color w:val="2F5496" w:themeColor="accent1" w:themeShade="BF"/>
    </w:rPr>
  </w:style>
  <w:style w:type="paragraph" w:styleId="IntenseQuote">
    <w:name w:val="Intense Quote"/>
    <w:basedOn w:val="Normal"/>
    <w:next w:val="Normal"/>
    <w:link w:val="IntenseQuoteChar"/>
    <w:uiPriority w:val="30"/>
    <w:qFormat/>
    <w:rsid w:val="00CD3B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3BF9"/>
    <w:rPr>
      <w:i/>
      <w:iCs/>
      <w:color w:val="2F5496" w:themeColor="accent1" w:themeShade="BF"/>
    </w:rPr>
  </w:style>
  <w:style w:type="character" w:styleId="IntenseReference">
    <w:name w:val="Intense Reference"/>
    <w:basedOn w:val="DefaultParagraphFont"/>
    <w:uiPriority w:val="32"/>
    <w:qFormat/>
    <w:rsid w:val="00CD3BF9"/>
    <w:rPr>
      <w:b/>
      <w:bCs/>
      <w:smallCaps/>
      <w:color w:val="2F5496" w:themeColor="accent1" w:themeShade="BF"/>
      <w:spacing w:val="5"/>
    </w:rPr>
  </w:style>
  <w:style w:type="character" w:styleId="Hyperlink">
    <w:name w:val="Hyperlink"/>
    <w:basedOn w:val="DefaultParagraphFont"/>
    <w:uiPriority w:val="99"/>
    <w:unhideWhenUsed/>
    <w:rsid w:val="00C97501"/>
    <w:rPr>
      <w:color w:val="0563C1" w:themeColor="hyperlink"/>
      <w:u w:val="single"/>
    </w:rPr>
  </w:style>
  <w:style w:type="character" w:styleId="UnresolvedMention">
    <w:name w:val="Unresolved Mention"/>
    <w:basedOn w:val="DefaultParagraphFont"/>
    <w:uiPriority w:val="99"/>
    <w:semiHidden/>
    <w:unhideWhenUsed/>
    <w:rsid w:val="00C97501"/>
    <w:rPr>
      <w:color w:val="605E5C"/>
      <w:shd w:val="clear" w:color="auto" w:fill="E1DFDD"/>
    </w:rPr>
  </w:style>
  <w:style w:type="paragraph" w:styleId="Header">
    <w:name w:val="header"/>
    <w:basedOn w:val="Normal"/>
    <w:link w:val="HeaderChar"/>
    <w:uiPriority w:val="99"/>
    <w:unhideWhenUsed/>
    <w:rsid w:val="00B84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E67"/>
  </w:style>
  <w:style w:type="paragraph" w:styleId="Footer">
    <w:name w:val="footer"/>
    <w:basedOn w:val="Normal"/>
    <w:link w:val="FooterChar"/>
    <w:uiPriority w:val="99"/>
    <w:unhideWhenUsed/>
    <w:rsid w:val="00B84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797241">
      <w:bodyDiv w:val="1"/>
      <w:marLeft w:val="0"/>
      <w:marRight w:val="0"/>
      <w:marTop w:val="0"/>
      <w:marBottom w:val="0"/>
      <w:divBdr>
        <w:top w:val="none" w:sz="0" w:space="0" w:color="auto"/>
        <w:left w:val="none" w:sz="0" w:space="0" w:color="auto"/>
        <w:bottom w:val="none" w:sz="0" w:space="0" w:color="auto"/>
        <w:right w:val="none" w:sz="0" w:space="0" w:color="auto"/>
      </w:divBdr>
    </w:div>
    <w:div w:id="347564780">
      <w:bodyDiv w:val="1"/>
      <w:marLeft w:val="0"/>
      <w:marRight w:val="0"/>
      <w:marTop w:val="0"/>
      <w:marBottom w:val="0"/>
      <w:divBdr>
        <w:top w:val="none" w:sz="0" w:space="0" w:color="auto"/>
        <w:left w:val="none" w:sz="0" w:space="0" w:color="auto"/>
        <w:bottom w:val="none" w:sz="0" w:space="0" w:color="auto"/>
        <w:right w:val="none" w:sz="0" w:space="0" w:color="auto"/>
      </w:divBdr>
    </w:div>
    <w:div w:id="641420319">
      <w:bodyDiv w:val="1"/>
      <w:marLeft w:val="0"/>
      <w:marRight w:val="0"/>
      <w:marTop w:val="0"/>
      <w:marBottom w:val="0"/>
      <w:divBdr>
        <w:top w:val="none" w:sz="0" w:space="0" w:color="auto"/>
        <w:left w:val="none" w:sz="0" w:space="0" w:color="auto"/>
        <w:bottom w:val="none" w:sz="0" w:space="0" w:color="auto"/>
        <w:right w:val="none" w:sz="0" w:space="0" w:color="auto"/>
      </w:divBdr>
    </w:div>
    <w:div w:id="730691206">
      <w:bodyDiv w:val="1"/>
      <w:marLeft w:val="0"/>
      <w:marRight w:val="0"/>
      <w:marTop w:val="0"/>
      <w:marBottom w:val="0"/>
      <w:divBdr>
        <w:top w:val="none" w:sz="0" w:space="0" w:color="auto"/>
        <w:left w:val="none" w:sz="0" w:space="0" w:color="auto"/>
        <w:bottom w:val="none" w:sz="0" w:space="0" w:color="auto"/>
        <w:right w:val="none" w:sz="0" w:space="0" w:color="auto"/>
      </w:divBdr>
    </w:div>
    <w:div w:id="765619191">
      <w:bodyDiv w:val="1"/>
      <w:marLeft w:val="0"/>
      <w:marRight w:val="0"/>
      <w:marTop w:val="0"/>
      <w:marBottom w:val="0"/>
      <w:divBdr>
        <w:top w:val="none" w:sz="0" w:space="0" w:color="auto"/>
        <w:left w:val="none" w:sz="0" w:space="0" w:color="auto"/>
        <w:bottom w:val="none" w:sz="0" w:space="0" w:color="auto"/>
        <w:right w:val="none" w:sz="0" w:space="0" w:color="auto"/>
      </w:divBdr>
    </w:div>
    <w:div w:id="1071733905">
      <w:bodyDiv w:val="1"/>
      <w:marLeft w:val="0"/>
      <w:marRight w:val="0"/>
      <w:marTop w:val="0"/>
      <w:marBottom w:val="0"/>
      <w:divBdr>
        <w:top w:val="none" w:sz="0" w:space="0" w:color="auto"/>
        <w:left w:val="none" w:sz="0" w:space="0" w:color="auto"/>
        <w:bottom w:val="none" w:sz="0" w:space="0" w:color="auto"/>
        <w:right w:val="none" w:sz="0" w:space="0" w:color="auto"/>
      </w:divBdr>
    </w:div>
    <w:div w:id="1406951933">
      <w:bodyDiv w:val="1"/>
      <w:marLeft w:val="0"/>
      <w:marRight w:val="0"/>
      <w:marTop w:val="0"/>
      <w:marBottom w:val="0"/>
      <w:divBdr>
        <w:top w:val="none" w:sz="0" w:space="0" w:color="auto"/>
        <w:left w:val="none" w:sz="0" w:space="0" w:color="auto"/>
        <w:bottom w:val="none" w:sz="0" w:space="0" w:color="auto"/>
        <w:right w:val="none" w:sz="0" w:space="0" w:color="auto"/>
      </w:divBdr>
    </w:div>
    <w:div w:id="1503618825">
      <w:bodyDiv w:val="1"/>
      <w:marLeft w:val="0"/>
      <w:marRight w:val="0"/>
      <w:marTop w:val="0"/>
      <w:marBottom w:val="0"/>
      <w:divBdr>
        <w:top w:val="none" w:sz="0" w:space="0" w:color="auto"/>
        <w:left w:val="none" w:sz="0" w:space="0" w:color="auto"/>
        <w:bottom w:val="none" w:sz="0" w:space="0" w:color="auto"/>
        <w:right w:val="none" w:sz="0" w:space="0" w:color="auto"/>
      </w:divBdr>
    </w:div>
    <w:div w:id="2008290380">
      <w:bodyDiv w:val="1"/>
      <w:marLeft w:val="0"/>
      <w:marRight w:val="0"/>
      <w:marTop w:val="0"/>
      <w:marBottom w:val="0"/>
      <w:divBdr>
        <w:top w:val="none" w:sz="0" w:space="0" w:color="auto"/>
        <w:left w:val="none" w:sz="0" w:space="0" w:color="auto"/>
        <w:bottom w:val="none" w:sz="0" w:space="0" w:color="auto"/>
        <w:right w:val="none" w:sz="0" w:space="0" w:color="auto"/>
      </w:divBdr>
    </w:div>
    <w:div w:id="20358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9</Pages>
  <Words>4103</Words>
  <Characters>23390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Jenkins</dc:creator>
  <cp:keywords/>
  <dc:description/>
  <cp:lastModifiedBy>Jonathan Jenkins</cp:lastModifiedBy>
  <cp:revision>319</cp:revision>
  <dcterms:created xsi:type="dcterms:W3CDTF">2025-07-24T11:56:00Z</dcterms:created>
  <dcterms:modified xsi:type="dcterms:W3CDTF">2025-07-28T18:52:00Z</dcterms:modified>
</cp:coreProperties>
</file>