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B94B37" w14:textId="7EF40637" w:rsidR="00DC75E4" w:rsidRDefault="00C97A67" w:rsidP="00DC75E4">
      <w:pPr>
        <w:spacing w:line="360" w:lineRule="auto"/>
        <w:rPr>
          <w:rFonts w:ascii="Arial" w:eastAsia="Aptos" w:hAnsi="Arial" w:cs="Arial"/>
          <w:b/>
          <w:bCs/>
          <w:sz w:val="32"/>
          <w:szCs w:val="32"/>
        </w:rPr>
      </w:pPr>
      <w:r w:rsidRPr="00C97A67">
        <w:rPr>
          <w:rFonts w:ascii="Arial" w:eastAsia="Aptos" w:hAnsi="Arial" w:cs="Arial"/>
          <w:b/>
          <w:bCs/>
          <w:sz w:val="32"/>
          <w:szCs w:val="32"/>
        </w:rPr>
        <w:t>Student name</w:t>
      </w:r>
      <w:r w:rsidR="00D30960">
        <w:rPr>
          <w:rFonts w:ascii="Arial" w:eastAsia="Aptos" w:hAnsi="Arial" w:cs="Arial"/>
          <w:b/>
          <w:bCs/>
          <w:sz w:val="32"/>
          <w:szCs w:val="32"/>
        </w:rPr>
        <w:t>s</w:t>
      </w:r>
      <w:r w:rsidR="00E43819">
        <w:rPr>
          <w:rFonts w:ascii="Arial" w:eastAsia="Aptos" w:hAnsi="Arial" w:cs="Arial"/>
          <w:b/>
          <w:bCs/>
          <w:sz w:val="32"/>
          <w:szCs w:val="32"/>
        </w:rPr>
        <w:t xml:space="preserve"> and number</w:t>
      </w:r>
      <w:r w:rsidR="00D30960">
        <w:rPr>
          <w:rFonts w:ascii="Arial" w:eastAsia="Aptos" w:hAnsi="Arial" w:cs="Arial"/>
          <w:b/>
          <w:bCs/>
          <w:sz w:val="32"/>
          <w:szCs w:val="32"/>
        </w:rPr>
        <w:t>s</w:t>
      </w:r>
      <w:r w:rsidRPr="00C97A67">
        <w:rPr>
          <w:rFonts w:ascii="Arial" w:eastAsia="Aptos" w:hAnsi="Arial" w:cs="Arial"/>
          <w:b/>
          <w:bCs/>
          <w:sz w:val="32"/>
          <w:szCs w:val="32"/>
        </w:rPr>
        <w:t>:</w:t>
      </w:r>
      <w:r w:rsidR="0056426C">
        <w:rPr>
          <w:rFonts w:ascii="Arial" w:eastAsia="Aptos" w:hAnsi="Arial" w:cs="Arial"/>
          <w:b/>
          <w:bCs/>
          <w:sz w:val="32"/>
          <w:szCs w:val="32"/>
        </w:rPr>
        <w:t xml:space="preserve"> </w:t>
      </w:r>
      <w:r w:rsidRPr="00C97A67">
        <w:rPr>
          <w:rFonts w:ascii="Arial" w:eastAsia="Aptos" w:hAnsi="Arial" w:cs="Arial"/>
          <w:b/>
          <w:bCs/>
          <w:sz w:val="32"/>
          <w:szCs w:val="32"/>
        </w:rPr>
        <w:t xml:space="preserve"> </w:t>
      </w:r>
    </w:p>
    <w:p w14:paraId="0247FE2A" w14:textId="737E8B77" w:rsidR="00DC75E4" w:rsidRPr="00DC75E4" w:rsidRDefault="00DC75E4" w:rsidP="00DC75E4">
      <w:pPr>
        <w:spacing w:line="360" w:lineRule="auto"/>
        <w:rPr>
          <w:rFonts w:ascii="Arial" w:eastAsia="Aptos" w:hAnsi="Arial" w:cs="Arial"/>
          <w:sz w:val="32"/>
          <w:szCs w:val="32"/>
        </w:rPr>
      </w:pPr>
      <w:r w:rsidRPr="00DC75E4">
        <w:rPr>
          <w:rFonts w:ascii="Arial" w:eastAsia="Aptos" w:hAnsi="Arial" w:cs="Arial"/>
          <w:sz w:val="32"/>
          <w:szCs w:val="32"/>
        </w:rPr>
        <w:t>Shazad Hussain Shah – 2311387</w:t>
      </w:r>
    </w:p>
    <w:p w14:paraId="1EEE5020" w14:textId="77777777" w:rsidR="00DC75E4" w:rsidRPr="00DC75E4" w:rsidRDefault="00DC75E4" w:rsidP="00DC75E4">
      <w:pPr>
        <w:spacing w:line="360" w:lineRule="auto"/>
        <w:rPr>
          <w:rFonts w:ascii="Arial" w:eastAsia="Aptos" w:hAnsi="Arial" w:cs="Arial"/>
          <w:sz w:val="32"/>
          <w:szCs w:val="32"/>
        </w:rPr>
      </w:pPr>
      <w:r w:rsidRPr="00DC75E4">
        <w:rPr>
          <w:rFonts w:ascii="Arial" w:eastAsia="Aptos" w:hAnsi="Arial" w:cs="Arial"/>
          <w:sz w:val="32"/>
          <w:szCs w:val="32"/>
        </w:rPr>
        <w:t>Corneliu Bogdan Dan – 2310378</w:t>
      </w:r>
    </w:p>
    <w:p w14:paraId="37849E50" w14:textId="77777777" w:rsidR="00DC75E4" w:rsidRPr="00DC75E4" w:rsidRDefault="00DC75E4" w:rsidP="00DC75E4">
      <w:pPr>
        <w:spacing w:line="360" w:lineRule="auto"/>
        <w:rPr>
          <w:rFonts w:ascii="Arial" w:eastAsia="Aptos" w:hAnsi="Arial" w:cs="Arial"/>
          <w:sz w:val="32"/>
          <w:szCs w:val="32"/>
        </w:rPr>
      </w:pPr>
      <w:r w:rsidRPr="00DC75E4">
        <w:rPr>
          <w:rFonts w:ascii="Arial" w:eastAsia="Aptos" w:hAnsi="Arial" w:cs="Arial"/>
          <w:sz w:val="32"/>
          <w:szCs w:val="32"/>
        </w:rPr>
        <w:t>Andreea Mirela Constantin – 2408234</w:t>
      </w:r>
    </w:p>
    <w:p w14:paraId="1BF45C97" w14:textId="1EB36BF0" w:rsidR="00C97A67" w:rsidRPr="00C97A67" w:rsidRDefault="00DC75E4" w:rsidP="00C97A67">
      <w:pPr>
        <w:spacing w:line="360" w:lineRule="auto"/>
        <w:rPr>
          <w:rFonts w:ascii="Arial" w:eastAsia="Aptos" w:hAnsi="Arial" w:cs="Arial"/>
          <w:b/>
          <w:bCs/>
          <w:sz w:val="32"/>
          <w:szCs w:val="32"/>
        </w:rPr>
      </w:pPr>
      <w:r w:rsidRPr="00DC75E4">
        <w:rPr>
          <w:rFonts w:ascii="Arial" w:eastAsia="Aptos" w:hAnsi="Arial" w:cs="Arial"/>
          <w:sz w:val="32"/>
          <w:szCs w:val="32"/>
        </w:rPr>
        <w:t>Rosen Dodumov – 2332532</w:t>
      </w:r>
    </w:p>
    <w:p w14:paraId="0890DD68" w14:textId="77777777" w:rsidR="00C97A67" w:rsidRPr="00C97A67" w:rsidRDefault="00C97A67" w:rsidP="00C97A67">
      <w:pPr>
        <w:spacing w:line="360" w:lineRule="auto"/>
        <w:rPr>
          <w:rFonts w:ascii="Arial" w:eastAsia="Aptos" w:hAnsi="Arial" w:cs="Arial"/>
          <w:b/>
          <w:bCs/>
          <w:sz w:val="32"/>
          <w:szCs w:val="32"/>
        </w:rPr>
      </w:pPr>
      <w:r w:rsidRPr="00C97A67">
        <w:rPr>
          <w:rFonts w:ascii="Arial" w:eastAsia="Aptos" w:hAnsi="Arial" w:cs="Arial"/>
          <w:b/>
          <w:bCs/>
          <w:sz w:val="32"/>
          <w:szCs w:val="32"/>
        </w:rPr>
        <w:t xml:space="preserve">Module: </w:t>
      </w:r>
      <w:r w:rsidRPr="00DC75E4">
        <w:rPr>
          <w:rFonts w:ascii="Arial" w:eastAsia="Aptos" w:hAnsi="Arial" w:cs="Arial"/>
          <w:sz w:val="32"/>
          <w:szCs w:val="32"/>
        </w:rPr>
        <w:t>Principles of Marketing</w:t>
      </w:r>
    </w:p>
    <w:p w14:paraId="388A9C60" w14:textId="07DE7897" w:rsidR="00C97A67" w:rsidRPr="00C97A67" w:rsidRDefault="00C97A67" w:rsidP="00C97A67">
      <w:pPr>
        <w:spacing w:line="360" w:lineRule="auto"/>
        <w:rPr>
          <w:rFonts w:ascii="Arial" w:eastAsia="Aptos" w:hAnsi="Arial" w:cs="Arial"/>
          <w:b/>
          <w:bCs/>
          <w:sz w:val="32"/>
          <w:szCs w:val="32"/>
        </w:rPr>
      </w:pPr>
      <w:r w:rsidRPr="00C97A67">
        <w:rPr>
          <w:rFonts w:ascii="Arial" w:eastAsia="Aptos" w:hAnsi="Arial" w:cs="Arial"/>
          <w:b/>
          <w:bCs/>
          <w:sz w:val="32"/>
          <w:szCs w:val="32"/>
        </w:rPr>
        <w:t xml:space="preserve">Module code: </w:t>
      </w:r>
      <w:r w:rsidR="00BA186C" w:rsidRPr="00BA186C">
        <w:rPr>
          <w:rFonts w:ascii="Arial" w:eastAsia="Aptos" w:hAnsi="Arial" w:cs="Arial"/>
          <w:sz w:val="32"/>
          <w:szCs w:val="32"/>
        </w:rPr>
        <w:t>LCBB5015</w:t>
      </w:r>
    </w:p>
    <w:p w14:paraId="389DCE31" w14:textId="223BCBD1" w:rsidR="00C97A67" w:rsidRPr="00C97A67" w:rsidRDefault="00C97A67" w:rsidP="00C97A67">
      <w:pPr>
        <w:spacing w:line="360" w:lineRule="auto"/>
        <w:rPr>
          <w:rFonts w:ascii="Arial" w:eastAsia="Aptos" w:hAnsi="Arial" w:cs="Arial"/>
          <w:b/>
          <w:bCs/>
          <w:sz w:val="32"/>
          <w:szCs w:val="32"/>
        </w:rPr>
      </w:pPr>
      <w:r w:rsidRPr="00C97A67">
        <w:rPr>
          <w:rFonts w:ascii="Arial" w:eastAsia="Aptos" w:hAnsi="Arial" w:cs="Arial"/>
          <w:b/>
          <w:bCs/>
          <w:sz w:val="32"/>
          <w:szCs w:val="32"/>
        </w:rPr>
        <w:t xml:space="preserve">Lecturer name: </w:t>
      </w:r>
      <w:r w:rsidR="00D30960" w:rsidRPr="00D30960">
        <w:rPr>
          <w:rFonts w:ascii="Arial" w:eastAsia="Aptos" w:hAnsi="Arial" w:cs="Arial"/>
          <w:sz w:val="32"/>
          <w:szCs w:val="32"/>
        </w:rPr>
        <w:t>Mohammed Ashikul Khan</w:t>
      </w:r>
    </w:p>
    <w:p w14:paraId="18FBF3F0" w14:textId="171BC763" w:rsidR="00C97A67" w:rsidRPr="00D30960" w:rsidRDefault="00C97A67" w:rsidP="00C97A67">
      <w:pPr>
        <w:spacing w:line="360" w:lineRule="auto"/>
        <w:rPr>
          <w:rFonts w:ascii="Arial" w:eastAsia="Aptos" w:hAnsi="Arial" w:cs="Arial"/>
          <w:sz w:val="32"/>
          <w:szCs w:val="32"/>
        </w:rPr>
      </w:pPr>
      <w:r w:rsidRPr="00C97A67">
        <w:rPr>
          <w:rFonts w:ascii="Arial" w:eastAsia="Aptos" w:hAnsi="Arial" w:cs="Arial"/>
          <w:b/>
          <w:bCs/>
          <w:sz w:val="32"/>
          <w:szCs w:val="32"/>
        </w:rPr>
        <w:t xml:space="preserve">Assignment Title: </w:t>
      </w:r>
      <w:r w:rsidRPr="00D30960">
        <w:rPr>
          <w:rFonts w:ascii="Arial" w:eastAsia="Aptos" w:hAnsi="Arial" w:cs="Arial"/>
          <w:sz w:val="32"/>
          <w:szCs w:val="32"/>
        </w:rPr>
        <w:t xml:space="preserve">Component 2: Coursework: Group Report </w:t>
      </w:r>
    </w:p>
    <w:p w14:paraId="14C9F244" w14:textId="4636703B" w:rsidR="00C97A67" w:rsidRPr="00C97A67" w:rsidRDefault="00C97A67" w:rsidP="00C97A67">
      <w:pPr>
        <w:spacing w:line="360" w:lineRule="auto"/>
        <w:rPr>
          <w:rFonts w:ascii="Arial" w:eastAsia="Aptos" w:hAnsi="Arial" w:cs="Arial"/>
          <w:b/>
          <w:bCs/>
          <w:sz w:val="32"/>
          <w:szCs w:val="32"/>
        </w:rPr>
      </w:pPr>
      <w:r w:rsidRPr="00C97A67">
        <w:rPr>
          <w:rFonts w:ascii="Arial" w:eastAsia="Aptos" w:hAnsi="Arial" w:cs="Arial"/>
          <w:b/>
          <w:bCs/>
          <w:sz w:val="32"/>
          <w:szCs w:val="32"/>
        </w:rPr>
        <w:t>Company:</w:t>
      </w:r>
      <w:r w:rsidR="00860755">
        <w:rPr>
          <w:rFonts w:ascii="Arial" w:eastAsia="Aptos" w:hAnsi="Arial" w:cs="Arial"/>
          <w:b/>
          <w:bCs/>
          <w:sz w:val="32"/>
          <w:szCs w:val="32"/>
        </w:rPr>
        <w:t xml:space="preserve"> </w:t>
      </w:r>
      <w:r w:rsidR="00860755" w:rsidRPr="00D30960">
        <w:rPr>
          <w:rFonts w:ascii="Arial" w:eastAsia="Aptos" w:hAnsi="Arial" w:cs="Arial"/>
          <w:sz w:val="32"/>
          <w:szCs w:val="32"/>
        </w:rPr>
        <w:t>Tesco PLC</w:t>
      </w:r>
    </w:p>
    <w:p w14:paraId="3B47D099" w14:textId="446C458B" w:rsidR="00C97A67" w:rsidRDefault="00C97A67"/>
    <w:p w14:paraId="35B4F7F1" w14:textId="77777777" w:rsidR="00517AFC" w:rsidRDefault="00C97A67" w:rsidP="00517AFC">
      <w:r>
        <w:br w:type="page"/>
      </w:r>
    </w:p>
    <w:p w14:paraId="4AF8866D" w14:textId="77777777" w:rsidR="00517AFC" w:rsidRPr="00477981" w:rsidRDefault="00517AFC" w:rsidP="00517AFC">
      <w:pPr>
        <w:rPr>
          <w:rFonts w:ascii="Arial" w:hAnsi="Arial" w:cs="Arial"/>
          <w:sz w:val="22"/>
          <w:szCs w:val="22"/>
        </w:rPr>
      </w:pPr>
    </w:p>
    <w:sdt>
      <w:sdtPr>
        <w:rPr>
          <w:rFonts w:asciiTheme="minorHAnsi" w:eastAsiaTheme="minorHAnsi" w:hAnsiTheme="minorHAnsi" w:cstheme="minorBidi"/>
          <w:color w:val="auto"/>
          <w:kern w:val="2"/>
          <w:sz w:val="24"/>
          <w:szCs w:val="24"/>
          <w:lang w:val="en-GB"/>
          <w14:ligatures w14:val="standardContextual"/>
        </w:rPr>
        <w:id w:val="-146981760"/>
        <w:docPartObj>
          <w:docPartGallery w:val="Table of Contents"/>
          <w:docPartUnique/>
        </w:docPartObj>
      </w:sdtPr>
      <w:sdtEndPr>
        <w:rPr>
          <w:b/>
          <w:bCs/>
          <w:noProof/>
        </w:rPr>
      </w:sdtEndPr>
      <w:sdtContent>
        <w:p w14:paraId="111A8B06" w14:textId="6F466BB5" w:rsidR="00F32F96" w:rsidRDefault="00F32F96">
          <w:pPr>
            <w:pStyle w:val="TOCHeading"/>
          </w:pPr>
          <w:r>
            <w:t>Contents</w:t>
          </w:r>
        </w:p>
        <w:p w14:paraId="24F3E3BC" w14:textId="0E9CDEFA" w:rsidR="00D30960" w:rsidRDefault="00F32F96">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12748637" w:history="1">
            <w:r w:rsidR="00D30960" w:rsidRPr="00637F17">
              <w:rPr>
                <w:rStyle w:val="Hyperlink"/>
                <w:rFonts w:ascii="Arial" w:eastAsia="Times New Roman" w:hAnsi="Arial" w:cs="Arial"/>
                <w:noProof/>
              </w:rPr>
              <w:t>1.</w:t>
            </w:r>
            <w:r w:rsidR="00D30960">
              <w:rPr>
                <w:rFonts w:eastAsiaTheme="minorEastAsia"/>
                <w:noProof/>
                <w:lang w:eastAsia="en-GB"/>
              </w:rPr>
              <w:tab/>
            </w:r>
            <w:r w:rsidR="00D30960" w:rsidRPr="00637F17">
              <w:rPr>
                <w:rStyle w:val="Hyperlink"/>
                <w:rFonts w:ascii="Arial" w:eastAsia="Times New Roman" w:hAnsi="Arial" w:cs="Arial"/>
                <w:noProof/>
                <w:lang w:eastAsia="en-GB"/>
              </w:rPr>
              <w:t>Introduction and Mission</w:t>
            </w:r>
            <w:r w:rsidR="00D30960">
              <w:rPr>
                <w:noProof/>
                <w:webHidden/>
              </w:rPr>
              <w:tab/>
            </w:r>
            <w:r w:rsidR="00D30960">
              <w:rPr>
                <w:noProof/>
                <w:webHidden/>
              </w:rPr>
              <w:fldChar w:fldCharType="begin"/>
            </w:r>
            <w:r w:rsidR="00D30960">
              <w:rPr>
                <w:noProof/>
                <w:webHidden/>
              </w:rPr>
              <w:instrText xml:space="preserve"> PAGEREF _Toc212748637 \h </w:instrText>
            </w:r>
            <w:r w:rsidR="00D30960">
              <w:rPr>
                <w:noProof/>
                <w:webHidden/>
              </w:rPr>
            </w:r>
            <w:r w:rsidR="00D30960">
              <w:rPr>
                <w:noProof/>
                <w:webHidden/>
              </w:rPr>
              <w:fldChar w:fldCharType="separate"/>
            </w:r>
            <w:r w:rsidR="00D30960">
              <w:rPr>
                <w:noProof/>
                <w:webHidden/>
              </w:rPr>
              <w:t>3</w:t>
            </w:r>
            <w:r w:rsidR="00D30960">
              <w:rPr>
                <w:noProof/>
                <w:webHidden/>
              </w:rPr>
              <w:fldChar w:fldCharType="end"/>
            </w:r>
          </w:hyperlink>
        </w:p>
        <w:p w14:paraId="3B747CB0" w14:textId="0AA74BCD" w:rsidR="00D30960" w:rsidRDefault="00042703">
          <w:pPr>
            <w:pStyle w:val="TOC1"/>
            <w:tabs>
              <w:tab w:val="left" w:pos="480"/>
              <w:tab w:val="right" w:leader="dot" w:pos="9016"/>
            </w:tabs>
            <w:rPr>
              <w:rFonts w:eastAsiaTheme="minorEastAsia"/>
              <w:noProof/>
              <w:lang w:eastAsia="en-GB"/>
            </w:rPr>
          </w:pPr>
          <w:hyperlink w:anchor="_Toc212748638" w:history="1">
            <w:r w:rsidR="00D30960" w:rsidRPr="00637F17">
              <w:rPr>
                <w:rStyle w:val="Hyperlink"/>
                <w:rFonts w:eastAsia="Times New Roman"/>
                <w:noProof/>
                <w:lang w:eastAsia="en-GB"/>
              </w:rPr>
              <w:t>2.</w:t>
            </w:r>
            <w:r w:rsidR="00D30960">
              <w:rPr>
                <w:rFonts w:eastAsiaTheme="minorEastAsia"/>
                <w:noProof/>
                <w:lang w:eastAsia="en-GB"/>
              </w:rPr>
              <w:tab/>
            </w:r>
            <w:r w:rsidR="00D30960" w:rsidRPr="00637F17">
              <w:rPr>
                <w:rStyle w:val="Hyperlink"/>
                <w:rFonts w:eastAsia="Times New Roman"/>
                <w:noProof/>
                <w:lang w:eastAsia="en-GB"/>
              </w:rPr>
              <w:t>Situational Analysis: SWOT</w:t>
            </w:r>
            <w:r w:rsidR="00D30960">
              <w:rPr>
                <w:noProof/>
                <w:webHidden/>
              </w:rPr>
              <w:tab/>
            </w:r>
            <w:r w:rsidR="00D30960">
              <w:rPr>
                <w:noProof/>
                <w:webHidden/>
              </w:rPr>
              <w:fldChar w:fldCharType="begin"/>
            </w:r>
            <w:r w:rsidR="00D30960">
              <w:rPr>
                <w:noProof/>
                <w:webHidden/>
              </w:rPr>
              <w:instrText xml:space="preserve"> PAGEREF _Toc212748638 \h </w:instrText>
            </w:r>
            <w:r w:rsidR="00D30960">
              <w:rPr>
                <w:noProof/>
                <w:webHidden/>
              </w:rPr>
            </w:r>
            <w:r w:rsidR="00D30960">
              <w:rPr>
                <w:noProof/>
                <w:webHidden/>
              </w:rPr>
              <w:fldChar w:fldCharType="separate"/>
            </w:r>
            <w:r w:rsidR="00D30960">
              <w:rPr>
                <w:noProof/>
                <w:webHidden/>
              </w:rPr>
              <w:t>3</w:t>
            </w:r>
            <w:r w:rsidR="00D30960">
              <w:rPr>
                <w:noProof/>
                <w:webHidden/>
              </w:rPr>
              <w:fldChar w:fldCharType="end"/>
            </w:r>
          </w:hyperlink>
        </w:p>
        <w:p w14:paraId="7EE03A29" w14:textId="452B83E1" w:rsidR="00D30960" w:rsidRDefault="00042703">
          <w:pPr>
            <w:pStyle w:val="TOC1"/>
            <w:tabs>
              <w:tab w:val="left" w:pos="480"/>
              <w:tab w:val="right" w:leader="dot" w:pos="9016"/>
            </w:tabs>
            <w:rPr>
              <w:rFonts w:eastAsiaTheme="minorEastAsia"/>
              <w:noProof/>
              <w:lang w:eastAsia="en-GB"/>
            </w:rPr>
          </w:pPr>
          <w:hyperlink w:anchor="_Toc212748639" w:history="1">
            <w:r w:rsidR="00D30960" w:rsidRPr="00637F17">
              <w:rPr>
                <w:rStyle w:val="Hyperlink"/>
                <w:noProof/>
              </w:rPr>
              <w:t>3.</w:t>
            </w:r>
            <w:r w:rsidR="00D30960">
              <w:rPr>
                <w:rFonts w:eastAsiaTheme="minorEastAsia"/>
                <w:noProof/>
                <w:lang w:eastAsia="en-GB"/>
              </w:rPr>
              <w:tab/>
            </w:r>
            <w:r w:rsidR="00D30960" w:rsidRPr="00637F17">
              <w:rPr>
                <w:rStyle w:val="Hyperlink"/>
                <w:noProof/>
                <w:lang w:eastAsia="en-GB"/>
              </w:rPr>
              <w:t>STP Analysi</w:t>
            </w:r>
            <w:r w:rsidR="00D30960" w:rsidRPr="00637F17">
              <w:rPr>
                <w:rStyle w:val="Hyperlink"/>
                <w:noProof/>
              </w:rPr>
              <w:t>s</w:t>
            </w:r>
            <w:r w:rsidR="00D30960">
              <w:rPr>
                <w:noProof/>
                <w:webHidden/>
              </w:rPr>
              <w:tab/>
            </w:r>
            <w:r w:rsidR="00D30960">
              <w:rPr>
                <w:noProof/>
                <w:webHidden/>
              </w:rPr>
              <w:fldChar w:fldCharType="begin"/>
            </w:r>
            <w:r w:rsidR="00D30960">
              <w:rPr>
                <w:noProof/>
                <w:webHidden/>
              </w:rPr>
              <w:instrText xml:space="preserve"> PAGEREF _Toc212748639 \h </w:instrText>
            </w:r>
            <w:r w:rsidR="00D30960">
              <w:rPr>
                <w:noProof/>
                <w:webHidden/>
              </w:rPr>
            </w:r>
            <w:r w:rsidR="00D30960">
              <w:rPr>
                <w:noProof/>
                <w:webHidden/>
              </w:rPr>
              <w:fldChar w:fldCharType="separate"/>
            </w:r>
            <w:r w:rsidR="00D30960">
              <w:rPr>
                <w:noProof/>
                <w:webHidden/>
              </w:rPr>
              <w:t>6</w:t>
            </w:r>
            <w:r w:rsidR="00D30960">
              <w:rPr>
                <w:noProof/>
                <w:webHidden/>
              </w:rPr>
              <w:fldChar w:fldCharType="end"/>
            </w:r>
          </w:hyperlink>
        </w:p>
        <w:p w14:paraId="7B242902" w14:textId="3223B40C" w:rsidR="00D30960" w:rsidRDefault="00042703">
          <w:pPr>
            <w:pStyle w:val="TOC2"/>
            <w:tabs>
              <w:tab w:val="right" w:leader="dot" w:pos="9016"/>
            </w:tabs>
            <w:rPr>
              <w:rFonts w:eastAsiaTheme="minorEastAsia"/>
              <w:noProof/>
              <w:lang w:eastAsia="en-GB"/>
            </w:rPr>
          </w:pPr>
          <w:hyperlink w:anchor="_Toc212748640" w:history="1">
            <w:r w:rsidR="00D30960" w:rsidRPr="00637F17">
              <w:rPr>
                <w:rStyle w:val="Hyperlink"/>
                <w:rFonts w:ascii="Arial" w:hAnsi="Arial" w:cs="Arial"/>
                <w:noProof/>
              </w:rPr>
              <w:t>3.2 Integrated Marketing Communications (IMC)</w:t>
            </w:r>
            <w:r w:rsidR="00D30960">
              <w:rPr>
                <w:noProof/>
                <w:webHidden/>
              </w:rPr>
              <w:tab/>
            </w:r>
            <w:r w:rsidR="00D30960">
              <w:rPr>
                <w:noProof/>
                <w:webHidden/>
              </w:rPr>
              <w:fldChar w:fldCharType="begin"/>
            </w:r>
            <w:r w:rsidR="00D30960">
              <w:rPr>
                <w:noProof/>
                <w:webHidden/>
              </w:rPr>
              <w:instrText xml:space="preserve"> PAGEREF _Toc212748640 \h </w:instrText>
            </w:r>
            <w:r w:rsidR="00D30960">
              <w:rPr>
                <w:noProof/>
                <w:webHidden/>
              </w:rPr>
            </w:r>
            <w:r w:rsidR="00D30960">
              <w:rPr>
                <w:noProof/>
                <w:webHidden/>
              </w:rPr>
              <w:fldChar w:fldCharType="separate"/>
            </w:r>
            <w:r w:rsidR="00D30960">
              <w:rPr>
                <w:noProof/>
                <w:webHidden/>
              </w:rPr>
              <w:t>7</w:t>
            </w:r>
            <w:r w:rsidR="00D30960">
              <w:rPr>
                <w:noProof/>
                <w:webHidden/>
              </w:rPr>
              <w:fldChar w:fldCharType="end"/>
            </w:r>
          </w:hyperlink>
        </w:p>
        <w:p w14:paraId="35462425" w14:textId="6E093BB7" w:rsidR="00D30960" w:rsidRDefault="00042703">
          <w:pPr>
            <w:pStyle w:val="TOC2"/>
            <w:tabs>
              <w:tab w:val="right" w:leader="dot" w:pos="9016"/>
            </w:tabs>
            <w:rPr>
              <w:rFonts w:eastAsiaTheme="minorEastAsia"/>
              <w:noProof/>
              <w:lang w:eastAsia="en-GB"/>
            </w:rPr>
          </w:pPr>
          <w:hyperlink w:anchor="_Toc212748641" w:history="1">
            <w:r w:rsidR="00D30960" w:rsidRPr="00637F17">
              <w:rPr>
                <w:rStyle w:val="Hyperlink"/>
                <w:noProof/>
                <w:lang w:eastAsia="en-GB"/>
              </w:rPr>
              <w:t>3.3 Ansoff Matrix</w:t>
            </w:r>
            <w:r w:rsidR="00D30960">
              <w:rPr>
                <w:noProof/>
                <w:webHidden/>
              </w:rPr>
              <w:tab/>
            </w:r>
            <w:r w:rsidR="00D30960">
              <w:rPr>
                <w:noProof/>
                <w:webHidden/>
              </w:rPr>
              <w:fldChar w:fldCharType="begin"/>
            </w:r>
            <w:r w:rsidR="00D30960">
              <w:rPr>
                <w:noProof/>
                <w:webHidden/>
              </w:rPr>
              <w:instrText xml:space="preserve"> PAGEREF _Toc212748641 \h </w:instrText>
            </w:r>
            <w:r w:rsidR="00D30960">
              <w:rPr>
                <w:noProof/>
                <w:webHidden/>
              </w:rPr>
            </w:r>
            <w:r w:rsidR="00D30960">
              <w:rPr>
                <w:noProof/>
                <w:webHidden/>
              </w:rPr>
              <w:fldChar w:fldCharType="separate"/>
            </w:r>
            <w:r w:rsidR="00D30960">
              <w:rPr>
                <w:noProof/>
                <w:webHidden/>
              </w:rPr>
              <w:t>8</w:t>
            </w:r>
            <w:r w:rsidR="00D30960">
              <w:rPr>
                <w:noProof/>
                <w:webHidden/>
              </w:rPr>
              <w:fldChar w:fldCharType="end"/>
            </w:r>
          </w:hyperlink>
        </w:p>
        <w:p w14:paraId="5EE56101" w14:textId="37585426" w:rsidR="00D30960" w:rsidRDefault="00042703">
          <w:pPr>
            <w:pStyle w:val="TOC1"/>
            <w:tabs>
              <w:tab w:val="left" w:pos="480"/>
              <w:tab w:val="right" w:leader="dot" w:pos="9016"/>
            </w:tabs>
            <w:rPr>
              <w:rFonts w:eastAsiaTheme="minorEastAsia"/>
              <w:noProof/>
              <w:lang w:eastAsia="en-GB"/>
            </w:rPr>
          </w:pPr>
          <w:hyperlink w:anchor="_Toc212748642" w:history="1">
            <w:r w:rsidR="00D30960" w:rsidRPr="00637F17">
              <w:rPr>
                <w:rStyle w:val="Hyperlink"/>
                <w:rFonts w:ascii="Arial" w:eastAsia="Times New Roman" w:hAnsi="Arial" w:cs="Arial"/>
                <w:noProof/>
                <w:lang w:eastAsia="en-GB"/>
              </w:rPr>
              <w:t>4.</w:t>
            </w:r>
            <w:r w:rsidR="00D30960">
              <w:rPr>
                <w:rFonts w:eastAsiaTheme="minorEastAsia"/>
                <w:noProof/>
                <w:lang w:eastAsia="en-GB"/>
              </w:rPr>
              <w:tab/>
            </w:r>
            <w:r w:rsidR="00D30960" w:rsidRPr="00637F17">
              <w:rPr>
                <w:rStyle w:val="Hyperlink"/>
                <w:rFonts w:ascii="Arial" w:eastAsia="Times New Roman" w:hAnsi="Arial" w:cs="Arial"/>
                <w:noProof/>
                <w:lang w:eastAsia="en-GB"/>
              </w:rPr>
              <w:t>Marketing Mix Strategies: 7Ps</w:t>
            </w:r>
            <w:r w:rsidR="00D30960">
              <w:rPr>
                <w:noProof/>
                <w:webHidden/>
              </w:rPr>
              <w:tab/>
            </w:r>
            <w:r w:rsidR="00D30960">
              <w:rPr>
                <w:noProof/>
                <w:webHidden/>
              </w:rPr>
              <w:fldChar w:fldCharType="begin"/>
            </w:r>
            <w:r w:rsidR="00D30960">
              <w:rPr>
                <w:noProof/>
                <w:webHidden/>
              </w:rPr>
              <w:instrText xml:space="preserve"> PAGEREF _Toc212748642 \h </w:instrText>
            </w:r>
            <w:r w:rsidR="00D30960">
              <w:rPr>
                <w:noProof/>
                <w:webHidden/>
              </w:rPr>
            </w:r>
            <w:r w:rsidR="00D30960">
              <w:rPr>
                <w:noProof/>
                <w:webHidden/>
              </w:rPr>
              <w:fldChar w:fldCharType="separate"/>
            </w:r>
            <w:r w:rsidR="00D30960">
              <w:rPr>
                <w:noProof/>
                <w:webHidden/>
              </w:rPr>
              <w:t>9</w:t>
            </w:r>
            <w:r w:rsidR="00D30960">
              <w:rPr>
                <w:noProof/>
                <w:webHidden/>
              </w:rPr>
              <w:fldChar w:fldCharType="end"/>
            </w:r>
          </w:hyperlink>
        </w:p>
        <w:p w14:paraId="20C73ABB" w14:textId="5AAAB0E8" w:rsidR="00D30960" w:rsidRDefault="00042703">
          <w:pPr>
            <w:pStyle w:val="TOC2"/>
            <w:tabs>
              <w:tab w:val="right" w:leader="dot" w:pos="9016"/>
            </w:tabs>
            <w:rPr>
              <w:rFonts w:eastAsiaTheme="minorEastAsia"/>
              <w:noProof/>
              <w:lang w:eastAsia="en-GB"/>
            </w:rPr>
          </w:pPr>
          <w:hyperlink w:anchor="_Toc212748643" w:history="1">
            <w:r w:rsidR="00D30960" w:rsidRPr="00637F17">
              <w:rPr>
                <w:rStyle w:val="Hyperlink"/>
                <w:rFonts w:ascii="Arial" w:hAnsi="Arial" w:cs="Arial"/>
                <w:noProof/>
              </w:rPr>
              <w:t>5. Conclusion</w:t>
            </w:r>
            <w:r w:rsidR="00D30960">
              <w:rPr>
                <w:noProof/>
                <w:webHidden/>
              </w:rPr>
              <w:tab/>
            </w:r>
            <w:r w:rsidR="00D30960">
              <w:rPr>
                <w:noProof/>
                <w:webHidden/>
              </w:rPr>
              <w:fldChar w:fldCharType="begin"/>
            </w:r>
            <w:r w:rsidR="00D30960">
              <w:rPr>
                <w:noProof/>
                <w:webHidden/>
              </w:rPr>
              <w:instrText xml:space="preserve"> PAGEREF _Toc212748643 \h </w:instrText>
            </w:r>
            <w:r w:rsidR="00D30960">
              <w:rPr>
                <w:noProof/>
                <w:webHidden/>
              </w:rPr>
            </w:r>
            <w:r w:rsidR="00D30960">
              <w:rPr>
                <w:noProof/>
                <w:webHidden/>
              </w:rPr>
              <w:fldChar w:fldCharType="separate"/>
            </w:r>
            <w:r w:rsidR="00D30960">
              <w:rPr>
                <w:noProof/>
                <w:webHidden/>
              </w:rPr>
              <w:t>13</w:t>
            </w:r>
            <w:r w:rsidR="00D30960">
              <w:rPr>
                <w:noProof/>
                <w:webHidden/>
              </w:rPr>
              <w:fldChar w:fldCharType="end"/>
            </w:r>
          </w:hyperlink>
        </w:p>
        <w:p w14:paraId="1624E9D5" w14:textId="12B9E599" w:rsidR="00D30960" w:rsidRDefault="00042703">
          <w:pPr>
            <w:pStyle w:val="TOC1"/>
            <w:tabs>
              <w:tab w:val="right" w:leader="dot" w:pos="9016"/>
            </w:tabs>
            <w:rPr>
              <w:rFonts w:eastAsiaTheme="minorEastAsia"/>
              <w:noProof/>
              <w:lang w:eastAsia="en-GB"/>
            </w:rPr>
          </w:pPr>
          <w:hyperlink w:anchor="_Toc212748644" w:history="1">
            <w:r w:rsidR="00D30960" w:rsidRPr="00637F17">
              <w:rPr>
                <w:rStyle w:val="Hyperlink"/>
                <w:rFonts w:ascii="Arial" w:eastAsia="Times New Roman" w:hAnsi="Arial" w:cs="Arial"/>
                <w:noProof/>
                <w:lang w:eastAsia="en-GB"/>
              </w:rPr>
              <w:t>6. References</w:t>
            </w:r>
            <w:r w:rsidR="00D30960">
              <w:rPr>
                <w:noProof/>
                <w:webHidden/>
              </w:rPr>
              <w:tab/>
            </w:r>
            <w:r w:rsidR="00D30960">
              <w:rPr>
                <w:noProof/>
                <w:webHidden/>
              </w:rPr>
              <w:fldChar w:fldCharType="begin"/>
            </w:r>
            <w:r w:rsidR="00D30960">
              <w:rPr>
                <w:noProof/>
                <w:webHidden/>
              </w:rPr>
              <w:instrText xml:space="preserve"> PAGEREF _Toc212748644 \h </w:instrText>
            </w:r>
            <w:r w:rsidR="00D30960">
              <w:rPr>
                <w:noProof/>
                <w:webHidden/>
              </w:rPr>
            </w:r>
            <w:r w:rsidR="00D30960">
              <w:rPr>
                <w:noProof/>
                <w:webHidden/>
              </w:rPr>
              <w:fldChar w:fldCharType="separate"/>
            </w:r>
            <w:r w:rsidR="00D30960">
              <w:rPr>
                <w:noProof/>
                <w:webHidden/>
              </w:rPr>
              <w:t>15</w:t>
            </w:r>
            <w:r w:rsidR="00D30960">
              <w:rPr>
                <w:noProof/>
                <w:webHidden/>
              </w:rPr>
              <w:fldChar w:fldCharType="end"/>
            </w:r>
          </w:hyperlink>
        </w:p>
        <w:p w14:paraId="42541A27" w14:textId="212B5850" w:rsidR="00F32F96" w:rsidRDefault="00F32F96">
          <w:r>
            <w:rPr>
              <w:b/>
              <w:bCs/>
              <w:noProof/>
            </w:rPr>
            <w:fldChar w:fldCharType="end"/>
          </w:r>
        </w:p>
      </w:sdtContent>
    </w:sdt>
    <w:p w14:paraId="1EF13EA2" w14:textId="77777777" w:rsidR="00517AFC" w:rsidRDefault="00517AFC" w:rsidP="00517AFC"/>
    <w:p w14:paraId="1F970860" w14:textId="77777777" w:rsidR="00517AFC" w:rsidRDefault="00517AFC" w:rsidP="00517AFC"/>
    <w:p w14:paraId="42EE6F1F" w14:textId="77777777" w:rsidR="00517AFC" w:rsidRDefault="00517AFC" w:rsidP="00517AFC"/>
    <w:p w14:paraId="6FB8CC23" w14:textId="77777777" w:rsidR="00517AFC" w:rsidRDefault="00517AFC" w:rsidP="00517AFC"/>
    <w:p w14:paraId="01203677" w14:textId="77777777" w:rsidR="00517AFC" w:rsidRDefault="00517AFC" w:rsidP="00517AFC"/>
    <w:p w14:paraId="73554B61" w14:textId="77777777" w:rsidR="00517AFC" w:rsidRDefault="00517AFC" w:rsidP="00517AFC"/>
    <w:p w14:paraId="03B4C0DB" w14:textId="77777777" w:rsidR="00517AFC" w:rsidRDefault="00517AFC" w:rsidP="00517AFC"/>
    <w:p w14:paraId="57DD91FB" w14:textId="77777777" w:rsidR="00517AFC" w:rsidRDefault="00517AFC" w:rsidP="00517AFC"/>
    <w:p w14:paraId="3E2FBC64" w14:textId="77777777" w:rsidR="00517AFC" w:rsidRDefault="00517AFC" w:rsidP="00517AFC"/>
    <w:p w14:paraId="68B99A21" w14:textId="77777777" w:rsidR="00517AFC" w:rsidRDefault="00517AFC" w:rsidP="00517AFC"/>
    <w:p w14:paraId="409DA139" w14:textId="77777777" w:rsidR="00517AFC" w:rsidRDefault="00517AFC" w:rsidP="00517AFC"/>
    <w:p w14:paraId="59F7E2AD" w14:textId="77777777" w:rsidR="00517AFC" w:rsidRDefault="00517AFC" w:rsidP="00517AFC"/>
    <w:p w14:paraId="7ED07DF3" w14:textId="77777777" w:rsidR="00517AFC" w:rsidRDefault="00517AFC" w:rsidP="00517AFC"/>
    <w:p w14:paraId="238C0DB0" w14:textId="77777777" w:rsidR="00466F06" w:rsidRDefault="00466F06" w:rsidP="00466F06">
      <w:pPr>
        <w:pStyle w:val="Heading1"/>
        <w:rPr>
          <w:rFonts w:ascii="Arial" w:eastAsia="Times New Roman" w:hAnsi="Arial" w:cs="Arial"/>
        </w:rPr>
      </w:pPr>
    </w:p>
    <w:p w14:paraId="2A8FDC51" w14:textId="77777777" w:rsidR="00466F06" w:rsidRDefault="00466F06" w:rsidP="00466F06"/>
    <w:p w14:paraId="3FD6DFB1" w14:textId="77777777" w:rsidR="00336855" w:rsidRPr="00466F06" w:rsidRDefault="00336855" w:rsidP="00466F06"/>
    <w:p w14:paraId="02FE1DE1" w14:textId="5CDCF411" w:rsidR="00D0585E" w:rsidRPr="00466F06" w:rsidRDefault="00681A0D" w:rsidP="00466F06">
      <w:pPr>
        <w:pStyle w:val="Heading1"/>
        <w:numPr>
          <w:ilvl w:val="0"/>
          <w:numId w:val="24"/>
        </w:numPr>
        <w:rPr>
          <w:rFonts w:ascii="Arial" w:eastAsia="Times New Roman" w:hAnsi="Arial" w:cs="Arial"/>
        </w:rPr>
      </w:pPr>
      <w:bookmarkStart w:id="0" w:name="_Toc212748637"/>
      <w:r w:rsidRPr="00466F06">
        <w:rPr>
          <w:rFonts w:ascii="Arial" w:eastAsia="Times New Roman" w:hAnsi="Arial" w:cs="Arial"/>
          <w:lang w:eastAsia="en-GB"/>
        </w:rPr>
        <w:lastRenderedPageBreak/>
        <w:t>Introduction and Mission</w:t>
      </w:r>
      <w:bookmarkEnd w:id="0"/>
    </w:p>
    <w:p w14:paraId="5638D35C" w14:textId="77777777" w:rsidR="00EA0AE4" w:rsidRPr="00C65637" w:rsidRDefault="00EA0AE4" w:rsidP="00EA0AE4">
      <w:pPr>
        <w:spacing w:line="360" w:lineRule="auto"/>
        <w:rPr>
          <w:rFonts w:ascii="Arial" w:hAnsi="Arial" w:cs="Arial"/>
          <w:sz w:val="22"/>
          <w:szCs w:val="22"/>
        </w:rPr>
      </w:pPr>
      <w:r w:rsidRPr="00C65637">
        <w:rPr>
          <w:rFonts w:ascii="Arial" w:hAnsi="Arial" w:cs="Arial"/>
          <w:sz w:val="22"/>
          <w:szCs w:val="22"/>
        </w:rPr>
        <w:t>Tesco PLC is a pillar of UK retail. Founded in 1919 by Jack Cohen, it has grown from a market stall to the UK’s largest retailer by revenue and market share, holding about 27% of the grocery market (Wood, 2022). While rooted in grocery across Extra, Superstore, Metro and Express formats, Tesco has become a multifaceted services group, including F&amp;F clothing, Tesco Mobile, Tesco Bank and a digital ecosystem anchored by the Tesco Clubcard. It leads a mass market contested by the Big Four, discounters Aldi and Lidl, and premium rivals such as Waitrose and M&amp;S (Mintel, 2024). This context demands a strategy that is both defensively robust and offensively agile.</w:t>
      </w:r>
    </w:p>
    <w:p w14:paraId="5D114191" w14:textId="77777777" w:rsidR="00EA0AE4" w:rsidRPr="00C65637" w:rsidRDefault="00EA0AE4" w:rsidP="00EA0AE4">
      <w:pPr>
        <w:spacing w:line="360" w:lineRule="auto"/>
        <w:rPr>
          <w:rFonts w:ascii="Arial" w:hAnsi="Arial" w:cs="Arial"/>
          <w:sz w:val="22"/>
          <w:szCs w:val="22"/>
        </w:rPr>
      </w:pPr>
    </w:p>
    <w:p w14:paraId="7A0D4D03" w14:textId="77777777" w:rsidR="00EA0AE4" w:rsidRPr="00C65637" w:rsidRDefault="00EA0AE4" w:rsidP="00EA0AE4">
      <w:pPr>
        <w:spacing w:line="360" w:lineRule="auto"/>
        <w:rPr>
          <w:rFonts w:ascii="Arial" w:hAnsi="Arial" w:cs="Arial"/>
          <w:sz w:val="22"/>
          <w:szCs w:val="22"/>
        </w:rPr>
      </w:pPr>
      <w:r w:rsidRPr="00C65637">
        <w:rPr>
          <w:rFonts w:ascii="Arial" w:hAnsi="Arial" w:cs="Arial"/>
          <w:sz w:val="22"/>
          <w:szCs w:val="22"/>
        </w:rPr>
        <w:t>The report provides a rigorous assessment of Tesco’s marketing position and sets out an integrated plan for the next financial year. The mission is to “Consolidate Tesco’s market leadership by becoming the UK’s most intelligent and trusted retailer, driving sustainable sales growth through hyper-personalised value, seamless digital integration and strategic market development.” Success rests not only on scale but on using data to deepen customer relationships. The report covers situational analysis (SWOT), strategy (STP, IMC, Ansoff), 7Ps tactical recommendations and a system for implementation and control.</w:t>
      </w:r>
    </w:p>
    <w:p w14:paraId="679C6930" w14:textId="4D179933" w:rsidR="002739E3" w:rsidRPr="001E2A0C" w:rsidRDefault="002739E3" w:rsidP="00EF57A6">
      <w:pPr>
        <w:pStyle w:val="Heading1"/>
        <w:numPr>
          <w:ilvl w:val="0"/>
          <w:numId w:val="24"/>
        </w:numPr>
        <w:rPr>
          <w:rFonts w:eastAsia="Times New Roman"/>
          <w:lang w:eastAsia="en-GB"/>
        </w:rPr>
      </w:pPr>
      <w:bookmarkStart w:id="1" w:name="_Toc212748638"/>
      <w:r w:rsidRPr="001E2A0C">
        <w:rPr>
          <w:rFonts w:eastAsia="Times New Roman"/>
          <w:lang w:eastAsia="en-GB"/>
        </w:rPr>
        <w:t>Situational Analysis: SWOT</w:t>
      </w:r>
      <w:bookmarkEnd w:id="1"/>
    </w:p>
    <w:p w14:paraId="1A8D8955" w14:textId="65B08AF3" w:rsidR="002739E3" w:rsidRPr="00EF57A6" w:rsidRDefault="002739E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A SWOT analysis provides a critical foundation, evaluating the interplay between Tesco's internal capabilities and the external market forces it must navigate (McDonald and Wilson, 2011).</w:t>
      </w:r>
    </w:p>
    <w:p w14:paraId="42DA36DA" w14:textId="77777777" w:rsidR="002739E3" w:rsidRPr="00EF57A6" w:rsidRDefault="002739E3" w:rsidP="00EF57A6">
      <w:pPr>
        <w:spacing w:line="360" w:lineRule="auto"/>
        <w:rPr>
          <w:rFonts w:ascii="Arial" w:hAnsi="Arial" w:cs="Arial"/>
          <w:b/>
          <w:bCs/>
          <w:sz w:val="22"/>
          <w:szCs w:val="22"/>
          <w:lang w:eastAsia="en-GB"/>
        </w:rPr>
      </w:pPr>
      <w:r w:rsidRPr="00EF57A6">
        <w:rPr>
          <w:rFonts w:ascii="Arial" w:hAnsi="Arial" w:cs="Arial"/>
          <w:b/>
          <w:bCs/>
          <w:sz w:val="22"/>
          <w:szCs w:val="22"/>
          <w:lang w:eastAsia="en-GB"/>
        </w:rPr>
        <w:t>Strengths</w:t>
      </w:r>
    </w:p>
    <w:p w14:paraId="48773325" w14:textId="2F1F36EB" w:rsidR="002739E3" w:rsidRPr="00EF57A6" w:rsidRDefault="002739E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Unrivalled Market Leadership and Scale: As the UK's largest retailer, Tesco benefits from profound economies of scale in procurement, distribution, and marketing. This volume grants it significant bargaining power with suppliers, often securing cost advantages that are inaccessible to smaller competitors (</w:t>
      </w:r>
      <w:r w:rsidR="0059056B" w:rsidRPr="0059056B">
        <w:rPr>
          <w:rFonts w:ascii="Arial" w:eastAsia="Times New Roman" w:hAnsi="Arial" w:cs="Arial"/>
          <w:color w:val="0F1115"/>
          <w:kern w:val="0"/>
          <w:sz w:val="22"/>
          <w:szCs w:val="22"/>
          <w:lang w:eastAsia="en-GB"/>
          <w14:ligatures w14:val="none"/>
        </w:rPr>
        <w:t>McKevitt, 2025</w:t>
      </w:r>
      <w:r w:rsidRPr="00EF57A6">
        <w:rPr>
          <w:rFonts w:ascii="Arial" w:eastAsia="Times New Roman" w:hAnsi="Arial" w:cs="Arial"/>
          <w:color w:val="0F1115"/>
          <w:kern w:val="0"/>
          <w:sz w:val="22"/>
          <w:szCs w:val="22"/>
          <w:lang w:eastAsia="en-GB"/>
          <w14:ligatures w14:val="none"/>
        </w:rPr>
        <w:t>). This scale also provides the financial resilience to invest in price wars and long-term strategic initiatives (Tesco PLC, 2023).</w:t>
      </w:r>
    </w:p>
    <w:p w14:paraId="1FF1E623" w14:textId="6BDA3241" w:rsidR="002739E3" w:rsidRPr="00EF57A6" w:rsidRDefault="002739E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 xml:space="preserve">The Tesco Clubcard as a Strategic Asset: With over 20 million active users, the Clubcard is far more than a loyalty scheme; it is a rich, dynamic data engine. It provides unparalleled insights into customer purchasing behaviour, enabling highly targeted marketing, sophisticated pricing strategies, and personalised promotions that drive retention and </w:t>
      </w:r>
      <w:r w:rsidRPr="00EF57A6">
        <w:rPr>
          <w:rFonts w:ascii="Arial" w:eastAsia="Times New Roman" w:hAnsi="Arial" w:cs="Arial"/>
          <w:color w:val="0F1115"/>
          <w:kern w:val="0"/>
          <w:sz w:val="22"/>
          <w:szCs w:val="22"/>
          <w:lang w:eastAsia="en-GB"/>
          <w14:ligatures w14:val="none"/>
        </w:rPr>
        <w:lastRenderedPageBreak/>
        <w:t>increase basket spend (</w:t>
      </w:r>
      <w:r w:rsidR="00DA01C9" w:rsidRPr="00DA01C9">
        <w:rPr>
          <w:rFonts w:ascii="Arial" w:eastAsia="Times New Roman" w:hAnsi="Arial" w:cs="Arial"/>
          <w:color w:val="0F1115"/>
          <w:kern w:val="0"/>
          <w:sz w:val="22"/>
          <w:szCs w:val="22"/>
          <w:lang w:eastAsia="en-GB"/>
          <w14:ligatures w14:val="none"/>
        </w:rPr>
        <w:t>GoodGrowth, 2024</w:t>
      </w:r>
      <w:r w:rsidRPr="00EF57A6">
        <w:rPr>
          <w:rFonts w:ascii="Arial" w:eastAsia="Times New Roman" w:hAnsi="Arial" w:cs="Arial"/>
          <w:color w:val="0F1115"/>
          <w:kern w:val="0"/>
          <w:sz w:val="22"/>
          <w:szCs w:val="22"/>
          <w:lang w:eastAsia="en-GB"/>
          <w14:ligatures w14:val="none"/>
        </w:rPr>
        <w:t>; Tesco PLC, 2023). This data-driven approach represents a significant competitive moat.</w:t>
      </w:r>
    </w:p>
    <w:p w14:paraId="1E16A26F" w14:textId="4349DE2E" w:rsidR="002739E3" w:rsidRPr="00EF57A6" w:rsidRDefault="002739E3" w:rsidP="00EF57A6">
      <w:pPr>
        <w:spacing w:line="360" w:lineRule="auto"/>
        <w:rPr>
          <w:rFonts w:ascii="Arial" w:eastAsia="Times New Roman" w:hAnsi="Arial" w:cs="Arial"/>
          <w:b/>
          <w:bCs/>
          <w:color w:val="0F1115"/>
          <w:kern w:val="0"/>
          <w:sz w:val="30"/>
          <w:szCs w:val="30"/>
          <w:lang w:eastAsia="en-GB"/>
          <w14:ligatures w14:val="none"/>
        </w:rPr>
      </w:pPr>
      <w:r w:rsidRPr="00EF57A6">
        <w:rPr>
          <w:rFonts w:ascii="Arial" w:eastAsia="Times New Roman" w:hAnsi="Arial" w:cs="Arial"/>
          <w:color w:val="0F1115"/>
          <w:kern w:val="0"/>
          <w:sz w:val="22"/>
          <w:szCs w:val="22"/>
          <w:lang w:eastAsia="en-GB"/>
          <w14:ligatures w14:val="none"/>
        </w:rPr>
        <w:t>Extensive Multi-Channel Distribution Network: Tesco’s portfolio of over 4,000 stores provides unrivalled geographical coverage and convenience. This physical footprint is a critical asset in the age of e-commerce, serving as a network of hubs for its market-leading "Click+Collect" service and fulfilling home delivery orders, creating a seamless omnichannel experience (Chaffey and Ellis-Chadwick, 2022; Tesco PLC, 2023).</w:t>
      </w:r>
    </w:p>
    <w:p w14:paraId="6F51E49C" w14:textId="07129ABC" w:rsidR="0052681B" w:rsidRPr="00336855" w:rsidRDefault="002739E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Successful Diversification and Brand Equity: The diversification into banking, mobile, and clothing has created multiple revenue streams, insulating the company from volatility in the grocery sector. Furthermore, the Tesco brand itself is a asset of immense value, embodying trust, reliability, and heritage for millions of UK consumers (Tesco PLC, 2023; Keller, 2019).</w:t>
      </w:r>
    </w:p>
    <w:p w14:paraId="58623138" w14:textId="702FA821" w:rsidR="002739E3" w:rsidRPr="00EF57A6" w:rsidRDefault="002739E3" w:rsidP="00EF57A6">
      <w:pPr>
        <w:spacing w:line="360" w:lineRule="auto"/>
        <w:rPr>
          <w:rFonts w:ascii="Arial" w:hAnsi="Arial" w:cs="Arial"/>
          <w:b/>
          <w:bCs/>
          <w:sz w:val="22"/>
          <w:szCs w:val="22"/>
          <w:lang w:eastAsia="en-GB"/>
        </w:rPr>
      </w:pPr>
      <w:r w:rsidRPr="00EF57A6">
        <w:rPr>
          <w:rFonts w:ascii="Arial" w:hAnsi="Arial" w:cs="Arial"/>
          <w:b/>
          <w:bCs/>
          <w:sz w:val="22"/>
          <w:szCs w:val="22"/>
          <w:lang w:eastAsia="en-GB"/>
        </w:rPr>
        <w:t>Weaknesses</w:t>
      </w:r>
    </w:p>
    <w:p w14:paraId="4A072555" w14:textId="3D8E3714" w:rsidR="002739E3" w:rsidRPr="00EF57A6" w:rsidRDefault="002739E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Legacy Issues and Perceptions of Corporate Power: Past controversies, notably the 2014 accounting scandal, have left a lingering stain on its corporate reputation. Furthermore, its market dominance can foster negative perceptions among certain consumer segments and in the media, portraying it as a "bully" that squeezes suppliers and undermines local high streets (Quinn, 2020).</w:t>
      </w:r>
    </w:p>
    <w:p w14:paraId="7A7593C0" w14:textId="02B65BF0" w:rsidR="001E2A0C" w:rsidRPr="00EF57A6" w:rsidRDefault="002739E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High Operational Complexity and Cost Base: Managing a supply chain of this scale and complexity is inherently costly and logistically challenging. This makes Tesco vulnerable to external shocks, such as geopolitical events, post-Brexit trade friction, and inflationary pressure on fuel and logistics, which can rapidly erode profitability (</w:t>
      </w:r>
      <w:r w:rsidR="001C0E3C" w:rsidRPr="001C0E3C">
        <w:rPr>
          <w:rFonts w:ascii="Arial" w:eastAsia="Times New Roman" w:hAnsi="Arial" w:cs="Arial"/>
          <w:color w:val="0F1115"/>
          <w:kern w:val="0"/>
          <w:sz w:val="22"/>
          <w:szCs w:val="22"/>
          <w:lang w:eastAsia="en-GB"/>
          <w14:ligatures w14:val="none"/>
        </w:rPr>
        <w:t>Neuhaus et al., 2022</w:t>
      </w:r>
      <w:r w:rsidRPr="00EF57A6">
        <w:rPr>
          <w:rFonts w:ascii="Arial" w:eastAsia="Times New Roman" w:hAnsi="Arial" w:cs="Arial"/>
          <w:color w:val="0F1115"/>
          <w:kern w:val="0"/>
          <w:sz w:val="22"/>
          <w:szCs w:val="22"/>
          <w:lang w:eastAsia="en-GB"/>
          <w14:ligatures w14:val="none"/>
        </w:rPr>
        <w:t>; Tesco PLC, 2023).</w:t>
      </w:r>
    </w:p>
    <w:p w14:paraId="41AD639E" w14:textId="5D32A1C9" w:rsidR="002739E3" w:rsidRPr="00EF57A6" w:rsidRDefault="002739E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Margin Pressure in the Core Business: The intense competition in the UK grocery market, particularly from the lean-operating discounters, means Tesco's operating margins are perpetually under pressure, often thinner than those of premium rivals or the limited-assortment discount models (Mintel, 2024).</w:t>
      </w:r>
    </w:p>
    <w:p w14:paraId="33D38249" w14:textId="78D27E80" w:rsidR="002739E3" w:rsidRPr="00EF57A6" w:rsidRDefault="002739E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Inconsistent Customer Experience Across Formats: While Tesco Extra stores are often well-maintained, the customer experience in smaller Metro and Express formats can be inconsistent, with issues around staffing, clutter, and product availability occasionally tarnishing the brand promise at the local level (Mintel, 2024).</w:t>
      </w:r>
    </w:p>
    <w:p w14:paraId="3095335C" w14:textId="77777777" w:rsidR="00EA0AE4" w:rsidRDefault="00EA0AE4" w:rsidP="00EF57A6">
      <w:pPr>
        <w:spacing w:line="360" w:lineRule="auto"/>
        <w:rPr>
          <w:rFonts w:ascii="Arial" w:hAnsi="Arial" w:cs="Arial"/>
          <w:b/>
          <w:bCs/>
          <w:sz w:val="22"/>
          <w:szCs w:val="22"/>
          <w:lang w:eastAsia="en-GB"/>
        </w:rPr>
      </w:pPr>
    </w:p>
    <w:p w14:paraId="40A83F2D" w14:textId="77777777" w:rsidR="00EA0AE4" w:rsidRDefault="00EA0AE4" w:rsidP="00EF57A6">
      <w:pPr>
        <w:spacing w:line="360" w:lineRule="auto"/>
        <w:rPr>
          <w:rFonts w:ascii="Arial" w:hAnsi="Arial" w:cs="Arial"/>
          <w:b/>
          <w:bCs/>
          <w:sz w:val="22"/>
          <w:szCs w:val="22"/>
          <w:lang w:eastAsia="en-GB"/>
        </w:rPr>
      </w:pPr>
    </w:p>
    <w:p w14:paraId="4E7309DD" w14:textId="66E02996" w:rsidR="002739E3" w:rsidRPr="00EF57A6" w:rsidRDefault="002739E3" w:rsidP="00EF57A6">
      <w:pPr>
        <w:spacing w:line="360" w:lineRule="auto"/>
        <w:rPr>
          <w:rFonts w:ascii="Arial" w:hAnsi="Arial" w:cs="Arial"/>
          <w:b/>
          <w:bCs/>
          <w:sz w:val="22"/>
          <w:szCs w:val="22"/>
          <w:lang w:eastAsia="en-GB"/>
        </w:rPr>
      </w:pPr>
      <w:r w:rsidRPr="00EF57A6">
        <w:rPr>
          <w:rFonts w:ascii="Arial" w:hAnsi="Arial" w:cs="Arial"/>
          <w:b/>
          <w:bCs/>
          <w:sz w:val="22"/>
          <w:szCs w:val="22"/>
          <w:lang w:eastAsia="en-GB"/>
        </w:rPr>
        <w:lastRenderedPageBreak/>
        <w:t>Opportunities</w:t>
      </w:r>
    </w:p>
    <w:p w14:paraId="2E4E45BE" w14:textId="75DA855A" w:rsidR="002739E3" w:rsidRPr="00EF57A6" w:rsidRDefault="002739E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Capitalising on the Health, Wellness, and Plant-Based Boom: The structural shift in consumer preferences towards health, wellness, and sustainable eating represents a major growth vector. Tesco can leverage its scale and own-brand capabilities to further innovate and aggressively market its "Plant Chef", "Wicked Kitchen", and "Free From" ranges, aiming for category leadership (Mintel, 2024).</w:t>
      </w:r>
    </w:p>
    <w:p w14:paraId="0BD6576E" w14:textId="4EF48D0F" w:rsidR="002739E3" w:rsidRPr="00EF57A6" w:rsidRDefault="002739E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Accelerating the Digital and E-Commerce Evolution: The permanent adoption of online shopping post-pandemic provides continuous opportunities. Enhancements in AI-driven personalisation on its app and website, the expansion of rapid-delivery services like "Whoosh," and an improved user interface can significantly boost digital engagement and sales (Chaffey and Ellis-Chadwick, 2022; Tesco PLC, 2023).</w:t>
      </w:r>
    </w:p>
    <w:p w14:paraId="38E4BC6D" w14:textId="5090469A" w:rsidR="002739E3" w:rsidRPr="00EF57A6" w:rsidRDefault="002739E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 xml:space="preserve">Advancing from Personalisation to Hyper-Personalisation: The Clubcard data asset offers untapped potential. Tesco can move beyond standard offers to provide truly bespoke shopping experiences, including individualised meal planning, dynamic bundle discounts, and predictive replenishment, dramatically increasing customer loyalty and lifetime value (Kumar et al., 2017; </w:t>
      </w:r>
      <w:r w:rsidR="00DA01C9" w:rsidRPr="00DA01C9">
        <w:rPr>
          <w:rFonts w:ascii="Arial" w:eastAsia="Times New Roman" w:hAnsi="Arial" w:cs="Arial"/>
          <w:color w:val="0F1115"/>
          <w:kern w:val="0"/>
          <w:sz w:val="22"/>
          <w:szCs w:val="22"/>
          <w:lang w:eastAsia="en-GB"/>
          <w14:ligatures w14:val="none"/>
        </w:rPr>
        <w:t>GoodGrowth, 2024</w:t>
      </w:r>
      <w:r w:rsidRPr="00EF57A6">
        <w:rPr>
          <w:rFonts w:ascii="Arial" w:eastAsia="Times New Roman" w:hAnsi="Arial" w:cs="Arial"/>
          <w:color w:val="0F1115"/>
          <w:kern w:val="0"/>
          <w:sz w:val="22"/>
          <w:szCs w:val="22"/>
          <w:lang w:eastAsia="en-GB"/>
          <w14:ligatures w14:val="none"/>
        </w:rPr>
        <w:t>).</w:t>
      </w:r>
    </w:p>
    <w:p w14:paraId="170CD543" w14:textId="0C4BD6AB" w:rsidR="002739E3" w:rsidRPr="00EF57A6" w:rsidRDefault="002739E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Leading the Charge on Sustainability and Ethics: Growing consumer demand for transparency and ethical responsibility allows Tesco to strengthen its brand purpose. Ambitious, well-communicated commitments to net-zero, plastic reduction, and ethical sourcing can differentiate the brand and build deep affinity with a values-driven demographic (Tesco PLC, 2023; Mintel, 2024).</w:t>
      </w:r>
    </w:p>
    <w:p w14:paraId="625E19DE" w14:textId="77777777" w:rsidR="002739E3" w:rsidRPr="00EF57A6" w:rsidRDefault="002739E3" w:rsidP="00EF57A6">
      <w:pPr>
        <w:spacing w:line="360" w:lineRule="auto"/>
        <w:rPr>
          <w:rFonts w:ascii="Arial" w:hAnsi="Arial" w:cs="Arial"/>
          <w:b/>
          <w:bCs/>
          <w:sz w:val="22"/>
          <w:szCs w:val="22"/>
          <w:lang w:eastAsia="en-GB"/>
        </w:rPr>
      </w:pPr>
      <w:r w:rsidRPr="00EF57A6">
        <w:rPr>
          <w:rFonts w:ascii="Arial" w:hAnsi="Arial" w:cs="Arial"/>
          <w:b/>
          <w:bCs/>
          <w:sz w:val="22"/>
          <w:szCs w:val="22"/>
          <w:lang w:eastAsia="en-GB"/>
        </w:rPr>
        <w:t>Threats</w:t>
      </w:r>
    </w:p>
    <w:p w14:paraId="4F135222" w14:textId="136C8B0D" w:rsidR="002739E3" w:rsidRPr="00EF57A6" w:rsidRDefault="002739E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The Unrelenting Discounter Onslaught: Aldi and Lidl remain the most significant threat to Tesco's volume and margin. Their low-cost business model, combined with improving quality perceptions, continues to attract a broad swathe of shoppers, forcing Tesco into a perpetual defensive pricing strategy (Wood, 2022).</w:t>
      </w:r>
    </w:p>
    <w:p w14:paraId="3342BF30" w14:textId="367DC932" w:rsidR="002739E3" w:rsidRPr="00EF57A6" w:rsidRDefault="002739E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The Severe Economic Squeeze on Consumers: The ongoing cost-of-living crisis, characterised by high inflation and stagnant wages, has made consumers intensely price-sensitive. This threatens sales of higher-margin discretionary items and forces a greater focus on value, potentially commoditising Tesco's offerings (Mintel, 2024).</w:t>
      </w:r>
    </w:p>
    <w:p w14:paraId="22AD704D" w14:textId="1D98111E" w:rsidR="002739E3" w:rsidRPr="00EF57A6" w:rsidRDefault="002739E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 xml:space="preserve">The Strategic Counter-Attack from Competitor Loyalty Schemes: Sainsbury’s "Nectar Prices" initiative is a direct and potent assault on the value proposition of the Clubcard. By offering </w:t>
      </w:r>
      <w:r w:rsidRPr="00EF57A6">
        <w:rPr>
          <w:rFonts w:ascii="Arial" w:eastAsia="Times New Roman" w:hAnsi="Arial" w:cs="Arial"/>
          <w:color w:val="0F1115"/>
          <w:kern w:val="0"/>
          <w:sz w:val="22"/>
          <w:szCs w:val="22"/>
          <w:lang w:eastAsia="en-GB"/>
          <w14:ligatures w14:val="none"/>
        </w:rPr>
        <w:lastRenderedPageBreak/>
        <w:t>significant discounts linked to a competing loyalty card, it challenges Tesco's claim to exclusive value and fragments shopper loyalty (</w:t>
      </w:r>
      <w:r w:rsidR="008940F5" w:rsidRPr="008940F5">
        <w:rPr>
          <w:rFonts w:ascii="Arial" w:eastAsia="Times New Roman" w:hAnsi="Arial" w:cs="Arial"/>
          <w:color w:val="0F1115"/>
          <w:kern w:val="0"/>
          <w:sz w:val="22"/>
          <w:szCs w:val="22"/>
          <w:lang w:eastAsia="en-GB"/>
          <w14:ligatures w14:val="none"/>
        </w:rPr>
        <w:t>Houlton, 2023</w:t>
      </w:r>
      <w:r w:rsidRPr="00EF57A6">
        <w:rPr>
          <w:rFonts w:ascii="Arial" w:eastAsia="Times New Roman" w:hAnsi="Arial" w:cs="Arial"/>
          <w:color w:val="0F1115"/>
          <w:kern w:val="0"/>
          <w:sz w:val="22"/>
          <w:szCs w:val="22"/>
          <w:lang w:eastAsia="en-GB"/>
          <w14:ligatures w14:val="none"/>
        </w:rPr>
        <w:t>).</w:t>
      </w:r>
    </w:p>
    <w:p w14:paraId="72BA07F8" w14:textId="432403F0" w:rsidR="002739E3" w:rsidRPr="00EF57A6" w:rsidRDefault="002739E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Systemic Supply Chain Volatility: Global instability, climate change, and regulatory changes pose persistent risks to supply chain integrity, leading to potential shortages, cost inflation, and operational disruptions that can damage customer trust (</w:t>
      </w:r>
      <w:r w:rsidR="001C0E3C" w:rsidRPr="001C0E3C">
        <w:rPr>
          <w:rFonts w:ascii="Arial" w:eastAsia="Times New Roman" w:hAnsi="Arial" w:cs="Arial"/>
          <w:color w:val="0F1115"/>
          <w:kern w:val="0"/>
          <w:sz w:val="22"/>
          <w:szCs w:val="22"/>
          <w:lang w:eastAsia="en-GB"/>
          <w14:ligatures w14:val="none"/>
        </w:rPr>
        <w:t>Neuhaus et al., 2022</w:t>
      </w:r>
      <w:r w:rsidRPr="00EF57A6">
        <w:rPr>
          <w:rFonts w:ascii="Arial" w:eastAsia="Times New Roman" w:hAnsi="Arial" w:cs="Arial"/>
          <w:color w:val="0F1115"/>
          <w:kern w:val="0"/>
          <w:sz w:val="22"/>
          <w:szCs w:val="22"/>
          <w:lang w:eastAsia="en-GB"/>
          <w14:ligatures w14:val="none"/>
        </w:rPr>
        <w:t>; Tesco PLC, 2023).</w:t>
      </w:r>
    </w:p>
    <w:p w14:paraId="18C90E05" w14:textId="51014103" w:rsidR="00EF57A6" w:rsidRPr="00AA0110" w:rsidRDefault="002739E3" w:rsidP="00AA0110">
      <w:pPr>
        <w:spacing w:line="360" w:lineRule="auto"/>
        <w:rPr>
          <w:rStyle w:val="Heading1Char"/>
          <w:rFonts w:ascii="Arial" w:eastAsia="Times New Roman" w:hAnsi="Arial" w:cs="Arial"/>
          <w:b/>
          <w:bCs/>
          <w:color w:val="0F1115"/>
          <w:kern w:val="0"/>
          <w:sz w:val="30"/>
          <w:szCs w:val="30"/>
          <w:lang w:eastAsia="en-GB"/>
          <w14:ligatures w14:val="none"/>
        </w:rPr>
      </w:pPr>
      <w:r w:rsidRPr="00EF57A6">
        <w:rPr>
          <w:rFonts w:ascii="Arial" w:eastAsia="Times New Roman" w:hAnsi="Arial" w:cs="Arial"/>
          <w:color w:val="0F1115"/>
          <w:kern w:val="0"/>
          <w:sz w:val="22"/>
          <w:szCs w:val="22"/>
          <w:lang w:eastAsia="en-GB"/>
          <w14:ligatures w14:val="none"/>
        </w:rPr>
        <w:t>Fundamental Shifts in Shopping Habits: The long-term trend towards more frequent, smaller, convenience-led shopping trips, often facilitated by rapid delivery apps, challenges the economic model of Tesco's large out-of-town superstores (Mintel, 2024; Chaffey and Ellis-Chadwick, 2022).</w:t>
      </w:r>
      <w:r w:rsidR="00681A0D" w:rsidRPr="00EF57A6">
        <w:rPr>
          <w:rFonts w:ascii="Arial" w:eastAsia="Times New Roman" w:hAnsi="Arial" w:cs="Arial"/>
          <w:color w:val="0F1115"/>
          <w:kern w:val="0"/>
          <w:sz w:val="22"/>
          <w:szCs w:val="22"/>
          <w:lang w:eastAsia="en-GB"/>
          <w14:ligatures w14:val="none"/>
        </w:rPr>
        <w:t>3. Marketing Strategy</w:t>
      </w:r>
    </w:p>
    <w:p w14:paraId="36F40E66" w14:textId="45E6A094" w:rsidR="00BE0687" w:rsidRPr="00196178" w:rsidRDefault="00F577CF" w:rsidP="00196178">
      <w:pPr>
        <w:pStyle w:val="Heading1"/>
        <w:numPr>
          <w:ilvl w:val="0"/>
          <w:numId w:val="24"/>
        </w:numPr>
      </w:pPr>
      <w:bookmarkStart w:id="2" w:name="_Toc212748639"/>
      <w:r w:rsidRPr="00196178">
        <w:rPr>
          <w:lang w:eastAsia="en-GB"/>
        </w:rPr>
        <w:t>STP Analysi</w:t>
      </w:r>
      <w:r w:rsidR="00336855" w:rsidRPr="00196178">
        <w:t>s</w:t>
      </w:r>
      <w:bookmarkEnd w:id="2"/>
    </w:p>
    <w:p w14:paraId="30A648BA" w14:textId="77777777" w:rsidR="00BE0687" w:rsidRDefault="00F577CF" w:rsidP="00BE0687">
      <w:pPr>
        <w:rPr>
          <w:rFonts w:ascii="Arial" w:hAnsi="Arial" w:cs="Arial"/>
          <w:b/>
          <w:bCs/>
          <w:sz w:val="22"/>
          <w:szCs w:val="22"/>
          <w:lang w:eastAsia="en-GB"/>
        </w:rPr>
      </w:pPr>
      <w:r w:rsidRPr="00BE0687">
        <w:rPr>
          <w:rFonts w:ascii="Segoe UI" w:hAnsi="Segoe UI" w:cs="Segoe UI"/>
          <w:b/>
          <w:bCs/>
          <w:lang w:eastAsia="en-GB"/>
        </w:rPr>
        <w:br/>
      </w:r>
      <w:r w:rsidRPr="00BE0687">
        <w:rPr>
          <w:rFonts w:ascii="Arial" w:hAnsi="Arial" w:cs="Arial"/>
          <w:b/>
          <w:bCs/>
          <w:sz w:val="22"/>
          <w:szCs w:val="22"/>
          <w:lang w:eastAsia="en-GB"/>
        </w:rPr>
        <w:t>Segmentation</w:t>
      </w:r>
    </w:p>
    <w:p w14:paraId="184942D9" w14:textId="3ECF4567" w:rsidR="00620770" w:rsidRPr="00BE0687" w:rsidRDefault="00F577CF" w:rsidP="00BE0687">
      <w:pPr>
        <w:rPr>
          <w:rFonts w:ascii="Arial" w:eastAsiaTheme="majorEastAsia" w:hAnsi="Arial" w:cs="Arial"/>
          <w:color w:val="0F4761" w:themeColor="accent1" w:themeShade="BF"/>
          <w:sz w:val="40"/>
          <w:szCs w:val="40"/>
          <w:lang w:eastAsia="en-GB"/>
        </w:rPr>
      </w:pPr>
      <w:r w:rsidRPr="00BE0687">
        <w:rPr>
          <w:rFonts w:ascii="Arial" w:hAnsi="Arial" w:cs="Arial"/>
          <w:b/>
          <w:bCs/>
          <w:sz w:val="22"/>
          <w:szCs w:val="22"/>
          <w:lang w:eastAsia="en-GB"/>
        </w:rPr>
        <w:br/>
      </w:r>
      <w:r w:rsidRPr="00BE0687">
        <w:rPr>
          <w:rFonts w:ascii="Arial" w:hAnsi="Arial" w:cs="Arial"/>
          <w:sz w:val="22"/>
          <w:szCs w:val="22"/>
          <w:lang w:eastAsia="en-GB"/>
        </w:rPr>
        <w:t>Tesco employs a hybrid segmentation model, utilising a mix of variables to deconstruct its vast market (McDonald and Wilson, 2011; Keller, 2019).</w:t>
      </w:r>
    </w:p>
    <w:p w14:paraId="2372A1DB" w14:textId="368CA49B" w:rsidR="00620770" w:rsidRPr="00EF57A6" w:rsidRDefault="00F577CF"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Geographic: This is a primary segmentation driver, directly influencing store format. Tesco Extra stores serve regional catchments, Superstores and Metros serve suburban and urban hubs, and Express stores cater to hyper-local, convenience-driven needs (Tesco PLC, 2023; Chaffey and Ellis-Chadwick, 2022).</w:t>
      </w:r>
    </w:p>
    <w:p w14:paraId="0A5CE0A9" w14:textId="698742A8" w:rsidR="00620770" w:rsidRPr="00EF57A6" w:rsidRDefault="00F577CF"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Demographic: The core of its targeting, focusing on life-stage and income. Key segments include large families (volume, value), time-poor professionals (convenience, quality), and students or budget-limited households (low price) (Mintel, 2024).</w:t>
      </w:r>
    </w:p>
    <w:p w14:paraId="3DE63A0D" w14:textId="05150B37" w:rsidR="00620770" w:rsidRPr="00EF57A6" w:rsidRDefault="00F577CF"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Psychographic: This layer adds depth, segmenting by lifestyle and values. Key groups include the health-conscious, the ethically-driven shopper, the budget-focused family, and the experience-seeking foodie (Mintel, 2024).</w:t>
      </w:r>
    </w:p>
    <w:p w14:paraId="72AF0E71" w14:textId="064BB836" w:rsidR="00620770" w:rsidRPr="00EF57A6" w:rsidRDefault="00F577CF"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Behavioural: This is Tesco's most advanced segmentation layer, powered by Clubcard data. It segments customers by purchasing patterns, benefits sought (price vs. quality), and loyalty status, allowing for micro-targeting of segments like "Price Hunters," "Weekly Planners," and "Premium Product Lovers" (</w:t>
      </w:r>
      <w:r w:rsidR="00DA01C9" w:rsidRPr="00DA01C9">
        <w:rPr>
          <w:rFonts w:ascii="Arial" w:eastAsia="Times New Roman" w:hAnsi="Arial" w:cs="Arial"/>
          <w:color w:val="0F1115"/>
          <w:kern w:val="0"/>
          <w:sz w:val="22"/>
          <w:szCs w:val="22"/>
          <w:lang w:eastAsia="en-GB"/>
          <w14:ligatures w14:val="none"/>
        </w:rPr>
        <w:t>GoodGrowth, 2024</w:t>
      </w:r>
      <w:r w:rsidRPr="00EF57A6">
        <w:rPr>
          <w:rFonts w:ascii="Arial" w:eastAsia="Times New Roman" w:hAnsi="Arial" w:cs="Arial"/>
          <w:color w:val="0F1115"/>
          <w:kern w:val="0"/>
          <w:sz w:val="22"/>
          <w:szCs w:val="22"/>
          <w:lang w:eastAsia="en-GB"/>
          <w14:ligatures w14:val="none"/>
        </w:rPr>
        <w:t>; Chaffey and Ellis-Chadwick, 2022).</w:t>
      </w:r>
    </w:p>
    <w:p w14:paraId="5A516CC7" w14:textId="376682A7" w:rsidR="00F577CF" w:rsidRPr="00EF57A6" w:rsidRDefault="00F577CF" w:rsidP="00EF57A6">
      <w:pPr>
        <w:spacing w:line="360" w:lineRule="auto"/>
        <w:rPr>
          <w:rFonts w:ascii="Arial" w:eastAsia="Times New Roman" w:hAnsi="Arial" w:cs="Arial"/>
          <w:color w:val="0F1115"/>
          <w:kern w:val="0"/>
          <w:sz w:val="22"/>
          <w:szCs w:val="22"/>
          <w:lang w:eastAsia="en-GB"/>
          <w14:ligatures w14:val="none"/>
        </w:rPr>
      </w:pPr>
      <w:r w:rsidRPr="00EF57A6">
        <w:rPr>
          <w:rFonts w:ascii="Arial" w:hAnsi="Arial" w:cs="Arial"/>
          <w:b/>
          <w:bCs/>
          <w:sz w:val="22"/>
          <w:szCs w:val="22"/>
          <w:lang w:eastAsia="en-GB"/>
        </w:rPr>
        <w:t>Targeting</w:t>
      </w:r>
      <w:r w:rsidRPr="00EF57A6">
        <w:rPr>
          <w:rFonts w:ascii="Arial" w:eastAsia="Times New Roman" w:hAnsi="Arial" w:cs="Arial"/>
          <w:b/>
          <w:bCs/>
          <w:color w:val="0F1115"/>
          <w:kern w:val="0"/>
          <w:sz w:val="22"/>
          <w:szCs w:val="22"/>
          <w:lang w:eastAsia="en-GB"/>
          <w14:ligatures w14:val="none"/>
        </w:rPr>
        <w:br/>
      </w:r>
      <w:r w:rsidRPr="00EF57A6">
        <w:rPr>
          <w:rFonts w:ascii="Arial" w:eastAsia="Times New Roman" w:hAnsi="Arial" w:cs="Arial"/>
          <w:color w:val="0F1115"/>
          <w:kern w:val="0"/>
          <w:sz w:val="22"/>
          <w:szCs w:val="22"/>
          <w:lang w:eastAsia="en-GB"/>
          <w14:ligatures w14:val="none"/>
        </w:rPr>
        <w:t>Tesco adopts a differentiated targeting strategy, developing distinct marketing mixes for its primary segments (Keller, 2019; McDonald and Wilson, 2011).</w:t>
      </w:r>
    </w:p>
    <w:p w14:paraId="00C6E97C" w14:textId="77777777" w:rsidR="00F577CF" w:rsidRPr="00EF57A6" w:rsidRDefault="00F577CF"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lastRenderedPageBreak/>
        <w:t>The Value-Focused Family (Core Target): This segment is highly sensitive to price and shops for bulk. The marketing mix focuses on the Aldi Price Match, multi-buy offers on family staples, and communicating the one-stop-shop convenience of large formats. The core message is reliability and smart saving (Mintel, 2024; Tesco PLC, 2023).</w:t>
      </w:r>
    </w:p>
    <w:p w14:paraId="69F7EFB1" w14:textId="77777777" w:rsidR="00F577CF" w:rsidRPr="00EF57A6" w:rsidRDefault="00F577CF"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The Time-Poor Professional (High-Value Target): This segment prioritises convenience, speed, and quality. They are targeted through the Tesco Express and Metro formats, the "Whoosh" rapid delivery service, and premium "Food to Go" and meal solution ranges. Marketing emphasises time-saving and quality (Chaffey and Ellis-Chadwick, 2022; Tesco PLC, 2023).</w:t>
      </w:r>
    </w:p>
    <w:p w14:paraId="67B35B9A" w14:textId="77777777" w:rsidR="00F577CF" w:rsidRPr="00EF57A6" w:rsidRDefault="00F577CF"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The Health-Conscious and Ethical Shopper (Growth Target): A growing and influential segment, targeted through dedicated product ranges like "Plant Chef" and "Tesco Finest*." Marketing communications focus on health credentials, nutritional information, sustainability, and animal welfare standards (Mintel, 2024; Tesco PLC, 2023).</w:t>
      </w:r>
    </w:p>
    <w:p w14:paraId="55969190" w14:textId="59528154" w:rsidR="00AA0110" w:rsidRDefault="00F577CF" w:rsidP="00423D95">
      <w:pPr>
        <w:spacing w:line="360" w:lineRule="auto"/>
        <w:rPr>
          <w:rFonts w:ascii="Arial" w:eastAsia="Times New Roman" w:hAnsi="Arial" w:cs="Arial"/>
          <w:color w:val="0F1115"/>
          <w:kern w:val="0"/>
          <w:sz w:val="22"/>
          <w:szCs w:val="22"/>
          <w:lang w:eastAsia="en-GB"/>
          <w14:ligatures w14:val="none"/>
        </w:rPr>
      </w:pPr>
      <w:r w:rsidRPr="00EF57A6">
        <w:rPr>
          <w:rFonts w:ascii="Arial" w:hAnsi="Arial" w:cs="Arial"/>
          <w:b/>
          <w:bCs/>
          <w:sz w:val="22"/>
          <w:szCs w:val="22"/>
        </w:rPr>
        <w:t>Positioning</w:t>
      </w:r>
      <w:r w:rsidRPr="00EF57A6">
        <w:rPr>
          <w:rFonts w:ascii="Arial" w:eastAsia="Times New Roman" w:hAnsi="Arial" w:cs="Arial"/>
          <w:b/>
          <w:bCs/>
          <w:color w:val="0F1115"/>
          <w:kern w:val="0"/>
          <w:sz w:val="22"/>
          <w:szCs w:val="22"/>
          <w:lang w:eastAsia="en-GB"/>
          <w14:ligatures w14:val="none"/>
        </w:rPr>
        <w:br/>
      </w:r>
      <w:r w:rsidRPr="00EF57A6">
        <w:rPr>
          <w:rFonts w:ascii="Arial" w:eastAsia="Times New Roman" w:hAnsi="Arial" w:cs="Arial"/>
          <w:color w:val="0F1115"/>
          <w:kern w:val="0"/>
          <w:sz w:val="22"/>
          <w:szCs w:val="22"/>
          <w:lang w:eastAsia="en-GB"/>
          <w14:ligatures w14:val="none"/>
        </w:rPr>
        <w:t>Tesco’s positioning strategy can be summarised by the statement: "For the smart shopper, Tesco delivers unbeatable value through Clubcard, without compromising on quality or convenience." It deliberately positions itself as the rational, intelligent choice in the middle ground</w:t>
      </w:r>
      <w:r w:rsidR="009E2082">
        <w:rPr>
          <w:rFonts w:ascii="Arial" w:eastAsia="Times New Roman" w:hAnsi="Arial" w:cs="Arial"/>
          <w:color w:val="0F1115"/>
          <w:kern w:val="0"/>
          <w:sz w:val="22"/>
          <w:szCs w:val="22"/>
          <w:lang w:eastAsia="en-GB"/>
          <w14:ligatures w14:val="none"/>
        </w:rPr>
        <w:t xml:space="preserve">, </w:t>
      </w:r>
      <w:r w:rsidRPr="00EF57A6">
        <w:rPr>
          <w:rFonts w:ascii="Arial" w:eastAsia="Times New Roman" w:hAnsi="Arial" w:cs="Arial"/>
          <w:color w:val="0F1115"/>
          <w:kern w:val="0"/>
          <w:sz w:val="22"/>
          <w:szCs w:val="22"/>
          <w:lang w:eastAsia="en-GB"/>
          <w14:ligatures w14:val="none"/>
        </w:rPr>
        <w:t>more trusted and with a wider range than the discounters, but more accessible and value-driven than the premium players. The "Aldi Price Match" and "Clubcard Prices" are not just promotions; they are fundamental to this value-centric positioning, designed to create a perception of fairness and market-leading value (Keller, 2019; Mintel, 2024; Wood, 2022). The goal is to be the default, trusted partner for the weekly shop.</w:t>
      </w:r>
    </w:p>
    <w:p w14:paraId="0577DCAA" w14:textId="77777777" w:rsidR="00423D95" w:rsidRPr="00423D95" w:rsidRDefault="00423D95" w:rsidP="00423D95">
      <w:pPr>
        <w:spacing w:line="360" w:lineRule="auto"/>
        <w:rPr>
          <w:rFonts w:ascii="Arial" w:eastAsia="Times New Roman" w:hAnsi="Arial" w:cs="Arial"/>
          <w:color w:val="0F1115"/>
          <w:kern w:val="0"/>
          <w:sz w:val="22"/>
          <w:szCs w:val="22"/>
          <w:lang w:eastAsia="en-GB"/>
          <w14:ligatures w14:val="none"/>
        </w:rPr>
      </w:pPr>
    </w:p>
    <w:p w14:paraId="5EF74A43" w14:textId="177DF116" w:rsidR="00EF57A6" w:rsidRPr="001D0CA8" w:rsidRDefault="000A1B5C" w:rsidP="001D0CA8">
      <w:pPr>
        <w:pStyle w:val="Heading2"/>
        <w:rPr>
          <w:rFonts w:ascii="Arial" w:hAnsi="Arial" w:cs="Arial"/>
        </w:rPr>
      </w:pPr>
      <w:bookmarkStart w:id="3" w:name="_Toc212748640"/>
      <w:r w:rsidRPr="001D0CA8">
        <w:rPr>
          <w:rFonts w:ascii="Arial" w:hAnsi="Arial" w:cs="Arial"/>
        </w:rPr>
        <w:t xml:space="preserve">3.2 </w:t>
      </w:r>
      <w:r w:rsidR="00466F06" w:rsidRPr="001D0CA8">
        <w:rPr>
          <w:rFonts w:ascii="Arial" w:hAnsi="Arial" w:cs="Arial"/>
        </w:rPr>
        <w:t>I</w:t>
      </w:r>
      <w:r w:rsidR="001A6763" w:rsidRPr="001D0CA8">
        <w:rPr>
          <w:rFonts w:ascii="Arial" w:hAnsi="Arial" w:cs="Arial"/>
        </w:rPr>
        <w:t>ntegrated Marketing Communications (IMC)</w:t>
      </w:r>
      <w:bookmarkEnd w:id="3"/>
    </w:p>
    <w:p w14:paraId="654417F6" w14:textId="7AB00357" w:rsidR="001A6763" w:rsidRPr="000A1B5C" w:rsidRDefault="001A6763" w:rsidP="000A1B5C">
      <w:pPr>
        <w:spacing w:line="360" w:lineRule="auto"/>
        <w:rPr>
          <w:rFonts w:ascii="Arial" w:hAnsi="Arial" w:cs="Arial"/>
          <w:sz w:val="22"/>
          <w:szCs w:val="22"/>
        </w:rPr>
      </w:pPr>
      <w:r w:rsidRPr="00EF57A6">
        <w:rPr>
          <w:rFonts w:eastAsia="Times New Roman"/>
          <w:color w:val="0F1115"/>
          <w:kern w:val="0"/>
          <w:lang w:eastAsia="en-GB"/>
          <w14:ligatures w14:val="none"/>
        </w:rPr>
        <w:br/>
      </w:r>
      <w:r w:rsidRPr="000A1B5C">
        <w:rPr>
          <w:rFonts w:ascii="Arial" w:eastAsia="Times New Roman" w:hAnsi="Arial" w:cs="Arial"/>
          <w:color w:val="0F1115"/>
          <w:kern w:val="0"/>
          <w:sz w:val="22"/>
          <w:szCs w:val="22"/>
          <w:lang w:eastAsia="en-GB"/>
          <w14:ligatures w14:val="none"/>
        </w:rPr>
        <w:t>To bring the STP strategy to life, a fully integrated communications plan is essential (Keller, 2019; McDonald and Wilson, 2011).</w:t>
      </w:r>
    </w:p>
    <w:p w14:paraId="00582D12" w14:textId="147BF0E6" w:rsidR="001A6763" w:rsidRPr="000A1B5C" w:rsidRDefault="001A6763" w:rsidP="000A1B5C">
      <w:pPr>
        <w:spacing w:line="360" w:lineRule="auto"/>
        <w:rPr>
          <w:rFonts w:ascii="Arial" w:eastAsia="Times New Roman" w:hAnsi="Arial" w:cs="Arial"/>
          <w:color w:val="0F1115"/>
          <w:kern w:val="0"/>
          <w:sz w:val="22"/>
          <w:szCs w:val="22"/>
          <w:lang w:eastAsia="en-GB"/>
          <w14:ligatures w14:val="none"/>
        </w:rPr>
      </w:pPr>
      <w:r w:rsidRPr="000A1B5C">
        <w:rPr>
          <w:rFonts w:ascii="Arial" w:eastAsia="Times New Roman" w:hAnsi="Arial" w:cs="Arial"/>
          <w:color w:val="0F1115"/>
          <w:kern w:val="0"/>
          <w:sz w:val="22"/>
          <w:szCs w:val="22"/>
          <w:lang w:eastAsia="en-GB"/>
          <w14:ligatures w14:val="none"/>
        </w:rPr>
        <w:t>Advertising: Sustain the high-profile "Clubcard Prices" campaign on TV and video-on-demand platforms to reinforce the core value message. In parallel, launch a supportive campaign titled "Quality You Can Trust," focusing on the sourcing, innovation, and taste credentials of the Tesco Finest and Plant Chef ranges, using credible influencers to build authenticity (Keller, 2019; Mintel, 2024; Tesco PLC, 2023).</w:t>
      </w:r>
    </w:p>
    <w:p w14:paraId="51C5CE86" w14:textId="21B6B801" w:rsidR="001A6763" w:rsidRPr="000A1B5C" w:rsidRDefault="001A6763" w:rsidP="000A1B5C">
      <w:pPr>
        <w:spacing w:line="360" w:lineRule="auto"/>
        <w:rPr>
          <w:rFonts w:ascii="Arial" w:eastAsia="Times New Roman" w:hAnsi="Arial" w:cs="Arial"/>
          <w:color w:val="0F1115"/>
          <w:kern w:val="0"/>
          <w:sz w:val="22"/>
          <w:szCs w:val="22"/>
          <w:lang w:eastAsia="en-GB"/>
          <w14:ligatures w14:val="none"/>
        </w:rPr>
      </w:pPr>
      <w:r w:rsidRPr="000A1B5C">
        <w:rPr>
          <w:rFonts w:ascii="Arial" w:eastAsia="Times New Roman" w:hAnsi="Arial" w:cs="Arial"/>
          <w:color w:val="0F1115"/>
          <w:kern w:val="0"/>
          <w:sz w:val="22"/>
          <w:szCs w:val="22"/>
          <w:lang w:eastAsia="en-GB"/>
          <w14:ligatures w14:val="none"/>
        </w:rPr>
        <w:lastRenderedPageBreak/>
        <w:t>Sales Promotion: The Clubcard will remain the primary promotional vehicle, with offers personalised from purchase history. Supplement this with targeted "Bonus Point" events on high-margin categories and "App-Exclusive Flash Sales" to drive digital engagement and create urgency (</w:t>
      </w:r>
      <w:r w:rsidR="00DA01C9" w:rsidRPr="00DA01C9">
        <w:rPr>
          <w:rFonts w:ascii="Arial" w:eastAsia="Times New Roman" w:hAnsi="Arial" w:cs="Arial"/>
          <w:color w:val="0F1115"/>
          <w:kern w:val="0"/>
          <w:sz w:val="22"/>
          <w:szCs w:val="22"/>
          <w:lang w:eastAsia="en-GB"/>
          <w14:ligatures w14:val="none"/>
        </w:rPr>
        <w:t>GoodGrowth, 2024</w:t>
      </w:r>
      <w:r w:rsidRPr="000A1B5C">
        <w:rPr>
          <w:rFonts w:ascii="Arial" w:eastAsia="Times New Roman" w:hAnsi="Arial" w:cs="Arial"/>
          <w:color w:val="0F1115"/>
          <w:kern w:val="0"/>
          <w:sz w:val="22"/>
          <w:szCs w:val="22"/>
          <w:lang w:eastAsia="en-GB"/>
          <w14:ligatures w14:val="none"/>
        </w:rPr>
        <w:t>; Chaffey and Ellis-Chadwick, 2022).</w:t>
      </w:r>
    </w:p>
    <w:p w14:paraId="2C90D35C" w14:textId="71C11EA0" w:rsidR="001A6763" w:rsidRPr="000A1B5C" w:rsidRDefault="001A6763" w:rsidP="000A1B5C">
      <w:pPr>
        <w:spacing w:line="360" w:lineRule="auto"/>
        <w:rPr>
          <w:rFonts w:ascii="Arial" w:eastAsia="Times New Roman" w:hAnsi="Arial" w:cs="Arial"/>
          <w:color w:val="0F1115"/>
          <w:kern w:val="0"/>
          <w:sz w:val="22"/>
          <w:szCs w:val="22"/>
          <w:lang w:eastAsia="en-GB"/>
          <w14:ligatures w14:val="none"/>
        </w:rPr>
      </w:pPr>
      <w:r w:rsidRPr="000A1B5C">
        <w:rPr>
          <w:rFonts w:ascii="Arial" w:eastAsia="Times New Roman" w:hAnsi="Arial" w:cs="Arial"/>
          <w:color w:val="0F1115"/>
          <w:kern w:val="0"/>
          <w:sz w:val="22"/>
          <w:szCs w:val="22"/>
          <w:lang w:eastAsia="en-GB"/>
          <w14:ligatures w14:val="none"/>
        </w:rPr>
        <w:t>Public Relations &amp; Sponsorship: Proactively manage corporate reputation by publicly reporting on progress towards environmental and social goals. Pursue strategic partnerships with health and family-focused organisations (e.g., a continued partnership with Disney, or a new one with a mental health charity) to build positive brand associations and demonstrate community commitment (Tesco PLC, 2023; Hollensen, 2020).</w:t>
      </w:r>
    </w:p>
    <w:p w14:paraId="72542629" w14:textId="042F959E" w:rsidR="004959BD" w:rsidRDefault="00FB4E9F" w:rsidP="000A1B5C">
      <w:pPr>
        <w:spacing w:line="360" w:lineRule="auto"/>
        <w:rPr>
          <w:rFonts w:ascii="Arial" w:eastAsia="Times New Roman" w:hAnsi="Arial" w:cs="Arial"/>
          <w:color w:val="0F1115"/>
          <w:kern w:val="0"/>
          <w:sz w:val="22"/>
          <w:szCs w:val="22"/>
          <w:lang w:eastAsia="en-GB"/>
          <w14:ligatures w14:val="none"/>
        </w:rPr>
      </w:pPr>
      <w:r w:rsidRPr="000A1B5C">
        <w:rPr>
          <w:rFonts w:ascii="Arial" w:eastAsia="Times New Roman" w:hAnsi="Arial" w:cs="Arial"/>
          <w:color w:val="0F1115"/>
          <w:kern w:val="0"/>
          <w:sz w:val="22"/>
          <w:szCs w:val="22"/>
          <w:lang w:eastAsia="en-GB"/>
          <w14:ligatures w14:val="none"/>
        </w:rPr>
        <w:t>D</w:t>
      </w:r>
      <w:r w:rsidR="001A6763" w:rsidRPr="000A1B5C">
        <w:rPr>
          <w:rFonts w:ascii="Arial" w:eastAsia="Times New Roman" w:hAnsi="Arial" w:cs="Arial"/>
          <w:color w:val="0F1115"/>
          <w:kern w:val="0"/>
          <w:sz w:val="22"/>
          <w:szCs w:val="22"/>
          <w:lang w:eastAsia="en-GB"/>
          <w14:ligatures w14:val="none"/>
        </w:rPr>
        <w:t xml:space="preserve">igital &amp; Direct Marketing: Fully leverage the Clubcard data for precision marketing. This includes behaviour-triggered email sequences, personalised push notifications via the app, and programmatic online advertising that retargets users with products they have viewed. A strengthened social media strategy on platforms like Instagram and TikTok, focusing on quick recipes and "smart shop" hauls, will be crucial for engaging younger demographics (Chaffey and Ellis-Chadwick, 2022; </w:t>
      </w:r>
      <w:r w:rsidR="00DA01C9" w:rsidRPr="00DA01C9">
        <w:rPr>
          <w:rFonts w:ascii="Arial" w:eastAsia="Times New Roman" w:hAnsi="Arial" w:cs="Arial"/>
          <w:color w:val="0F1115"/>
          <w:kern w:val="0"/>
          <w:sz w:val="22"/>
          <w:szCs w:val="22"/>
          <w:lang w:eastAsia="en-GB"/>
          <w14:ligatures w14:val="none"/>
        </w:rPr>
        <w:t>GoodGrowth, 2024</w:t>
      </w:r>
      <w:r w:rsidR="001A6763" w:rsidRPr="000A1B5C">
        <w:rPr>
          <w:rFonts w:ascii="Arial" w:eastAsia="Times New Roman" w:hAnsi="Arial" w:cs="Arial"/>
          <w:color w:val="0F1115"/>
          <w:kern w:val="0"/>
          <w:sz w:val="22"/>
          <w:szCs w:val="22"/>
          <w:lang w:eastAsia="en-GB"/>
          <w14:ligatures w14:val="none"/>
        </w:rPr>
        <w:t>)</w:t>
      </w:r>
      <w:r w:rsidR="0052681B" w:rsidRPr="000A1B5C">
        <w:rPr>
          <w:rFonts w:ascii="Arial" w:eastAsia="Times New Roman" w:hAnsi="Arial" w:cs="Arial"/>
          <w:color w:val="0F1115"/>
          <w:kern w:val="0"/>
          <w:sz w:val="22"/>
          <w:szCs w:val="22"/>
          <w:lang w:eastAsia="en-GB"/>
          <w14:ligatures w14:val="none"/>
        </w:rPr>
        <w:t>.</w:t>
      </w:r>
    </w:p>
    <w:p w14:paraId="20269A86" w14:textId="77777777" w:rsidR="00423D95" w:rsidRPr="000A1B5C" w:rsidRDefault="00423D95" w:rsidP="000A1B5C">
      <w:pPr>
        <w:spacing w:line="360" w:lineRule="auto"/>
        <w:rPr>
          <w:rFonts w:ascii="Arial" w:eastAsia="Times New Roman" w:hAnsi="Arial" w:cs="Arial"/>
          <w:color w:val="0F1115"/>
          <w:kern w:val="0"/>
          <w:sz w:val="22"/>
          <w:szCs w:val="22"/>
          <w:lang w:eastAsia="en-GB"/>
          <w14:ligatures w14:val="none"/>
        </w:rPr>
      </w:pPr>
    </w:p>
    <w:p w14:paraId="73041E4A" w14:textId="72489ECC" w:rsidR="0052681B" w:rsidRPr="000A1B5C" w:rsidRDefault="0099112A" w:rsidP="001D0CA8">
      <w:pPr>
        <w:pStyle w:val="Heading2"/>
        <w:rPr>
          <w:rFonts w:eastAsia="Times New Roman"/>
          <w:lang w:eastAsia="en-GB"/>
        </w:rPr>
      </w:pPr>
      <w:bookmarkStart w:id="4" w:name="_Toc212748641"/>
      <w:r w:rsidRPr="000A1B5C">
        <w:rPr>
          <w:lang w:eastAsia="en-GB"/>
        </w:rPr>
        <w:t>3.3 Ansoff Matrix</w:t>
      </w:r>
      <w:bookmarkEnd w:id="4"/>
    </w:p>
    <w:p w14:paraId="04F0DB4D" w14:textId="47290BA0" w:rsidR="00FB4E9F" w:rsidRPr="00EF57A6" w:rsidRDefault="0099112A"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color w:val="0F1115"/>
          <w:kern w:val="0"/>
          <w:sz w:val="22"/>
          <w:szCs w:val="22"/>
          <w:lang w:eastAsia="en-GB"/>
          <w14:ligatures w14:val="none"/>
        </w:rPr>
        <w:t>The Ansoff Matrix provides a framework for evaluating strategic growth paths (McDonald and Wilson, 2011).</w:t>
      </w:r>
    </w:p>
    <w:p w14:paraId="497946BC" w14:textId="60D11129" w:rsidR="00FB4E9F" w:rsidRPr="00EF57A6" w:rsidRDefault="0099112A"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b/>
          <w:bCs/>
          <w:color w:val="0F1115"/>
          <w:kern w:val="0"/>
          <w:sz w:val="22"/>
          <w:szCs w:val="22"/>
          <w:lang w:eastAsia="en-GB"/>
          <w14:ligatures w14:val="none"/>
        </w:rPr>
        <w:t xml:space="preserve">Market Penetration (Existing Markets, Existing Products): </w:t>
      </w:r>
      <w:r w:rsidRPr="00EF57A6">
        <w:rPr>
          <w:rFonts w:ascii="Arial" w:eastAsia="Times New Roman" w:hAnsi="Arial" w:cs="Arial"/>
          <w:color w:val="0F1115"/>
          <w:kern w:val="0"/>
          <w:sz w:val="22"/>
          <w:szCs w:val="22"/>
          <w:lang w:eastAsia="en-GB"/>
          <w14:ligatures w14:val="none"/>
        </w:rPr>
        <w:t>This is the primary and most critical strategy. The objective is to increase share of wallet from existing customers in the UK. This will be achieved by deepening Clubcard loyalty, enhancing the perceived strength of the Aldi Price Match, and systematically improving the in-store and online customer experience to increase frequency and basket size (</w:t>
      </w:r>
      <w:r w:rsidR="00DA01C9" w:rsidRPr="00DA01C9">
        <w:rPr>
          <w:rFonts w:ascii="Arial" w:eastAsia="Times New Roman" w:hAnsi="Arial" w:cs="Arial"/>
          <w:color w:val="0F1115"/>
          <w:kern w:val="0"/>
          <w:sz w:val="22"/>
          <w:szCs w:val="22"/>
          <w:lang w:eastAsia="en-GB"/>
          <w14:ligatures w14:val="none"/>
        </w:rPr>
        <w:t>GoodGrowth, 2024</w:t>
      </w:r>
      <w:r w:rsidRPr="00EF57A6">
        <w:rPr>
          <w:rFonts w:ascii="Arial" w:eastAsia="Times New Roman" w:hAnsi="Arial" w:cs="Arial"/>
          <w:color w:val="0F1115"/>
          <w:kern w:val="0"/>
          <w:sz w:val="22"/>
          <w:szCs w:val="22"/>
          <w:lang w:eastAsia="en-GB"/>
          <w14:ligatures w14:val="none"/>
        </w:rPr>
        <w:t>; Chaffey and Ellis-Chadwick, 2022; Wood, 2022).</w:t>
      </w:r>
    </w:p>
    <w:p w14:paraId="084DBE2D" w14:textId="050EF2F8" w:rsidR="0099112A" w:rsidRPr="00EF57A6" w:rsidRDefault="0099112A"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b/>
          <w:bCs/>
          <w:color w:val="0F1115"/>
          <w:kern w:val="0"/>
          <w:sz w:val="22"/>
          <w:szCs w:val="22"/>
          <w:lang w:eastAsia="en-GB"/>
          <w14:ligatures w14:val="none"/>
        </w:rPr>
        <w:t xml:space="preserve">Product Development (Existing Markets, New Products): </w:t>
      </w:r>
      <w:r w:rsidRPr="00EF57A6">
        <w:rPr>
          <w:rFonts w:ascii="Arial" w:eastAsia="Times New Roman" w:hAnsi="Arial" w:cs="Arial"/>
          <w:color w:val="0F1115"/>
          <w:kern w:val="0"/>
          <w:sz w:val="22"/>
          <w:szCs w:val="22"/>
          <w:lang w:eastAsia="en-GB"/>
          <w14:ligatures w14:val="none"/>
        </w:rPr>
        <w:t>This is a key growth lever. Tesco must maintain a relentless pace of innovation in its own-brand portfolio, particularly in high-growth categories such as plant-based proteins, world foods, health-focused snacks, and premium ready meals. This allows it to capture more margin and differentiate itself from competitors (Varadarajan, 2020; Mintel, 2024).</w:t>
      </w:r>
    </w:p>
    <w:p w14:paraId="7F9213FC" w14:textId="101FFE07" w:rsidR="0099112A" w:rsidRPr="00EF57A6" w:rsidRDefault="0099112A" w:rsidP="00EF57A6">
      <w:pPr>
        <w:spacing w:line="360" w:lineRule="auto"/>
        <w:rPr>
          <w:rFonts w:ascii="Arial" w:eastAsia="Times New Roman" w:hAnsi="Arial" w:cs="Arial"/>
          <w:b/>
          <w:bCs/>
          <w:color w:val="0F1115"/>
          <w:kern w:val="0"/>
          <w:sz w:val="22"/>
          <w:szCs w:val="22"/>
          <w:lang w:eastAsia="en-GB"/>
          <w14:ligatures w14:val="none"/>
        </w:rPr>
      </w:pPr>
      <w:r w:rsidRPr="00EF57A6">
        <w:rPr>
          <w:rFonts w:ascii="Arial" w:eastAsia="Times New Roman" w:hAnsi="Arial" w:cs="Arial"/>
          <w:b/>
          <w:bCs/>
          <w:color w:val="0F1115"/>
          <w:kern w:val="0"/>
          <w:sz w:val="22"/>
          <w:szCs w:val="22"/>
          <w:lang w:eastAsia="en-GB"/>
          <w14:ligatures w14:val="none"/>
        </w:rPr>
        <w:t xml:space="preserve">Market Development (New Markets, Existing Products): </w:t>
      </w:r>
      <w:r w:rsidRPr="00EF57A6">
        <w:rPr>
          <w:rFonts w:ascii="Arial" w:eastAsia="Times New Roman" w:hAnsi="Arial" w:cs="Arial"/>
          <w:color w:val="0F1115"/>
          <w:kern w:val="0"/>
          <w:sz w:val="22"/>
          <w:szCs w:val="22"/>
          <w:lang w:eastAsia="en-GB"/>
          <w14:ligatures w14:val="none"/>
        </w:rPr>
        <w:t xml:space="preserve">With limited geographical expansion in the UK, this translates to targeting new demographic segments. Examples </w:t>
      </w:r>
      <w:r w:rsidRPr="00EF57A6">
        <w:rPr>
          <w:rFonts w:ascii="Arial" w:eastAsia="Times New Roman" w:hAnsi="Arial" w:cs="Arial"/>
          <w:color w:val="0F1115"/>
          <w:kern w:val="0"/>
          <w:sz w:val="22"/>
          <w:szCs w:val="22"/>
          <w:lang w:eastAsia="en-GB"/>
          <w14:ligatures w14:val="none"/>
        </w:rPr>
        <w:lastRenderedPageBreak/>
        <w:t>include developing tailored value bundles and payment plans for students, or creating specific services and product assortments for the ageing population (Mintel, 2024).</w:t>
      </w:r>
    </w:p>
    <w:p w14:paraId="2911EEDA" w14:textId="267C7A1E" w:rsidR="004959BD" w:rsidRPr="00EF57A6" w:rsidRDefault="00FB4E9F"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b/>
          <w:bCs/>
          <w:color w:val="0F1115"/>
          <w:kern w:val="0"/>
          <w:sz w:val="22"/>
          <w:szCs w:val="22"/>
          <w:lang w:eastAsia="en-GB"/>
          <w14:ligatures w14:val="none"/>
        </w:rPr>
        <w:t>D</w:t>
      </w:r>
      <w:r w:rsidR="0099112A" w:rsidRPr="00EF57A6">
        <w:rPr>
          <w:rFonts w:ascii="Arial" w:eastAsia="Times New Roman" w:hAnsi="Arial" w:cs="Arial"/>
          <w:b/>
          <w:bCs/>
          <w:color w:val="0F1115"/>
          <w:kern w:val="0"/>
          <w:sz w:val="22"/>
          <w:szCs w:val="22"/>
          <w:lang w:eastAsia="en-GB"/>
          <w14:ligatures w14:val="none"/>
        </w:rPr>
        <w:t xml:space="preserve">iversification (New Markets, New Products): </w:t>
      </w:r>
      <w:r w:rsidR="0099112A" w:rsidRPr="00EF57A6">
        <w:rPr>
          <w:rFonts w:ascii="Arial" w:eastAsia="Times New Roman" w:hAnsi="Arial" w:cs="Arial"/>
          <w:color w:val="0F1115"/>
          <w:kern w:val="0"/>
          <w:sz w:val="22"/>
          <w:szCs w:val="22"/>
          <w:lang w:eastAsia="en-GB"/>
          <w14:ligatures w14:val="none"/>
        </w:rPr>
        <w:t>This is a higher-risk, longer-term strategy. A logical diversification for Tesco would be to launch a Tesco Energy tariff, competing directly with other supermarkets in the utilities market. Alternatively, it could develop a trusted online marketplace for third-party non-food sellers, leveraging its brand and logistics network (Tesco PLC, 2023; McDonald and Wilson, 2011).</w:t>
      </w:r>
    </w:p>
    <w:p w14:paraId="13D7F2FC" w14:textId="1777AA0C" w:rsidR="00681A0D" w:rsidRPr="00EF57A6" w:rsidRDefault="00681A0D" w:rsidP="00FA59F3">
      <w:pPr>
        <w:pStyle w:val="Heading1"/>
        <w:numPr>
          <w:ilvl w:val="0"/>
          <w:numId w:val="24"/>
        </w:numPr>
        <w:rPr>
          <w:rFonts w:ascii="Arial" w:eastAsia="Times New Roman" w:hAnsi="Arial" w:cs="Arial"/>
          <w:lang w:eastAsia="en-GB"/>
        </w:rPr>
      </w:pPr>
      <w:bookmarkStart w:id="5" w:name="_Toc212748642"/>
      <w:r w:rsidRPr="00EF57A6">
        <w:rPr>
          <w:rFonts w:ascii="Arial" w:eastAsia="Times New Roman" w:hAnsi="Arial" w:cs="Arial"/>
          <w:lang w:eastAsia="en-GB"/>
        </w:rPr>
        <w:t>Marketing Mix Strategies: 7Ps</w:t>
      </w:r>
      <w:bookmarkEnd w:id="5"/>
    </w:p>
    <w:p w14:paraId="4FF551D2" w14:textId="77777777" w:rsidR="00AB58D3" w:rsidRPr="00EF57A6" w:rsidRDefault="00AB58D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b/>
          <w:bCs/>
          <w:color w:val="0F1115"/>
          <w:kern w:val="0"/>
          <w:sz w:val="22"/>
          <w:szCs w:val="22"/>
          <w:lang w:eastAsia="en-GB"/>
          <w14:ligatures w14:val="none"/>
        </w:rPr>
        <w:t>The 7Ps framework translates the overarching strategy into actionable tactical plans.</w:t>
      </w:r>
      <w:r w:rsidRPr="00EF57A6">
        <w:rPr>
          <w:rFonts w:ascii="Arial" w:eastAsia="Times New Roman" w:hAnsi="Arial" w:cs="Arial"/>
          <w:color w:val="0F1115"/>
          <w:kern w:val="0"/>
          <w:sz w:val="22"/>
          <w:szCs w:val="22"/>
          <w:lang w:eastAsia="en-GB"/>
          <w14:ligatures w14:val="none"/>
        </w:rPr>
        <w:t xml:space="preserve"> (McDonald and Wilson, 2011)</w:t>
      </w:r>
    </w:p>
    <w:p w14:paraId="6E86A7A9" w14:textId="77777777" w:rsidR="0052681B" w:rsidRPr="00EF57A6" w:rsidRDefault="00AB58D3" w:rsidP="00EF57A6">
      <w:pPr>
        <w:spacing w:line="360" w:lineRule="auto"/>
        <w:rPr>
          <w:rFonts w:ascii="Arial" w:eastAsia="Times New Roman" w:hAnsi="Arial" w:cs="Arial"/>
          <w:color w:val="0F1115"/>
          <w:kern w:val="0"/>
          <w:sz w:val="22"/>
          <w:szCs w:val="22"/>
          <w:lang w:eastAsia="en-GB"/>
          <w14:ligatures w14:val="none"/>
        </w:rPr>
      </w:pPr>
      <w:r w:rsidRPr="00EF57A6">
        <w:rPr>
          <w:rFonts w:ascii="Arial" w:hAnsi="Arial" w:cs="Arial"/>
          <w:b/>
          <w:bCs/>
          <w:sz w:val="22"/>
          <w:szCs w:val="22"/>
          <w:lang w:eastAsia="en-GB"/>
        </w:rPr>
        <w:t>1. Product</w:t>
      </w:r>
      <w:r w:rsidRPr="00EF57A6">
        <w:rPr>
          <w:rFonts w:ascii="Arial" w:eastAsia="Times New Roman" w:hAnsi="Arial" w:cs="Arial"/>
          <w:color w:val="0F1115"/>
          <w:kern w:val="0"/>
          <w:sz w:val="22"/>
          <w:szCs w:val="22"/>
          <w:lang w:eastAsia="en-GB"/>
          <w14:ligatures w14:val="none"/>
        </w:rPr>
        <w:br/>
        <w:t>Tesco must continue to enhance its tiered own-brand strategy, which is critical for differentiation and margin. The "Tesco Value" range must be seen as the definitive budget choice. The standard "Tesco" range needs consistent quality assurance. The "Tesco Finest" range requires continuous innovation and premiumisation to justify its price point and compete with Waitrose. A dedicated R&amp;D focus should be applied to the "Plant Chef" and "Free From" ranges to ensure they are perceived as category leaders in taste and quality, not just copycats (Mintel, 2024; Varadarajan, 2020; Tesco PLC, 2023).</w:t>
      </w:r>
    </w:p>
    <w:p w14:paraId="5FDB5C84" w14:textId="7B48EA70" w:rsidR="00AB58D3" w:rsidRPr="00EF57A6" w:rsidRDefault="00AB58D3" w:rsidP="00EF57A6">
      <w:pPr>
        <w:spacing w:line="360" w:lineRule="auto"/>
        <w:rPr>
          <w:rFonts w:ascii="Arial" w:eastAsia="Times New Roman" w:hAnsi="Arial" w:cs="Arial"/>
          <w:color w:val="0F1115"/>
          <w:kern w:val="0"/>
          <w:sz w:val="22"/>
          <w:szCs w:val="22"/>
          <w:lang w:eastAsia="en-GB"/>
          <w14:ligatures w14:val="none"/>
        </w:rPr>
      </w:pPr>
      <w:r w:rsidRPr="00EF57A6">
        <w:rPr>
          <w:rFonts w:ascii="Arial" w:hAnsi="Arial" w:cs="Arial"/>
          <w:b/>
          <w:bCs/>
          <w:sz w:val="22"/>
          <w:szCs w:val="22"/>
          <w:lang w:eastAsia="en-GB"/>
        </w:rPr>
        <w:t>2. Price</w:t>
      </w:r>
      <w:r w:rsidRPr="00EF57A6">
        <w:rPr>
          <w:rFonts w:ascii="Arial" w:eastAsia="Times New Roman" w:hAnsi="Arial" w:cs="Arial"/>
          <w:color w:val="0F1115"/>
          <w:kern w:val="0"/>
          <w:sz w:val="22"/>
          <w:szCs w:val="22"/>
          <w:lang w:eastAsia="en-GB"/>
          <w14:ligatures w14:val="none"/>
        </w:rPr>
        <w:br/>
        <w:t xml:space="preserve">The hybrid pricing strategy of EDLP on staples and promotional Clubcard Prices on a wide array of goods should be maintained and refined. The credibility of the Aldi Price Match is paramount; it requires constant monitoring to ensure matched products are in stock. Furthermore, Tesco should explore more advanced, data-driven personalised pricing, offering its most loyal customers (as identified by Clubcard data) superior deals on their most-purchased items, thereby reinforcing the value of loyalty (Wood, 2022; Chaffey and Ellis-Chadwick, 2022; </w:t>
      </w:r>
      <w:r w:rsidR="00DA01C9" w:rsidRPr="00DA01C9">
        <w:rPr>
          <w:rFonts w:ascii="Arial" w:eastAsia="Times New Roman" w:hAnsi="Arial" w:cs="Arial"/>
          <w:color w:val="0F1115"/>
          <w:kern w:val="0"/>
          <w:sz w:val="22"/>
          <w:szCs w:val="22"/>
          <w:lang w:eastAsia="en-GB"/>
          <w14:ligatures w14:val="none"/>
        </w:rPr>
        <w:t>GoodGrowth, 2024</w:t>
      </w:r>
      <w:r w:rsidRPr="00EF57A6">
        <w:rPr>
          <w:rFonts w:ascii="Arial" w:eastAsia="Times New Roman" w:hAnsi="Arial" w:cs="Arial"/>
          <w:color w:val="0F1115"/>
          <w:kern w:val="0"/>
          <w:sz w:val="22"/>
          <w:szCs w:val="22"/>
          <w:lang w:eastAsia="en-GB"/>
          <w14:ligatures w14:val="none"/>
        </w:rPr>
        <w:t>).</w:t>
      </w:r>
    </w:p>
    <w:p w14:paraId="7D791342" w14:textId="0A5848B5" w:rsidR="00AB58D3" w:rsidRPr="00EF57A6" w:rsidRDefault="00AB58D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b/>
          <w:bCs/>
          <w:color w:val="0F1115"/>
          <w:kern w:val="0"/>
          <w:sz w:val="22"/>
          <w:szCs w:val="22"/>
          <w:lang w:eastAsia="en-GB"/>
          <w14:ligatures w14:val="none"/>
        </w:rPr>
        <w:t>3. Place</w:t>
      </w:r>
      <w:r w:rsidRPr="00EF57A6">
        <w:rPr>
          <w:rFonts w:ascii="Arial" w:eastAsia="Times New Roman" w:hAnsi="Arial" w:cs="Arial"/>
          <w:color w:val="0F1115"/>
          <w:kern w:val="0"/>
          <w:sz w:val="22"/>
          <w:szCs w:val="22"/>
          <w:lang w:eastAsia="en-GB"/>
          <w14:ligatures w14:val="none"/>
        </w:rPr>
        <w:br/>
        <w:t xml:space="preserve">The omnichannel experience must be seamless. Investment is needed in technology to provide real-time inventory visibility across all channels. The rapid-delivery "Whoosh" service should be expanded to more locations to win the convenience battle. A strategic review of the large-store estate is necessary; underperforming Extras could be downsized or partially repurposed as "dark stores" to improve online picking efficiency. Building a more resilient, </w:t>
      </w:r>
      <w:r w:rsidRPr="00EF57A6">
        <w:rPr>
          <w:rFonts w:ascii="Arial" w:eastAsia="Times New Roman" w:hAnsi="Arial" w:cs="Arial"/>
          <w:color w:val="0F1115"/>
          <w:kern w:val="0"/>
          <w:sz w:val="22"/>
          <w:szCs w:val="22"/>
          <w:lang w:eastAsia="en-GB"/>
          <w14:ligatures w14:val="none"/>
        </w:rPr>
        <w:lastRenderedPageBreak/>
        <w:t xml:space="preserve">agile supply chain through technology and nearshoring is essential to mitigate disruption risks (Chaffey and Ellis-Chadwick, 2022; Tesco PLC, 2023; </w:t>
      </w:r>
      <w:r w:rsidR="001C0E3C" w:rsidRPr="001C0E3C">
        <w:rPr>
          <w:rFonts w:ascii="Arial" w:eastAsia="Times New Roman" w:hAnsi="Arial" w:cs="Arial"/>
          <w:color w:val="0F1115"/>
          <w:kern w:val="0"/>
          <w:sz w:val="22"/>
          <w:szCs w:val="22"/>
          <w:lang w:eastAsia="en-GB"/>
          <w14:ligatures w14:val="none"/>
        </w:rPr>
        <w:t>Neuhaus et al., 2022</w:t>
      </w:r>
      <w:r w:rsidRPr="00EF57A6">
        <w:rPr>
          <w:rFonts w:ascii="Arial" w:eastAsia="Times New Roman" w:hAnsi="Arial" w:cs="Arial"/>
          <w:color w:val="0F1115"/>
          <w:kern w:val="0"/>
          <w:sz w:val="22"/>
          <w:szCs w:val="22"/>
          <w:lang w:eastAsia="en-GB"/>
          <w14:ligatures w14:val="none"/>
        </w:rPr>
        <w:t>).</w:t>
      </w:r>
    </w:p>
    <w:p w14:paraId="28E4CCFB" w14:textId="0640F910" w:rsidR="00AB58D3" w:rsidRPr="00EF57A6" w:rsidRDefault="00AB58D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b/>
          <w:bCs/>
          <w:color w:val="0F1115"/>
          <w:kern w:val="0"/>
          <w:sz w:val="22"/>
          <w:szCs w:val="22"/>
          <w:lang w:eastAsia="en-GB"/>
          <w14:ligatures w14:val="none"/>
        </w:rPr>
        <w:t>4. Promotion</w:t>
      </w:r>
      <w:r w:rsidRPr="00EF57A6">
        <w:rPr>
          <w:rFonts w:ascii="Arial" w:eastAsia="Times New Roman" w:hAnsi="Arial" w:cs="Arial"/>
          <w:color w:val="0F1115"/>
          <w:kern w:val="0"/>
          <w:sz w:val="22"/>
          <w:szCs w:val="22"/>
          <w:lang w:eastAsia="en-GB"/>
          <w14:ligatures w14:val="none"/>
        </w:rPr>
        <w:br/>
        <w:t xml:space="preserve">The IMC plan outlined in section 3.2 provides the roadmap. The key is integration and consistency, ensuring the "value through Clubcard" message is unified from TV ads to the in-store shelf-edge labels. All promotional activities should be designed to feed data back into the Clubcard system, creating a virtuous cycle of increasing personalisation and effectiveness (Keller, 2019; Chaffey and Ellis-Chadwick, 2022; </w:t>
      </w:r>
      <w:r w:rsidR="00DA01C9" w:rsidRPr="00DA01C9">
        <w:rPr>
          <w:rFonts w:ascii="Arial" w:eastAsia="Times New Roman" w:hAnsi="Arial" w:cs="Arial"/>
          <w:color w:val="0F1115"/>
          <w:kern w:val="0"/>
          <w:sz w:val="22"/>
          <w:szCs w:val="22"/>
          <w:lang w:eastAsia="en-GB"/>
          <w14:ligatures w14:val="none"/>
        </w:rPr>
        <w:t>GoodGrowth, 2024</w:t>
      </w:r>
      <w:r w:rsidRPr="00EF57A6">
        <w:rPr>
          <w:rFonts w:ascii="Arial" w:eastAsia="Times New Roman" w:hAnsi="Arial" w:cs="Arial"/>
          <w:color w:val="0F1115"/>
          <w:kern w:val="0"/>
          <w:sz w:val="22"/>
          <w:szCs w:val="22"/>
          <w:lang w:eastAsia="en-GB"/>
          <w14:ligatures w14:val="none"/>
        </w:rPr>
        <w:t>).</w:t>
      </w:r>
    </w:p>
    <w:p w14:paraId="6C98725A" w14:textId="77777777" w:rsidR="00AB58D3" w:rsidRPr="00EF57A6" w:rsidRDefault="00AB58D3" w:rsidP="00EF57A6">
      <w:pPr>
        <w:spacing w:line="360" w:lineRule="auto"/>
        <w:rPr>
          <w:rFonts w:ascii="Arial" w:eastAsia="Times New Roman" w:hAnsi="Arial" w:cs="Arial"/>
          <w:color w:val="0F1115"/>
          <w:kern w:val="0"/>
          <w:sz w:val="22"/>
          <w:szCs w:val="22"/>
          <w:lang w:eastAsia="en-GB"/>
          <w14:ligatures w14:val="none"/>
        </w:rPr>
      </w:pPr>
      <w:r w:rsidRPr="00EF57A6">
        <w:rPr>
          <w:rFonts w:ascii="Arial" w:eastAsia="Times New Roman" w:hAnsi="Arial" w:cs="Arial"/>
          <w:b/>
          <w:bCs/>
          <w:color w:val="0F1115"/>
          <w:kern w:val="0"/>
          <w:sz w:val="22"/>
          <w:szCs w:val="22"/>
          <w:lang w:eastAsia="en-GB"/>
          <w14:ligatures w14:val="none"/>
        </w:rPr>
        <w:t>5. People</w:t>
      </w:r>
      <w:r w:rsidRPr="00EF57A6">
        <w:rPr>
          <w:rFonts w:ascii="Arial" w:eastAsia="Times New Roman" w:hAnsi="Arial" w:cs="Arial"/>
          <w:color w:val="0F1115"/>
          <w:kern w:val="0"/>
          <w:sz w:val="22"/>
          <w:szCs w:val="22"/>
          <w:lang w:eastAsia="en-GB"/>
          <w14:ligatures w14:val="none"/>
        </w:rPr>
        <w:br/>
        <w:t>Frontline staff are crucial brand ambassadors. Tesco must invest in ongoing, high-quality training that empowers employees to provide excellent customer service and confidently handle Clubcard-related queries. Creating a positive work environment that fosters employee engagement is directly linked to improved customer interactions and, consequently, customer satisfaction and loyalty (Hollensen, 2020; Tesco PLC, 2023).</w:t>
      </w:r>
    </w:p>
    <w:p w14:paraId="3826A416" w14:textId="2953BB38" w:rsidR="00AB58D3" w:rsidRPr="00EF57A6" w:rsidRDefault="00AB58D3" w:rsidP="00EF57A6">
      <w:pPr>
        <w:spacing w:line="360" w:lineRule="auto"/>
        <w:rPr>
          <w:rFonts w:ascii="Arial" w:hAnsi="Arial" w:cs="Arial"/>
          <w:sz w:val="22"/>
          <w:szCs w:val="22"/>
          <w:lang w:eastAsia="en-GB"/>
        </w:rPr>
      </w:pPr>
      <w:r w:rsidRPr="00EF57A6">
        <w:rPr>
          <w:rFonts w:ascii="Arial" w:hAnsi="Arial" w:cs="Arial"/>
          <w:b/>
          <w:bCs/>
          <w:sz w:val="22"/>
          <w:szCs w:val="22"/>
          <w:lang w:eastAsia="en-GB"/>
        </w:rPr>
        <w:t>6. Process</w:t>
      </w:r>
      <w:r w:rsidRPr="00EF57A6">
        <w:rPr>
          <w:rFonts w:ascii="Arial" w:hAnsi="Arial" w:cs="Arial"/>
          <w:sz w:val="22"/>
          <w:szCs w:val="22"/>
          <w:lang w:eastAsia="en-GB"/>
        </w:rPr>
        <w:br/>
        <w:t xml:space="preserve">Every customer touchpoint must be streamlined. This includes optimising the online checkout process, reducing queue times through efficient staffing and self-checkout technology, and simplifying the returns process for non-food items. The process for earning and redeeming Clubcard points, both in-store and with partners, must be frictionless to maintain engagement (Chaffey and Ellis-Chadwick, 2022; McDonald and Wilson, 2011; </w:t>
      </w:r>
      <w:r w:rsidR="00DA01C9" w:rsidRPr="00DA01C9">
        <w:rPr>
          <w:rFonts w:ascii="Arial" w:hAnsi="Arial" w:cs="Arial"/>
          <w:sz w:val="22"/>
          <w:szCs w:val="22"/>
          <w:lang w:eastAsia="en-GB"/>
        </w:rPr>
        <w:t>GoodGrowth, 2024</w:t>
      </w:r>
      <w:r w:rsidRPr="00EF57A6">
        <w:rPr>
          <w:rFonts w:ascii="Arial" w:hAnsi="Arial" w:cs="Arial"/>
          <w:sz w:val="22"/>
          <w:szCs w:val="22"/>
          <w:lang w:eastAsia="en-GB"/>
        </w:rPr>
        <w:t>).</w:t>
      </w:r>
    </w:p>
    <w:p w14:paraId="7C13FE15" w14:textId="4DAF931E" w:rsidR="00E20CB4" w:rsidRPr="00EF57A6" w:rsidRDefault="00AB58D3" w:rsidP="00EF57A6">
      <w:pPr>
        <w:spacing w:line="360" w:lineRule="auto"/>
        <w:rPr>
          <w:rFonts w:ascii="Arial" w:hAnsi="Arial" w:cs="Arial"/>
          <w:sz w:val="22"/>
          <w:szCs w:val="22"/>
          <w:lang w:eastAsia="en-GB"/>
        </w:rPr>
      </w:pPr>
      <w:r w:rsidRPr="00EF57A6">
        <w:rPr>
          <w:rFonts w:ascii="Arial" w:hAnsi="Arial" w:cs="Arial"/>
          <w:b/>
          <w:bCs/>
          <w:sz w:val="22"/>
          <w:szCs w:val="22"/>
          <w:lang w:eastAsia="en-GB"/>
        </w:rPr>
        <w:t>7. Physical Evidence</w:t>
      </w:r>
      <w:r w:rsidRPr="00EF57A6">
        <w:rPr>
          <w:rFonts w:ascii="Arial" w:hAnsi="Arial" w:cs="Arial"/>
          <w:sz w:val="22"/>
          <w:szCs w:val="22"/>
          <w:lang w:eastAsia="en-GB"/>
        </w:rPr>
        <w:br/>
        <w:t>The store environment is a tangible reflection of the brand. A programme to ensure consistent standards of cleanliness, lighting, and layout</w:t>
      </w:r>
      <w:r w:rsidR="009E2082">
        <w:rPr>
          <w:rFonts w:ascii="Arial" w:hAnsi="Arial" w:cs="Arial"/>
          <w:sz w:val="22"/>
          <w:szCs w:val="22"/>
          <w:lang w:eastAsia="en-GB"/>
        </w:rPr>
        <w:t xml:space="preserve">, </w:t>
      </w:r>
      <w:r w:rsidRPr="00EF57A6">
        <w:rPr>
          <w:rFonts w:ascii="Arial" w:hAnsi="Arial" w:cs="Arial"/>
          <w:sz w:val="22"/>
          <w:szCs w:val="22"/>
          <w:lang w:eastAsia="en-GB"/>
        </w:rPr>
        <w:t>especially in the smaller Metro and Express formats</w:t>
      </w:r>
      <w:r w:rsidR="00E832FB">
        <w:rPr>
          <w:rFonts w:ascii="Arial" w:hAnsi="Arial" w:cs="Arial"/>
          <w:sz w:val="22"/>
          <w:szCs w:val="22"/>
          <w:lang w:eastAsia="en-GB"/>
        </w:rPr>
        <w:t xml:space="preserve">, </w:t>
      </w:r>
      <w:r w:rsidRPr="00EF57A6">
        <w:rPr>
          <w:rFonts w:ascii="Arial" w:hAnsi="Arial" w:cs="Arial"/>
          <w:sz w:val="22"/>
          <w:szCs w:val="22"/>
          <w:lang w:eastAsia="en-GB"/>
        </w:rPr>
        <w:t>is vital. The Tesco app and website must be fast, intuitive, and reliable, as they are key pieces of digital physical evidence. Furthermore, a committed transition to mor</w:t>
      </w:r>
      <w:r w:rsidR="0044169A" w:rsidRPr="00EF57A6">
        <w:rPr>
          <w:rFonts w:ascii="Arial" w:hAnsi="Arial" w:cs="Arial"/>
          <w:sz w:val="22"/>
          <w:szCs w:val="22"/>
          <w:lang w:eastAsia="en-GB"/>
        </w:rPr>
        <w:t xml:space="preserve">e </w:t>
      </w:r>
      <w:r w:rsidRPr="00EF57A6">
        <w:rPr>
          <w:rFonts w:ascii="Arial" w:hAnsi="Arial" w:cs="Arial"/>
          <w:sz w:val="22"/>
          <w:szCs w:val="22"/>
          <w:lang w:eastAsia="en-GB"/>
        </w:rPr>
        <w:t>sustainable and reduced packaging serves as powerful physical proof of the brand's ethical commitments (Tesco PLC, 2023; Mintel, 2024).</w:t>
      </w:r>
    </w:p>
    <w:p w14:paraId="750737AA" w14:textId="3EDB3F31" w:rsidR="005434D0" w:rsidRPr="00EF57A6" w:rsidRDefault="00E20CB4" w:rsidP="00EF57A6">
      <w:pPr>
        <w:spacing w:line="360" w:lineRule="auto"/>
        <w:rPr>
          <w:rFonts w:ascii="Arial" w:hAnsi="Arial" w:cs="Arial"/>
          <w:sz w:val="22"/>
          <w:szCs w:val="22"/>
          <w:lang w:eastAsia="en-GB"/>
        </w:rPr>
      </w:pPr>
      <w:r w:rsidRPr="00EF57A6">
        <w:rPr>
          <w:rFonts w:ascii="Arial" w:hAnsi="Arial" w:cs="Arial"/>
          <w:b/>
          <w:bCs/>
          <w:sz w:val="22"/>
          <w:szCs w:val="22"/>
          <w:lang w:eastAsia="en-GB"/>
        </w:rPr>
        <w:t>8</w:t>
      </w:r>
      <w:r w:rsidR="005434D0" w:rsidRPr="00EF57A6">
        <w:rPr>
          <w:rFonts w:ascii="Arial" w:hAnsi="Arial" w:cs="Arial"/>
          <w:b/>
          <w:bCs/>
          <w:sz w:val="22"/>
          <w:szCs w:val="22"/>
          <w:lang w:eastAsia="en-GB"/>
        </w:rPr>
        <w:t>. Implementation and Control</w:t>
      </w:r>
      <w:r w:rsidR="005434D0" w:rsidRPr="00EF57A6">
        <w:rPr>
          <w:rFonts w:ascii="Arial" w:hAnsi="Arial" w:cs="Arial"/>
          <w:b/>
          <w:bCs/>
          <w:sz w:val="22"/>
          <w:szCs w:val="22"/>
          <w:lang w:eastAsia="en-GB"/>
        </w:rPr>
        <w:br/>
      </w:r>
      <w:r w:rsidR="005434D0" w:rsidRPr="00EF57A6">
        <w:rPr>
          <w:rFonts w:ascii="Arial" w:hAnsi="Arial" w:cs="Arial"/>
          <w:sz w:val="22"/>
          <w:szCs w:val="22"/>
          <w:lang w:eastAsia="en-GB"/>
        </w:rPr>
        <w:t xml:space="preserve">A strategy is only as good as its execution. A clear implementation plan with defined accountability and timelines is required, reflecting the principle that effective planning is worthless without a committed process for its deployment (McDonald and Wilson, 2011). This involves allocating budgets to the initiatives outlined in the 7Ps, setting clear departmental responsibilities, and establishing a project timeline for key roll-outs like the </w:t>
      </w:r>
      <w:r w:rsidR="005434D0" w:rsidRPr="00EF57A6">
        <w:rPr>
          <w:rFonts w:ascii="Arial" w:hAnsi="Arial" w:cs="Arial"/>
          <w:sz w:val="22"/>
          <w:szCs w:val="22"/>
          <w:lang w:eastAsia="en-GB"/>
        </w:rPr>
        <w:lastRenderedPageBreak/>
        <w:t>store refresh programme or the launch of new digital features (Tesco PLC, 2023; Chaffey and Ellis-Chadwick, 2022).</w:t>
      </w:r>
    </w:p>
    <w:p w14:paraId="09051DB4" w14:textId="77777777" w:rsidR="00E20CB4" w:rsidRPr="00EF57A6" w:rsidRDefault="005434D0" w:rsidP="00EF57A6">
      <w:pPr>
        <w:spacing w:line="360" w:lineRule="auto"/>
        <w:rPr>
          <w:rFonts w:ascii="Arial" w:hAnsi="Arial" w:cs="Arial"/>
          <w:sz w:val="22"/>
          <w:szCs w:val="22"/>
          <w:lang w:eastAsia="en-GB"/>
        </w:rPr>
      </w:pPr>
      <w:r w:rsidRPr="00EF57A6">
        <w:rPr>
          <w:rFonts w:ascii="Arial" w:hAnsi="Arial" w:cs="Arial"/>
          <w:b/>
          <w:bCs/>
          <w:sz w:val="22"/>
          <w:szCs w:val="22"/>
          <w:lang w:eastAsia="en-GB"/>
        </w:rPr>
        <w:t>Key Performance Indicators (KPIs)</w:t>
      </w:r>
      <w:r w:rsidRPr="00EF57A6">
        <w:rPr>
          <w:rFonts w:ascii="Arial" w:hAnsi="Arial" w:cs="Arial"/>
          <w:b/>
          <w:bCs/>
          <w:sz w:val="22"/>
          <w:szCs w:val="22"/>
          <w:lang w:eastAsia="en-GB"/>
        </w:rPr>
        <w:br/>
      </w:r>
      <w:r w:rsidRPr="00EF57A6">
        <w:rPr>
          <w:rFonts w:ascii="Arial" w:hAnsi="Arial" w:cs="Arial"/>
          <w:sz w:val="22"/>
          <w:szCs w:val="22"/>
          <w:lang w:eastAsia="en-GB"/>
        </w:rPr>
        <w:t>To measure success, Tesco must track a balanced set of KPIs:</w:t>
      </w:r>
    </w:p>
    <w:p w14:paraId="5AE29370" w14:textId="77777777" w:rsidR="00E20CB4" w:rsidRPr="003C6A83" w:rsidRDefault="005434D0" w:rsidP="003C6A83">
      <w:pPr>
        <w:pStyle w:val="ListParagraph"/>
        <w:numPr>
          <w:ilvl w:val="0"/>
          <w:numId w:val="25"/>
        </w:numPr>
        <w:spacing w:line="360" w:lineRule="auto"/>
        <w:rPr>
          <w:rFonts w:ascii="Arial" w:hAnsi="Arial" w:cs="Arial"/>
          <w:sz w:val="22"/>
          <w:szCs w:val="22"/>
          <w:lang w:eastAsia="en-GB"/>
        </w:rPr>
      </w:pPr>
      <w:r w:rsidRPr="003C6A83">
        <w:rPr>
          <w:rFonts w:ascii="Arial" w:hAnsi="Arial" w:cs="Arial"/>
          <w:sz w:val="22"/>
          <w:szCs w:val="22"/>
          <w:lang w:eastAsia="en-GB"/>
        </w:rPr>
        <w:t>Financial: Year-on-Year Sales Growth (%), Gross Margin %, Market Share (Kantar) (Tesco PLC, 2023).</w:t>
      </w:r>
    </w:p>
    <w:p w14:paraId="2EC41F05" w14:textId="13F65866" w:rsidR="00E20CB4" w:rsidRPr="003C6A83" w:rsidRDefault="005434D0" w:rsidP="003C6A83">
      <w:pPr>
        <w:pStyle w:val="ListParagraph"/>
        <w:numPr>
          <w:ilvl w:val="0"/>
          <w:numId w:val="25"/>
        </w:numPr>
        <w:spacing w:line="360" w:lineRule="auto"/>
        <w:rPr>
          <w:rFonts w:ascii="Arial" w:hAnsi="Arial" w:cs="Arial"/>
          <w:sz w:val="22"/>
          <w:szCs w:val="22"/>
          <w:lang w:eastAsia="en-GB"/>
        </w:rPr>
      </w:pPr>
      <w:r w:rsidRPr="003C6A83">
        <w:rPr>
          <w:rFonts w:ascii="Arial" w:hAnsi="Arial" w:cs="Arial"/>
          <w:sz w:val="22"/>
          <w:szCs w:val="22"/>
          <w:lang w:eastAsia="en-GB"/>
        </w:rPr>
        <w:t>Customer: Active Clubcard User Growth (%), Net Promoter Score (NPS), Online Sales Penetration (%) (</w:t>
      </w:r>
      <w:r w:rsidR="00DA01C9" w:rsidRPr="003C6A83">
        <w:rPr>
          <w:rFonts w:ascii="Arial" w:hAnsi="Arial" w:cs="Arial"/>
          <w:sz w:val="22"/>
          <w:szCs w:val="22"/>
          <w:lang w:eastAsia="en-GB"/>
        </w:rPr>
        <w:t>GoodGrowth, 2024</w:t>
      </w:r>
      <w:r w:rsidRPr="003C6A83">
        <w:rPr>
          <w:rFonts w:ascii="Arial" w:hAnsi="Arial" w:cs="Arial"/>
          <w:sz w:val="22"/>
          <w:szCs w:val="22"/>
          <w:lang w:eastAsia="en-GB"/>
        </w:rPr>
        <w:t>; Chaffey and Ellis-Chadwick, 2022).</w:t>
      </w:r>
    </w:p>
    <w:p w14:paraId="16F9B2B9" w14:textId="1745211D" w:rsidR="00E20CB4" w:rsidRPr="003C6A83" w:rsidRDefault="005434D0" w:rsidP="003C6A83">
      <w:pPr>
        <w:pStyle w:val="ListParagraph"/>
        <w:numPr>
          <w:ilvl w:val="0"/>
          <w:numId w:val="25"/>
        </w:numPr>
        <w:spacing w:line="360" w:lineRule="auto"/>
        <w:rPr>
          <w:rFonts w:ascii="Arial" w:hAnsi="Arial" w:cs="Arial"/>
          <w:sz w:val="22"/>
          <w:szCs w:val="22"/>
          <w:lang w:eastAsia="en-GB"/>
        </w:rPr>
      </w:pPr>
      <w:r w:rsidRPr="003C6A83">
        <w:rPr>
          <w:rFonts w:ascii="Arial" w:hAnsi="Arial" w:cs="Arial"/>
          <w:sz w:val="22"/>
          <w:szCs w:val="22"/>
          <w:lang w:eastAsia="en-GB"/>
        </w:rPr>
        <w:t>Internal Process: On-Shelf Availability (%), Online Order Fulfilment Accuracy (%) (Chaffey and Ellis-Chadwick, 2022).</w:t>
      </w:r>
    </w:p>
    <w:p w14:paraId="2CD31C3C" w14:textId="7CE6A0C1" w:rsidR="00517AFC" w:rsidRPr="003C6A83" w:rsidRDefault="005434D0" w:rsidP="003C6A83">
      <w:pPr>
        <w:pStyle w:val="ListParagraph"/>
        <w:numPr>
          <w:ilvl w:val="0"/>
          <w:numId w:val="25"/>
        </w:numPr>
        <w:spacing w:line="360" w:lineRule="auto"/>
        <w:rPr>
          <w:rFonts w:ascii="Arial" w:hAnsi="Arial" w:cs="Arial"/>
          <w:sz w:val="22"/>
          <w:szCs w:val="22"/>
          <w:lang w:eastAsia="en-GB"/>
        </w:rPr>
      </w:pPr>
      <w:r w:rsidRPr="003C6A83">
        <w:rPr>
          <w:rFonts w:ascii="Arial" w:hAnsi="Arial" w:cs="Arial"/>
          <w:sz w:val="22"/>
          <w:szCs w:val="22"/>
          <w:lang w:eastAsia="en-GB"/>
        </w:rPr>
        <w:t>Learning &amp; Growth: Employee Engagement Score, Staff Training Hours Completed (Hollensen, 2020; Tesco PLC, 2023).</w:t>
      </w:r>
    </w:p>
    <w:p w14:paraId="2B3DDBE6" w14:textId="77777777" w:rsidR="000A0354" w:rsidRDefault="000A0354" w:rsidP="00EF57A6">
      <w:pPr>
        <w:spacing w:line="360" w:lineRule="auto"/>
        <w:rPr>
          <w:rFonts w:ascii="Arial" w:hAnsi="Arial" w:cs="Arial"/>
          <w:b/>
          <w:bCs/>
          <w:sz w:val="22"/>
          <w:szCs w:val="22"/>
          <w:lang w:eastAsia="en-GB"/>
        </w:rPr>
      </w:pPr>
    </w:p>
    <w:p w14:paraId="00428607" w14:textId="77777777" w:rsidR="000A0354" w:rsidRDefault="000A0354" w:rsidP="00EF57A6">
      <w:pPr>
        <w:spacing w:line="360" w:lineRule="auto"/>
        <w:rPr>
          <w:rFonts w:ascii="Arial" w:hAnsi="Arial" w:cs="Arial"/>
          <w:b/>
          <w:bCs/>
          <w:sz w:val="22"/>
          <w:szCs w:val="22"/>
          <w:lang w:eastAsia="en-GB"/>
        </w:rPr>
      </w:pPr>
    </w:p>
    <w:p w14:paraId="4619F774" w14:textId="77777777" w:rsidR="000A0354" w:rsidRDefault="000A0354" w:rsidP="00EF57A6">
      <w:pPr>
        <w:spacing w:line="360" w:lineRule="auto"/>
        <w:rPr>
          <w:rFonts w:ascii="Arial" w:hAnsi="Arial" w:cs="Arial"/>
          <w:b/>
          <w:bCs/>
          <w:sz w:val="22"/>
          <w:szCs w:val="22"/>
          <w:lang w:eastAsia="en-GB"/>
        </w:rPr>
      </w:pPr>
    </w:p>
    <w:p w14:paraId="70EC520F" w14:textId="77777777" w:rsidR="000A0354" w:rsidRDefault="000A0354" w:rsidP="00EF57A6">
      <w:pPr>
        <w:spacing w:line="360" w:lineRule="auto"/>
        <w:rPr>
          <w:rFonts w:ascii="Arial" w:hAnsi="Arial" w:cs="Arial"/>
          <w:b/>
          <w:bCs/>
          <w:sz w:val="22"/>
          <w:szCs w:val="22"/>
          <w:lang w:eastAsia="en-GB"/>
        </w:rPr>
      </w:pPr>
    </w:p>
    <w:p w14:paraId="01657156" w14:textId="77777777" w:rsidR="000A0354" w:rsidRDefault="000A0354" w:rsidP="00EF57A6">
      <w:pPr>
        <w:spacing w:line="360" w:lineRule="auto"/>
        <w:rPr>
          <w:rFonts w:ascii="Arial" w:hAnsi="Arial" w:cs="Arial"/>
          <w:b/>
          <w:bCs/>
          <w:sz w:val="22"/>
          <w:szCs w:val="22"/>
          <w:lang w:eastAsia="en-GB"/>
        </w:rPr>
      </w:pPr>
    </w:p>
    <w:p w14:paraId="0A240E88" w14:textId="77777777" w:rsidR="000A0354" w:rsidRDefault="000A0354" w:rsidP="00EF57A6">
      <w:pPr>
        <w:spacing w:line="360" w:lineRule="auto"/>
        <w:rPr>
          <w:rFonts w:ascii="Arial" w:hAnsi="Arial" w:cs="Arial"/>
          <w:b/>
          <w:bCs/>
          <w:sz w:val="22"/>
          <w:szCs w:val="22"/>
          <w:lang w:eastAsia="en-GB"/>
        </w:rPr>
      </w:pPr>
    </w:p>
    <w:p w14:paraId="66445C89" w14:textId="77777777" w:rsidR="000A0354" w:rsidRDefault="000A0354" w:rsidP="00EF57A6">
      <w:pPr>
        <w:spacing w:line="360" w:lineRule="auto"/>
        <w:rPr>
          <w:rFonts w:ascii="Arial" w:hAnsi="Arial" w:cs="Arial"/>
          <w:b/>
          <w:bCs/>
          <w:sz w:val="22"/>
          <w:szCs w:val="22"/>
          <w:lang w:eastAsia="en-GB"/>
        </w:rPr>
      </w:pPr>
    </w:p>
    <w:p w14:paraId="530D5230" w14:textId="77777777" w:rsidR="000A0354" w:rsidRDefault="000A0354" w:rsidP="00EF57A6">
      <w:pPr>
        <w:spacing w:line="360" w:lineRule="auto"/>
        <w:rPr>
          <w:rFonts w:ascii="Arial" w:hAnsi="Arial" w:cs="Arial"/>
          <w:b/>
          <w:bCs/>
          <w:sz w:val="22"/>
          <w:szCs w:val="22"/>
          <w:lang w:eastAsia="en-GB"/>
        </w:rPr>
      </w:pPr>
    </w:p>
    <w:p w14:paraId="25DE0100" w14:textId="77777777" w:rsidR="000A0354" w:rsidRDefault="000A0354" w:rsidP="00EF57A6">
      <w:pPr>
        <w:spacing w:line="360" w:lineRule="auto"/>
        <w:rPr>
          <w:rFonts w:ascii="Arial" w:hAnsi="Arial" w:cs="Arial"/>
          <w:b/>
          <w:bCs/>
          <w:sz w:val="22"/>
          <w:szCs w:val="22"/>
          <w:lang w:eastAsia="en-GB"/>
        </w:rPr>
      </w:pPr>
    </w:p>
    <w:p w14:paraId="333FDFA6" w14:textId="77777777" w:rsidR="000A0354" w:rsidRDefault="000A0354" w:rsidP="00EF57A6">
      <w:pPr>
        <w:spacing w:line="360" w:lineRule="auto"/>
        <w:rPr>
          <w:rFonts w:ascii="Arial" w:hAnsi="Arial" w:cs="Arial"/>
          <w:b/>
          <w:bCs/>
          <w:sz w:val="22"/>
          <w:szCs w:val="22"/>
          <w:lang w:eastAsia="en-GB"/>
        </w:rPr>
      </w:pPr>
    </w:p>
    <w:p w14:paraId="53B0EE34" w14:textId="77777777" w:rsidR="000A0354" w:rsidRDefault="000A0354" w:rsidP="00EF57A6">
      <w:pPr>
        <w:spacing w:line="360" w:lineRule="auto"/>
        <w:rPr>
          <w:rFonts w:ascii="Arial" w:hAnsi="Arial" w:cs="Arial"/>
          <w:b/>
          <w:bCs/>
          <w:sz w:val="22"/>
          <w:szCs w:val="22"/>
          <w:lang w:eastAsia="en-GB"/>
        </w:rPr>
      </w:pPr>
    </w:p>
    <w:p w14:paraId="6B4AB676" w14:textId="77777777" w:rsidR="000A0354" w:rsidRDefault="000A0354" w:rsidP="00EF57A6">
      <w:pPr>
        <w:spacing w:line="360" w:lineRule="auto"/>
        <w:rPr>
          <w:rFonts w:ascii="Arial" w:hAnsi="Arial" w:cs="Arial"/>
          <w:b/>
          <w:bCs/>
          <w:sz w:val="22"/>
          <w:szCs w:val="22"/>
          <w:lang w:eastAsia="en-GB"/>
        </w:rPr>
      </w:pPr>
    </w:p>
    <w:p w14:paraId="33BA3757" w14:textId="77777777" w:rsidR="000A0354" w:rsidRDefault="000A0354" w:rsidP="00EF57A6">
      <w:pPr>
        <w:spacing w:line="360" w:lineRule="auto"/>
        <w:rPr>
          <w:rFonts w:ascii="Arial" w:hAnsi="Arial" w:cs="Arial"/>
          <w:b/>
          <w:bCs/>
          <w:sz w:val="22"/>
          <w:szCs w:val="22"/>
          <w:lang w:eastAsia="en-GB"/>
        </w:rPr>
      </w:pPr>
    </w:p>
    <w:p w14:paraId="6798202B" w14:textId="77777777" w:rsidR="000A0354" w:rsidRDefault="000A0354" w:rsidP="00EF57A6">
      <w:pPr>
        <w:spacing w:line="360" w:lineRule="auto"/>
        <w:rPr>
          <w:rFonts w:ascii="Arial" w:hAnsi="Arial" w:cs="Arial"/>
          <w:b/>
          <w:bCs/>
          <w:sz w:val="22"/>
          <w:szCs w:val="22"/>
          <w:lang w:eastAsia="en-GB"/>
        </w:rPr>
      </w:pPr>
    </w:p>
    <w:p w14:paraId="79481781" w14:textId="77777777" w:rsidR="000A0354" w:rsidRDefault="000A0354" w:rsidP="00EF57A6">
      <w:pPr>
        <w:spacing w:line="360" w:lineRule="auto"/>
        <w:rPr>
          <w:rFonts w:ascii="Arial" w:hAnsi="Arial" w:cs="Arial"/>
          <w:b/>
          <w:bCs/>
          <w:sz w:val="22"/>
          <w:szCs w:val="22"/>
          <w:lang w:eastAsia="en-GB"/>
        </w:rPr>
      </w:pPr>
    </w:p>
    <w:p w14:paraId="6C6F9E3C" w14:textId="012B682C" w:rsidR="005434D0" w:rsidRPr="00EF57A6" w:rsidRDefault="005434D0" w:rsidP="00EF57A6">
      <w:pPr>
        <w:spacing w:line="360" w:lineRule="auto"/>
        <w:rPr>
          <w:rFonts w:ascii="Arial" w:hAnsi="Arial" w:cs="Arial"/>
          <w:sz w:val="22"/>
          <w:szCs w:val="22"/>
          <w:lang w:eastAsia="en-GB"/>
        </w:rPr>
      </w:pPr>
      <w:r w:rsidRPr="00EF57A6">
        <w:rPr>
          <w:rFonts w:ascii="Arial" w:hAnsi="Arial" w:cs="Arial"/>
          <w:b/>
          <w:bCs/>
          <w:sz w:val="22"/>
          <w:szCs w:val="22"/>
          <w:lang w:eastAsia="en-GB"/>
        </w:rPr>
        <w:lastRenderedPageBreak/>
        <w:t>The Balanced Scorecard</w:t>
      </w:r>
      <w:r w:rsidRPr="00EF57A6">
        <w:rPr>
          <w:rFonts w:ascii="Arial" w:hAnsi="Arial" w:cs="Arial"/>
          <w:b/>
          <w:bCs/>
          <w:sz w:val="22"/>
          <w:szCs w:val="22"/>
          <w:lang w:eastAsia="en-GB"/>
        </w:rPr>
        <w:br/>
      </w:r>
      <w:r w:rsidRPr="00EF57A6">
        <w:rPr>
          <w:rFonts w:ascii="Arial" w:hAnsi="Arial" w:cs="Arial"/>
          <w:sz w:val="22"/>
          <w:szCs w:val="22"/>
          <w:lang w:eastAsia="en-GB"/>
        </w:rPr>
        <w:t>The Balanced Scorecard translates strategic objectives into a measurable framework for management review (Kaplan and Norton, 2017).</w:t>
      </w:r>
    </w:p>
    <w:tbl>
      <w:tblPr>
        <w:tblW w:w="0" w:type="auto"/>
        <w:tblCellMar>
          <w:top w:w="15" w:type="dxa"/>
          <w:left w:w="15" w:type="dxa"/>
          <w:bottom w:w="15" w:type="dxa"/>
          <w:right w:w="15" w:type="dxa"/>
        </w:tblCellMar>
        <w:tblLook w:val="04A0" w:firstRow="1" w:lastRow="0" w:firstColumn="1" w:lastColumn="0" w:noHBand="0" w:noVBand="1"/>
      </w:tblPr>
      <w:tblGrid>
        <w:gridCol w:w="1509"/>
        <w:gridCol w:w="2006"/>
        <w:gridCol w:w="1925"/>
        <w:gridCol w:w="1425"/>
        <w:gridCol w:w="2161"/>
      </w:tblGrid>
      <w:tr w:rsidR="00681A0D" w:rsidRPr="00EF57A6" w14:paraId="38B0E6F0" w14:textId="77777777" w:rsidTr="00681A0D">
        <w:trPr>
          <w:tblHeader/>
        </w:trPr>
        <w:tc>
          <w:tcPr>
            <w:tcW w:w="0" w:type="auto"/>
            <w:tcBorders>
              <w:top w:val="nil"/>
            </w:tcBorders>
            <w:tcMar>
              <w:top w:w="150" w:type="dxa"/>
              <w:left w:w="0" w:type="dxa"/>
              <w:bottom w:w="150" w:type="dxa"/>
              <w:right w:w="240" w:type="dxa"/>
            </w:tcMar>
            <w:vAlign w:val="center"/>
            <w:hideMark/>
          </w:tcPr>
          <w:p w14:paraId="4ADEBB89"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Perspective</w:t>
            </w:r>
          </w:p>
        </w:tc>
        <w:tc>
          <w:tcPr>
            <w:tcW w:w="0" w:type="auto"/>
            <w:tcBorders>
              <w:top w:val="nil"/>
            </w:tcBorders>
            <w:tcMar>
              <w:top w:w="150" w:type="dxa"/>
              <w:left w:w="240" w:type="dxa"/>
              <w:bottom w:w="150" w:type="dxa"/>
              <w:right w:w="240" w:type="dxa"/>
            </w:tcMar>
            <w:vAlign w:val="center"/>
            <w:hideMark/>
          </w:tcPr>
          <w:p w14:paraId="5DCD5D58"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Strategic Objective</w:t>
            </w:r>
          </w:p>
        </w:tc>
        <w:tc>
          <w:tcPr>
            <w:tcW w:w="0" w:type="auto"/>
            <w:tcBorders>
              <w:top w:val="nil"/>
            </w:tcBorders>
            <w:tcMar>
              <w:top w:w="150" w:type="dxa"/>
              <w:left w:w="240" w:type="dxa"/>
              <w:bottom w:w="150" w:type="dxa"/>
              <w:right w:w="240" w:type="dxa"/>
            </w:tcMar>
            <w:vAlign w:val="center"/>
            <w:hideMark/>
          </w:tcPr>
          <w:p w14:paraId="2A82EC5C"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KPI</w:t>
            </w:r>
          </w:p>
        </w:tc>
        <w:tc>
          <w:tcPr>
            <w:tcW w:w="0" w:type="auto"/>
            <w:tcBorders>
              <w:top w:val="nil"/>
            </w:tcBorders>
            <w:tcMar>
              <w:top w:w="150" w:type="dxa"/>
              <w:left w:w="240" w:type="dxa"/>
              <w:bottom w:w="150" w:type="dxa"/>
              <w:right w:w="240" w:type="dxa"/>
            </w:tcMar>
            <w:vAlign w:val="center"/>
            <w:hideMark/>
          </w:tcPr>
          <w:p w14:paraId="7BB254C5"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Target (12 Months)</w:t>
            </w:r>
          </w:p>
        </w:tc>
        <w:tc>
          <w:tcPr>
            <w:tcW w:w="0" w:type="auto"/>
            <w:tcBorders>
              <w:top w:val="nil"/>
            </w:tcBorders>
            <w:tcMar>
              <w:top w:w="150" w:type="dxa"/>
              <w:left w:w="240" w:type="dxa"/>
              <w:bottom w:w="150" w:type="dxa"/>
              <w:right w:w="240" w:type="dxa"/>
            </w:tcMar>
            <w:vAlign w:val="center"/>
            <w:hideMark/>
          </w:tcPr>
          <w:p w14:paraId="036AF11F"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Key Initiative</w:t>
            </w:r>
          </w:p>
        </w:tc>
      </w:tr>
      <w:tr w:rsidR="00681A0D" w:rsidRPr="00EF57A6" w14:paraId="09D2C445" w14:textId="77777777" w:rsidTr="00681A0D">
        <w:tc>
          <w:tcPr>
            <w:tcW w:w="0" w:type="auto"/>
            <w:tcMar>
              <w:top w:w="150" w:type="dxa"/>
              <w:left w:w="0" w:type="dxa"/>
              <w:bottom w:w="150" w:type="dxa"/>
              <w:right w:w="240" w:type="dxa"/>
            </w:tcMar>
            <w:vAlign w:val="center"/>
            <w:hideMark/>
          </w:tcPr>
          <w:p w14:paraId="75985343"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b/>
                <w:bCs/>
                <w:sz w:val="22"/>
                <w:szCs w:val="22"/>
                <w:lang w:eastAsia="en-GB"/>
              </w:rPr>
              <w:t>Financial</w:t>
            </w:r>
          </w:p>
        </w:tc>
        <w:tc>
          <w:tcPr>
            <w:tcW w:w="0" w:type="auto"/>
            <w:tcMar>
              <w:top w:w="150" w:type="dxa"/>
              <w:left w:w="240" w:type="dxa"/>
              <w:bottom w:w="150" w:type="dxa"/>
              <w:right w:w="240" w:type="dxa"/>
            </w:tcMar>
            <w:vAlign w:val="center"/>
            <w:hideMark/>
          </w:tcPr>
          <w:p w14:paraId="6FBF1584"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Drive Profitable Growth</w:t>
            </w:r>
          </w:p>
        </w:tc>
        <w:tc>
          <w:tcPr>
            <w:tcW w:w="0" w:type="auto"/>
            <w:tcMar>
              <w:top w:w="150" w:type="dxa"/>
              <w:left w:w="240" w:type="dxa"/>
              <w:bottom w:w="150" w:type="dxa"/>
              <w:right w:w="240" w:type="dxa"/>
            </w:tcMar>
            <w:vAlign w:val="center"/>
            <w:hideMark/>
          </w:tcPr>
          <w:p w14:paraId="10A9639D"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Sales Growth</w:t>
            </w:r>
            <w:r w:rsidRPr="00EF57A6">
              <w:rPr>
                <w:rFonts w:ascii="Arial" w:hAnsi="Arial" w:cs="Arial"/>
                <w:sz w:val="22"/>
                <w:szCs w:val="22"/>
                <w:lang w:eastAsia="en-GB"/>
              </w:rPr>
              <w:br/>
              <w:t>Gross Margin</w:t>
            </w:r>
          </w:p>
        </w:tc>
        <w:tc>
          <w:tcPr>
            <w:tcW w:w="0" w:type="auto"/>
            <w:tcMar>
              <w:top w:w="150" w:type="dxa"/>
              <w:left w:w="240" w:type="dxa"/>
              <w:bottom w:w="150" w:type="dxa"/>
              <w:right w:w="240" w:type="dxa"/>
            </w:tcMar>
            <w:vAlign w:val="center"/>
            <w:hideMark/>
          </w:tcPr>
          <w:p w14:paraId="4D5F3ED9"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+4.5%</w:t>
            </w:r>
            <w:r w:rsidRPr="00EF57A6">
              <w:rPr>
                <w:rFonts w:ascii="Arial" w:hAnsi="Arial" w:cs="Arial"/>
                <w:sz w:val="22"/>
                <w:szCs w:val="22"/>
                <w:lang w:eastAsia="en-GB"/>
              </w:rPr>
              <w:br/>
              <w:t>+0.3%</w:t>
            </w:r>
          </w:p>
        </w:tc>
        <w:tc>
          <w:tcPr>
            <w:tcW w:w="0" w:type="auto"/>
            <w:tcMar>
              <w:top w:w="150" w:type="dxa"/>
              <w:left w:w="240" w:type="dxa"/>
              <w:bottom w:w="150" w:type="dxa"/>
              <w:right w:w="0" w:type="dxa"/>
            </w:tcMar>
            <w:vAlign w:val="center"/>
            <w:hideMark/>
          </w:tcPr>
          <w:p w14:paraId="59FAE93E"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Premium Own-Brand Push; Cost Efficiency Programme</w:t>
            </w:r>
          </w:p>
        </w:tc>
      </w:tr>
      <w:tr w:rsidR="00681A0D" w:rsidRPr="00EF57A6" w14:paraId="5E64F1EB" w14:textId="77777777" w:rsidTr="00681A0D">
        <w:tc>
          <w:tcPr>
            <w:tcW w:w="0" w:type="auto"/>
            <w:tcMar>
              <w:top w:w="150" w:type="dxa"/>
              <w:left w:w="0" w:type="dxa"/>
              <w:bottom w:w="150" w:type="dxa"/>
              <w:right w:w="240" w:type="dxa"/>
            </w:tcMar>
            <w:vAlign w:val="center"/>
            <w:hideMark/>
          </w:tcPr>
          <w:p w14:paraId="75C04F40"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b/>
                <w:bCs/>
                <w:sz w:val="22"/>
                <w:szCs w:val="22"/>
                <w:lang w:eastAsia="en-GB"/>
              </w:rPr>
              <w:t>Customer</w:t>
            </w:r>
          </w:p>
        </w:tc>
        <w:tc>
          <w:tcPr>
            <w:tcW w:w="0" w:type="auto"/>
            <w:tcMar>
              <w:top w:w="150" w:type="dxa"/>
              <w:left w:w="240" w:type="dxa"/>
              <w:bottom w:w="150" w:type="dxa"/>
              <w:right w:w="240" w:type="dxa"/>
            </w:tcMar>
            <w:vAlign w:val="center"/>
            <w:hideMark/>
          </w:tcPr>
          <w:p w14:paraId="6DAD2F53"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Deepen Loyalty &amp; Engagement</w:t>
            </w:r>
          </w:p>
        </w:tc>
        <w:tc>
          <w:tcPr>
            <w:tcW w:w="0" w:type="auto"/>
            <w:tcMar>
              <w:top w:w="150" w:type="dxa"/>
              <w:left w:w="240" w:type="dxa"/>
              <w:bottom w:w="150" w:type="dxa"/>
              <w:right w:w="240" w:type="dxa"/>
            </w:tcMar>
            <w:vAlign w:val="center"/>
            <w:hideMark/>
          </w:tcPr>
          <w:p w14:paraId="27FD84B5"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Clubcard Active Users</w:t>
            </w:r>
            <w:r w:rsidRPr="00EF57A6">
              <w:rPr>
                <w:rFonts w:ascii="Arial" w:hAnsi="Arial" w:cs="Arial"/>
                <w:sz w:val="22"/>
                <w:szCs w:val="22"/>
                <w:lang w:eastAsia="en-GB"/>
              </w:rPr>
              <w:br/>
              <w:t>NPS</w:t>
            </w:r>
          </w:p>
        </w:tc>
        <w:tc>
          <w:tcPr>
            <w:tcW w:w="0" w:type="auto"/>
            <w:tcMar>
              <w:top w:w="150" w:type="dxa"/>
              <w:left w:w="240" w:type="dxa"/>
              <w:bottom w:w="150" w:type="dxa"/>
              <w:right w:w="240" w:type="dxa"/>
            </w:tcMar>
            <w:vAlign w:val="center"/>
            <w:hideMark/>
          </w:tcPr>
          <w:p w14:paraId="43D8C97A"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+7%</w:t>
            </w:r>
            <w:r w:rsidRPr="00EF57A6">
              <w:rPr>
                <w:rFonts w:ascii="Arial" w:hAnsi="Arial" w:cs="Arial"/>
                <w:sz w:val="22"/>
                <w:szCs w:val="22"/>
                <w:lang w:eastAsia="en-GB"/>
              </w:rPr>
              <w:br/>
              <w:t>+10 Points</w:t>
            </w:r>
          </w:p>
        </w:tc>
        <w:tc>
          <w:tcPr>
            <w:tcW w:w="0" w:type="auto"/>
            <w:tcMar>
              <w:top w:w="150" w:type="dxa"/>
              <w:left w:w="240" w:type="dxa"/>
              <w:bottom w:w="150" w:type="dxa"/>
              <w:right w:w="0" w:type="dxa"/>
            </w:tcMar>
            <w:vAlign w:val="center"/>
            <w:hideMark/>
          </w:tcPr>
          <w:p w14:paraId="6EB63039"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Hyper-Personalised Offers; Customer Experience Training</w:t>
            </w:r>
          </w:p>
        </w:tc>
      </w:tr>
      <w:tr w:rsidR="00681A0D" w:rsidRPr="00EF57A6" w14:paraId="0D460960" w14:textId="77777777" w:rsidTr="00681A0D">
        <w:tc>
          <w:tcPr>
            <w:tcW w:w="0" w:type="auto"/>
            <w:tcMar>
              <w:top w:w="150" w:type="dxa"/>
              <w:left w:w="0" w:type="dxa"/>
              <w:bottom w:w="150" w:type="dxa"/>
              <w:right w:w="240" w:type="dxa"/>
            </w:tcMar>
            <w:vAlign w:val="center"/>
            <w:hideMark/>
          </w:tcPr>
          <w:p w14:paraId="61A19DE9"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b/>
                <w:bCs/>
                <w:sz w:val="22"/>
                <w:szCs w:val="22"/>
                <w:lang w:eastAsia="en-GB"/>
              </w:rPr>
              <w:t>Internal Process</w:t>
            </w:r>
          </w:p>
        </w:tc>
        <w:tc>
          <w:tcPr>
            <w:tcW w:w="0" w:type="auto"/>
            <w:tcMar>
              <w:top w:w="150" w:type="dxa"/>
              <w:left w:w="240" w:type="dxa"/>
              <w:bottom w:w="150" w:type="dxa"/>
              <w:right w:w="240" w:type="dxa"/>
            </w:tcMar>
            <w:vAlign w:val="center"/>
            <w:hideMark/>
          </w:tcPr>
          <w:p w14:paraId="1033CFCF"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Enhance Operational Excellence</w:t>
            </w:r>
          </w:p>
        </w:tc>
        <w:tc>
          <w:tcPr>
            <w:tcW w:w="0" w:type="auto"/>
            <w:tcMar>
              <w:top w:w="150" w:type="dxa"/>
              <w:left w:w="240" w:type="dxa"/>
              <w:bottom w:w="150" w:type="dxa"/>
              <w:right w:w="240" w:type="dxa"/>
            </w:tcMar>
            <w:vAlign w:val="center"/>
            <w:hideMark/>
          </w:tcPr>
          <w:p w14:paraId="2EB7FBB6"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Product Availability</w:t>
            </w:r>
            <w:r w:rsidRPr="00EF57A6">
              <w:rPr>
                <w:rFonts w:ascii="Arial" w:hAnsi="Arial" w:cs="Arial"/>
                <w:sz w:val="22"/>
                <w:szCs w:val="22"/>
                <w:lang w:eastAsia="en-GB"/>
              </w:rPr>
              <w:br/>
              <w:t>Online Fulfilment Accuracy</w:t>
            </w:r>
          </w:p>
        </w:tc>
        <w:tc>
          <w:tcPr>
            <w:tcW w:w="0" w:type="auto"/>
            <w:tcMar>
              <w:top w:w="150" w:type="dxa"/>
              <w:left w:w="240" w:type="dxa"/>
              <w:bottom w:w="150" w:type="dxa"/>
              <w:right w:w="240" w:type="dxa"/>
            </w:tcMar>
            <w:vAlign w:val="center"/>
            <w:hideMark/>
          </w:tcPr>
          <w:p w14:paraId="634041D8"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98.8%</w:t>
            </w:r>
            <w:r w:rsidRPr="00EF57A6">
              <w:rPr>
                <w:rFonts w:ascii="Arial" w:hAnsi="Arial" w:cs="Arial"/>
                <w:sz w:val="22"/>
                <w:szCs w:val="22"/>
                <w:lang w:eastAsia="en-GB"/>
              </w:rPr>
              <w:br/>
              <w:t>99.5%</w:t>
            </w:r>
          </w:p>
        </w:tc>
        <w:tc>
          <w:tcPr>
            <w:tcW w:w="0" w:type="auto"/>
            <w:tcMar>
              <w:top w:w="150" w:type="dxa"/>
              <w:left w:w="240" w:type="dxa"/>
              <w:bottom w:w="150" w:type="dxa"/>
              <w:right w:w="0" w:type="dxa"/>
            </w:tcMar>
            <w:vAlign w:val="center"/>
            <w:hideMark/>
          </w:tcPr>
          <w:p w14:paraId="332AD54F"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Supply Chain Analytics Investment; Dark Store Pilots</w:t>
            </w:r>
          </w:p>
        </w:tc>
      </w:tr>
      <w:tr w:rsidR="00681A0D" w:rsidRPr="00EF57A6" w14:paraId="12C70DE4" w14:textId="77777777" w:rsidTr="00681A0D">
        <w:tc>
          <w:tcPr>
            <w:tcW w:w="0" w:type="auto"/>
            <w:tcMar>
              <w:top w:w="150" w:type="dxa"/>
              <w:left w:w="0" w:type="dxa"/>
              <w:bottom w:w="150" w:type="dxa"/>
              <w:right w:w="240" w:type="dxa"/>
            </w:tcMar>
            <w:vAlign w:val="center"/>
            <w:hideMark/>
          </w:tcPr>
          <w:p w14:paraId="52E25AE6"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b/>
                <w:bCs/>
                <w:sz w:val="22"/>
                <w:szCs w:val="22"/>
                <w:lang w:eastAsia="en-GB"/>
              </w:rPr>
              <w:t>Learning &amp; Growth</w:t>
            </w:r>
          </w:p>
        </w:tc>
        <w:tc>
          <w:tcPr>
            <w:tcW w:w="0" w:type="auto"/>
            <w:tcMar>
              <w:top w:w="150" w:type="dxa"/>
              <w:left w:w="240" w:type="dxa"/>
              <w:bottom w:w="150" w:type="dxa"/>
              <w:right w:w="240" w:type="dxa"/>
            </w:tcMar>
            <w:vAlign w:val="center"/>
            <w:hideMark/>
          </w:tcPr>
          <w:p w14:paraId="50C61E24"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Foster a Capable Workforce</w:t>
            </w:r>
          </w:p>
        </w:tc>
        <w:tc>
          <w:tcPr>
            <w:tcW w:w="0" w:type="auto"/>
            <w:tcMar>
              <w:top w:w="150" w:type="dxa"/>
              <w:left w:w="240" w:type="dxa"/>
              <w:bottom w:w="150" w:type="dxa"/>
              <w:right w:w="240" w:type="dxa"/>
            </w:tcMar>
            <w:vAlign w:val="center"/>
            <w:hideMark/>
          </w:tcPr>
          <w:p w14:paraId="5B7F3D31"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Employee Engagement</w:t>
            </w:r>
            <w:r w:rsidRPr="00EF57A6">
              <w:rPr>
                <w:rFonts w:ascii="Arial" w:hAnsi="Arial" w:cs="Arial"/>
                <w:sz w:val="22"/>
                <w:szCs w:val="22"/>
                <w:lang w:eastAsia="en-GB"/>
              </w:rPr>
              <w:br/>
              <w:t>Digital Training Completion</w:t>
            </w:r>
          </w:p>
        </w:tc>
        <w:tc>
          <w:tcPr>
            <w:tcW w:w="0" w:type="auto"/>
            <w:tcMar>
              <w:top w:w="150" w:type="dxa"/>
              <w:left w:w="240" w:type="dxa"/>
              <w:bottom w:w="150" w:type="dxa"/>
              <w:right w:w="240" w:type="dxa"/>
            </w:tcMar>
            <w:vAlign w:val="center"/>
            <w:hideMark/>
          </w:tcPr>
          <w:p w14:paraId="3B5B7324"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82% Positive</w:t>
            </w:r>
            <w:r w:rsidRPr="00EF57A6">
              <w:rPr>
                <w:rFonts w:ascii="Arial" w:hAnsi="Arial" w:cs="Arial"/>
                <w:sz w:val="22"/>
                <w:szCs w:val="22"/>
                <w:lang w:eastAsia="en-GB"/>
              </w:rPr>
              <w:br/>
              <w:t>95%</w:t>
            </w:r>
          </w:p>
        </w:tc>
        <w:tc>
          <w:tcPr>
            <w:tcW w:w="0" w:type="auto"/>
            <w:tcMar>
              <w:top w:w="150" w:type="dxa"/>
              <w:left w:w="240" w:type="dxa"/>
              <w:bottom w:w="150" w:type="dxa"/>
              <w:right w:w="0" w:type="dxa"/>
            </w:tcMar>
            <w:vAlign w:val="center"/>
            <w:hideMark/>
          </w:tcPr>
          <w:p w14:paraId="3E5D0CF6" w14:textId="77777777"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New LMS Launch; Leadership Development Programme</w:t>
            </w:r>
          </w:p>
        </w:tc>
      </w:tr>
    </w:tbl>
    <w:p w14:paraId="796C931B" w14:textId="46ADE4F5" w:rsidR="00681A0D" w:rsidRPr="00EF57A6" w:rsidRDefault="00681A0D" w:rsidP="00EF57A6">
      <w:pPr>
        <w:spacing w:line="360" w:lineRule="auto"/>
        <w:rPr>
          <w:rFonts w:ascii="Arial" w:hAnsi="Arial" w:cs="Arial"/>
          <w:sz w:val="22"/>
          <w:szCs w:val="22"/>
          <w:lang w:eastAsia="en-GB"/>
        </w:rPr>
      </w:pPr>
      <w:r w:rsidRPr="00EF57A6">
        <w:rPr>
          <w:rFonts w:ascii="Arial" w:hAnsi="Arial" w:cs="Arial"/>
          <w:sz w:val="22"/>
          <w:szCs w:val="22"/>
          <w:lang w:eastAsia="en-GB"/>
        </w:rPr>
        <w:t>This scorecard should be reviewed quarterly by the senior leadership team to assess progress, identify variances, and authorise necessary tactical adjustments to the plan, ensuring it remains agile and responsive to market dynamics (Kaplan and Norton, 20</w:t>
      </w:r>
      <w:r w:rsidR="00C200F0" w:rsidRPr="00EF57A6">
        <w:rPr>
          <w:rFonts w:ascii="Arial" w:hAnsi="Arial" w:cs="Arial"/>
          <w:sz w:val="22"/>
          <w:szCs w:val="22"/>
          <w:lang w:eastAsia="en-GB"/>
        </w:rPr>
        <w:t>17</w:t>
      </w:r>
      <w:r w:rsidRPr="00EF57A6">
        <w:rPr>
          <w:rFonts w:ascii="Arial" w:hAnsi="Arial" w:cs="Arial"/>
          <w:sz w:val="22"/>
          <w:szCs w:val="22"/>
          <w:lang w:eastAsia="en-GB"/>
        </w:rPr>
        <w:t>).</w:t>
      </w:r>
    </w:p>
    <w:p w14:paraId="6B7ED0ED" w14:textId="77777777" w:rsidR="00477092" w:rsidRDefault="00477092" w:rsidP="00681A0D">
      <w:pPr>
        <w:shd w:val="clear" w:color="auto" w:fill="FFFFFF"/>
        <w:spacing w:before="480" w:after="240" w:line="450" w:lineRule="atLeast"/>
        <w:outlineLvl w:val="2"/>
        <w:rPr>
          <w:rFonts w:ascii="Segoe UI" w:eastAsia="Times New Roman" w:hAnsi="Segoe UI" w:cs="Segoe UI"/>
          <w:b/>
          <w:bCs/>
          <w:color w:val="0F1115"/>
          <w:kern w:val="0"/>
          <w:sz w:val="30"/>
          <w:szCs w:val="30"/>
          <w:lang w:eastAsia="en-GB"/>
          <w14:ligatures w14:val="none"/>
        </w:rPr>
      </w:pPr>
    </w:p>
    <w:p w14:paraId="57C82D09" w14:textId="2D38CFFD" w:rsidR="001E2A0C" w:rsidRPr="00EF57A6" w:rsidRDefault="00FA59F3" w:rsidP="00EF57A6">
      <w:pPr>
        <w:spacing w:line="360" w:lineRule="auto"/>
        <w:rPr>
          <w:rFonts w:ascii="Arial" w:eastAsiaTheme="majorEastAsia" w:hAnsi="Arial" w:cs="Arial"/>
          <w:color w:val="0F4761" w:themeColor="accent1" w:themeShade="BF"/>
          <w:sz w:val="22"/>
          <w:szCs w:val="22"/>
          <w:lang w:eastAsia="en-GB"/>
        </w:rPr>
      </w:pPr>
      <w:bookmarkStart w:id="6" w:name="_Toc212748643"/>
      <w:r>
        <w:rPr>
          <w:rStyle w:val="Heading2Char"/>
          <w:rFonts w:ascii="Arial" w:hAnsi="Arial" w:cs="Arial"/>
          <w:sz w:val="40"/>
          <w:szCs w:val="40"/>
        </w:rPr>
        <w:t xml:space="preserve">5. </w:t>
      </w:r>
      <w:r w:rsidR="001E2A0C" w:rsidRPr="00FA59F3">
        <w:rPr>
          <w:rStyle w:val="Heading2Char"/>
          <w:rFonts w:ascii="Arial" w:hAnsi="Arial" w:cs="Arial"/>
          <w:sz w:val="40"/>
          <w:szCs w:val="40"/>
        </w:rPr>
        <w:t>Conclusion</w:t>
      </w:r>
      <w:bookmarkEnd w:id="6"/>
      <w:r w:rsidR="001E2A0C" w:rsidRPr="001E2A0C">
        <w:rPr>
          <w:rFonts w:ascii="Segoe UI" w:hAnsi="Segoe UI" w:cs="Segoe UI"/>
          <w:b/>
          <w:bCs/>
          <w:sz w:val="30"/>
          <w:szCs w:val="30"/>
          <w:lang w:eastAsia="en-GB"/>
        </w:rPr>
        <w:br/>
      </w:r>
      <w:r w:rsidR="001E2A0C" w:rsidRPr="00EF57A6">
        <w:rPr>
          <w:rFonts w:ascii="Arial" w:hAnsi="Arial" w:cs="Arial"/>
          <w:sz w:val="22"/>
          <w:szCs w:val="22"/>
          <w:lang w:eastAsia="en-GB"/>
        </w:rPr>
        <w:t>This marketing plan has delineated a clear path forward for Tesco in a fiercely competitive and rapidly evolving market. The analysis confirms that Tesco's formidable strengths</w:t>
      </w:r>
      <w:r w:rsidR="00E832FB">
        <w:rPr>
          <w:rFonts w:ascii="Arial" w:hAnsi="Arial" w:cs="Arial"/>
          <w:sz w:val="22"/>
          <w:szCs w:val="22"/>
          <w:lang w:eastAsia="en-GB"/>
        </w:rPr>
        <w:t xml:space="preserve">, </w:t>
      </w:r>
      <w:r w:rsidR="001E2A0C" w:rsidRPr="00EF57A6">
        <w:rPr>
          <w:rFonts w:ascii="Arial" w:hAnsi="Arial" w:cs="Arial"/>
          <w:sz w:val="22"/>
          <w:szCs w:val="22"/>
          <w:lang w:eastAsia="en-GB"/>
        </w:rPr>
        <w:t>particularly its scale and the data supremacy of the Clubcard</w:t>
      </w:r>
      <w:r w:rsidR="00E832FB">
        <w:rPr>
          <w:rFonts w:ascii="Arial" w:hAnsi="Arial" w:cs="Arial"/>
          <w:sz w:val="22"/>
          <w:szCs w:val="22"/>
          <w:lang w:eastAsia="en-GB"/>
        </w:rPr>
        <w:t xml:space="preserve">, </w:t>
      </w:r>
      <w:r w:rsidR="001E2A0C" w:rsidRPr="00EF57A6">
        <w:rPr>
          <w:rFonts w:ascii="Arial" w:hAnsi="Arial" w:cs="Arial"/>
          <w:sz w:val="22"/>
          <w:szCs w:val="22"/>
          <w:lang w:eastAsia="en-GB"/>
        </w:rPr>
        <w:t>provide a solid foundation for defence and growth (</w:t>
      </w:r>
      <w:r w:rsidR="0059056B" w:rsidRPr="0059056B">
        <w:rPr>
          <w:rFonts w:ascii="Arial" w:hAnsi="Arial" w:cs="Arial"/>
          <w:sz w:val="22"/>
          <w:szCs w:val="22"/>
          <w:lang w:eastAsia="en-GB"/>
        </w:rPr>
        <w:t>McKevitt, 2025</w:t>
      </w:r>
      <w:r w:rsidR="001E2A0C" w:rsidRPr="00EF57A6">
        <w:rPr>
          <w:rFonts w:ascii="Arial" w:hAnsi="Arial" w:cs="Arial"/>
          <w:sz w:val="22"/>
          <w:szCs w:val="22"/>
          <w:lang w:eastAsia="en-GB"/>
        </w:rPr>
        <w:t xml:space="preserve">; </w:t>
      </w:r>
      <w:r w:rsidR="00DA01C9" w:rsidRPr="00DA01C9">
        <w:rPr>
          <w:rFonts w:ascii="Arial" w:hAnsi="Arial" w:cs="Arial"/>
          <w:sz w:val="22"/>
          <w:szCs w:val="22"/>
          <w:lang w:eastAsia="en-GB"/>
        </w:rPr>
        <w:t>GoodGrowth, 2024</w:t>
      </w:r>
      <w:r w:rsidR="001E2A0C" w:rsidRPr="00EF57A6">
        <w:rPr>
          <w:rFonts w:ascii="Arial" w:hAnsi="Arial" w:cs="Arial"/>
          <w:sz w:val="22"/>
          <w:szCs w:val="22"/>
          <w:lang w:eastAsia="en-GB"/>
        </w:rPr>
        <w:t>; Chaffey and Ellis-Chadwick, 2022). However, the threats, especially from the discounters and a financially pressured consumer base, are severe and persistent (Wood, 2022; Mintel, 2024). The recommended strategy focuses on a dual approach: defensively reinforcing its value proposition to protect its core customer base, while offensively pursuing growth through targeted product innovation and superior digital and convenience offerings (Keller, 2019; Varadarajan, 2020; Chaffey and Ellis-Chadwick, 2022).</w:t>
      </w:r>
    </w:p>
    <w:p w14:paraId="35749E78" w14:textId="77777777" w:rsidR="001E2A0C" w:rsidRPr="00EF57A6" w:rsidRDefault="001E2A0C" w:rsidP="00EF57A6">
      <w:pPr>
        <w:spacing w:line="360" w:lineRule="auto"/>
        <w:rPr>
          <w:rFonts w:ascii="Arial" w:hAnsi="Arial" w:cs="Arial"/>
          <w:b/>
          <w:bCs/>
          <w:sz w:val="22"/>
          <w:szCs w:val="22"/>
          <w:lang w:eastAsia="en-GB"/>
        </w:rPr>
      </w:pPr>
      <w:r w:rsidRPr="00EF57A6">
        <w:rPr>
          <w:rFonts w:ascii="Arial" w:hAnsi="Arial" w:cs="Arial"/>
          <w:b/>
          <w:bCs/>
          <w:sz w:val="22"/>
          <w:szCs w:val="22"/>
          <w:lang w:eastAsia="en-GB"/>
        </w:rPr>
        <w:t>Key Recommendations:</w:t>
      </w:r>
    </w:p>
    <w:p w14:paraId="55F02028" w14:textId="02C73C5F" w:rsidR="001E2A0C" w:rsidRPr="00EF57A6" w:rsidRDefault="001E2A0C" w:rsidP="00EF57A6">
      <w:pPr>
        <w:spacing w:line="360" w:lineRule="auto"/>
        <w:rPr>
          <w:rFonts w:ascii="Arial" w:hAnsi="Arial" w:cs="Arial"/>
          <w:sz w:val="22"/>
          <w:szCs w:val="22"/>
          <w:lang w:eastAsia="en-GB"/>
        </w:rPr>
      </w:pPr>
      <w:r w:rsidRPr="00EF57A6">
        <w:rPr>
          <w:rFonts w:ascii="Arial" w:hAnsi="Arial" w:cs="Arial"/>
          <w:b/>
          <w:bCs/>
          <w:sz w:val="22"/>
          <w:szCs w:val="22"/>
          <w:lang w:eastAsia="en-GB"/>
        </w:rPr>
        <w:t>Segmentation &amp; Targeting:</w:t>
      </w:r>
      <w:r w:rsidRPr="00EF57A6">
        <w:rPr>
          <w:rFonts w:ascii="Arial" w:hAnsi="Arial" w:cs="Arial"/>
          <w:sz w:val="22"/>
          <w:szCs w:val="22"/>
          <w:lang w:eastAsia="en-GB"/>
        </w:rPr>
        <w:t xml:space="preserve"> Evolve from traditional segmentation to a model of dynamic, behaviour-based micro-segmentation powered by advanced Clubcard analytics. This will enable truly one-to-one marketing, increasing relevance and ROI (Kumar et al., 2017; </w:t>
      </w:r>
      <w:r w:rsidR="00DA01C9" w:rsidRPr="00DA01C9">
        <w:rPr>
          <w:rFonts w:ascii="Arial" w:hAnsi="Arial" w:cs="Arial"/>
          <w:sz w:val="22"/>
          <w:szCs w:val="22"/>
          <w:lang w:eastAsia="en-GB"/>
        </w:rPr>
        <w:t>GoodGrowth, 2024</w:t>
      </w:r>
      <w:r w:rsidRPr="00EF57A6">
        <w:rPr>
          <w:rFonts w:ascii="Arial" w:hAnsi="Arial" w:cs="Arial"/>
          <w:sz w:val="22"/>
          <w:szCs w:val="22"/>
          <w:lang w:eastAsia="en-GB"/>
        </w:rPr>
        <w:t>).</w:t>
      </w:r>
    </w:p>
    <w:p w14:paraId="780E9211" w14:textId="77777777" w:rsidR="001E2A0C" w:rsidRPr="00EF57A6" w:rsidRDefault="001E2A0C" w:rsidP="00EF57A6">
      <w:pPr>
        <w:spacing w:line="360" w:lineRule="auto"/>
        <w:rPr>
          <w:rFonts w:ascii="Arial" w:hAnsi="Arial" w:cs="Arial"/>
          <w:sz w:val="22"/>
          <w:szCs w:val="22"/>
          <w:lang w:eastAsia="en-GB"/>
        </w:rPr>
      </w:pPr>
      <w:r w:rsidRPr="00EF57A6">
        <w:rPr>
          <w:rFonts w:ascii="Arial" w:hAnsi="Arial" w:cs="Arial"/>
          <w:b/>
          <w:bCs/>
          <w:sz w:val="22"/>
          <w:szCs w:val="22"/>
          <w:lang w:eastAsia="en-GB"/>
        </w:rPr>
        <w:t>Positioning:</w:t>
      </w:r>
      <w:r w:rsidRPr="00EF57A6">
        <w:rPr>
          <w:rFonts w:ascii="Arial" w:hAnsi="Arial" w:cs="Arial"/>
          <w:sz w:val="22"/>
          <w:szCs w:val="22"/>
          <w:lang w:eastAsia="en-GB"/>
        </w:rPr>
        <w:t xml:space="preserve"> Systematically augment the "Value" message with a stronger, more visible "Quality and Innovation" narrative, particularly around its successful own-brand tiers. This will prevent brand commoditisation and attract more high-value shoppers (Keller, 2019; Mintel, 2024).</w:t>
      </w:r>
    </w:p>
    <w:p w14:paraId="620699D3" w14:textId="77777777" w:rsidR="001E2A0C" w:rsidRPr="00EF57A6" w:rsidRDefault="001E2A0C" w:rsidP="00EF57A6">
      <w:pPr>
        <w:spacing w:line="360" w:lineRule="auto"/>
        <w:rPr>
          <w:rFonts w:ascii="Arial" w:hAnsi="Arial" w:cs="Arial"/>
          <w:b/>
          <w:bCs/>
          <w:sz w:val="22"/>
          <w:szCs w:val="22"/>
          <w:lang w:eastAsia="en-GB"/>
        </w:rPr>
      </w:pPr>
      <w:r w:rsidRPr="00EF57A6">
        <w:rPr>
          <w:rFonts w:ascii="Arial" w:hAnsi="Arial" w:cs="Arial"/>
          <w:b/>
          <w:bCs/>
          <w:sz w:val="22"/>
          <w:szCs w:val="22"/>
          <w:lang w:eastAsia="en-GB"/>
        </w:rPr>
        <w:t>Marketing Mix (7Ps):</w:t>
      </w:r>
    </w:p>
    <w:p w14:paraId="3248130A" w14:textId="77777777" w:rsidR="001E2A0C" w:rsidRPr="00EF57A6" w:rsidRDefault="001E2A0C" w:rsidP="00EF57A6">
      <w:pPr>
        <w:spacing w:line="360" w:lineRule="auto"/>
        <w:rPr>
          <w:rFonts w:ascii="Arial" w:hAnsi="Arial" w:cs="Arial"/>
          <w:sz w:val="22"/>
          <w:szCs w:val="22"/>
          <w:lang w:eastAsia="en-GB"/>
        </w:rPr>
      </w:pPr>
      <w:r w:rsidRPr="00EF57A6">
        <w:rPr>
          <w:rFonts w:ascii="Arial" w:hAnsi="Arial" w:cs="Arial"/>
          <w:sz w:val="22"/>
          <w:szCs w:val="22"/>
          <w:lang w:eastAsia="en-GB"/>
        </w:rPr>
        <w:t>Product: Mandate an accelerated innovation pipeline for the Tesco Finest and Plant-Based ranges to drive margin and differentiation (Varadarajan, 2020; Mintel, 2024).</w:t>
      </w:r>
    </w:p>
    <w:p w14:paraId="120F22E1" w14:textId="77777777" w:rsidR="001E2A0C" w:rsidRPr="00EF57A6" w:rsidRDefault="001E2A0C" w:rsidP="00EF57A6">
      <w:pPr>
        <w:spacing w:line="360" w:lineRule="auto"/>
        <w:rPr>
          <w:rFonts w:ascii="Arial" w:hAnsi="Arial" w:cs="Arial"/>
          <w:sz w:val="22"/>
          <w:szCs w:val="22"/>
          <w:lang w:eastAsia="en-GB"/>
        </w:rPr>
      </w:pPr>
      <w:r w:rsidRPr="00EF57A6">
        <w:rPr>
          <w:rFonts w:ascii="Arial" w:hAnsi="Arial" w:cs="Arial"/>
          <w:sz w:val="22"/>
          <w:szCs w:val="22"/>
          <w:lang w:eastAsia="en-GB"/>
        </w:rPr>
        <w:t>Price: Institutionalise a process of rigorous, frequent audits of the Aldi Price Match to guarantee its credibility and effectiveness (Wood, 2022).</w:t>
      </w:r>
    </w:p>
    <w:p w14:paraId="69B9C6B6" w14:textId="77777777" w:rsidR="001E2A0C" w:rsidRPr="00EF57A6" w:rsidRDefault="001E2A0C" w:rsidP="00EF57A6">
      <w:pPr>
        <w:spacing w:line="360" w:lineRule="auto"/>
        <w:rPr>
          <w:rFonts w:ascii="Arial" w:hAnsi="Arial" w:cs="Arial"/>
          <w:sz w:val="22"/>
          <w:szCs w:val="22"/>
          <w:lang w:eastAsia="en-GB"/>
        </w:rPr>
      </w:pPr>
      <w:r w:rsidRPr="00EF57A6">
        <w:rPr>
          <w:rFonts w:ascii="Arial" w:hAnsi="Arial" w:cs="Arial"/>
          <w:sz w:val="22"/>
          <w:szCs w:val="22"/>
          <w:lang w:eastAsia="en-GB"/>
        </w:rPr>
        <w:t>Place: Commit significant capital expenditure to expand the "Whoosh" rapid delivery network, recognising it as a critical battleground for the future of convenience (Chaffey and Ellis-Chadwick, 2022; Tesco PLC, 2023).</w:t>
      </w:r>
    </w:p>
    <w:p w14:paraId="17091E12" w14:textId="235D197A" w:rsidR="001E2A0C" w:rsidRPr="00EF57A6" w:rsidRDefault="001E2A0C" w:rsidP="00EF57A6">
      <w:pPr>
        <w:spacing w:line="360" w:lineRule="auto"/>
        <w:rPr>
          <w:rFonts w:ascii="Arial" w:hAnsi="Arial" w:cs="Arial"/>
          <w:sz w:val="22"/>
          <w:szCs w:val="22"/>
          <w:lang w:eastAsia="en-GB"/>
        </w:rPr>
      </w:pPr>
      <w:r w:rsidRPr="00EF57A6">
        <w:rPr>
          <w:rFonts w:ascii="Arial" w:hAnsi="Arial" w:cs="Arial"/>
          <w:sz w:val="22"/>
          <w:szCs w:val="22"/>
          <w:lang w:eastAsia="en-GB"/>
        </w:rPr>
        <w:t xml:space="preserve">Promotion: Rebalance the marketing budget to increase investment in digital, social, and mobile channels to better engage younger demographics and drive app adoption (Chaffey and Ellis-Chadwick, 2022; </w:t>
      </w:r>
      <w:r w:rsidR="00DA01C9" w:rsidRPr="00DA01C9">
        <w:rPr>
          <w:rFonts w:ascii="Arial" w:hAnsi="Arial" w:cs="Arial"/>
          <w:sz w:val="22"/>
          <w:szCs w:val="22"/>
          <w:lang w:eastAsia="en-GB"/>
        </w:rPr>
        <w:t>GoodGrowth, 2024</w:t>
      </w:r>
      <w:r w:rsidRPr="00EF57A6">
        <w:rPr>
          <w:rFonts w:ascii="Arial" w:hAnsi="Arial" w:cs="Arial"/>
          <w:sz w:val="22"/>
          <w:szCs w:val="22"/>
          <w:lang w:eastAsia="en-GB"/>
        </w:rPr>
        <w:t>).</w:t>
      </w:r>
    </w:p>
    <w:p w14:paraId="53D345DF" w14:textId="77777777" w:rsidR="001E2A0C" w:rsidRPr="00EF57A6" w:rsidRDefault="001E2A0C" w:rsidP="00EF57A6">
      <w:pPr>
        <w:spacing w:line="360" w:lineRule="auto"/>
        <w:rPr>
          <w:rFonts w:ascii="Arial" w:hAnsi="Arial" w:cs="Arial"/>
          <w:sz w:val="22"/>
          <w:szCs w:val="22"/>
          <w:lang w:eastAsia="en-GB"/>
        </w:rPr>
      </w:pPr>
      <w:r w:rsidRPr="00EF57A6">
        <w:rPr>
          <w:rFonts w:ascii="Arial" w:hAnsi="Arial" w:cs="Arial"/>
          <w:sz w:val="22"/>
          <w:szCs w:val="22"/>
          <w:lang w:eastAsia="en-GB"/>
        </w:rPr>
        <w:lastRenderedPageBreak/>
        <w:t>People &amp; Process: Launch a standardised "Customer First" service excellence programme across all stores and implement a simplified, transparent returns process for non-food items to build trust in these categories (Hollensen, 2020; McDonald and Wilson, 2011).</w:t>
      </w:r>
    </w:p>
    <w:p w14:paraId="6B2C51BA" w14:textId="77777777" w:rsidR="001E2A0C" w:rsidRPr="00EF57A6" w:rsidRDefault="001E2A0C" w:rsidP="00EF57A6">
      <w:pPr>
        <w:spacing w:line="360" w:lineRule="auto"/>
        <w:rPr>
          <w:rFonts w:ascii="Arial" w:hAnsi="Arial" w:cs="Arial"/>
          <w:sz w:val="22"/>
          <w:szCs w:val="22"/>
          <w:lang w:eastAsia="en-GB"/>
        </w:rPr>
      </w:pPr>
      <w:r w:rsidRPr="00EF57A6">
        <w:rPr>
          <w:rFonts w:ascii="Arial" w:hAnsi="Arial" w:cs="Arial"/>
          <w:sz w:val="22"/>
          <w:szCs w:val="22"/>
          <w:lang w:eastAsia="en-GB"/>
        </w:rPr>
        <w:t>Physical Evidence: Initiate a strategic, multi-year store refresh programme, prioritising the Metro and Express formats, to uniformly elevate the in-store brand experience (Tesco PLC, 2023; Mintel, 2024).</w:t>
      </w:r>
    </w:p>
    <w:p w14:paraId="1E4844FC" w14:textId="77777777" w:rsidR="001E2A0C" w:rsidRPr="00EF57A6" w:rsidRDefault="001E2A0C" w:rsidP="00EF57A6">
      <w:pPr>
        <w:spacing w:line="360" w:lineRule="auto"/>
        <w:rPr>
          <w:rFonts w:ascii="Arial" w:hAnsi="Arial" w:cs="Arial"/>
          <w:b/>
          <w:bCs/>
          <w:sz w:val="22"/>
          <w:szCs w:val="22"/>
          <w:lang w:eastAsia="en-GB"/>
        </w:rPr>
      </w:pPr>
      <w:r w:rsidRPr="00EF57A6">
        <w:rPr>
          <w:rFonts w:ascii="Arial" w:hAnsi="Arial" w:cs="Arial"/>
          <w:sz w:val="22"/>
          <w:szCs w:val="22"/>
          <w:lang w:eastAsia="en-GB"/>
        </w:rPr>
        <w:t>By executing this integrated plan with discipline and a relentless focus on the customer, Tesco can not only defend its market leadership but can also build a more resilient, profitable, and customer-centric business for the future (Kaplan and Norton, 2017; McDonald and Wilson, 2011).</w:t>
      </w:r>
    </w:p>
    <w:p w14:paraId="2BA01ADD" w14:textId="77777777" w:rsidR="00681A0D" w:rsidRDefault="00681A0D" w:rsidP="00681A0D">
      <w:pPr>
        <w:shd w:val="clear" w:color="auto" w:fill="FFFFFF"/>
        <w:spacing w:before="480" w:after="240" w:line="450" w:lineRule="atLeast"/>
        <w:outlineLvl w:val="2"/>
        <w:rPr>
          <w:rFonts w:ascii="Segoe UI" w:eastAsia="Times New Roman" w:hAnsi="Segoe UI" w:cs="Segoe UI"/>
          <w:b/>
          <w:bCs/>
          <w:color w:val="0F1115"/>
          <w:kern w:val="0"/>
          <w:sz w:val="30"/>
          <w:szCs w:val="30"/>
          <w:lang w:eastAsia="en-GB"/>
          <w14:ligatures w14:val="none"/>
        </w:rPr>
      </w:pPr>
    </w:p>
    <w:p w14:paraId="27CE7B8C" w14:textId="77777777" w:rsidR="00681A0D" w:rsidRDefault="00681A0D" w:rsidP="00681A0D">
      <w:pPr>
        <w:shd w:val="clear" w:color="auto" w:fill="FFFFFF"/>
        <w:spacing w:before="480" w:after="240" w:line="450" w:lineRule="atLeast"/>
        <w:outlineLvl w:val="2"/>
        <w:rPr>
          <w:rFonts w:ascii="Segoe UI" w:eastAsia="Times New Roman" w:hAnsi="Segoe UI" w:cs="Segoe UI"/>
          <w:b/>
          <w:bCs/>
          <w:color w:val="0F1115"/>
          <w:kern w:val="0"/>
          <w:sz w:val="30"/>
          <w:szCs w:val="30"/>
          <w:lang w:eastAsia="en-GB"/>
          <w14:ligatures w14:val="none"/>
        </w:rPr>
      </w:pPr>
    </w:p>
    <w:p w14:paraId="721C641A" w14:textId="77777777" w:rsidR="00681A0D" w:rsidRDefault="00681A0D" w:rsidP="00681A0D">
      <w:pPr>
        <w:shd w:val="clear" w:color="auto" w:fill="FFFFFF"/>
        <w:spacing w:before="480" w:after="240" w:line="450" w:lineRule="atLeast"/>
        <w:outlineLvl w:val="2"/>
        <w:rPr>
          <w:rFonts w:ascii="Segoe UI" w:eastAsia="Times New Roman" w:hAnsi="Segoe UI" w:cs="Segoe UI"/>
          <w:b/>
          <w:bCs/>
          <w:color w:val="0F1115"/>
          <w:kern w:val="0"/>
          <w:sz w:val="30"/>
          <w:szCs w:val="30"/>
          <w:lang w:eastAsia="en-GB"/>
          <w14:ligatures w14:val="none"/>
        </w:rPr>
      </w:pPr>
    </w:p>
    <w:p w14:paraId="1C3A48EB" w14:textId="77777777" w:rsidR="00681A0D" w:rsidRDefault="00681A0D" w:rsidP="00681A0D">
      <w:pPr>
        <w:shd w:val="clear" w:color="auto" w:fill="FFFFFF"/>
        <w:spacing w:before="480" w:after="240" w:line="450" w:lineRule="atLeast"/>
        <w:outlineLvl w:val="2"/>
        <w:rPr>
          <w:rFonts w:ascii="Segoe UI" w:eastAsia="Times New Roman" w:hAnsi="Segoe UI" w:cs="Segoe UI"/>
          <w:b/>
          <w:bCs/>
          <w:color w:val="0F1115"/>
          <w:kern w:val="0"/>
          <w:sz w:val="30"/>
          <w:szCs w:val="30"/>
          <w:lang w:eastAsia="en-GB"/>
          <w14:ligatures w14:val="none"/>
        </w:rPr>
      </w:pPr>
    </w:p>
    <w:p w14:paraId="04AE58CE" w14:textId="77777777" w:rsidR="00681A0D" w:rsidRDefault="00681A0D" w:rsidP="00681A0D">
      <w:pPr>
        <w:shd w:val="clear" w:color="auto" w:fill="FFFFFF"/>
        <w:spacing w:before="480" w:after="240" w:line="450" w:lineRule="atLeast"/>
        <w:outlineLvl w:val="2"/>
        <w:rPr>
          <w:rFonts w:ascii="Segoe UI" w:eastAsia="Times New Roman" w:hAnsi="Segoe UI" w:cs="Segoe UI"/>
          <w:b/>
          <w:bCs/>
          <w:color w:val="0F1115"/>
          <w:kern w:val="0"/>
          <w:sz w:val="30"/>
          <w:szCs w:val="30"/>
          <w:lang w:eastAsia="en-GB"/>
          <w14:ligatures w14:val="none"/>
        </w:rPr>
      </w:pPr>
    </w:p>
    <w:p w14:paraId="7D826714" w14:textId="77777777" w:rsidR="00681A0D" w:rsidRDefault="00681A0D" w:rsidP="00681A0D">
      <w:pPr>
        <w:shd w:val="clear" w:color="auto" w:fill="FFFFFF"/>
        <w:spacing w:before="480" w:after="240" w:line="450" w:lineRule="atLeast"/>
        <w:outlineLvl w:val="2"/>
        <w:rPr>
          <w:rFonts w:ascii="Segoe UI" w:eastAsia="Times New Roman" w:hAnsi="Segoe UI" w:cs="Segoe UI"/>
          <w:b/>
          <w:bCs/>
          <w:color w:val="0F1115"/>
          <w:kern w:val="0"/>
          <w:sz w:val="30"/>
          <w:szCs w:val="30"/>
          <w:lang w:eastAsia="en-GB"/>
          <w14:ligatures w14:val="none"/>
        </w:rPr>
      </w:pPr>
    </w:p>
    <w:p w14:paraId="79298B64" w14:textId="7728AAF6" w:rsidR="001E2A0C" w:rsidRDefault="001E2A0C" w:rsidP="00681A0D">
      <w:pPr>
        <w:shd w:val="clear" w:color="auto" w:fill="FFFFFF"/>
        <w:spacing w:before="480" w:after="240" w:line="450" w:lineRule="atLeast"/>
        <w:outlineLvl w:val="2"/>
        <w:rPr>
          <w:rFonts w:ascii="Segoe UI" w:eastAsia="Times New Roman" w:hAnsi="Segoe UI" w:cs="Segoe UI"/>
          <w:b/>
          <w:bCs/>
          <w:color w:val="0F1115"/>
          <w:kern w:val="0"/>
          <w:sz w:val="30"/>
          <w:szCs w:val="30"/>
          <w:lang w:eastAsia="en-GB"/>
          <w14:ligatures w14:val="none"/>
        </w:rPr>
      </w:pPr>
    </w:p>
    <w:p w14:paraId="392AB959" w14:textId="5C416031" w:rsidR="00681A0D" w:rsidRPr="00E20CB4" w:rsidRDefault="001E2A0C" w:rsidP="00FA59F3">
      <w:pPr>
        <w:pStyle w:val="Heading1"/>
        <w:rPr>
          <w:rFonts w:ascii="Arial" w:eastAsia="Times New Roman" w:hAnsi="Arial" w:cs="Arial"/>
          <w:b/>
          <w:bCs/>
          <w:color w:val="0F1115"/>
          <w:kern w:val="0"/>
          <w:sz w:val="30"/>
          <w:szCs w:val="30"/>
          <w:lang w:eastAsia="en-GB"/>
          <w14:ligatures w14:val="none"/>
        </w:rPr>
      </w:pPr>
      <w:r>
        <w:rPr>
          <w:rFonts w:ascii="Segoe UI" w:eastAsia="Times New Roman" w:hAnsi="Segoe UI" w:cs="Segoe UI"/>
          <w:b/>
          <w:bCs/>
          <w:color w:val="0F1115"/>
          <w:kern w:val="0"/>
          <w:sz w:val="30"/>
          <w:szCs w:val="30"/>
          <w:lang w:eastAsia="en-GB"/>
          <w14:ligatures w14:val="none"/>
        </w:rPr>
        <w:br w:type="page"/>
      </w:r>
      <w:bookmarkStart w:id="7" w:name="_Toc212748644"/>
      <w:r w:rsidR="00FA59F3">
        <w:rPr>
          <w:rFonts w:ascii="Arial" w:eastAsia="Times New Roman" w:hAnsi="Arial" w:cs="Arial"/>
          <w:lang w:eastAsia="en-GB"/>
        </w:rPr>
        <w:lastRenderedPageBreak/>
        <w:t>6.</w:t>
      </w:r>
      <w:r w:rsidR="00681A0D" w:rsidRPr="00E20CB4">
        <w:rPr>
          <w:rFonts w:ascii="Arial" w:eastAsia="Times New Roman" w:hAnsi="Arial" w:cs="Arial"/>
          <w:lang w:eastAsia="en-GB"/>
        </w:rPr>
        <w:t xml:space="preserve"> References</w:t>
      </w:r>
      <w:bookmarkEnd w:id="7"/>
    </w:p>
    <w:p w14:paraId="77A78D5F" w14:textId="77777777" w:rsidR="001C0E3C" w:rsidRPr="003C6A83" w:rsidRDefault="001C0E3C" w:rsidP="00681A0D">
      <w:pPr>
        <w:shd w:val="clear" w:color="auto" w:fill="FFFFFF"/>
        <w:spacing w:before="240" w:after="240" w:line="420" w:lineRule="atLeast"/>
        <w:rPr>
          <w:rFonts w:ascii="Segoe UI" w:eastAsia="Times New Roman" w:hAnsi="Segoe UI" w:cs="Segoe UI"/>
          <w:color w:val="0F1115"/>
          <w:kern w:val="0"/>
          <w:lang w:eastAsia="en-GB"/>
          <w14:ligatures w14:val="none"/>
        </w:rPr>
      </w:pPr>
      <w:r w:rsidRPr="003C6A83">
        <w:rPr>
          <w:rFonts w:ascii="Segoe UI" w:eastAsia="Times New Roman" w:hAnsi="Segoe UI" w:cs="Segoe UI"/>
          <w:color w:val="0F1115"/>
          <w:kern w:val="0"/>
          <w:lang w:eastAsia="en-GB"/>
          <w14:ligatures w14:val="none"/>
        </w:rPr>
        <w:t>Chaffey, D. and Ellis-Chadwick, F. (2022). </w:t>
      </w:r>
      <w:r w:rsidRPr="003C6A83">
        <w:rPr>
          <w:rFonts w:ascii="Segoe UI" w:eastAsia="Times New Roman" w:hAnsi="Segoe UI" w:cs="Segoe UI"/>
          <w:i/>
          <w:iCs/>
          <w:color w:val="0F1115"/>
          <w:kern w:val="0"/>
          <w:lang w:eastAsia="en-GB"/>
          <w14:ligatures w14:val="none"/>
        </w:rPr>
        <w:t>Digital Marketing: Strategy, Implementation and Practice</w:t>
      </w:r>
      <w:r w:rsidRPr="003C6A83">
        <w:rPr>
          <w:rFonts w:ascii="Segoe UI" w:eastAsia="Times New Roman" w:hAnsi="Segoe UI" w:cs="Segoe UI"/>
          <w:color w:val="0F1115"/>
          <w:kern w:val="0"/>
          <w:lang w:eastAsia="en-GB"/>
          <w14:ligatures w14:val="none"/>
        </w:rPr>
        <w:t>. 8th ed. Harlow: Pearson.</w:t>
      </w:r>
    </w:p>
    <w:p w14:paraId="71E76AEC" w14:textId="77777777" w:rsidR="001C0E3C" w:rsidRPr="003C6A83" w:rsidRDefault="001C0E3C" w:rsidP="00681A0D">
      <w:pPr>
        <w:shd w:val="clear" w:color="auto" w:fill="FFFFFF"/>
        <w:spacing w:before="240" w:after="240" w:line="420" w:lineRule="atLeast"/>
        <w:rPr>
          <w:rFonts w:ascii="Segoe UI" w:eastAsia="Times New Roman" w:hAnsi="Segoe UI" w:cs="Segoe UI"/>
          <w:color w:val="0F1115"/>
          <w:kern w:val="0"/>
          <w:lang w:eastAsia="en-GB"/>
          <w14:ligatures w14:val="none"/>
        </w:rPr>
      </w:pPr>
      <w:r w:rsidRPr="003C6A83">
        <w:rPr>
          <w:rFonts w:ascii="Segoe UI" w:eastAsia="Times New Roman" w:hAnsi="Segoe UI" w:cs="Segoe UI"/>
          <w:color w:val="0F1115"/>
          <w:kern w:val="0"/>
          <w:lang w:eastAsia="en-GB"/>
          <w14:ligatures w14:val="none"/>
        </w:rPr>
        <w:t>GoodGrowth (2024) The data-driven rise of supermarket loyalty cards and the risk of data blindness. Available at: https://goodgrowth.co.uk/articles/the-data-driven-rise-of-supermarket-loyalty-cards-and-the-risk-of-data-blindness/#:~:text=Tesco%20Clubcard:%20A%20Pioneer%20in,efficient%20and%20enjoyable%20shopping%20experience. (Accessed: 28 October 2025).</w:t>
      </w:r>
    </w:p>
    <w:p w14:paraId="55FDD1D9" w14:textId="77777777" w:rsidR="001C0E3C" w:rsidRPr="003C6A83" w:rsidRDefault="001C0E3C" w:rsidP="00681A0D">
      <w:pPr>
        <w:shd w:val="clear" w:color="auto" w:fill="FFFFFF"/>
        <w:spacing w:before="240" w:after="240" w:line="420" w:lineRule="atLeast"/>
        <w:rPr>
          <w:rFonts w:ascii="Segoe UI" w:eastAsia="Times New Roman" w:hAnsi="Segoe UI" w:cs="Segoe UI"/>
          <w:color w:val="0F1115"/>
          <w:kern w:val="0"/>
          <w:lang w:eastAsia="en-GB"/>
          <w14:ligatures w14:val="none"/>
        </w:rPr>
      </w:pPr>
      <w:r w:rsidRPr="003C6A83">
        <w:rPr>
          <w:rFonts w:ascii="Segoe UI" w:eastAsia="Times New Roman" w:hAnsi="Segoe UI" w:cs="Segoe UI"/>
          <w:color w:val="0F1115"/>
          <w:kern w:val="0"/>
          <w:lang w:eastAsia="en-GB"/>
          <w14:ligatures w14:val="none"/>
        </w:rPr>
        <w:t>Hollensen, S. (2020). </w:t>
      </w:r>
      <w:r w:rsidRPr="003C6A83">
        <w:rPr>
          <w:rFonts w:ascii="Segoe UI" w:eastAsia="Times New Roman" w:hAnsi="Segoe UI" w:cs="Segoe UI"/>
          <w:i/>
          <w:iCs/>
          <w:color w:val="0F1115"/>
          <w:kern w:val="0"/>
          <w:lang w:eastAsia="en-GB"/>
          <w14:ligatures w14:val="none"/>
        </w:rPr>
        <w:t>Marketing Management: A Relationship Approach</w:t>
      </w:r>
      <w:r w:rsidRPr="003C6A83">
        <w:rPr>
          <w:rFonts w:ascii="Segoe UI" w:eastAsia="Times New Roman" w:hAnsi="Segoe UI" w:cs="Segoe UI"/>
          <w:color w:val="0F1115"/>
          <w:kern w:val="0"/>
          <w:lang w:eastAsia="en-GB"/>
          <w14:ligatures w14:val="none"/>
        </w:rPr>
        <w:t>. 4th ed. Harlow: Pearson.</w:t>
      </w:r>
    </w:p>
    <w:p w14:paraId="05686440" w14:textId="77777777" w:rsidR="001C0E3C" w:rsidRPr="003C6A83" w:rsidRDefault="001C0E3C" w:rsidP="00681A0D">
      <w:pPr>
        <w:shd w:val="clear" w:color="auto" w:fill="FFFFFF"/>
        <w:spacing w:before="240" w:line="420" w:lineRule="atLeast"/>
        <w:rPr>
          <w:rFonts w:ascii="Segoe UI" w:eastAsia="Times New Roman" w:hAnsi="Segoe UI" w:cs="Segoe UI"/>
          <w:color w:val="0F1115"/>
          <w:kern w:val="0"/>
          <w:lang w:eastAsia="en-GB"/>
          <w14:ligatures w14:val="none"/>
        </w:rPr>
      </w:pPr>
      <w:r w:rsidRPr="003C6A83">
        <w:rPr>
          <w:rFonts w:ascii="Segoe UI" w:eastAsia="Times New Roman" w:hAnsi="Segoe UI" w:cs="Segoe UI"/>
          <w:color w:val="0F1115"/>
          <w:kern w:val="0"/>
          <w:lang w:eastAsia="en-GB"/>
          <w14:ligatures w14:val="none"/>
        </w:rPr>
        <w:t xml:space="preserve">Houlton, C. (2023) 'Sainsbury's launches biggest ever rollout of Nectar Prices', Grocery Gazette, 11 April. Available at: https://www.grocerygazette.co.uk/2023/04/11/sainsburys-nectar-prices/. (Accessed: 29 October 2025). </w:t>
      </w:r>
    </w:p>
    <w:p w14:paraId="10DAACBE" w14:textId="77777777" w:rsidR="001C0E3C" w:rsidRPr="003C6A83" w:rsidRDefault="001C0E3C" w:rsidP="00681A0D">
      <w:pPr>
        <w:shd w:val="clear" w:color="auto" w:fill="FFFFFF"/>
        <w:spacing w:before="240" w:after="240" w:line="420" w:lineRule="atLeast"/>
        <w:rPr>
          <w:rFonts w:ascii="Segoe UI" w:eastAsia="Times New Roman" w:hAnsi="Segoe UI" w:cs="Segoe UI"/>
          <w:color w:val="0F1115"/>
          <w:kern w:val="0"/>
          <w:lang w:eastAsia="en-GB"/>
          <w14:ligatures w14:val="none"/>
        </w:rPr>
      </w:pPr>
      <w:r w:rsidRPr="003C6A83">
        <w:rPr>
          <w:rFonts w:ascii="Segoe UI" w:eastAsia="Times New Roman" w:hAnsi="Segoe UI" w:cs="Segoe UI"/>
          <w:color w:val="0F1115"/>
          <w:kern w:val="0"/>
          <w:lang w:eastAsia="en-GB"/>
          <w14:ligatures w14:val="none"/>
        </w:rPr>
        <w:t>Kaplan, R. and Norton, D. (2017). </w:t>
      </w:r>
      <w:r w:rsidRPr="003C6A83">
        <w:rPr>
          <w:rFonts w:ascii="Segoe UI" w:eastAsia="Times New Roman" w:hAnsi="Segoe UI" w:cs="Segoe UI"/>
          <w:i/>
          <w:iCs/>
          <w:color w:val="0F1115"/>
          <w:kern w:val="0"/>
          <w:lang w:eastAsia="en-GB"/>
          <w14:ligatures w14:val="none"/>
        </w:rPr>
        <w:t>The Balanced Scorecard: Measures That Drive Performance</w:t>
      </w:r>
      <w:r w:rsidRPr="003C6A83">
        <w:rPr>
          <w:rFonts w:ascii="Segoe UI" w:eastAsia="Times New Roman" w:hAnsi="Segoe UI" w:cs="Segoe UI"/>
          <w:color w:val="0F1115"/>
          <w:kern w:val="0"/>
          <w:lang w:eastAsia="en-GB"/>
          <w14:ligatures w14:val="none"/>
        </w:rPr>
        <w:t>. Harvard Business Review. Available at: https://hbr.org/2005/07/the-balanced-scorecard-measures-that-drive-performance. (Accessed: 27 October 2025).</w:t>
      </w:r>
    </w:p>
    <w:p w14:paraId="30219F0F" w14:textId="77777777" w:rsidR="001C0E3C" w:rsidRPr="003C6A83" w:rsidRDefault="001C0E3C" w:rsidP="00681A0D">
      <w:pPr>
        <w:shd w:val="clear" w:color="auto" w:fill="FFFFFF"/>
        <w:spacing w:before="240" w:after="240" w:line="420" w:lineRule="atLeast"/>
        <w:rPr>
          <w:rFonts w:ascii="Segoe UI" w:eastAsia="Times New Roman" w:hAnsi="Segoe UI" w:cs="Segoe UI"/>
          <w:color w:val="0F1115"/>
          <w:kern w:val="0"/>
          <w:lang w:eastAsia="en-GB"/>
          <w14:ligatures w14:val="none"/>
        </w:rPr>
      </w:pPr>
      <w:r w:rsidRPr="003C6A83">
        <w:rPr>
          <w:rFonts w:ascii="Segoe UI" w:eastAsia="Times New Roman" w:hAnsi="Segoe UI" w:cs="Segoe UI"/>
          <w:color w:val="0F1115"/>
          <w:kern w:val="0"/>
          <w:lang w:eastAsia="en-GB"/>
          <w14:ligatures w14:val="none"/>
        </w:rPr>
        <w:t xml:space="preserve">Keller, K.L. (2019) ‘Consumer Research Insights on Brands and Branding: A JCR Curation’, </w:t>
      </w:r>
      <w:r w:rsidRPr="003C6A83">
        <w:rPr>
          <w:rFonts w:ascii="Segoe UI" w:eastAsia="Times New Roman" w:hAnsi="Segoe UI" w:cs="Segoe UI"/>
          <w:i/>
          <w:iCs/>
          <w:color w:val="0F1115"/>
          <w:kern w:val="0"/>
          <w:lang w:eastAsia="en-GB"/>
          <w14:ligatures w14:val="none"/>
        </w:rPr>
        <w:t>Journal of Consumer Research</w:t>
      </w:r>
      <w:r w:rsidRPr="003C6A83">
        <w:rPr>
          <w:rFonts w:ascii="Segoe UI" w:eastAsia="Times New Roman" w:hAnsi="Segoe UI" w:cs="Segoe UI"/>
          <w:color w:val="0F1115"/>
          <w:kern w:val="0"/>
          <w:lang w:eastAsia="en-GB"/>
          <w14:ligatures w14:val="none"/>
        </w:rPr>
        <w:t xml:space="preserve">, 46(5), pp. 995-1001. Available at: https://scispace.com/pdf/consumer-research-insights-on-brands-and-branding-a-jcr-1wbq8dkwz0.pdf (Accessed: 26 October 2025). </w:t>
      </w:r>
    </w:p>
    <w:p w14:paraId="14DFD878" w14:textId="77777777" w:rsidR="001C0E3C" w:rsidRPr="003C6A83" w:rsidRDefault="001C0E3C" w:rsidP="00681A0D">
      <w:pPr>
        <w:shd w:val="clear" w:color="auto" w:fill="FFFFFF"/>
        <w:spacing w:before="240" w:after="240" w:line="420" w:lineRule="atLeast"/>
        <w:rPr>
          <w:rFonts w:ascii="Segoe UI" w:eastAsia="Times New Roman" w:hAnsi="Segoe UI" w:cs="Segoe UI"/>
          <w:color w:val="0F1115"/>
          <w:kern w:val="0"/>
          <w:lang w:eastAsia="en-GB"/>
          <w14:ligatures w14:val="none"/>
        </w:rPr>
      </w:pPr>
      <w:r w:rsidRPr="003C6A83">
        <w:rPr>
          <w:rFonts w:ascii="Segoe UI" w:eastAsia="Times New Roman" w:hAnsi="Segoe UI" w:cs="Segoe UI"/>
          <w:color w:val="0F1115"/>
          <w:kern w:val="0"/>
          <w:lang w:eastAsia="en-GB"/>
          <w14:ligatures w14:val="none"/>
        </w:rPr>
        <w:t>Kumar, V., Rajan, B., Gupta, S. and Pozza, I.D. (2017). 'Customer Loyalty Management in the Digital Era'. </w:t>
      </w:r>
      <w:r w:rsidRPr="003C6A83">
        <w:rPr>
          <w:rFonts w:ascii="Segoe UI" w:eastAsia="Times New Roman" w:hAnsi="Segoe UI" w:cs="Segoe UI"/>
          <w:i/>
          <w:iCs/>
          <w:color w:val="0F1115"/>
          <w:kern w:val="0"/>
          <w:lang w:eastAsia="en-GB"/>
          <w14:ligatures w14:val="none"/>
        </w:rPr>
        <w:t>Journal of Retailing</w:t>
      </w:r>
      <w:r w:rsidRPr="003C6A83">
        <w:rPr>
          <w:rFonts w:ascii="Segoe UI" w:eastAsia="Times New Roman" w:hAnsi="Segoe UI" w:cs="Segoe UI"/>
          <w:color w:val="0F1115"/>
          <w:kern w:val="0"/>
          <w:lang w:eastAsia="en-GB"/>
          <w14:ligatures w14:val="none"/>
        </w:rPr>
        <w:t>, 97(1), pp. 3-9.</w:t>
      </w:r>
    </w:p>
    <w:p w14:paraId="6A803B26" w14:textId="77777777" w:rsidR="001C0E3C" w:rsidRPr="003C6A83" w:rsidRDefault="001C0E3C" w:rsidP="00681A0D">
      <w:pPr>
        <w:shd w:val="clear" w:color="auto" w:fill="FFFFFF"/>
        <w:spacing w:before="240" w:after="240" w:line="420" w:lineRule="atLeast"/>
        <w:rPr>
          <w:rFonts w:ascii="Segoe UI" w:eastAsia="Times New Roman" w:hAnsi="Segoe UI" w:cs="Segoe UI"/>
          <w:color w:val="0F1115"/>
          <w:kern w:val="0"/>
          <w:lang w:eastAsia="en-GB"/>
          <w14:ligatures w14:val="none"/>
        </w:rPr>
      </w:pPr>
      <w:r w:rsidRPr="003C6A83">
        <w:rPr>
          <w:rFonts w:ascii="Segoe UI" w:eastAsia="Times New Roman" w:hAnsi="Segoe UI" w:cs="Segoe UI"/>
          <w:color w:val="0F1115"/>
          <w:kern w:val="0"/>
          <w:lang w:eastAsia="en-GB"/>
          <w14:ligatures w14:val="none"/>
        </w:rPr>
        <w:t xml:space="preserve">McDonald, M. and Wilson, H. (2011) </w:t>
      </w:r>
      <w:r w:rsidRPr="003C6A83">
        <w:rPr>
          <w:rFonts w:ascii="Segoe UI" w:eastAsia="Times New Roman" w:hAnsi="Segoe UI" w:cs="Segoe UI"/>
          <w:i/>
          <w:iCs/>
          <w:color w:val="0F1115"/>
          <w:kern w:val="0"/>
          <w:lang w:eastAsia="en-GB"/>
          <w14:ligatures w14:val="none"/>
        </w:rPr>
        <w:t>Marketing Plans: How to Prepare Them, How to Use Them</w:t>
      </w:r>
      <w:r w:rsidRPr="003C6A83">
        <w:rPr>
          <w:rFonts w:ascii="Segoe UI" w:eastAsia="Times New Roman" w:hAnsi="Segoe UI" w:cs="Segoe UI"/>
          <w:color w:val="0F1115"/>
          <w:kern w:val="0"/>
          <w:lang w:eastAsia="en-GB"/>
          <w14:ligatures w14:val="none"/>
        </w:rPr>
        <w:t>. New York: John Wiley &amp; Sons</w:t>
      </w:r>
    </w:p>
    <w:p w14:paraId="33BE19C7" w14:textId="77777777" w:rsidR="00B94E4C" w:rsidRPr="003C6A83" w:rsidRDefault="00B94E4C" w:rsidP="00681A0D">
      <w:pPr>
        <w:shd w:val="clear" w:color="auto" w:fill="FFFFFF"/>
        <w:spacing w:before="240" w:after="240" w:line="420" w:lineRule="atLeast"/>
        <w:rPr>
          <w:rFonts w:ascii="Segoe UI" w:eastAsia="Times New Roman" w:hAnsi="Segoe UI" w:cs="Segoe UI"/>
          <w:color w:val="0F1115"/>
          <w:kern w:val="0"/>
          <w:lang w:eastAsia="en-GB"/>
          <w14:ligatures w14:val="none"/>
        </w:rPr>
      </w:pPr>
    </w:p>
    <w:p w14:paraId="546A0C8D" w14:textId="780A0711" w:rsidR="001C0E3C" w:rsidRPr="003C6A83" w:rsidRDefault="001C0E3C" w:rsidP="00681A0D">
      <w:pPr>
        <w:shd w:val="clear" w:color="auto" w:fill="FFFFFF"/>
        <w:spacing w:before="240" w:after="240" w:line="420" w:lineRule="atLeast"/>
        <w:rPr>
          <w:rFonts w:ascii="Segoe UI" w:eastAsia="Times New Roman" w:hAnsi="Segoe UI" w:cs="Segoe UI"/>
          <w:color w:val="0F1115"/>
          <w:kern w:val="0"/>
          <w:lang w:eastAsia="en-GB"/>
          <w14:ligatures w14:val="none"/>
        </w:rPr>
      </w:pPr>
      <w:r w:rsidRPr="003C6A83">
        <w:rPr>
          <w:rFonts w:ascii="Segoe UI" w:eastAsia="Times New Roman" w:hAnsi="Segoe UI" w:cs="Segoe UI"/>
          <w:color w:val="0F1115"/>
          <w:kern w:val="0"/>
          <w:lang w:eastAsia="en-GB"/>
          <w14:ligatures w14:val="none"/>
        </w:rPr>
        <w:lastRenderedPageBreak/>
        <w:t xml:space="preserve">McKevitt, F. (2025) ‘Brands bounce back as consumers swap meals out for little treats at home’. </w:t>
      </w:r>
      <w:r w:rsidRPr="003C6A83">
        <w:rPr>
          <w:rFonts w:ascii="Segoe UI" w:eastAsia="Times New Roman" w:hAnsi="Segoe UI" w:cs="Segoe UI"/>
          <w:i/>
          <w:iCs/>
          <w:color w:val="0F1115"/>
          <w:kern w:val="0"/>
          <w:lang w:eastAsia="en-GB"/>
          <w14:ligatures w14:val="none"/>
        </w:rPr>
        <w:t>Kantar UK &amp; Ireland</w:t>
      </w:r>
      <w:r w:rsidRPr="003C6A83">
        <w:rPr>
          <w:rFonts w:ascii="Segoe UI" w:eastAsia="Times New Roman" w:hAnsi="Segoe UI" w:cs="Segoe UI"/>
          <w:color w:val="0F1115"/>
          <w:kern w:val="0"/>
          <w:lang w:eastAsia="en-GB"/>
          <w14:ligatures w14:val="none"/>
        </w:rPr>
        <w:t>, 19 August. Available at: https://www.kantar.com/uki/inspiration/fmcg/2025-wp-brands-bounce-back-as-consumers-swap-meals-out-for-little-treats-at-home. (Accessed: 30 October 2025).</w:t>
      </w:r>
    </w:p>
    <w:p w14:paraId="03705EB5" w14:textId="77777777" w:rsidR="001C0E3C" w:rsidRPr="003C6A83" w:rsidRDefault="001C0E3C" w:rsidP="00681A0D">
      <w:pPr>
        <w:shd w:val="clear" w:color="auto" w:fill="FFFFFF"/>
        <w:spacing w:before="240" w:after="240" w:line="420" w:lineRule="atLeast"/>
        <w:rPr>
          <w:rFonts w:ascii="Segoe UI" w:eastAsia="Times New Roman" w:hAnsi="Segoe UI" w:cs="Segoe UI"/>
          <w:color w:val="0F1115"/>
          <w:kern w:val="0"/>
          <w:lang w:eastAsia="en-GB"/>
          <w14:ligatures w14:val="none"/>
        </w:rPr>
      </w:pPr>
      <w:r w:rsidRPr="003C6A83">
        <w:rPr>
          <w:rFonts w:ascii="Segoe UI" w:eastAsia="Times New Roman" w:hAnsi="Segoe UI" w:cs="Segoe UI"/>
          <w:color w:val="0F1115"/>
          <w:kern w:val="0"/>
          <w:lang w:eastAsia="en-GB"/>
          <w14:ligatures w14:val="none"/>
        </w:rPr>
        <w:t>Mintel (2024). </w:t>
      </w:r>
      <w:r w:rsidRPr="003C6A83">
        <w:rPr>
          <w:rFonts w:ascii="Segoe UI" w:eastAsia="Times New Roman" w:hAnsi="Segoe UI" w:cs="Segoe UI"/>
          <w:i/>
          <w:iCs/>
          <w:color w:val="0F1115"/>
          <w:kern w:val="0"/>
          <w:lang w:eastAsia="en-GB"/>
          <w14:ligatures w14:val="none"/>
        </w:rPr>
        <w:t>UK Supermarkets Market Report 2024</w:t>
      </w:r>
      <w:r w:rsidRPr="003C6A83">
        <w:rPr>
          <w:rFonts w:ascii="Segoe UI" w:eastAsia="Times New Roman" w:hAnsi="Segoe UI" w:cs="Segoe UI"/>
          <w:color w:val="0F1115"/>
          <w:kern w:val="0"/>
          <w:lang w:eastAsia="en-GB"/>
          <w14:ligatures w14:val="none"/>
        </w:rPr>
        <w:t>. Mintel Store. Available at: https://store.mintel.com/report/uk-supermarkets-market-report. (Accessed: 26 October 2025).</w:t>
      </w:r>
    </w:p>
    <w:p w14:paraId="08EE054C" w14:textId="77777777" w:rsidR="001C0E3C" w:rsidRPr="003C6A83" w:rsidRDefault="001C0E3C" w:rsidP="00681A0D">
      <w:pPr>
        <w:shd w:val="clear" w:color="auto" w:fill="FFFFFF"/>
        <w:spacing w:before="240" w:line="420" w:lineRule="atLeast"/>
        <w:rPr>
          <w:rFonts w:ascii="Segoe UI" w:eastAsia="Times New Roman" w:hAnsi="Segoe UI" w:cs="Segoe UI"/>
          <w:color w:val="0F1115"/>
          <w:kern w:val="0"/>
          <w:lang w:eastAsia="en-GB"/>
          <w14:ligatures w14:val="none"/>
        </w:rPr>
      </w:pPr>
      <w:r w:rsidRPr="003C6A83">
        <w:rPr>
          <w:rFonts w:ascii="Segoe UI" w:eastAsia="Times New Roman" w:hAnsi="Segoe UI" w:cs="Segoe UI"/>
          <w:color w:val="0F1115"/>
          <w:kern w:val="0"/>
          <w:lang w:eastAsia="en-GB"/>
          <w14:ligatures w14:val="none"/>
        </w:rPr>
        <w:t>Neuhaus, T., Millemann, J.A. and Nijssen, E. (2022). Bridging the gap between B2B and B2C: Thought leadership in industrial marketing – A systematic literature review and propositions. </w:t>
      </w:r>
      <w:r w:rsidRPr="003C6A83">
        <w:rPr>
          <w:rFonts w:ascii="Segoe UI" w:eastAsia="Times New Roman" w:hAnsi="Segoe UI" w:cs="Segoe UI"/>
          <w:i/>
          <w:iCs/>
          <w:color w:val="0F1115"/>
          <w:kern w:val="0"/>
          <w:lang w:eastAsia="en-GB"/>
          <w14:ligatures w14:val="none"/>
        </w:rPr>
        <w:t>Industrial Marketing Management</w:t>
      </w:r>
      <w:r w:rsidRPr="003C6A83">
        <w:rPr>
          <w:rFonts w:ascii="Segoe UI" w:eastAsia="Times New Roman" w:hAnsi="Segoe UI" w:cs="Segoe UI"/>
          <w:color w:val="0F1115"/>
          <w:kern w:val="0"/>
          <w:lang w:eastAsia="en-GB"/>
          <w14:ligatures w14:val="none"/>
        </w:rPr>
        <w:t>, 106(106), pp.99–111.</w:t>
      </w:r>
    </w:p>
    <w:p w14:paraId="2E4DE949" w14:textId="77777777" w:rsidR="001C0E3C" w:rsidRPr="003C6A83" w:rsidRDefault="001C0E3C" w:rsidP="00681A0D">
      <w:pPr>
        <w:shd w:val="clear" w:color="auto" w:fill="FFFFFF"/>
        <w:spacing w:before="240" w:after="240" w:line="420" w:lineRule="atLeast"/>
        <w:rPr>
          <w:rFonts w:ascii="Segoe UI" w:eastAsia="Times New Roman" w:hAnsi="Segoe UI" w:cs="Segoe UI"/>
          <w:color w:val="0F1115"/>
          <w:kern w:val="0"/>
          <w:lang w:eastAsia="en-GB"/>
          <w14:ligatures w14:val="none"/>
        </w:rPr>
      </w:pPr>
      <w:r w:rsidRPr="003C6A83">
        <w:rPr>
          <w:rFonts w:ascii="Segoe UI" w:eastAsia="Times New Roman" w:hAnsi="Segoe UI" w:cs="Segoe UI"/>
          <w:color w:val="0F1115"/>
          <w:kern w:val="0"/>
          <w:lang w:eastAsia="en-GB"/>
          <w14:ligatures w14:val="none"/>
        </w:rPr>
        <w:t>Quinn, I. (2020). </w:t>
      </w:r>
      <w:r w:rsidRPr="003C6A83">
        <w:rPr>
          <w:rFonts w:ascii="Segoe UI" w:eastAsia="Times New Roman" w:hAnsi="Segoe UI" w:cs="Segoe UI"/>
          <w:i/>
          <w:iCs/>
          <w:color w:val="0F1115"/>
          <w:kern w:val="0"/>
          <w:lang w:eastAsia="en-GB"/>
          <w14:ligatures w14:val="none"/>
        </w:rPr>
        <w:t>Tesco plans major recession price war against the discounters</w:t>
      </w:r>
      <w:r w:rsidRPr="003C6A83">
        <w:rPr>
          <w:rFonts w:ascii="Segoe UI" w:eastAsia="Times New Roman" w:hAnsi="Segoe UI" w:cs="Segoe UI"/>
          <w:color w:val="0F1115"/>
          <w:kern w:val="0"/>
          <w:lang w:eastAsia="en-GB"/>
          <w14:ligatures w14:val="none"/>
        </w:rPr>
        <w:t xml:space="preserve">. The Grocer. Available at: https://www.thegrocer.co.uk/news/tesco-plans-major-recession-price-war-against-the-discounters/645577.article (Accessed: 26 Oct. 2025). </w:t>
      </w:r>
    </w:p>
    <w:p w14:paraId="7DFB6397" w14:textId="77777777" w:rsidR="001C0E3C" w:rsidRPr="003C6A83" w:rsidRDefault="001C0E3C" w:rsidP="00681A0D">
      <w:pPr>
        <w:shd w:val="clear" w:color="auto" w:fill="FFFFFF"/>
        <w:spacing w:before="240" w:after="240" w:line="420" w:lineRule="atLeast"/>
        <w:rPr>
          <w:rFonts w:ascii="Segoe UI" w:eastAsia="Times New Roman" w:hAnsi="Segoe UI" w:cs="Segoe UI"/>
          <w:color w:val="0F1115"/>
          <w:kern w:val="0"/>
          <w:lang w:eastAsia="en-GB"/>
          <w14:ligatures w14:val="none"/>
        </w:rPr>
      </w:pPr>
      <w:r w:rsidRPr="003C6A83">
        <w:rPr>
          <w:rFonts w:ascii="Segoe UI" w:eastAsia="Times New Roman" w:hAnsi="Segoe UI" w:cs="Segoe UI"/>
          <w:color w:val="0F1115"/>
          <w:kern w:val="0"/>
          <w:lang w:eastAsia="en-GB"/>
          <w14:ligatures w14:val="none"/>
        </w:rPr>
        <w:t>Tesco PLC (2023). </w:t>
      </w:r>
      <w:r w:rsidRPr="003C6A83">
        <w:rPr>
          <w:rFonts w:ascii="Segoe UI" w:eastAsia="Times New Roman" w:hAnsi="Segoe UI" w:cs="Segoe UI"/>
          <w:i/>
          <w:iCs/>
          <w:color w:val="0F1115"/>
          <w:kern w:val="0"/>
          <w:lang w:eastAsia="en-GB"/>
          <w14:ligatures w14:val="none"/>
        </w:rPr>
        <w:t>Tesco PLC Annual Report and Financial Statements 2023</w:t>
      </w:r>
      <w:r w:rsidRPr="003C6A83">
        <w:rPr>
          <w:rFonts w:ascii="Segoe UI" w:eastAsia="Times New Roman" w:hAnsi="Segoe UI" w:cs="Segoe UI"/>
          <w:color w:val="0F1115"/>
          <w:kern w:val="0"/>
          <w:lang w:eastAsia="en-GB"/>
          <w14:ligatures w14:val="none"/>
        </w:rPr>
        <w:t>.</w:t>
      </w:r>
    </w:p>
    <w:p w14:paraId="3028A266" w14:textId="77777777" w:rsidR="001C0E3C" w:rsidRPr="003C6A83" w:rsidRDefault="001C0E3C" w:rsidP="00681A0D">
      <w:pPr>
        <w:shd w:val="clear" w:color="auto" w:fill="FFFFFF"/>
        <w:spacing w:before="240" w:after="240" w:line="420" w:lineRule="atLeast"/>
        <w:rPr>
          <w:rFonts w:ascii="Segoe UI" w:eastAsia="Times New Roman" w:hAnsi="Segoe UI" w:cs="Segoe UI"/>
          <w:color w:val="0F1115"/>
          <w:kern w:val="0"/>
          <w:lang w:eastAsia="en-GB"/>
          <w14:ligatures w14:val="none"/>
        </w:rPr>
      </w:pPr>
      <w:r w:rsidRPr="003C6A83">
        <w:rPr>
          <w:rFonts w:ascii="Segoe UI" w:eastAsia="Times New Roman" w:hAnsi="Segoe UI" w:cs="Segoe UI"/>
          <w:color w:val="0F1115"/>
          <w:kern w:val="0"/>
          <w:lang w:eastAsia="en-GB"/>
          <w14:ligatures w14:val="none"/>
        </w:rPr>
        <w:t>Varadarajan, R. (2020). 'Customer information resources advantage, marketing strategy and business performance: A market resources based view'. </w:t>
      </w:r>
      <w:r w:rsidRPr="003C6A83">
        <w:rPr>
          <w:rFonts w:ascii="Segoe UI" w:eastAsia="Times New Roman" w:hAnsi="Segoe UI" w:cs="Segoe UI"/>
          <w:i/>
          <w:iCs/>
          <w:color w:val="0F1115"/>
          <w:kern w:val="0"/>
          <w:lang w:eastAsia="en-GB"/>
          <w14:ligatures w14:val="none"/>
        </w:rPr>
        <w:t>Industrial Marketing Management</w:t>
      </w:r>
      <w:r w:rsidRPr="003C6A83">
        <w:rPr>
          <w:rFonts w:ascii="Segoe UI" w:eastAsia="Times New Roman" w:hAnsi="Segoe UI" w:cs="Segoe UI"/>
          <w:color w:val="0F1115"/>
          <w:kern w:val="0"/>
          <w:lang w:eastAsia="en-GB"/>
          <w14:ligatures w14:val="none"/>
        </w:rPr>
        <w:t>, 89, pp. 89-97.</w:t>
      </w:r>
    </w:p>
    <w:p w14:paraId="21EAF75A" w14:textId="77777777" w:rsidR="001C0E3C" w:rsidRDefault="001C0E3C" w:rsidP="00681A0D">
      <w:pPr>
        <w:shd w:val="clear" w:color="auto" w:fill="FFFFFF"/>
        <w:spacing w:before="240" w:after="240" w:line="420" w:lineRule="atLeast"/>
        <w:rPr>
          <w:rFonts w:ascii="Segoe UI" w:eastAsia="Times New Roman" w:hAnsi="Segoe UI" w:cs="Segoe UI"/>
          <w:color w:val="0F1115"/>
          <w:kern w:val="0"/>
          <w:lang w:eastAsia="en-GB"/>
          <w14:ligatures w14:val="none"/>
        </w:rPr>
      </w:pPr>
      <w:r w:rsidRPr="003C6A83">
        <w:rPr>
          <w:rFonts w:ascii="Segoe UI" w:eastAsia="Times New Roman" w:hAnsi="Segoe UI" w:cs="Segoe UI"/>
          <w:color w:val="0F1115"/>
          <w:kern w:val="0"/>
          <w:lang w:eastAsia="en-GB"/>
          <w14:ligatures w14:val="none"/>
        </w:rPr>
        <w:t>Wood, Zoe (2022). </w:t>
      </w:r>
      <w:r w:rsidRPr="003C6A83">
        <w:rPr>
          <w:rFonts w:ascii="Segoe UI" w:eastAsia="Times New Roman" w:hAnsi="Segoe UI" w:cs="Segoe UI"/>
          <w:i/>
          <w:iCs/>
          <w:color w:val="0F1115"/>
          <w:kern w:val="0"/>
          <w:lang w:eastAsia="en-GB"/>
          <w14:ligatures w14:val="none"/>
        </w:rPr>
        <w:t>‘Big four no more’: where now for UK grocers as Aldi overtakes Morrisons?</w:t>
      </w:r>
      <w:r w:rsidRPr="003C6A83">
        <w:rPr>
          <w:rFonts w:ascii="Segoe UI" w:eastAsia="Times New Roman" w:hAnsi="Segoe UI" w:cs="Segoe UI"/>
          <w:color w:val="0F1115"/>
          <w:kern w:val="0"/>
          <w:lang w:eastAsia="en-GB"/>
          <w14:ligatures w14:val="none"/>
        </w:rPr>
        <w:t xml:space="preserve"> the Guardian. Available at: https://www.theguardian.com/business/2022/sep/17/big-four-uk-grocers-aldi-morrisons-cost-of-living-crisis. (Accessed: 26 October 2025).</w:t>
      </w:r>
    </w:p>
    <w:p w14:paraId="442DE539" w14:textId="77777777" w:rsidR="00FD63DF" w:rsidRDefault="00FD63DF" w:rsidP="00681A0D">
      <w:pPr>
        <w:shd w:val="clear" w:color="auto" w:fill="FFFFFF"/>
        <w:spacing w:before="240" w:line="420" w:lineRule="atLeast"/>
        <w:rPr>
          <w:rFonts w:ascii="Segoe UI" w:eastAsia="Times New Roman" w:hAnsi="Segoe UI" w:cs="Segoe UI"/>
          <w:color w:val="0F1115"/>
          <w:kern w:val="0"/>
          <w:lang w:eastAsia="en-GB"/>
          <w14:ligatures w14:val="none"/>
        </w:rPr>
      </w:pPr>
    </w:p>
    <w:p w14:paraId="21F60372" w14:textId="1D8D50CE" w:rsidR="00312B02" w:rsidRDefault="00312B02" w:rsidP="00681A0D">
      <w:pPr>
        <w:shd w:val="clear" w:color="auto" w:fill="FFFFFF"/>
        <w:spacing w:before="240" w:line="420" w:lineRule="atLeast"/>
        <w:rPr>
          <w:rFonts w:ascii="Segoe UI" w:eastAsia="Times New Roman" w:hAnsi="Segoe UI" w:cs="Segoe UI"/>
          <w:color w:val="0F1115"/>
          <w:kern w:val="0"/>
          <w:lang w:eastAsia="en-GB"/>
          <w14:ligatures w14:val="none"/>
        </w:rPr>
      </w:pPr>
    </w:p>
    <w:p w14:paraId="68FBB4E5" w14:textId="77777777" w:rsidR="00312B02" w:rsidRDefault="00312B02" w:rsidP="00681A0D">
      <w:pPr>
        <w:shd w:val="clear" w:color="auto" w:fill="FFFFFF"/>
        <w:spacing w:before="240" w:line="420" w:lineRule="atLeast"/>
        <w:rPr>
          <w:rFonts w:ascii="Segoe UI" w:eastAsia="Times New Roman" w:hAnsi="Segoe UI" w:cs="Segoe UI"/>
          <w:color w:val="0F1115"/>
          <w:kern w:val="0"/>
          <w:lang w:eastAsia="en-GB"/>
          <w14:ligatures w14:val="none"/>
        </w:rPr>
      </w:pPr>
    </w:p>
    <w:p w14:paraId="238FD222" w14:textId="5AAC9207" w:rsidR="008145B8" w:rsidRDefault="008145B8" w:rsidP="00681A0D"/>
    <w:p w14:paraId="74137CB0" w14:textId="3DFB1FD9" w:rsidR="00920720" w:rsidRDefault="00920720"/>
    <w:sectPr w:rsidR="0092072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76FBD" w14:textId="77777777" w:rsidR="00E35C26" w:rsidRDefault="00E35C26" w:rsidP="00CE3B22">
      <w:pPr>
        <w:spacing w:after="0" w:line="240" w:lineRule="auto"/>
      </w:pPr>
      <w:r>
        <w:separator/>
      </w:r>
    </w:p>
  </w:endnote>
  <w:endnote w:type="continuationSeparator" w:id="0">
    <w:p w14:paraId="6293D47C" w14:textId="77777777" w:rsidR="00E35C26" w:rsidRDefault="00E35C26" w:rsidP="00CE3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8478154"/>
      <w:docPartObj>
        <w:docPartGallery w:val="Page Numbers (Bottom of Page)"/>
        <w:docPartUnique/>
      </w:docPartObj>
    </w:sdtPr>
    <w:sdtEndPr>
      <w:rPr>
        <w:noProof/>
      </w:rPr>
    </w:sdtEndPr>
    <w:sdtContent>
      <w:p w14:paraId="70AA0A9E" w14:textId="5E64948D" w:rsidR="00CE3B22" w:rsidRDefault="00CE3B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D90B3A" w14:textId="77777777" w:rsidR="00CE3B22" w:rsidRDefault="00CE3B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E6158F" w14:textId="77777777" w:rsidR="00E35C26" w:rsidRDefault="00E35C26" w:rsidP="00CE3B22">
      <w:pPr>
        <w:spacing w:after="0" w:line="240" w:lineRule="auto"/>
      </w:pPr>
      <w:r>
        <w:separator/>
      </w:r>
    </w:p>
  </w:footnote>
  <w:footnote w:type="continuationSeparator" w:id="0">
    <w:p w14:paraId="646C18C6" w14:textId="77777777" w:rsidR="00E35C26" w:rsidRDefault="00E35C26" w:rsidP="00CE3B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A5F3E"/>
    <w:multiLevelType w:val="hybridMultilevel"/>
    <w:tmpl w:val="2DA47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5283C"/>
    <w:multiLevelType w:val="hybridMultilevel"/>
    <w:tmpl w:val="50BA7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446D2D"/>
    <w:multiLevelType w:val="multilevel"/>
    <w:tmpl w:val="595A2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5168E7"/>
    <w:multiLevelType w:val="multilevel"/>
    <w:tmpl w:val="59745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FA64BA"/>
    <w:multiLevelType w:val="multilevel"/>
    <w:tmpl w:val="13AC1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522395"/>
    <w:multiLevelType w:val="hybridMultilevel"/>
    <w:tmpl w:val="4E544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990921"/>
    <w:multiLevelType w:val="hybridMultilevel"/>
    <w:tmpl w:val="0038B0F0"/>
    <w:lvl w:ilvl="0" w:tplc="5C800DC8">
      <w:start w:val="1"/>
      <w:numFmt w:val="decimal"/>
      <w:lvlText w:val="%1."/>
      <w:lvlJc w:val="left"/>
      <w:pPr>
        <w:ind w:left="810" w:hanging="4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020C9B"/>
    <w:multiLevelType w:val="hybridMultilevel"/>
    <w:tmpl w:val="39468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71071C"/>
    <w:multiLevelType w:val="hybridMultilevel"/>
    <w:tmpl w:val="3AC27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D85035"/>
    <w:multiLevelType w:val="hybridMultilevel"/>
    <w:tmpl w:val="68E80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7B3924"/>
    <w:multiLevelType w:val="multilevel"/>
    <w:tmpl w:val="BA526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4509A0"/>
    <w:multiLevelType w:val="hybridMultilevel"/>
    <w:tmpl w:val="52AC0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576EAC"/>
    <w:multiLevelType w:val="multilevel"/>
    <w:tmpl w:val="083C2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806994"/>
    <w:multiLevelType w:val="multilevel"/>
    <w:tmpl w:val="5E263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CC6E82"/>
    <w:multiLevelType w:val="multilevel"/>
    <w:tmpl w:val="5DDADF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A74178E"/>
    <w:multiLevelType w:val="multilevel"/>
    <w:tmpl w:val="7D884318"/>
    <w:lvl w:ilvl="0">
      <w:start w:val="1"/>
      <w:numFmt w:val="decimal"/>
      <w:lvlText w:val="%1."/>
      <w:lvlJc w:val="left"/>
      <w:pPr>
        <w:ind w:left="810" w:hanging="45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4C9406C1"/>
    <w:multiLevelType w:val="multilevel"/>
    <w:tmpl w:val="8954E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E76A1B"/>
    <w:multiLevelType w:val="hybridMultilevel"/>
    <w:tmpl w:val="B5E6C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1A3051"/>
    <w:multiLevelType w:val="multilevel"/>
    <w:tmpl w:val="98EAB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8F19E3"/>
    <w:multiLevelType w:val="multilevel"/>
    <w:tmpl w:val="AD507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D34660"/>
    <w:multiLevelType w:val="hybridMultilevel"/>
    <w:tmpl w:val="26E80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5B58BF"/>
    <w:multiLevelType w:val="multilevel"/>
    <w:tmpl w:val="A2A629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02E5505"/>
    <w:multiLevelType w:val="hybridMultilevel"/>
    <w:tmpl w:val="B3902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837C79"/>
    <w:multiLevelType w:val="multilevel"/>
    <w:tmpl w:val="F0827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E111E84"/>
    <w:multiLevelType w:val="hybridMultilevel"/>
    <w:tmpl w:val="A5EE22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9714232">
    <w:abstractNumId w:val="4"/>
  </w:num>
  <w:num w:numId="2" w16cid:durableId="1796873655">
    <w:abstractNumId w:val="13"/>
  </w:num>
  <w:num w:numId="3" w16cid:durableId="1597178772">
    <w:abstractNumId w:val="2"/>
  </w:num>
  <w:num w:numId="4" w16cid:durableId="1427921210">
    <w:abstractNumId w:val="19"/>
  </w:num>
  <w:num w:numId="5" w16cid:durableId="1357150546">
    <w:abstractNumId w:val="12"/>
  </w:num>
  <w:num w:numId="6" w16cid:durableId="320275253">
    <w:abstractNumId w:val="3"/>
  </w:num>
  <w:num w:numId="7" w16cid:durableId="1427925955">
    <w:abstractNumId w:val="10"/>
  </w:num>
  <w:num w:numId="8" w16cid:durableId="746726517">
    <w:abstractNumId w:val="18"/>
  </w:num>
  <w:num w:numId="9" w16cid:durableId="1661619216">
    <w:abstractNumId w:val="16"/>
  </w:num>
  <w:num w:numId="10" w16cid:durableId="474105210">
    <w:abstractNumId w:val="21"/>
  </w:num>
  <w:num w:numId="11" w16cid:durableId="1734497682">
    <w:abstractNumId w:val="1"/>
  </w:num>
  <w:num w:numId="12" w16cid:durableId="622690224">
    <w:abstractNumId w:val="20"/>
  </w:num>
  <w:num w:numId="13" w16cid:durableId="1972710847">
    <w:abstractNumId w:val="23"/>
  </w:num>
  <w:num w:numId="14" w16cid:durableId="2093163346">
    <w:abstractNumId w:val="14"/>
  </w:num>
  <w:num w:numId="15" w16cid:durableId="756707636">
    <w:abstractNumId w:val="9"/>
  </w:num>
  <w:num w:numId="16" w16cid:durableId="1838575533">
    <w:abstractNumId w:val="24"/>
  </w:num>
  <w:num w:numId="17" w16cid:durableId="436755738">
    <w:abstractNumId w:val="22"/>
  </w:num>
  <w:num w:numId="18" w16cid:durableId="1207987409">
    <w:abstractNumId w:val="17"/>
  </w:num>
  <w:num w:numId="19" w16cid:durableId="253822519">
    <w:abstractNumId w:val="5"/>
  </w:num>
  <w:num w:numId="20" w16cid:durableId="1433893159">
    <w:abstractNumId w:val="7"/>
  </w:num>
  <w:num w:numId="21" w16cid:durableId="1302534325">
    <w:abstractNumId w:val="0"/>
  </w:num>
  <w:num w:numId="22" w16cid:durableId="764620627">
    <w:abstractNumId w:val="11"/>
  </w:num>
  <w:num w:numId="23" w16cid:durableId="974025456">
    <w:abstractNumId w:val="6"/>
  </w:num>
  <w:num w:numId="24" w16cid:durableId="1308168948">
    <w:abstractNumId w:val="15"/>
  </w:num>
  <w:num w:numId="25" w16cid:durableId="1480809508">
    <w:abstractNumId w:va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A67"/>
    <w:rsid w:val="00042703"/>
    <w:rsid w:val="000536E8"/>
    <w:rsid w:val="00075EBA"/>
    <w:rsid w:val="000860D3"/>
    <w:rsid w:val="000A0354"/>
    <w:rsid w:val="000A1B5C"/>
    <w:rsid w:val="000D4FA1"/>
    <w:rsid w:val="000D71C0"/>
    <w:rsid w:val="000F3602"/>
    <w:rsid w:val="00125E6D"/>
    <w:rsid w:val="001327A9"/>
    <w:rsid w:val="001443AB"/>
    <w:rsid w:val="0015372F"/>
    <w:rsid w:val="00196178"/>
    <w:rsid w:val="001A6763"/>
    <w:rsid w:val="001C0E3C"/>
    <w:rsid w:val="001C2377"/>
    <w:rsid w:val="001C7F03"/>
    <w:rsid w:val="001D0CA8"/>
    <w:rsid w:val="001E2A0C"/>
    <w:rsid w:val="002160E3"/>
    <w:rsid w:val="0022336F"/>
    <w:rsid w:val="00240AA3"/>
    <w:rsid w:val="002659A5"/>
    <w:rsid w:val="00272D39"/>
    <w:rsid w:val="002739E3"/>
    <w:rsid w:val="002A75DF"/>
    <w:rsid w:val="002F2A6A"/>
    <w:rsid w:val="00312B02"/>
    <w:rsid w:val="00324E40"/>
    <w:rsid w:val="00336855"/>
    <w:rsid w:val="003819E5"/>
    <w:rsid w:val="003C6A83"/>
    <w:rsid w:val="003E4B4A"/>
    <w:rsid w:val="004212D9"/>
    <w:rsid w:val="00423D95"/>
    <w:rsid w:val="0044169A"/>
    <w:rsid w:val="0045797A"/>
    <w:rsid w:val="00466F06"/>
    <w:rsid w:val="00477092"/>
    <w:rsid w:val="00477981"/>
    <w:rsid w:val="00483AE7"/>
    <w:rsid w:val="004959BD"/>
    <w:rsid w:val="004A7FE5"/>
    <w:rsid w:val="004C4CEB"/>
    <w:rsid w:val="00517AFC"/>
    <w:rsid w:val="00525B9E"/>
    <w:rsid w:val="0052681B"/>
    <w:rsid w:val="005434D0"/>
    <w:rsid w:val="0056426C"/>
    <w:rsid w:val="005756A2"/>
    <w:rsid w:val="0059056B"/>
    <w:rsid w:val="005C579F"/>
    <w:rsid w:val="006078C0"/>
    <w:rsid w:val="006155CF"/>
    <w:rsid w:val="00620770"/>
    <w:rsid w:val="00622313"/>
    <w:rsid w:val="00633324"/>
    <w:rsid w:val="0066793B"/>
    <w:rsid w:val="00681A0D"/>
    <w:rsid w:val="006868CA"/>
    <w:rsid w:val="006F033B"/>
    <w:rsid w:val="006F2B94"/>
    <w:rsid w:val="00744A57"/>
    <w:rsid w:val="0078751A"/>
    <w:rsid w:val="0079559D"/>
    <w:rsid w:val="007B2C70"/>
    <w:rsid w:val="007C26C8"/>
    <w:rsid w:val="007F4150"/>
    <w:rsid w:val="007F6B5B"/>
    <w:rsid w:val="008145B8"/>
    <w:rsid w:val="00860755"/>
    <w:rsid w:val="00860A9B"/>
    <w:rsid w:val="00867C88"/>
    <w:rsid w:val="00870B0A"/>
    <w:rsid w:val="00872549"/>
    <w:rsid w:val="008940F5"/>
    <w:rsid w:val="008C4E6F"/>
    <w:rsid w:val="008D188D"/>
    <w:rsid w:val="00920720"/>
    <w:rsid w:val="00942533"/>
    <w:rsid w:val="00943853"/>
    <w:rsid w:val="009805EC"/>
    <w:rsid w:val="00987CEA"/>
    <w:rsid w:val="0099112A"/>
    <w:rsid w:val="00991C51"/>
    <w:rsid w:val="009A37A3"/>
    <w:rsid w:val="009E2082"/>
    <w:rsid w:val="00A12E44"/>
    <w:rsid w:val="00A44D2D"/>
    <w:rsid w:val="00A70A26"/>
    <w:rsid w:val="00AA0110"/>
    <w:rsid w:val="00AB58D3"/>
    <w:rsid w:val="00AC0C5F"/>
    <w:rsid w:val="00B10385"/>
    <w:rsid w:val="00B37E3F"/>
    <w:rsid w:val="00B5423F"/>
    <w:rsid w:val="00B55397"/>
    <w:rsid w:val="00B94E4C"/>
    <w:rsid w:val="00B969B4"/>
    <w:rsid w:val="00BA186C"/>
    <w:rsid w:val="00BD5697"/>
    <w:rsid w:val="00BE0687"/>
    <w:rsid w:val="00C0622F"/>
    <w:rsid w:val="00C10C44"/>
    <w:rsid w:val="00C200F0"/>
    <w:rsid w:val="00C44C92"/>
    <w:rsid w:val="00C533FC"/>
    <w:rsid w:val="00C53C88"/>
    <w:rsid w:val="00C7354C"/>
    <w:rsid w:val="00C97A67"/>
    <w:rsid w:val="00CB794E"/>
    <w:rsid w:val="00CD3EBD"/>
    <w:rsid w:val="00CE3B22"/>
    <w:rsid w:val="00D01BAB"/>
    <w:rsid w:val="00D0585E"/>
    <w:rsid w:val="00D1770E"/>
    <w:rsid w:val="00D225FB"/>
    <w:rsid w:val="00D30960"/>
    <w:rsid w:val="00D71E96"/>
    <w:rsid w:val="00DA01C9"/>
    <w:rsid w:val="00DA17BF"/>
    <w:rsid w:val="00DC6240"/>
    <w:rsid w:val="00DC75E4"/>
    <w:rsid w:val="00DF4909"/>
    <w:rsid w:val="00DF72D6"/>
    <w:rsid w:val="00E20CB4"/>
    <w:rsid w:val="00E23E75"/>
    <w:rsid w:val="00E35C26"/>
    <w:rsid w:val="00E4278A"/>
    <w:rsid w:val="00E43819"/>
    <w:rsid w:val="00E558C8"/>
    <w:rsid w:val="00E832FB"/>
    <w:rsid w:val="00EA04E4"/>
    <w:rsid w:val="00EA0AE4"/>
    <w:rsid w:val="00EE480F"/>
    <w:rsid w:val="00EE6E8F"/>
    <w:rsid w:val="00EF57A6"/>
    <w:rsid w:val="00F32F96"/>
    <w:rsid w:val="00F577CF"/>
    <w:rsid w:val="00F630D7"/>
    <w:rsid w:val="00FA59F3"/>
    <w:rsid w:val="00FB05F8"/>
    <w:rsid w:val="00FB494E"/>
    <w:rsid w:val="00FB4E9F"/>
    <w:rsid w:val="00FD505C"/>
    <w:rsid w:val="00FD6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79693"/>
  <w15:chartTrackingRefBased/>
  <w15:docId w15:val="{EC88F600-BCEB-4938-823E-66887F104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7A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97A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7A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7A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7A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7A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7A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7A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7A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A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97A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7A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7A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7A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7A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7A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7A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7A67"/>
    <w:rPr>
      <w:rFonts w:eastAsiaTheme="majorEastAsia" w:cstheme="majorBidi"/>
      <w:color w:val="272727" w:themeColor="text1" w:themeTint="D8"/>
    </w:rPr>
  </w:style>
  <w:style w:type="paragraph" w:styleId="Title">
    <w:name w:val="Title"/>
    <w:basedOn w:val="Normal"/>
    <w:next w:val="Normal"/>
    <w:link w:val="TitleChar"/>
    <w:uiPriority w:val="10"/>
    <w:qFormat/>
    <w:rsid w:val="00C97A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7A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7A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7A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7A67"/>
    <w:pPr>
      <w:spacing w:before="160"/>
      <w:jc w:val="center"/>
    </w:pPr>
    <w:rPr>
      <w:i/>
      <w:iCs/>
      <w:color w:val="404040" w:themeColor="text1" w:themeTint="BF"/>
    </w:rPr>
  </w:style>
  <w:style w:type="character" w:customStyle="1" w:styleId="QuoteChar">
    <w:name w:val="Quote Char"/>
    <w:basedOn w:val="DefaultParagraphFont"/>
    <w:link w:val="Quote"/>
    <w:uiPriority w:val="29"/>
    <w:rsid w:val="00C97A67"/>
    <w:rPr>
      <w:i/>
      <w:iCs/>
      <w:color w:val="404040" w:themeColor="text1" w:themeTint="BF"/>
    </w:rPr>
  </w:style>
  <w:style w:type="paragraph" w:styleId="ListParagraph">
    <w:name w:val="List Paragraph"/>
    <w:basedOn w:val="Normal"/>
    <w:uiPriority w:val="34"/>
    <w:qFormat/>
    <w:rsid w:val="00C97A67"/>
    <w:pPr>
      <w:ind w:left="720"/>
      <w:contextualSpacing/>
    </w:pPr>
  </w:style>
  <w:style w:type="character" w:styleId="IntenseEmphasis">
    <w:name w:val="Intense Emphasis"/>
    <w:basedOn w:val="DefaultParagraphFont"/>
    <w:uiPriority w:val="21"/>
    <w:qFormat/>
    <w:rsid w:val="00C97A67"/>
    <w:rPr>
      <w:i/>
      <w:iCs/>
      <w:color w:val="0F4761" w:themeColor="accent1" w:themeShade="BF"/>
    </w:rPr>
  </w:style>
  <w:style w:type="paragraph" w:styleId="IntenseQuote">
    <w:name w:val="Intense Quote"/>
    <w:basedOn w:val="Normal"/>
    <w:next w:val="Normal"/>
    <w:link w:val="IntenseQuoteChar"/>
    <w:uiPriority w:val="30"/>
    <w:qFormat/>
    <w:rsid w:val="00C97A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7A67"/>
    <w:rPr>
      <w:i/>
      <w:iCs/>
      <w:color w:val="0F4761" w:themeColor="accent1" w:themeShade="BF"/>
    </w:rPr>
  </w:style>
  <w:style w:type="character" w:styleId="IntenseReference">
    <w:name w:val="Intense Reference"/>
    <w:basedOn w:val="DefaultParagraphFont"/>
    <w:uiPriority w:val="32"/>
    <w:qFormat/>
    <w:rsid w:val="00C97A67"/>
    <w:rPr>
      <w:b/>
      <w:bCs/>
      <w:smallCaps/>
      <w:color w:val="0F4761" w:themeColor="accent1" w:themeShade="BF"/>
      <w:spacing w:val="5"/>
    </w:rPr>
  </w:style>
  <w:style w:type="table" w:styleId="TableGrid">
    <w:name w:val="Table Grid"/>
    <w:basedOn w:val="TableNormal"/>
    <w:uiPriority w:val="39"/>
    <w:rsid w:val="00E23E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23E7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E23E7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8145B8"/>
    <w:rPr>
      <w:color w:val="467886" w:themeColor="hyperlink"/>
      <w:u w:val="single"/>
    </w:rPr>
  </w:style>
  <w:style w:type="character" w:styleId="UnresolvedMention">
    <w:name w:val="Unresolved Mention"/>
    <w:basedOn w:val="DefaultParagraphFont"/>
    <w:uiPriority w:val="99"/>
    <w:semiHidden/>
    <w:unhideWhenUsed/>
    <w:rsid w:val="008145B8"/>
    <w:rPr>
      <w:color w:val="605E5C"/>
      <w:shd w:val="clear" w:color="auto" w:fill="E1DFDD"/>
    </w:rPr>
  </w:style>
  <w:style w:type="character" w:styleId="FollowedHyperlink">
    <w:name w:val="FollowedHyperlink"/>
    <w:basedOn w:val="DefaultParagraphFont"/>
    <w:uiPriority w:val="99"/>
    <w:semiHidden/>
    <w:unhideWhenUsed/>
    <w:rsid w:val="005C579F"/>
    <w:rPr>
      <w:color w:val="96607D" w:themeColor="followedHyperlink"/>
      <w:u w:val="single"/>
    </w:rPr>
  </w:style>
  <w:style w:type="paragraph" w:styleId="Header">
    <w:name w:val="header"/>
    <w:basedOn w:val="Normal"/>
    <w:link w:val="HeaderChar"/>
    <w:uiPriority w:val="99"/>
    <w:unhideWhenUsed/>
    <w:rsid w:val="00CE3B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B22"/>
  </w:style>
  <w:style w:type="paragraph" w:styleId="Footer">
    <w:name w:val="footer"/>
    <w:basedOn w:val="Normal"/>
    <w:link w:val="FooterChar"/>
    <w:uiPriority w:val="99"/>
    <w:unhideWhenUsed/>
    <w:rsid w:val="00CE3B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B22"/>
  </w:style>
  <w:style w:type="paragraph" w:styleId="TOCHeading">
    <w:name w:val="TOC Heading"/>
    <w:basedOn w:val="Heading1"/>
    <w:next w:val="Normal"/>
    <w:uiPriority w:val="39"/>
    <w:unhideWhenUsed/>
    <w:qFormat/>
    <w:rsid w:val="00CE3B2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E3B22"/>
    <w:pPr>
      <w:spacing w:after="100"/>
    </w:pPr>
  </w:style>
  <w:style w:type="paragraph" w:styleId="TOC3">
    <w:name w:val="toc 3"/>
    <w:basedOn w:val="Normal"/>
    <w:next w:val="Normal"/>
    <w:autoRedefine/>
    <w:uiPriority w:val="39"/>
    <w:unhideWhenUsed/>
    <w:rsid w:val="00CE3B22"/>
    <w:pPr>
      <w:spacing w:after="100"/>
      <w:ind w:left="480"/>
    </w:pPr>
  </w:style>
  <w:style w:type="paragraph" w:styleId="TOC2">
    <w:name w:val="toc 2"/>
    <w:basedOn w:val="Normal"/>
    <w:next w:val="Normal"/>
    <w:autoRedefine/>
    <w:uiPriority w:val="39"/>
    <w:unhideWhenUsed/>
    <w:rsid w:val="00CE3B2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936238">
      <w:bodyDiv w:val="1"/>
      <w:marLeft w:val="0"/>
      <w:marRight w:val="0"/>
      <w:marTop w:val="0"/>
      <w:marBottom w:val="0"/>
      <w:divBdr>
        <w:top w:val="none" w:sz="0" w:space="0" w:color="auto"/>
        <w:left w:val="none" w:sz="0" w:space="0" w:color="auto"/>
        <w:bottom w:val="none" w:sz="0" w:space="0" w:color="auto"/>
        <w:right w:val="none" w:sz="0" w:space="0" w:color="auto"/>
      </w:divBdr>
    </w:div>
    <w:div w:id="213347878">
      <w:bodyDiv w:val="1"/>
      <w:marLeft w:val="0"/>
      <w:marRight w:val="0"/>
      <w:marTop w:val="0"/>
      <w:marBottom w:val="0"/>
      <w:divBdr>
        <w:top w:val="none" w:sz="0" w:space="0" w:color="auto"/>
        <w:left w:val="none" w:sz="0" w:space="0" w:color="auto"/>
        <w:bottom w:val="none" w:sz="0" w:space="0" w:color="auto"/>
        <w:right w:val="none" w:sz="0" w:space="0" w:color="auto"/>
      </w:divBdr>
    </w:div>
    <w:div w:id="320277277">
      <w:bodyDiv w:val="1"/>
      <w:marLeft w:val="0"/>
      <w:marRight w:val="0"/>
      <w:marTop w:val="0"/>
      <w:marBottom w:val="0"/>
      <w:divBdr>
        <w:top w:val="none" w:sz="0" w:space="0" w:color="auto"/>
        <w:left w:val="none" w:sz="0" w:space="0" w:color="auto"/>
        <w:bottom w:val="none" w:sz="0" w:space="0" w:color="auto"/>
        <w:right w:val="none" w:sz="0" w:space="0" w:color="auto"/>
      </w:divBdr>
    </w:div>
    <w:div w:id="354693817">
      <w:bodyDiv w:val="1"/>
      <w:marLeft w:val="0"/>
      <w:marRight w:val="0"/>
      <w:marTop w:val="0"/>
      <w:marBottom w:val="0"/>
      <w:divBdr>
        <w:top w:val="none" w:sz="0" w:space="0" w:color="auto"/>
        <w:left w:val="none" w:sz="0" w:space="0" w:color="auto"/>
        <w:bottom w:val="none" w:sz="0" w:space="0" w:color="auto"/>
        <w:right w:val="none" w:sz="0" w:space="0" w:color="auto"/>
      </w:divBdr>
    </w:div>
    <w:div w:id="379746368">
      <w:bodyDiv w:val="1"/>
      <w:marLeft w:val="0"/>
      <w:marRight w:val="0"/>
      <w:marTop w:val="0"/>
      <w:marBottom w:val="0"/>
      <w:divBdr>
        <w:top w:val="none" w:sz="0" w:space="0" w:color="auto"/>
        <w:left w:val="none" w:sz="0" w:space="0" w:color="auto"/>
        <w:bottom w:val="none" w:sz="0" w:space="0" w:color="auto"/>
        <w:right w:val="none" w:sz="0" w:space="0" w:color="auto"/>
      </w:divBdr>
      <w:divsChild>
        <w:div w:id="792864177">
          <w:marLeft w:val="0"/>
          <w:marRight w:val="0"/>
          <w:marTop w:val="0"/>
          <w:marBottom w:val="0"/>
          <w:divBdr>
            <w:top w:val="none" w:sz="0" w:space="0" w:color="auto"/>
            <w:left w:val="none" w:sz="0" w:space="0" w:color="auto"/>
            <w:bottom w:val="none" w:sz="0" w:space="0" w:color="auto"/>
            <w:right w:val="none" w:sz="0" w:space="0" w:color="auto"/>
          </w:divBdr>
          <w:divsChild>
            <w:div w:id="53492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206046">
      <w:bodyDiv w:val="1"/>
      <w:marLeft w:val="0"/>
      <w:marRight w:val="0"/>
      <w:marTop w:val="0"/>
      <w:marBottom w:val="0"/>
      <w:divBdr>
        <w:top w:val="none" w:sz="0" w:space="0" w:color="auto"/>
        <w:left w:val="none" w:sz="0" w:space="0" w:color="auto"/>
        <w:bottom w:val="none" w:sz="0" w:space="0" w:color="auto"/>
        <w:right w:val="none" w:sz="0" w:space="0" w:color="auto"/>
      </w:divBdr>
    </w:div>
    <w:div w:id="685863551">
      <w:bodyDiv w:val="1"/>
      <w:marLeft w:val="0"/>
      <w:marRight w:val="0"/>
      <w:marTop w:val="0"/>
      <w:marBottom w:val="0"/>
      <w:divBdr>
        <w:top w:val="none" w:sz="0" w:space="0" w:color="auto"/>
        <w:left w:val="none" w:sz="0" w:space="0" w:color="auto"/>
        <w:bottom w:val="none" w:sz="0" w:space="0" w:color="auto"/>
        <w:right w:val="none" w:sz="0" w:space="0" w:color="auto"/>
      </w:divBdr>
    </w:div>
    <w:div w:id="731271486">
      <w:bodyDiv w:val="1"/>
      <w:marLeft w:val="0"/>
      <w:marRight w:val="0"/>
      <w:marTop w:val="0"/>
      <w:marBottom w:val="0"/>
      <w:divBdr>
        <w:top w:val="none" w:sz="0" w:space="0" w:color="auto"/>
        <w:left w:val="none" w:sz="0" w:space="0" w:color="auto"/>
        <w:bottom w:val="none" w:sz="0" w:space="0" w:color="auto"/>
        <w:right w:val="none" w:sz="0" w:space="0" w:color="auto"/>
      </w:divBdr>
    </w:div>
    <w:div w:id="839344493">
      <w:bodyDiv w:val="1"/>
      <w:marLeft w:val="0"/>
      <w:marRight w:val="0"/>
      <w:marTop w:val="0"/>
      <w:marBottom w:val="0"/>
      <w:divBdr>
        <w:top w:val="none" w:sz="0" w:space="0" w:color="auto"/>
        <w:left w:val="none" w:sz="0" w:space="0" w:color="auto"/>
        <w:bottom w:val="none" w:sz="0" w:space="0" w:color="auto"/>
        <w:right w:val="none" w:sz="0" w:space="0" w:color="auto"/>
      </w:divBdr>
      <w:divsChild>
        <w:div w:id="144395162">
          <w:marLeft w:val="0"/>
          <w:marRight w:val="0"/>
          <w:marTop w:val="0"/>
          <w:marBottom w:val="0"/>
          <w:divBdr>
            <w:top w:val="none" w:sz="0" w:space="0" w:color="auto"/>
            <w:left w:val="none" w:sz="0" w:space="0" w:color="auto"/>
            <w:bottom w:val="none" w:sz="0" w:space="0" w:color="auto"/>
            <w:right w:val="none" w:sz="0" w:space="0" w:color="auto"/>
          </w:divBdr>
          <w:divsChild>
            <w:div w:id="1188719714">
              <w:marLeft w:val="0"/>
              <w:marRight w:val="0"/>
              <w:marTop w:val="0"/>
              <w:marBottom w:val="0"/>
              <w:divBdr>
                <w:top w:val="none" w:sz="0" w:space="0" w:color="auto"/>
                <w:left w:val="none" w:sz="0" w:space="0" w:color="auto"/>
                <w:bottom w:val="none" w:sz="0" w:space="0" w:color="auto"/>
                <w:right w:val="none" w:sz="0" w:space="0" w:color="auto"/>
              </w:divBdr>
            </w:div>
          </w:divsChild>
        </w:div>
        <w:div w:id="335424397">
          <w:marLeft w:val="0"/>
          <w:marRight w:val="0"/>
          <w:marTop w:val="0"/>
          <w:marBottom w:val="0"/>
          <w:divBdr>
            <w:top w:val="none" w:sz="0" w:space="0" w:color="auto"/>
            <w:left w:val="none" w:sz="0" w:space="0" w:color="auto"/>
            <w:bottom w:val="none" w:sz="0" w:space="0" w:color="auto"/>
            <w:right w:val="none" w:sz="0" w:space="0" w:color="auto"/>
          </w:divBdr>
          <w:divsChild>
            <w:div w:id="768693958">
              <w:marLeft w:val="0"/>
              <w:marRight w:val="0"/>
              <w:marTop w:val="0"/>
              <w:marBottom w:val="0"/>
              <w:divBdr>
                <w:top w:val="none" w:sz="0" w:space="0" w:color="auto"/>
                <w:left w:val="none" w:sz="0" w:space="0" w:color="auto"/>
                <w:bottom w:val="none" w:sz="0" w:space="0" w:color="auto"/>
                <w:right w:val="none" w:sz="0" w:space="0" w:color="auto"/>
              </w:divBdr>
            </w:div>
          </w:divsChild>
        </w:div>
        <w:div w:id="1500194969">
          <w:marLeft w:val="0"/>
          <w:marRight w:val="0"/>
          <w:marTop w:val="0"/>
          <w:marBottom w:val="0"/>
          <w:divBdr>
            <w:top w:val="none" w:sz="0" w:space="0" w:color="auto"/>
            <w:left w:val="none" w:sz="0" w:space="0" w:color="auto"/>
            <w:bottom w:val="none" w:sz="0" w:space="0" w:color="auto"/>
            <w:right w:val="none" w:sz="0" w:space="0" w:color="auto"/>
          </w:divBdr>
          <w:divsChild>
            <w:div w:id="1873688302">
              <w:marLeft w:val="0"/>
              <w:marRight w:val="0"/>
              <w:marTop w:val="0"/>
              <w:marBottom w:val="0"/>
              <w:divBdr>
                <w:top w:val="none" w:sz="0" w:space="0" w:color="auto"/>
                <w:left w:val="none" w:sz="0" w:space="0" w:color="auto"/>
                <w:bottom w:val="none" w:sz="0" w:space="0" w:color="auto"/>
                <w:right w:val="none" w:sz="0" w:space="0" w:color="auto"/>
              </w:divBdr>
            </w:div>
          </w:divsChild>
        </w:div>
        <w:div w:id="1313103649">
          <w:marLeft w:val="0"/>
          <w:marRight w:val="0"/>
          <w:marTop w:val="0"/>
          <w:marBottom w:val="0"/>
          <w:divBdr>
            <w:top w:val="none" w:sz="0" w:space="0" w:color="auto"/>
            <w:left w:val="none" w:sz="0" w:space="0" w:color="auto"/>
            <w:bottom w:val="none" w:sz="0" w:space="0" w:color="auto"/>
            <w:right w:val="none" w:sz="0" w:space="0" w:color="auto"/>
          </w:divBdr>
          <w:divsChild>
            <w:div w:id="2060811675">
              <w:marLeft w:val="0"/>
              <w:marRight w:val="0"/>
              <w:marTop w:val="0"/>
              <w:marBottom w:val="0"/>
              <w:divBdr>
                <w:top w:val="none" w:sz="0" w:space="0" w:color="auto"/>
                <w:left w:val="none" w:sz="0" w:space="0" w:color="auto"/>
                <w:bottom w:val="none" w:sz="0" w:space="0" w:color="auto"/>
                <w:right w:val="none" w:sz="0" w:space="0" w:color="auto"/>
              </w:divBdr>
            </w:div>
          </w:divsChild>
        </w:div>
        <w:div w:id="426921588">
          <w:marLeft w:val="0"/>
          <w:marRight w:val="0"/>
          <w:marTop w:val="0"/>
          <w:marBottom w:val="0"/>
          <w:divBdr>
            <w:top w:val="none" w:sz="0" w:space="0" w:color="auto"/>
            <w:left w:val="none" w:sz="0" w:space="0" w:color="auto"/>
            <w:bottom w:val="none" w:sz="0" w:space="0" w:color="auto"/>
            <w:right w:val="none" w:sz="0" w:space="0" w:color="auto"/>
          </w:divBdr>
          <w:divsChild>
            <w:div w:id="1339847742">
              <w:marLeft w:val="0"/>
              <w:marRight w:val="0"/>
              <w:marTop w:val="0"/>
              <w:marBottom w:val="0"/>
              <w:divBdr>
                <w:top w:val="none" w:sz="0" w:space="0" w:color="auto"/>
                <w:left w:val="none" w:sz="0" w:space="0" w:color="auto"/>
                <w:bottom w:val="none" w:sz="0" w:space="0" w:color="auto"/>
                <w:right w:val="none" w:sz="0" w:space="0" w:color="auto"/>
              </w:divBdr>
            </w:div>
          </w:divsChild>
        </w:div>
        <w:div w:id="922765938">
          <w:marLeft w:val="0"/>
          <w:marRight w:val="0"/>
          <w:marTop w:val="0"/>
          <w:marBottom w:val="0"/>
          <w:divBdr>
            <w:top w:val="none" w:sz="0" w:space="0" w:color="auto"/>
            <w:left w:val="none" w:sz="0" w:space="0" w:color="auto"/>
            <w:bottom w:val="none" w:sz="0" w:space="0" w:color="auto"/>
            <w:right w:val="none" w:sz="0" w:space="0" w:color="auto"/>
          </w:divBdr>
          <w:divsChild>
            <w:div w:id="6291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107531">
      <w:bodyDiv w:val="1"/>
      <w:marLeft w:val="0"/>
      <w:marRight w:val="0"/>
      <w:marTop w:val="0"/>
      <w:marBottom w:val="0"/>
      <w:divBdr>
        <w:top w:val="none" w:sz="0" w:space="0" w:color="auto"/>
        <w:left w:val="none" w:sz="0" w:space="0" w:color="auto"/>
        <w:bottom w:val="none" w:sz="0" w:space="0" w:color="auto"/>
        <w:right w:val="none" w:sz="0" w:space="0" w:color="auto"/>
      </w:divBdr>
    </w:div>
    <w:div w:id="999768237">
      <w:bodyDiv w:val="1"/>
      <w:marLeft w:val="0"/>
      <w:marRight w:val="0"/>
      <w:marTop w:val="0"/>
      <w:marBottom w:val="0"/>
      <w:divBdr>
        <w:top w:val="none" w:sz="0" w:space="0" w:color="auto"/>
        <w:left w:val="none" w:sz="0" w:space="0" w:color="auto"/>
        <w:bottom w:val="none" w:sz="0" w:space="0" w:color="auto"/>
        <w:right w:val="none" w:sz="0" w:space="0" w:color="auto"/>
      </w:divBdr>
      <w:divsChild>
        <w:div w:id="1797486192">
          <w:marLeft w:val="0"/>
          <w:marRight w:val="0"/>
          <w:marTop w:val="0"/>
          <w:marBottom w:val="0"/>
          <w:divBdr>
            <w:top w:val="none" w:sz="0" w:space="0" w:color="auto"/>
            <w:left w:val="none" w:sz="0" w:space="0" w:color="auto"/>
            <w:bottom w:val="none" w:sz="0" w:space="0" w:color="auto"/>
            <w:right w:val="none" w:sz="0" w:space="0" w:color="auto"/>
          </w:divBdr>
          <w:divsChild>
            <w:div w:id="33654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544450">
      <w:bodyDiv w:val="1"/>
      <w:marLeft w:val="0"/>
      <w:marRight w:val="0"/>
      <w:marTop w:val="0"/>
      <w:marBottom w:val="0"/>
      <w:divBdr>
        <w:top w:val="none" w:sz="0" w:space="0" w:color="auto"/>
        <w:left w:val="none" w:sz="0" w:space="0" w:color="auto"/>
        <w:bottom w:val="none" w:sz="0" w:space="0" w:color="auto"/>
        <w:right w:val="none" w:sz="0" w:space="0" w:color="auto"/>
      </w:divBdr>
    </w:div>
    <w:div w:id="1146555626">
      <w:bodyDiv w:val="1"/>
      <w:marLeft w:val="0"/>
      <w:marRight w:val="0"/>
      <w:marTop w:val="0"/>
      <w:marBottom w:val="0"/>
      <w:divBdr>
        <w:top w:val="none" w:sz="0" w:space="0" w:color="auto"/>
        <w:left w:val="none" w:sz="0" w:space="0" w:color="auto"/>
        <w:bottom w:val="none" w:sz="0" w:space="0" w:color="auto"/>
        <w:right w:val="none" w:sz="0" w:space="0" w:color="auto"/>
      </w:divBdr>
    </w:div>
    <w:div w:id="1265653288">
      <w:bodyDiv w:val="1"/>
      <w:marLeft w:val="0"/>
      <w:marRight w:val="0"/>
      <w:marTop w:val="0"/>
      <w:marBottom w:val="0"/>
      <w:divBdr>
        <w:top w:val="none" w:sz="0" w:space="0" w:color="auto"/>
        <w:left w:val="none" w:sz="0" w:space="0" w:color="auto"/>
        <w:bottom w:val="none" w:sz="0" w:space="0" w:color="auto"/>
        <w:right w:val="none" w:sz="0" w:space="0" w:color="auto"/>
      </w:divBdr>
    </w:div>
    <w:div w:id="1297448336">
      <w:bodyDiv w:val="1"/>
      <w:marLeft w:val="0"/>
      <w:marRight w:val="0"/>
      <w:marTop w:val="0"/>
      <w:marBottom w:val="0"/>
      <w:divBdr>
        <w:top w:val="none" w:sz="0" w:space="0" w:color="auto"/>
        <w:left w:val="none" w:sz="0" w:space="0" w:color="auto"/>
        <w:bottom w:val="none" w:sz="0" w:space="0" w:color="auto"/>
        <w:right w:val="none" w:sz="0" w:space="0" w:color="auto"/>
      </w:divBdr>
    </w:div>
    <w:div w:id="1381592407">
      <w:bodyDiv w:val="1"/>
      <w:marLeft w:val="0"/>
      <w:marRight w:val="0"/>
      <w:marTop w:val="0"/>
      <w:marBottom w:val="0"/>
      <w:divBdr>
        <w:top w:val="none" w:sz="0" w:space="0" w:color="auto"/>
        <w:left w:val="none" w:sz="0" w:space="0" w:color="auto"/>
        <w:bottom w:val="none" w:sz="0" w:space="0" w:color="auto"/>
        <w:right w:val="none" w:sz="0" w:space="0" w:color="auto"/>
      </w:divBdr>
    </w:div>
    <w:div w:id="1628312910">
      <w:bodyDiv w:val="1"/>
      <w:marLeft w:val="0"/>
      <w:marRight w:val="0"/>
      <w:marTop w:val="0"/>
      <w:marBottom w:val="0"/>
      <w:divBdr>
        <w:top w:val="none" w:sz="0" w:space="0" w:color="auto"/>
        <w:left w:val="none" w:sz="0" w:space="0" w:color="auto"/>
        <w:bottom w:val="none" w:sz="0" w:space="0" w:color="auto"/>
        <w:right w:val="none" w:sz="0" w:space="0" w:color="auto"/>
      </w:divBdr>
    </w:div>
    <w:div w:id="1636329106">
      <w:bodyDiv w:val="1"/>
      <w:marLeft w:val="0"/>
      <w:marRight w:val="0"/>
      <w:marTop w:val="0"/>
      <w:marBottom w:val="0"/>
      <w:divBdr>
        <w:top w:val="none" w:sz="0" w:space="0" w:color="auto"/>
        <w:left w:val="none" w:sz="0" w:space="0" w:color="auto"/>
        <w:bottom w:val="none" w:sz="0" w:space="0" w:color="auto"/>
        <w:right w:val="none" w:sz="0" w:space="0" w:color="auto"/>
      </w:divBdr>
    </w:div>
    <w:div w:id="1779177358">
      <w:bodyDiv w:val="1"/>
      <w:marLeft w:val="0"/>
      <w:marRight w:val="0"/>
      <w:marTop w:val="0"/>
      <w:marBottom w:val="0"/>
      <w:divBdr>
        <w:top w:val="none" w:sz="0" w:space="0" w:color="auto"/>
        <w:left w:val="none" w:sz="0" w:space="0" w:color="auto"/>
        <w:bottom w:val="none" w:sz="0" w:space="0" w:color="auto"/>
        <w:right w:val="none" w:sz="0" w:space="0" w:color="auto"/>
      </w:divBdr>
      <w:divsChild>
        <w:div w:id="1878152078">
          <w:marLeft w:val="0"/>
          <w:marRight w:val="0"/>
          <w:marTop w:val="0"/>
          <w:marBottom w:val="0"/>
          <w:divBdr>
            <w:top w:val="none" w:sz="0" w:space="0" w:color="auto"/>
            <w:left w:val="none" w:sz="0" w:space="0" w:color="auto"/>
            <w:bottom w:val="none" w:sz="0" w:space="0" w:color="auto"/>
            <w:right w:val="none" w:sz="0" w:space="0" w:color="auto"/>
          </w:divBdr>
          <w:divsChild>
            <w:div w:id="92596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276440">
      <w:bodyDiv w:val="1"/>
      <w:marLeft w:val="0"/>
      <w:marRight w:val="0"/>
      <w:marTop w:val="0"/>
      <w:marBottom w:val="0"/>
      <w:divBdr>
        <w:top w:val="none" w:sz="0" w:space="0" w:color="auto"/>
        <w:left w:val="none" w:sz="0" w:space="0" w:color="auto"/>
        <w:bottom w:val="none" w:sz="0" w:space="0" w:color="auto"/>
        <w:right w:val="none" w:sz="0" w:space="0" w:color="auto"/>
      </w:divBdr>
    </w:div>
    <w:div w:id="1804889080">
      <w:bodyDiv w:val="1"/>
      <w:marLeft w:val="0"/>
      <w:marRight w:val="0"/>
      <w:marTop w:val="0"/>
      <w:marBottom w:val="0"/>
      <w:divBdr>
        <w:top w:val="none" w:sz="0" w:space="0" w:color="auto"/>
        <w:left w:val="none" w:sz="0" w:space="0" w:color="auto"/>
        <w:bottom w:val="none" w:sz="0" w:space="0" w:color="auto"/>
        <w:right w:val="none" w:sz="0" w:space="0" w:color="auto"/>
      </w:divBdr>
    </w:div>
    <w:div w:id="1858538705">
      <w:bodyDiv w:val="1"/>
      <w:marLeft w:val="0"/>
      <w:marRight w:val="0"/>
      <w:marTop w:val="0"/>
      <w:marBottom w:val="0"/>
      <w:divBdr>
        <w:top w:val="none" w:sz="0" w:space="0" w:color="auto"/>
        <w:left w:val="none" w:sz="0" w:space="0" w:color="auto"/>
        <w:bottom w:val="none" w:sz="0" w:space="0" w:color="auto"/>
        <w:right w:val="none" w:sz="0" w:space="0" w:color="auto"/>
      </w:divBdr>
      <w:divsChild>
        <w:div w:id="2037461552">
          <w:marLeft w:val="660"/>
          <w:marRight w:val="660"/>
          <w:marTop w:val="0"/>
          <w:marBottom w:val="360"/>
          <w:divBdr>
            <w:top w:val="none" w:sz="0" w:space="0" w:color="auto"/>
            <w:left w:val="none" w:sz="0" w:space="0" w:color="auto"/>
            <w:bottom w:val="none" w:sz="0" w:space="0" w:color="auto"/>
            <w:right w:val="none" w:sz="0" w:space="0" w:color="auto"/>
          </w:divBdr>
          <w:divsChild>
            <w:div w:id="922226605">
              <w:marLeft w:val="0"/>
              <w:marRight w:val="0"/>
              <w:marTop w:val="0"/>
              <w:marBottom w:val="0"/>
              <w:divBdr>
                <w:top w:val="none" w:sz="0" w:space="0" w:color="auto"/>
                <w:left w:val="none" w:sz="0" w:space="0" w:color="auto"/>
                <w:bottom w:val="none" w:sz="0" w:space="0" w:color="auto"/>
                <w:right w:val="none" w:sz="0" w:space="0" w:color="auto"/>
              </w:divBdr>
              <w:divsChild>
                <w:div w:id="354381062">
                  <w:marLeft w:val="0"/>
                  <w:marRight w:val="0"/>
                  <w:marTop w:val="0"/>
                  <w:marBottom w:val="0"/>
                  <w:divBdr>
                    <w:top w:val="none" w:sz="0" w:space="0" w:color="auto"/>
                    <w:left w:val="none" w:sz="0" w:space="0" w:color="auto"/>
                    <w:bottom w:val="none" w:sz="0" w:space="0" w:color="auto"/>
                    <w:right w:val="none" w:sz="0" w:space="0" w:color="auto"/>
                  </w:divBdr>
                  <w:divsChild>
                    <w:div w:id="485053983">
                      <w:marLeft w:val="0"/>
                      <w:marRight w:val="0"/>
                      <w:marTop w:val="0"/>
                      <w:marBottom w:val="0"/>
                      <w:divBdr>
                        <w:top w:val="none" w:sz="0" w:space="0" w:color="auto"/>
                        <w:left w:val="none" w:sz="0" w:space="0" w:color="auto"/>
                        <w:bottom w:val="none" w:sz="0" w:space="0" w:color="auto"/>
                        <w:right w:val="none" w:sz="0" w:space="0" w:color="auto"/>
                      </w:divBdr>
                      <w:divsChild>
                        <w:div w:id="225454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1531500">
      <w:bodyDiv w:val="1"/>
      <w:marLeft w:val="0"/>
      <w:marRight w:val="0"/>
      <w:marTop w:val="0"/>
      <w:marBottom w:val="0"/>
      <w:divBdr>
        <w:top w:val="none" w:sz="0" w:space="0" w:color="auto"/>
        <w:left w:val="none" w:sz="0" w:space="0" w:color="auto"/>
        <w:bottom w:val="none" w:sz="0" w:space="0" w:color="auto"/>
        <w:right w:val="none" w:sz="0" w:space="0" w:color="auto"/>
      </w:divBdr>
      <w:divsChild>
        <w:div w:id="395934101">
          <w:marLeft w:val="0"/>
          <w:marRight w:val="0"/>
          <w:marTop w:val="0"/>
          <w:marBottom w:val="0"/>
          <w:divBdr>
            <w:top w:val="none" w:sz="0" w:space="0" w:color="auto"/>
            <w:left w:val="none" w:sz="0" w:space="0" w:color="auto"/>
            <w:bottom w:val="none" w:sz="0" w:space="0" w:color="auto"/>
            <w:right w:val="none" w:sz="0" w:space="0" w:color="auto"/>
          </w:divBdr>
          <w:divsChild>
            <w:div w:id="109563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874465">
      <w:bodyDiv w:val="1"/>
      <w:marLeft w:val="0"/>
      <w:marRight w:val="0"/>
      <w:marTop w:val="0"/>
      <w:marBottom w:val="0"/>
      <w:divBdr>
        <w:top w:val="none" w:sz="0" w:space="0" w:color="auto"/>
        <w:left w:val="none" w:sz="0" w:space="0" w:color="auto"/>
        <w:bottom w:val="none" w:sz="0" w:space="0" w:color="auto"/>
        <w:right w:val="none" w:sz="0" w:space="0" w:color="auto"/>
      </w:divBdr>
    </w:div>
    <w:div w:id="1991403854">
      <w:bodyDiv w:val="1"/>
      <w:marLeft w:val="0"/>
      <w:marRight w:val="0"/>
      <w:marTop w:val="0"/>
      <w:marBottom w:val="0"/>
      <w:divBdr>
        <w:top w:val="none" w:sz="0" w:space="0" w:color="auto"/>
        <w:left w:val="none" w:sz="0" w:space="0" w:color="auto"/>
        <w:bottom w:val="none" w:sz="0" w:space="0" w:color="auto"/>
        <w:right w:val="none" w:sz="0" w:space="0" w:color="auto"/>
      </w:divBdr>
      <w:divsChild>
        <w:div w:id="90011442">
          <w:marLeft w:val="0"/>
          <w:marRight w:val="0"/>
          <w:marTop w:val="0"/>
          <w:marBottom w:val="0"/>
          <w:divBdr>
            <w:top w:val="none" w:sz="0" w:space="0" w:color="auto"/>
            <w:left w:val="none" w:sz="0" w:space="0" w:color="auto"/>
            <w:bottom w:val="none" w:sz="0" w:space="0" w:color="auto"/>
            <w:right w:val="none" w:sz="0" w:space="0" w:color="auto"/>
          </w:divBdr>
          <w:divsChild>
            <w:div w:id="160705793">
              <w:marLeft w:val="0"/>
              <w:marRight w:val="0"/>
              <w:marTop w:val="0"/>
              <w:marBottom w:val="0"/>
              <w:divBdr>
                <w:top w:val="none" w:sz="0" w:space="0" w:color="auto"/>
                <w:left w:val="none" w:sz="0" w:space="0" w:color="auto"/>
                <w:bottom w:val="none" w:sz="0" w:space="0" w:color="auto"/>
                <w:right w:val="none" w:sz="0" w:space="0" w:color="auto"/>
              </w:divBdr>
            </w:div>
          </w:divsChild>
        </w:div>
        <w:div w:id="1024743109">
          <w:marLeft w:val="0"/>
          <w:marRight w:val="0"/>
          <w:marTop w:val="0"/>
          <w:marBottom w:val="0"/>
          <w:divBdr>
            <w:top w:val="none" w:sz="0" w:space="0" w:color="auto"/>
            <w:left w:val="none" w:sz="0" w:space="0" w:color="auto"/>
            <w:bottom w:val="none" w:sz="0" w:space="0" w:color="auto"/>
            <w:right w:val="none" w:sz="0" w:space="0" w:color="auto"/>
          </w:divBdr>
          <w:divsChild>
            <w:div w:id="1465343111">
              <w:marLeft w:val="0"/>
              <w:marRight w:val="0"/>
              <w:marTop w:val="0"/>
              <w:marBottom w:val="0"/>
              <w:divBdr>
                <w:top w:val="none" w:sz="0" w:space="0" w:color="auto"/>
                <w:left w:val="none" w:sz="0" w:space="0" w:color="auto"/>
                <w:bottom w:val="none" w:sz="0" w:space="0" w:color="auto"/>
                <w:right w:val="none" w:sz="0" w:space="0" w:color="auto"/>
              </w:divBdr>
            </w:div>
          </w:divsChild>
        </w:div>
        <w:div w:id="528102872">
          <w:marLeft w:val="0"/>
          <w:marRight w:val="0"/>
          <w:marTop w:val="0"/>
          <w:marBottom w:val="0"/>
          <w:divBdr>
            <w:top w:val="none" w:sz="0" w:space="0" w:color="auto"/>
            <w:left w:val="none" w:sz="0" w:space="0" w:color="auto"/>
            <w:bottom w:val="none" w:sz="0" w:space="0" w:color="auto"/>
            <w:right w:val="none" w:sz="0" w:space="0" w:color="auto"/>
          </w:divBdr>
          <w:divsChild>
            <w:div w:id="231505703">
              <w:marLeft w:val="0"/>
              <w:marRight w:val="0"/>
              <w:marTop w:val="0"/>
              <w:marBottom w:val="0"/>
              <w:divBdr>
                <w:top w:val="none" w:sz="0" w:space="0" w:color="auto"/>
                <w:left w:val="none" w:sz="0" w:space="0" w:color="auto"/>
                <w:bottom w:val="none" w:sz="0" w:space="0" w:color="auto"/>
                <w:right w:val="none" w:sz="0" w:space="0" w:color="auto"/>
              </w:divBdr>
            </w:div>
          </w:divsChild>
        </w:div>
        <w:div w:id="495458684">
          <w:marLeft w:val="0"/>
          <w:marRight w:val="0"/>
          <w:marTop w:val="0"/>
          <w:marBottom w:val="0"/>
          <w:divBdr>
            <w:top w:val="none" w:sz="0" w:space="0" w:color="auto"/>
            <w:left w:val="none" w:sz="0" w:space="0" w:color="auto"/>
            <w:bottom w:val="none" w:sz="0" w:space="0" w:color="auto"/>
            <w:right w:val="none" w:sz="0" w:space="0" w:color="auto"/>
          </w:divBdr>
          <w:divsChild>
            <w:div w:id="599531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EE8226-C494-44ED-800D-D0DFF277D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4152</Words>
  <Characters>23669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Shazad Shah</dc:creator>
  <cp:keywords/>
  <dc:description/>
  <cp:lastModifiedBy>Shazad Shah</cp:lastModifiedBy>
  <cp:revision>2</cp:revision>
  <cp:lastPrinted>2025-10-29T20:25:00Z</cp:lastPrinted>
  <dcterms:created xsi:type="dcterms:W3CDTF">2025-10-30T20:39:00Z</dcterms:created>
  <dcterms:modified xsi:type="dcterms:W3CDTF">2025-10-30T20:39:00Z</dcterms:modified>
</cp:coreProperties>
</file>