
<file path=[Content_Types].xml><?xml version="1.0" encoding="utf-8"?>
<Types xmlns="http://schemas.openxmlformats.org/package/2006/content-types">
  <Default Extension="sldx" ContentType="application/vnd.openxmlformats-officedocument.presentationml.slide"/>
  <Default Extension="xml" ContentType="application/xml"/>
  <Default Extension="emf" ContentType="image/x-emf"/>
  <Default Extension="rels" ContentType="application/vnd.openxmlformats-package.relationships+xml"/>
  <Override PartName="/word/fonttable.xml" ContentType="application/vnd.openxmlformats-officedocument.wordprocessingml.fontTable+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styleswitheffects.xml" ContentType="application/vnd.ms-word.stylesWithEffects+xml"/>
  <Override PartName="/docprops/core.xml" ContentType="application/vnd.openxmlformats-package.core-properties+xml"/>
  <Override PartName="/docprops/app.xml" ContentType="application/vnd.openxmlformats-officedocument.extended-properti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w:body>
    <w:p>
      <w:pPr>
        <w:spacing w:line="360" w:lineRule="auto"/>
        <w:rPr/>
      </w:pPr>
      <w:r>
        <w:t>Slide 1</w:t>
      </w:r>
    </w:p>
    <w:p>
      <w:pPr>
        <w:spacing w:line="360" w:lineRule="auto"/>
        <w:rPr/>
      </w:pPr>
    </w:p>
    <w:p>
      <w:pPr>
        <w:spacing w:line="360" w:lineRule="auto"/>
        <w:jc w:val="center"/>
        <w:rPr/>
      </w:pPr>
      <w:r>
        <w:rPr/>
        <w:drawing xmlns:mc="http://schemas.openxmlformats.org/markup-compatibility/2006">
          <wp:inline>
            <wp:extent cx="4562475" cy="2571750"/>
            <wp:effectExtent l="0" t="0" r="25400" b="2540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
                    <pic:cNvPicPr>
                      <a:picLocks noGrp="0" noSelect="0" noRot="0" noChangeAspect="1" noMove="0" noResize="0" noAdjustHandles="0" noChangeShapeType="0"/>
                    </pic:cNvPicPr>
                  </pic:nvPicPr>
                  <pic:blipFill>
                    <a:blip r:embed="rId31"/>
                    <a:srcRect l="0" t="0" r="0" b="0"/>
                    <a:stretch/>
                  </pic:blipFill>
                  <pic:spPr>
                    <a:xfrm>
                      <a:off x="0" y="0"/>
                      <a:ext cx="4562475" cy="2571750"/>
                    </a:xfrm>
                    <a:prstGeom prst="rect">
                      <a:avLst/>
                    </a:prstGeom>
                    <a:ln w="12700">
                      <a:solidFill>
                        <a:srgbClr val="000000"/>
                      </a:solidFill>
                    </a:ln>
                    <a:effectLst/>
                  </pic:spPr>
                </pic:pic>
              </a:graphicData>
            </a:graphic>
          </wp:inline>
        </w:drawing>
      </w:r>
    </w:p>
    <w:p>
      <w:pPr>
        <w:spacing w:line="360" w:lineRule="auto"/>
        <w:jc w:val="center"/>
        <w:rPr/>
      </w:pPr>
    </w:p>
    <w:p>
      <w:pPr>
        <w:spacing w:after="0" w:line="240" w:lineRule="auto"/>
        <w:rPr>
          <w:rFonts w:ascii="Times New Roman" w:cs="Times New Roman" w:eastAsia="Times New Roman" w:hAnsi="Times New Roman"/>
          <w:sz w:val="24"/>
          <w:szCs w:val="24"/>
        </w:rPr>
      </w:pPr>
      <w:r>
        <w:rPr>
          <w:rFonts w:ascii="Arial" w:cs="Arial" w:eastAsia="Times New Roman" w:hAnsi="Times New Roman"/>
          <w:sz w:val="24"/>
          <w:szCs w:val="24"/>
          <w:lang w:val="en-GB"/>
        </w:rPr>
        <w:t>The aim of this essay is to evaluate the appropriate use of contemporary technologies and competency in data handling to improve workplace employability and efficiency. It will focus on how to use the DIKW and CRAAP frameworks in refuting or confirming Angela Duckworth</w:t>
      </w:r>
      <w:r>
        <w:rPr>
          <w:rFonts w:ascii="Arial" w:cs="Arial" w:eastAsia="Times New Roman" w:hAnsi="Times New Roman"/>
          <w:sz w:val="24"/>
          <w:szCs w:val="24"/>
          <w:lang w:val="en-GB"/>
        </w:rPr>
        <w:t>’</w:t>
      </w:r>
      <w:r>
        <w:rPr>
          <w:rFonts w:ascii="Arial" w:cs="Arial" w:eastAsia="Times New Roman" w:hAnsi="Times New Roman"/>
          <w:sz w:val="24"/>
          <w:szCs w:val="24"/>
          <w:lang w:val="en-GB"/>
        </w:rPr>
        <w:t xml:space="preserve">s work. </w:t>
      </w:r>
    </w:p>
    <w:p>
      <w:pPr>
        <w:spacing w:after="0" w:line="240" w:lineRule="auto"/>
        <w:rPr>
          <w:rFonts w:ascii="Calibri" w:cs="Calibri" w:hAnsi="Calibri"/>
          <w:sz w:val="24"/>
          <w:szCs w:val="24"/>
          <w:lang w:val="en-GB"/>
        </w:rPr>
      </w:pPr>
    </w:p>
    <w:p>
      <w:pPr>
        <w:spacing w:after="0" w:line="240" w:lineRule="auto"/>
        <w:rPr>
          <w:rFonts w:ascii="Arial" w:cs="Arial" w:hAnsi="Arial"/>
          <w:sz w:val="24"/>
          <w:szCs w:val="24"/>
        </w:rPr>
      </w:pPr>
    </w:p>
    <w:p>
      <w:pPr>
        <w:spacing w:line="360" w:lineRule="auto"/>
        <w:rPr/>
      </w:pPr>
    </w:p>
    <w:p>
      <w:r>
        <w:rPr/>
        <w:br w:type="page"/>
      </w:r>
    </w:p>
    <w:p>
      <w:pPr>
        <w:spacing w:line="360" w:lineRule="auto"/>
        <w:rPr/>
      </w:pPr>
      <w:r>
        <w:t>Slide 2</w:t>
      </w:r>
    </w:p>
    <w:p>
      <w:pPr>
        <w:spacing w:line="360" w:lineRule="auto"/>
        <w:rPr/>
      </w:pPr>
    </w:p>
    <w:p>
      <w:pPr>
        <w:spacing w:line="360" w:lineRule="auto"/>
        <w:jc w:val="center"/>
        <w:rPr/>
      </w:pPr>
      <w:r>
        <w:rPr/>
        <w:drawing xmlns:mc="http://schemas.openxmlformats.org/markup-compatibility/2006">
          <wp:inline>
            <wp:extent cx="4562475" cy="2571750"/>
            <wp:effectExtent l="0" t="0" r="25400" b="2540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
                    <pic:cNvPicPr>
                      <a:picLocks noGrp="0" noSelect="0" noRot="0" noChangeAspect="1" noMove="0" noResize="0" noAdjustHandles="0" noChangeShapeType="0"/>
                    </pic:cNvPicPr>
                  </pic:nvPicPr>
                  <pic:blipFill>
                    <a:blip r:embed="rId32"/>
                    <a:srcRect l="0" t="0" r="0" b="0"/>
                    <a:stretch/>
                  </pic:blipFill>
                  <pic:spPr>
                    <a:xfrm>
                      <a:off x="0" y="0"/>
                      <a:ext cx="4562475" cy="2571750"/>
                    </a:xfrm>
                    <a:prstGeom prst="rect">
                      <a:avLst/>
                    </a:prstGeom>
                    <a:ln w="12700">
                      <a:solidFill>
                        <a:srgbClr val="000000"/>
                      </a:solidFill>
                    </a:ln>
                    <a:effectLst/>
                  </pic:spPr>
                </pic:pic>
              </a:graphicData>
            </a:graphic>
          </wp:inline>
        </w:drawing>
      </w:r>
    </w:p>
    <w:p>
      <w:pPr>
        <w:spacing w:line="360" w:lineRule="auto"/>
        <w:jc w:val="center"/>
        <w:rPr/>
      </w:pPr>
    </w:p>
    <w:p>
      <w:pPr>
        <w:spacing w:after="0" w:line="240" w:lineRule="auto"/>
        <w:rPr>
          <w:rFonts w:ascii="Times New Roman" w:cs="Times New Roman" w:eastAsia="Times New Roman" w:hAnsi="Times New Roman"/>
          <w:sz w:val="24"/>
          <w:szCs w:val="24"/>
        </w:rPr>
      </w:pPr>
      <w:r>
        <w:rPr>
          <w:rFonts w:ascii="Arial" w:cs="Arial" w:eastAsia="Times New Roman" w:hAnsi="Times New Roman"/>
          <w:sz w:val="24"/>
          <w:szCs w:val="24"/>
          <w:lang w:val="en-GB"/>
        </w:rPr>
        <w:t xml:space="preserve">Angela Duckworth is a popular American psychologists, science and academic author. She is a professor of Psychology based in the University of Pennsylvania. Duckworth (2019) has a B.A. in neurobiology which she earned from Harvard </w:t>
      </w:r>
      <w:r>
        <w:rPr>
          <w:rFonts w:ascii="Arial" w:cs="Arial" w:eastAsia="Times New Roman" w:hAnsi="Times New Roman"/>
          <w:sz w:val="24"/>
          <w:szCs w:val="24"/>
          <w:lang w:val="en-GB"/>
        </w:rPr>
        <w:t xml:space="preserve">College. She also has an </w:t>
      </w:r>
      <w:r>
        <w:rPr>
          <w:rFonts w:ascii="Arial" w:cs="Arial" w:eastAsia="Times New Roman" w:hAnsi="Times New Roman"/>
          <w:sz w:val="24"/>
          <w:szCs w:val="24"/>
          <w:lang w:val="en-GB"/>
        </w:rPr>
        <w:t>M.Sc</w:t>
      </w:r>
      <w:r>
        <w:rPr>
          <w:rFonts w:ascii="Arial" w:cs="Arial" w:eastAsia="Times New Roman" w:hAnsi="Times New Roman"/>
          <w:sz w:val="24"/>
          <w:szCs w:val="24"/>
          <w:lang w:val="en-GB"/>
        </w:rPr>
        <w:t xml:space="preserve"> i</w:t>
      </w:r>
      <w:r>
        <w:rPr>
          <w:rFonts w:ascii="Arial" w:cs="Arial" w:eastAsia="Times New Roman" w:hAnsi="Times New Roman"/>
          <w:sz w:val="24"/>
          <w:szCs w:val="24"/>
          <w:lang w:val="en-GB"/>
        </w:rPr>
        <w:t xml:space="preserve">n neuroscience from the University of </w:t>
      </w:r>
      <w:r>
        <w:rPr>
          <w:rFonts w:ascii="Arial" w:cs="Arial" w:eastAsia="Times New Roman" w:hAnsi="Times New Roman"/>
          <w:sz w:val="24"/>
          <w:szCs w:val="24"/>
          <w:lang w:val="en-GB"/>
        </w:rPr>
        <w:t>Oxford</w:t>
      </w:r>
      <w:r>
        <w:rPr>
          <w:rFonts w:ascii="Arial" w:cs="Arial" w:eastAsia="Times New Roman" w:hAnsi="Times New Roman"/>
          <w:sz w:val="24"/>
          <w:szCs w:val="24"/>
          <w:lang w:val="en-GB"/>
        </w:rPr>
        <w:t xml:space="preserve"> and a Ph.D. in psychology from the </w:t>
      </w:r>
      <w:r>
        <w:rPr>
          <w:rFonts w:ascii="Arial" w:cs="Arial" w:eastAsia="Times New Roman" w:hAnsi="Times New Roman"/>
          <w:sz w:val="24"/>
          <w:szCs w:val="24"/>
          <w:lang w:val="en-GB"/>
        </w:rPr>
        <w:t>University</w:t>
      </w:r>
      <w:r>
        <w:rPr>
          <w:rFonts w:ascii="Arial" w:cs="Arial" w:eastAsia="Times New Roman" w:hAnsi="Times New Roman"/>
          <w:sz w:val="24"/>
          <w:szCs w:val="24"/>
          <w:lang w:val="en-GB"/>
        </w:rPr>
        <w:t xml:space="preserve"> of Pennsylvania. She is the CEO and founder of Character Lab organisation which works towards advancing the practice and science of character development. After completing her master</w:t>
      </w:r>
      <w:r>
        <w:rPr>
          <w:rFonts w:ascii="Arial" w:cs="Arial" w:eastAsia="Times New Roman" w:hAnsi="Times New Roman"/>
          <w:sz w:val="24"/>
          <w:szCs w:val="24"/>
          <w:lang w:val="en-GB"/>
        </w:rPr>
        <w:t>’</w:t>
      </w:r>
      <w:r>
        <w:rPr>
          <w:rFonts w:ascii="Arial" w:cs="Arial" w:eastAsia="Times New Roman" w:hAnsi="Times New Roman"/>
          <w:sz w:val="24"/>
          <w:szCs w:val="24"/>
          <w:lang w:val="en-GB"/>
        </w:rPr>
        <w:t xml:space="preserve">s degree, she worked at her McKinsey &amp; Company before quitting a year later and joining Lowell High School where she worked as a math teacher. Duckworth (2019) released her first book titled </w:t>
      </w:r>
      <w:r>
        <w:rPr>
          <w:rFonts w:ascii="Arial" w:cs="Arial" w:eastAsia="Times New Roman" w:hAnsi="Times New Roman"/>
          <w:sz w:val="24"/>
          <w:szCs w:val="24"/>
          <w:lang w:val="en-GB"/>
        </w:rPr>
        <w:t>‘</w:t>
      </w:r>
      <w:r>
        <w:rPr>
          <w:rFonts w:ascii="Arial" w:cs="Arial" w:eastAsia="Times New Roman" w:hAnsi="Times New Roman"/>
          <w:sz w:val="24"/>
          <w:szCs w:val="24"/>
          <w:lang w:val="en-GB"/>
        </w:rPr>
        <w:t xml:space="preserve">Grit: The Power of Passion and Perseverance in May 2016. The book was a success, staying in the New York Times bestseller list for about 20 weeks. One of the reviewers in the New York Times referred to Duckworth as one of the best psychologists who have used grit to command the education policy circles. According to Duckworth (2019), grit is a combination of perseverance and passion rather than talent. She further points out to the scientific evidence that grit can grow, making it a hallmark for high achievers in all sectors. It combines self-control and ambition in pursuit of goals that might take long to be achieved. </w:t>
      </w:r>
    </w:p>
    <w:p>
      <w:pPr>
        <w:spacing w:after="0" w:line="240" w:lineRule="auto"/>
        <w:rPr>
          <w:rFonts w:ascii="Calibri" w:cs="Calibri" w:hAnsi="Calibri"/>
          <w:sz w:val="24"/>
          <w:szCs w:val="24"/>
          <w:lang w:val="en-GB"/>
        </w:rPr>
      </w:pPr>
    </w:p>
    <w:p>
      <w:pPr>
        <w:spacing w:after="0" w:line="240" w:lineRule="auto"/>
        <w:rPr>
          <w:rFonts w:ascii="Arial" w:cs="Arial" w:hAnsi="Arial"/>
          <w:sz w:val="24"/>
          <w:szCs w:val="24"/>
        </w:rPr>
      </w:pPr>
    </w:p>
    <w:p>
      <w:pPr>
        <w:spacing w:line="360" w:lineRule="auto"/>
        <w:rPr/>
      </w:pPr>
    </w:p>
    <w:p>
      <w:r>
        <w:rPr/>
        <w:br w:type="page"/>
      </w:r>
    </w:p>
    <w:p>
      <w:pPr>
        <w:spacing w:line="360" w:lineRule="auto"/>
        <w:rPr/>
      </w:pPr>
      <w:r>
        <w:t>Slide 3</w:t>
      </w:r>
    </w:p>
    <w:p>
      <w:pPr>
        <w:spacing w:line="360" w:lineRule="auto"/>
        <w:rPr/>
      </w:pPr>
    </w:p>
    <w:p>
      <w:pPr>
        <w:spacing w:line="360" w:lineRule="auto"/>
        <w:jc w:val="center"/>
        <w:rPr/>
      </w:pPr>
      <w:r>
        <w:rPr/>
        <w:drawing xmlns:mc="http://schemas.openxmlformats.org/markup-compatibility/2006">
          <wp:inline>
            <wp:extent cx="4562475" cy="2571750"/>
            <wp:effectExtent l="0" t="0" r="25400" b="2540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
                    <pic:cNvPicPr>
                      <a:picLocks noGrp="0" noSelect="0" noRot="0" noChangeAspect="1" noMove="0" noResize="0" noAdjustHandles="0" noChangeShapeType="0"/>
                    </pic:cNvPicPr>
                  </pic:nvPicPr>
                  <pic:blipFill>
                    <a:blip r:embed="rId33"/>
                    <a:srcRect l="0" t="0" r="0" b="0"/>
                    <a:stretch/>
                  </pic:blipFill>
                  <pic:spPr>
                    <a:xfrm>
                      <a:off x="0" y="0"/>
                      <a:ext cx="4562475" cy="2571750"/>
                    </a:xfrm>
                    <a:prstGeom prst="rect">
                      <a:avLst/>
                    </a:prstGeom>
                    <a:ln w="12700">
                      <a:solidFill>
                        <a:srgbClr val="000000"/>
                      </a:solidFill>
                    </a:ln>
                    <a:effectLst/>
                  </pic:spPr>
                </pic:pic>
              </a:graphicData>
            </a:graphic>
          </wp:inline>
        </w:drawing>
      </w:r>
    </w:p>
    <w:p>
      <w:pPr>
        <w:spacing w:line="360" w:lineRule="auto"/>
        <w:jc w:val="center"/>
        <w:rPr/>
      </w:pPr>
    </w:p>
    <w:p>
      <w:pPr>
        <w:spacing w:after="0" w:line="240" w:lineRule="auto"/>
        <w:rPr>
          <w:rFonts w:ascii="Times New Roman" w:cs="Times New Roman" w:eastAsia="Times New Roman" w:hAnsi="Times New Roman"/>
          <w:sz w:val="24"/>
          <w:szCs w:val="24"/>
        </w:rPr>
      </w:pPr>
      <w:r>
        <w:rPr>
          <w:rFonts w:ascii="Arial" w:cs="Arial" w:eastAsia="Times New Roman" w:hAnsi="Times New Roman"/>
          <w:sz w:val="24"/>
          <w:szCs w:val="24"/>
          <w:lang w:val="en-GB"/>
        </w:rPr>
        <w:t>CRAAP test stands for currency, relevance, authority, accuracy and purpose (</w:t>
      </w:r>
      <w:r>
        <w:rPr>
          <w:rFonts w:ascii="Arial" w:cs="Arial" w:eastAsia="Times New Roman" w:hAnsi="Times New Roman"/>
          <w:color w:val="222222"/>
          <w:sz w:val="24"/>
          <w:szCs w:val="24"/>
          <w:lang w:val="en-GB"/>
        </w:rPr>
        <w:t>Blakeslee 2004)</w:t>
      </w:r>
      <w:r>
        <w:rPr>
          <w:rFonts w:ascii="Arial" w:cs="Arial" w:eastAsia="Times New Roman" w:hAnsi="Times New Roman"/>
          <w:sz w:val="24"/>
          <w:szCs w:val="24"/>
          <w:lang w:val="en-GB"/>
        </w:rPr>
        <w:t xml:space="preserve">. It consists of a list of questions that help evaluate or assess information. On their part, Liu (2021) state that </w:t>
      </w:r>
      <w:r>
        <w:rPr>
          <w:rFonts w:ascii="Arial" w:cs="Arial" w:eastAsia="Times New Roman" w:hAnsi="Times New Roman"/>
          <w:sz w:val="24"/>
          <w:szCs w:val="24"/>
          <w:lang w:val="en-GB"/>
        </w:rPr>
        <w:t>a CRAAP test helps</w:t>
      </w:r>
      <w:r>
        <w:rPr>
          <w:rFonts w:ascii="Arial" w:cs="Arial" w:eastAsia="Times New Roman" w:hAnsi="Times New Roman"/>
          <w:sz w:val="24"/>
          <w:szCs w:val="24"/>
          <w:lang w:val="en-GB"/>
        </w:rPr>
        <w:t xml:space="preserve"> in checking the objective reliability of data or information sources in different academic areas. Through increased reliability, teachers, students and researchers are able to reduce the risk of using low-quality, inaccurate or unreliable information (</w:t>
      </w:r>
      <w:r>
        <w:rPr>
          <w:rFonts w:ascii="Arial" w:cs="Arial" w:eastAsia="Times New Roman" w:hAnsi="Times New Roman"/>
          <w:sz w:val="24"/>
          <w:szCs w:val="24"/>
          <w:lang w:val="en-GB"/>
        </w:rPr>
        <w:t>Yusof</w:t>
      </w:r>
      <w:r>
        <w:rPr>
          <w:rFonts w:ascii="Arial" w:cs="Arial" w:eastAsia="Times New Roman" w:hAnsi="Times New Roman"/>
          <w:sz w:val="24"/>
          <w:szCs w:val="24"/>
          <w:lang w:val="en-GB"/>
        </w:rPr>
        <w:t xml:space="preserve"> </w:t>
      </w:r>
      <w:r>
        <w:rPr>
          <w:rFonts w:ascii="Arial" w:cs="Arial" w:eastAsia="Times New Roman" w:hAnsi="Times New Roman"/>
          <w:i/>
          <w:iCs/>
          <w:sz w:val="24"/>
          <w:szCs w:val="24"/>
          <w:lang w:val="en-GB"/>
        </w:rPr>
        <w:t xml:space="preserve">et al. </w:t>
      </w:r>
      <w:r>
        <w:rPr>
          <w:rFonts w:ascii="Arial" w:cs="Arial" w:eastAsia="Times New Roman" w:hAnsi="Times New Roman"/>
          <w:sz w:val="24"/>
          <w:szCs w:val="24"/>
          <w:lang w:val="en-GB"/>
        </w:rPr>
        <w:t>2018). I believe that Duckworth</w:t>
      </w:r>
      <w:r>
        <w:rPr>
          <w:rFonts w:ascii="Arial" w:cs="Arial" w:eastAsia="Times New Roman" w:hAnsi="Times New Roman"/>
          <w:sz w:val="24"/>
          <w:szCs w:val="24"/>
          <w:lang w:val="en-GB"/>
        </w:rPr>
        <w:t>’</w:t>
      </w:r>
      <w:r>
        <w:rPr>
          <w:rFonts w:ascii="Arial" w:cs="Arial" w:eastAsia="Times New Roman" w:hAnsi="Times New Roman"/>
          <w:sz w:val="24"/>
          <w:szCs w:val="24"/>
          <w:lang w:val="en-GB"/>
        </w:rPr>
        <w:t>s TED lectures pass the CRAAP test. In relation to currency, the lecture was delivered in 2013, making it to be deemed current. In addition, Duckworth</w:t>
      </w:r>
      <w:r>
        <w:rPr>
          <w:rFonts w:ascii="Arial" w:cs="Arial" w:eastAsia="Times New Roman" w:hAnsi="Times New Roman"/>
          <w:sz w:val="24"/>
          <w:szCs w:val="24"/>
          <w:lang w:val="en-GB"/>
        </w:rPr>
        <w:t>’</w:t>
      </w:r>
      <w:r>
        <w:rPr>
          <w:rFonts w:ascii="Arial" w:cs="Arial" w:eastAsia="Times New Roman" w:hAnsi="Times New Roman"/>
          <w:sz w:val="24"/>
          <w:szCs w:val="24"/>
          <w:lang w:val="en-GB"/>
        </w:rPr>
        <w:t>s TED talk provides relevant information to students and other educators, as it focuses on current trends in relation to academic success (Fielding 2019). On the other hand, the TED talk is relevant because it provides appropriate information vital for students</w:t>
      </w:r>
      <w:r>
        <w:rPr>
          <w:rFonts w:ascii="Arial" w:cs="Arial" w:eastAsia="Times New Roman" w:hAnsi="Times New Roman"/>
          <w:sz w:val="24"/>
          <w:szCs w:val="24"/>
          <w:lang w:val="en-GB"/>
        </w:rPr>
        <w:t>’</w:t>
      </w:r>
      <w:r>
        <w:rPr>
          <w:rFonts w:ascii="Arial" w:cs="Arial" w:eastAsia="Times New Roman" w:hAnsi="Times New Roman"/>
          <w:sz w:val="24"/>
          <w:szCs w:val="24"/>
          <w:lang w:val="en-GB"/>
        </w:rPr>
        <w:t xml:space="preserve"> academic development. On grounds of authority, Duckworth is a senior professor of psychology and one of the best authors in that field. She therefore qualifies to write and deliver talks on the topic (Liu 2021). The information she provides is also accurate. This is because she uses scientific evidence to assert her thoughts and opinions. In addition, her thoughts have received limited opposition from other authors and psychologists, an indication of the accuracy of her work. The evidence she provides supports the information presented to her audience, thus reflecting on its trustworthiness (Fielding 2019). In addition, the language used by Duckworth is free from emotion and unbiased. In terms of purpose, the intentions of Duckworth in her TED talk are clear, making it appropriate for the intended audience. It informs individuals that they can be successful regardless of superiority by birth.</w:t>
      </w:r>
    </w:p>
    <w:p>
      <w:r>
        <w:rPr/>
        <w:br w:type="page"/>
      </w:r>
    </w:p>
    <w:p>
      <w:pPr>
        <w:spacing w:line="360" w:lineRule="auto"/>
        <w:rPr/>
      </w:pPr>
      <w:r>
        <w:t>Slide 4</w:t>
      </w:r>
    </w:p>
    <w:p>
      <w:pPr>
        <w:spacing w:line="360" w:lineRule="auto"/>
        <w:rPr/>
      </w:pPr>
    </w:p>
    <w:p>
      <w:pPr>
        <w:spacing w:line="360" w:lineRule="auto"/>
        <w:jc w:val="center"/>
        <w:rPr/>
      </w:pPr>
      <w:r>
        <w:rPr/>
        <w:drawing xmlns:mc="http://schemas.openxmlformats.org/markup-compatibility/2006">
          <wp:inline>
            <wp:extent cx="4562475" cy="2571750"/>
            <wp:effectExtent l="0" t="0" r="25400" b="2540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
                    <pic:cNvPicPr>
                      <a:picLocks noGrp="0" noSelect="0" noRot="0" noChangeAspect="1" noMove="0" noResize="0" noAdjustHandles="0" noChangeShapeType="0"/>
                    </pic:cNvPicPr>
                  </pic:nvPicPr>
                  <pic:blipFill>
                    <a:blip r:embed="rId34"/>
                    <a:srcRect l="0" t="0" r="0" b="0"/>
                    <a:stretch/>
                  </pic:blipFill>
                  <pic:spPr>
                    <a:xfrm>
                      <a:off x="0" y="0"/>
                      <a:ext cx="4562475" cy="2571750"/>
                    </a:xfrm>
                    <a:prstGeom prst="rect">
                      <a:avLst/>
                    </a:prstGeom>
                    <a:ln w="12700">
                      <a:solidFill>
                        <a:srgbClr val="000000"/>
                      </a:solidFill>
                    </a:ln>
                    <a:effectLst/>
                  </pic:spPr>
                </pic:pic>
              </a:graphicData>
            </a:graphic>
          </wp:inline>
        </w:drawing>
      </w:r>
    </w:p>
    <w:p>
      <w:pPr>
        <w:spacing w:line="360" w:lineRule="auto"/>
        <w:jc w:val="center"/>
        <w:rPr/>
      </w:pPr>
    </w:p>
    <w:p>
      <w:pPr>
        <w:spacing w:after="0" w:line="240" w:lineRule="auto"/>
        <w:rPr>
          <w:rFonts w:ascii="Times New Roman" w:cs="Times New Roman" w:eastAsia="Times New Roman" w:hAnsi="Times New Roman"/>
          <w:sz w:val="24"/>
          <w:szCs w:val="24"/>
        </w:rPr>
      </w:pPr>
      <w:r>
        <w:rPr>
          <w:rFonts w:ascii="Arial" w:cs="Arial" w:eastAsia="Times New Roman" w:hAnsi="Times New Roman"/>
          <w:sz w:val="24"/>
          <w:szCs w:val="24"/>
          <w:lang w:val="en-GB"/>
        </w:rPr>
        <w:t xml:space="preserve">The DIKW </w:t>
      </w:r>
      <w:r>
        <w:rPr>
          <w:rFonts w:ascii="Arial" w:cs="Arial" w:eastAsia="Times New Roman" w:hAnsi="Times New Roman"/>
          <w:sz w:val="24"/>
          <w:szCs w:val="24"/>
          <w:lang w:val="en-GB"/>
        </w:rPr>
        <w:t>pyramid</w:t>
      </w:r>
      <w:r>
        <w:rPr>
          <w:rFonts w:ascii="Arial" w:cs="Arial" w:eastAsia="Times New Roman" w:hAnsi="Times New Roman"/>
          <w:sz w:val="24"/>
          <w:szCs w:val="24"/>
          <w:lang w:val="en-GB"/>
        </w:rPr>
        <w:t xml:space="preserve"> is a class of models representing functional or structural relationship between information, wisdom, knowledge and data (</w:t>
      </w:r>
      <w:r>
        <w:rPr>
          <w:rFonts w:ascii="Arial" w:cs="Arial" w:eastAsia="Times New Roman" w:hAnsi="Times New Roman"/>
          <w:color w:val="222222"/>
          <w:sz w:val="24"/>
          <w:szCs w:val="24"/>
          <w:lang w:val="en-GB"/>
        </w:rPr>
        <w:t>Frick</w:t>
      </w:r>
      <w:r>
        <w:rPr>
          <w:rFonts w:ascii="Arial" w:cs="Arial" w:eastAsia="Times New Roman" w:hAnsi="Times New Roman"/>
          <w:color w:val="222222"/>
          <w:sz w:val="24"/>
          <w:szCs w:val="24"/>
          <w:lang w:val="en-GB"/>
        </w:rPr>
        <w:t>é</w:t>
      </w:r>
      <w:r>
        <w:rPr>
          <w:rFonts w:ascii="Arial" w:cs="Arial" w:eastAsia="Times New Roman" w:hAnsi="Times New Roman"/>
          <w:color w:val="222222"/>
          <w:sz w:val="24"/>
          <w:szCs w:val="24"/>
          <w:lang w:val="en-GB"/>
        </w:rPr>
        <w:t xml:space="preserve"> 2019)</w:t>
      </w:r>
      <w:r>
        <w:rPr>
          <w:rFonts w:ascii="Arial" w:cs="Arial" w:eastAsia="Times New Roman" w:hAnsi="Times New Roman"/>
          <w:sz w:val="24"/>
          <w:szCs w:val="24"/>
          <w:lang w:val="en-GB"/>
        </w:rPr>
        <w:t xml:space="preserve">. While employing the pyramid, wisdom is defined in terms of knowledge, knowledge in terms of information and information in terms of data. Each building block is a further step towards a higher level. In addition, the transitioning steps answer different questions in relation to the initial data or information as well as adding value to it. According </w:t>
      </w:r>
      <w:r>
        <w:rPr>
          <w:rFonts w:ascii="Arial" w:cs="Arial" w:eastAsia="Times New Roman" w:hAnsi="Times New Roman"/>
          <w:sz w:val="24"/>
          <w:szCs w:val="24"/>
          <w:lang w:val="en-GB"/>
        </w:rPr>
        <w:t>Golub</w:t>
      </w:r>
      <w:r>
        <w:rPr>
          <w:rFonts w:ascii="Arial" w:cs="Arial" w:eastAsia="Times New Roman" w:hAnsi="Times New Roman"/>
          <w:sz w:val="24"/>
          <w:szCs w:val="24"/>
          <w:lang w:val="en-GB"/>
        </w:rPr>
        <w:t xml:space="preserve"> </w:t>
      </w:r>
      <w:r>
        <w:rPr>
          <w:rFonts w:ascii="Arial" w:cs="Arial" w:eastAsia="Times New Roman" w:hAnsi="Times New Roman"/>
          <w:i/>
          <w:iCs/>
          <w:sz w:val="24"/>
          <w:szCs w:val="24"/>
          <w:lang w:val="en-GB"/>
        </w:rPr>
        <w:t xml:space="preserve">et al. </w:t>
      </w:r>
      <w:r>
        <w:rPr>
          <w:rFonts w:ascii="Arial" w:cs="Arial" w:eastAsia="Times New Roman" w:hAnsi="Times New Roman"/>
          <w:sz w:val="24"/>
          <w:szCs w:val="24"/>
          <w:lang w:val="en-GB"/>
        </w:rPr>
        <w:t>(2021), the DIKW pyramid is essential in identifying functional or structural relationships because it helps enrich data with context and meaning. In addition, it also provides more insights and knowledge out of data, hence enabling individuals to take informed, data-based and better decisions (</w:t>
      </w:r>
      <w:r>
        <w:rPr>
          <w:rFonts w:ascii="Arial" w:cs="Arial" w:eastAsia="Times New Roman" w:hAnsi="Times New Roman"/>
          <w:sz w:val="24"/>
          <w:szCs w:val="24"/>
          <w:lang w:val="en-GB"/>
        </w:rPr>
        <w:t>Yusof</w:t>
      </w:r>
      <w:r>
        <w:rPr>
          <w:rFonts w:ascii="Arial" w:cs="Arial" w:eastAsia="Times New Roman" w:hAnsi="Times New Roman"/>
          <w:sz w:val="24"/>
          <w:szCs w:val="24"/>
          <w:lang w:val="en-GB"/>
        </w:rPr>
        <w:t xml:space="preserve"> </w:t>
      </w:r>
      <w:r>
        <w:rPr>
          <w:rFonts w:ascii="Arial" w:cs="Arial" w:eastAsia="Times New Roman" w:hAnsi="Times New Roman"/>
          <w:i/>
          <w:iCs/>
          <w:sz w:val="24"/>
          <w:szCs w:val="24"/>
          <w:lang w:val="en-GB"/>
        </w:rPr>
        <w:t xml:space="preserve">et al. </w:t>
      </w:r>
      <w:r>
        <w:rPr>
          <w:rFonts w:ascii="Arial" w:cs="Arial" w:eastAsia="Times New Roman" w:hAnsi="Times New Roman"/>
          <w:sz w:val="24"/>
          <w:szCs w:val="24"/>
          <w:lang w:val="en-GB"/>
        </w:rPr>
        <w:t>2018). The pyramid is also referred to as information hierarchy, wisdom hierarchy and knowledge hierarchy. Like other pyramids, it is based on a rigidly set of building blocks (</w:t>
      </w:r>
      <w:r>
        <w:rPr>
          <w:rFonts w:ascii="Arial" w:cs="Arial" w:eastAsia="Times New Roman" w:hAnsi="Times New Roman"/>
          <w:sz w:val="24"/>
          <w:szCs w:val="24"/>
          <w:lang w:val="en-GB"/>
        </w:rPr>
        <w:t>Golub</w:t>
      </w:r>
      <w:r>
        <w:rPr>
          <w:rFonts w:ascii="Arial" w:cs="Arial" w:eastAsia="Times New Roman" w:hAnsi="Times New Roman"/>
          <w:sz w:val="24"/>
          <w:szCs w:val="24"/>
          <w:lang w:val="en-GB"/>
        </w:rPr>
        <w:t xml:space="preserve"> </w:t>
      </w:r>
      <w:r>
        <w:rPr>
          <w:rFonts w:ascii="Arial" w:cs="Arial" w:eastAsia="Times New Roman" w:hAnsi="Times New Roman"/>
          <w:i/>
          <w:iCs/>
          <w:sz w:val="24"/>
          <w:szCs w:val="24"/>
          <w:lang w:val="en-GB"/>
        </w:rPr>
        <w:t xml:space="preserve">et al. </w:t>
      </w:r>
      <w:r>
        <w:rPr>
          <w:rFonts w:ascii="Arial" w:cs="Arial" w:eastAsia="Times New Roman" w:hAnsi="Times New Roman"/>
          <w:sz w:val="24"/>
          <w:szCs w:val="24"/>
          <w:lang w:val="en-GB"/>
        </w:rPr>
        <w:t>2021). Therefore, the DIKW pyramid is appropriate in evaluating Angela Duckworth</w:t>
      </w:r>
      <w:r>
        <w:rPr>
          <w:rFonts w:ascii="Arial" w:cs="Arial" w:eastAsia="Times New Roman" w:hAnsi="Times New Roman"/>
          <w:sz w:val="24"/>
          <w:szCs w:val="24"/>
          <w:lang w:val="en-GB"/>
        </w:rPr>
        <w:t>’</w:t>
      </w:r>
      <w:r>
        <w:rPr>
          <w:rFonts w:ascii="Arial" w:cs="Arial" w:eastAsia="Times New Roman" w:hAnsi="Times New Roman"/>
          <w:sz w:val="24"/>
          <w:szCs w:val="24"/>
          <w:lang w:val="en-GB"/>
        </w:rPr>
        <w:t>s work. This is because it provides insights on various methods of extracting value and information from all types of data. According to the pyramid, data refers to the unorganised collection of figures, raw facts, results and events, while information is associated with visualisation, aggression or summation (</w:t>
      </w:r>
      <w:r>
        <w:rPr>
          <w:rFonts w:ascii="Arial" w:cs="Arial" w:eastAsia="Times New Roman" w:hAnsi="Times New Roman"/>
          <w:sz w:val="24"/>
          <w:szCs w:val="24"/>
          <w:lang w:val="en-GB"/>
        </w:rPr>
        <w:t>Merkus</w:t>
      </w:r>
      <w:r>
        <w:rPr>
          <w:rFonts w:ascii="Arial" w:cs="Arial" w:eastAsia="Times New Roman" w:hAnsi="Times New Roman"/>
          <w:sz w:val="24"/>
          <w:szCs w:val="24"/>
          <w:lang w:val="en-GB"/>
        </w:rPr>
        <w:t xml:space="preserve"> </w:t>
      </w:r>
      <w:r>
        <w:rPr>
          <w:rFonts w:ascii="Arial" w:cs="Arial" w:eastAsia="Times New Roman" w:hAnsi="Times New Roman"/>
          <w:i/>
          <w:iCs/>
          <w:sz w:val="24"/>
          <w:szCs w:val="24"/>
          <w:lang w:val="en-GB"/>
        </w:rPr>
        <w:t xml:space="preserve">et al. </w:t>
      </w:r>
      <w:r>
        <w:rPr>
          <w:rFonts w:ascii="Arial" w:cs="Arial" w:eastAsia="Times New Roman" w:hAnsi="Times New Roman"/>
          <w:sz w:val="24"/>
          <w:szCs w:val="24"/>
          <w:lang w:val="en-GB"/>
        </w:rPr>
        <w:t xml:space="preserve">2019). In addition, information also gives shape to data. On the other hand, knowledge </w:t>
      </w:r>
      <w:bookmarkStart w:id="0" w:name="_GoBack"/>
      <w:bookmarkEnd w:id="0"/>
      <w:r>
        <w:rPr>
          <w:rFonts w:ascii="Arial" w:cs="Arial" w:eastAsia="Times New Roman" w:hAnsi="Times New Roman"/>
          <w:sz w:val="24"/>
          <w:szCs w:val="24"/>
          <w:lang w:val="en-GB"/>
        </w:rPr>
        <w:t>g</w:t>
      </w:r>
      <w:r>
        <w:rPr>
          <w:rFonts w:ascii="Arial" w:cs="Arial" w:eastAsia="Times New Roman" w:hAnsi="Times New Roman"/>
          <w:sz w:val="24"/>
          <w:szCs w:val="24"/>
          <w:lang w:val="en-GB"/>
        </w:rPr>
        <w:t>overns</w:t>
      </w:r>
      <w:r>
        <w:rPr>
          <w:rFonts w:ascii="Arial" w:cs="Arial" w:eastAsia="Times New Roman" w:hAnsi="Times New Roman"/>
          <w:sz w:val="24"/>
          <w:szCs w:val="24"/>
          <w:lang w:val="en-GB"/>
        </w:rPr>
        <w:t xml:space="preserve"> thesis and internal rules of information, while wisdom implements knowledge in real world event. </w:t>
      </w:r>
    </w:p>
    <w:p>
      <w:pPr>
        <w:spacing w:after="0" w:line="240" w:lineRule="auto"/>
        <w:rPr>
          <w:rFonts w:ascii="Calibri" w:cs="Calibri" w:hAnsi="Calibri"/>
          <w:sz w:val="24"/>
          <w:szCs w:val="24"/>
          <w:lang w:val="en-GB"/>
        </w:rPr>
      </w:pPr>
    </w:p>
    <w:p>
      <w:pPr>
        <w:spacing w:after="0" w:line="240" w:lineRule="auto"/>
        <w:rPr>
          <w:rFonts w:ascii="Arial" w:cs="Arial" w:hAnsi="Arial"/>
          <w:sz w:val="24"/>
          <w:szCs w:val="24"/>
        </w:rPr>
      </w:pPr>
    </w:p>
    <w:p>
      <w:pPr>
        <w:spacing w:line="360" w:lineRule="auto"/>
        <w:rPr/>
      </w:pPr>
    </w:p>
    <w:p>
      <w:r>
        <w:rPr/>
        <w:br w:type="page"/>
      </w:r>
    </w:p>
    <w:p>
      <w:pPr>
        <w:spacing w:line="360" w:lineRule="auto"/>
        <w:rPr/>
      </w:pPr>
      <w:r>
        <w:t>Slide 5</w:t>
      </w:r>
    </w:p>
    <w:p>
      <w:pPr>
        <w:spacing w:line="360" w:lineRule="auto"/>
        <w:rPr/>
      </w:pPr>
    </w:p>
    <w:p>
      <w:pPr>
        <w:spacing w:line="360" w:lineRule="auto"/>
        <w:jc w:val="center"/>
        <w:rPr/>
      </w:pPr>
      <w:r>
        <w:rPr/>
        <w:drawing xmlns:mc="http://schemas.openxmlformats.org/markup-compatibility/2006">
          <wp:inline>
            <wp:extent cx="4562475" cy="2571750"/>
            <wp:effectExtent l="0" t="0" r="25400" b="2540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
                    <pic:cNvPicPr>
                      <a:picLocks noGrp="0" noSelect="0" noRot="0" noChangeAspect="1" noMove="0" noResize="0" noAdjustHandles="0" noChangeShapeType="0"/>
                    </pic:cNvPicPr>
                  </pic:nvPicPr>
                  <pic:blipFill>
                    <a:blip r:embed="rId35"/>
                    <a:srcRect l="0" t="0" r="0" b="0"/>
                    <a:stretch/>
                  </pic:blipFill>
                  <pic:spPr>
                    <a:xfrm>
                      <a:off x="0" y="0"/>
                      <a:ext cx="4562475" cy="2571750"/>
                    </a:xfrm>
                    <a:prstGeom prst="rect">
                      <a:avLst/>
                    </a:prstGeom>
                    <a:ln w="12700">
                      <a:solidFill>
                        <a:srgbClr val="000000"/>
                      </a:solidFill>
                    </a:ln>
                    <a:effectLst/>
                  </pic:spPr>
                </pic:pic>
              </a:graphicData>
            </a:graphic>
          </wp:inline>
        </w:drawing>
      </w:r>
    </w:p>
    <w:p>
      <w:pPr>
        <w:spacing w:line="360" w:lineRule="auto"/>
        <w:jc w:val="center"/>
        <w:rPr/>
      </w:pPr>
    </w:p>
    <w:p>
      <w:pPr>
        <w:spacing w:after="0" w:line="240" w:lineRule="auto"/>
        <w:rPr>
          <w:rFonts w:ascii="Times New Roman" w:cs="Times New Roman" w:eastAsia="Times New Roman" w:hAnsi="Times New Roman"/>
          <w:sz w:val="24"/>
          <w:szCs w:val="24"/>
        </w:rPr>
      </w:pPr>
      <w:r>
        <w:rPr>
          <w:rFonts w:ascii="Arial" w:cs="Arial" w:eastAsia="Times New Roman" w:hAnsi="Times New Roman"/>
          <w:sz w:val="24"/>
          <w:szCs w:val="24"/>
          <w:lang w:val="en-GB"/>
        </w:rPr>
        <w:t>DIKW pyramid refers</w:t>
      </w:r>
      <w:r>
        <w:rPr>
          <w:rFonts w:ascii="Arial" w:cs="Arial" w:eastAsia="Times New Roman" w:hAnsi="Times New Roman"/>
          <w:sz w:val="24"/>
          <w:szCs w:val="24"/>
          <w:lang w:val="en-GB"/>
        </w:rPr>
        <w:t xml:space="preserve"> to the primary condition of unorganised, raw and uncategorised data. In her work, Duckworth derives data, knowledge and wisdom from her experience of teaching high school students and interviewing prominent leaders (</w:t>
      </w:r>
      <w:r>
        <w:rPr>
          <w:rFonts w:ascii="Arial" w:cs="Arial" w:eastAsia="Times New Roman" w:hAnsi="Times New Roman"/>
          <w:sz w:val="24"/>
          <w:szCs w:val="24"/>
          <w:lang w:val="en-GB"/>
        </w:rPr>
        <w:t>Merkus</w:t>
      </w:r>
      <w:r>
        <w:rPr>
          <w:rFonts w:ascii="Arial" w:cs="Arial" w:eastAsia="Times New Roman" w:hAnsi="Times New Roman"/>
          <w:sz w:val="24"/>
          <w:szCs w:val="24"/>
          <w:lang w:val="en-GB"/>
        </w:rPr>
        <w:t xml:space="preserve"> </w:t>
      </w:r>
      <w:r>
        <w:rPr>
          <w:rFonts w:ascii="Arial" w:cs="Arial" w:eastAsia="Times New Roman" w:hAnsi="Times New Roman"/>
          <w:i/>
          <w:iCs/>
          <w:sz w:val="24"/>
          <w:szCs w:val="24"/>
          <w:lang w:val="en-GB"/>
        </w:rPr>
        <w:t xml:space="preserve">et al. </w:t>
      </w:r>
      <w:r>
        <w:rPr>
          <w:rFonts w:ascii="Arial" w:cs="Arial" w:eastAsia="Times New Roman" w:hAnsi="Times New Roman"/>
          <w:sz w:val="24"/>
          <w:szCs w:val="24"/>
          <w:lang w:val="en-GB"/>
        </w:rPr>
        <w:t>2019). This makes it to be practical for students, teachers and other associated professionals in assessing their progress towards success. The data provided by Duckworth is sensible and true, with a logical possibility. According to her, about 40 per cent of a human</w:t>
      </w:r>
      <w:r>
        <w:rPr>
          <w:rFonts w:ascii="Arial" w:cs="Arial" w:eastAsia="Times New Roman" w:hAnsi="Times New Roman"/>
          <w:sz w:val="24"/>
          <w:szCs w:val="24"/>
          <w:lang w:val="en-GB"/>
        </w:rPr>
        <w:t>’</w:t>
      </w:r>
      <w:r>
        <w:rPr>
          <w:rFonts w:ascii="Arial" w:cs="Arial" w:eastAsia="Times New Roman" w:hAnsi="Times New Roman"/>
          <w:sz w:val="24"/>
          <w:szCs w:val="24"/>
          <w:lang w:val="en-GB"/>
        </w:rPr>
        <w:t xml:space="preserve">s mind is made up of data. In addition, she states that data is extracted from observation, may not be of great value if they are processed to an applicable form to be transformed into information. Duckworth </w:t>
      </w:r>
      <w:r>
        <w:rPr>
          <w:rFonts w:ascii="Arial" w:cs="Arial" w:eastAsia="Times New Roman" w:hAnsi="Times New Roman"/>
          <w:sz w:val="24"/>
          <w:szCs w:val="24"/>
          <w:lang w:val="en-GB"/>
        </w:rPr>
        <w:t>reduces</w:t>
      </w:r>
      <w:r>
        <w:rPr>
          <w:rFonts w:ascii="Arial" w:cs="Arial" w:eastAsia="Times New Roman" w:hAnsi="Times New Roman"/>
          <w:sz w:val="24"/>
          <w:szCs w:val="24"/>
          <w:lang w:val="en-GB"/>
        </w:rPr>
        <w:t xml:space="preserve"> filters and refines her data, hence developing a powerful image of a significant value for her audience. Furthermore, her work may be used by the audience as a reflection because it provides insights on knowledge. The accuracy of her data reduces the risk of misinformation, unsound reasoning, misinterpretation and disinformation which might </w:t>
      </w:r>
      <w:r>
        <w:rPr>
          <w:rFonts w:ascii="Arial" w:cs="Arial" w:eastAsia="Times New Roman" w:hAnsi="Times New Roman"/>
          <w:sz w:val="24"/>
          <w:szCs w:val="24"/>
          <w:lang w:val="en-GB"/>
        </w:rPr>
        <w:t>result</w:t>
      </w:r>
      <w:r>
        <w:rPr>
          <w:rFonts w:ascii="Arial" w:cs="Arial" w:eastAsia="Times New Roman" w:hAnsi="Times New Roman"/>
          <w:sz w:val="24"/>
          <w:szCs w:val="24"/>
          <w:lang w:val="en-GB"/>
        </w:rPr>
        <w:t xml:space="preserve"> from errors (</w:t>
      </w:r>
      <w:r>
        <w:rPr>
          <w:rFonts w:ascii="Arial" w:cs="Arial" w:eastAsia="Times New Roman" w:hAnsi="Times New Roman"/>
          <w:sz w:val="24"/>
          <w:szCs w:val="24"/>
          <w:lang w:val="en-GB"/>
        </w:rPr>
        <w:t>Yusof</w:t>
      </w:r>
      <w:r>
        <w:rPr>
          <w:rFonts w:ascii="Arial" w:cs="Arial" w:eastAsia="Times New Roman" w:hAnsi="Times New Roman"/>
          <w:sz w:val="24"/>
          <w:szCs w:val="24"/>
          <w:lang w:val="en-GB"/>
        </w:rPr>
        <w:t xml:space="preserve"> </w:t>
      </w:r>
      <w:r>
        <w:rPr>
          <w:rFonts w:ascii="Arial" w:cs="Arial" w:eastAsia="Times New Roman" w:hAnsi="Times New Roman"/>
          <w:i/>
          <w:iCs/>
          <w:sz w:val="24"/>
          <w:szCs w:val="24"/>
          <w:lang w:val="en-GB"/>
        </w:rPr>
        <w:t xml:space="preserve">et al. </w:t>
      </w:r>
      <w:r>
        <w:rPr>
          <w:rFonts w:ascii="Arial" w:cs="Arial" w:eastAsia="Times New Roman" w:hAnsi="Times New Roman"/>
          <w:sz w:val="24"/>
          <w:szCs w:val="24"/>
          <w:lang w:val="en-GB"/>
        </w:rPr>
        <w:t xml:space="preserve">2018). As pointed out by </w:t>
      </w:r>
      <w:r>
        <w:rPr>
          <w:rFonts w:ascii="Arial" w:cs="Arial" w:eastAsia="Times New Roman" w:hAnsi="Times New Roman"/>
          <w:sz w:val="24"/>
          <w:szCs w:val="24"/>
          <w:lang w:val="en-GB"/>
        </w:rPr>
        <w:t>Merkus</w:t>
      </w:r>
      <w:r>
        <w:rPr>
          <w:rFonts w:ascii="Arial" w:cs="Arial" w:eastAsia="Times New Roman" w:hAnsi="Times New Roman"/>
          <w:sz w:val="24"/>
          <w:szCs w:val="24"/>
          <w:lang w:val="en-GB"/>
        </w:rPr>
        <w:t xml:space="preserve"> </w:t>
      </w:r>
      <w:r>
        <w:rPr>
          <w:rFonts w:ascii="Arial" w:cs="Arial" w:eastAsia="Times New Roman" w:hAnsi="Times New Roman"/>
          <w:i/>
          <w:iCs/>
          <w:sz w:val="24"/>
          <w:szCs w:val="24"/>
          <w:lang w:val="en-GB"/>
        </w:rPr>
        <w:t xml:space="preserve">et al. </w:t>
      </w:r>
      <w:r>
        <w:rPr>
          <w:rFonts w:ascii="Arial" w:cs="Arial" w:eastAsia="Times New Roman" w:hAnsi="Times New Roman"/>
          <w:sz w:val="24"/>
          <w:szCs w:val="24"/>
          <w:lang w:val="en-GB"/>
        </w:rPr>
        <w:t xml:space="preserve">(2019), incorrectly communicating or distorting information, including knowledge and information may lead to misinterpretation of the message by the audience. </w:t>
      </w:r>
    </w:p>
    <w:p>
      <w:pPr>
        <w:spacing w:after="0" w:line="240" w:lineRule="auto"/>
        <w:rPr>
          <w:rFonts w:ascii="Calibri" w:cs="Calibri" w:hAnsi="Calibri"/>
          <w:sz w:val="24"/>
          <w:szCs w:val="24"/>
          <w:lang w:val="en-GB"/>
        </w:rPr>
      </w:pPr>
    </w:p>
    <w:p>
      <w:pPr>
        <w:spacing w:after="0" w:line="240" w:lineRule="auto"/>
        <w:rPr>
          <w:rFonts w:ascii="Arial" w:cs="Arial" w:hAnsi="Arial"/>
          <w:sz w:val="24"/>
          <w:szCs w:val="24"/>
        </w:rPr>
      </w:pPr>
    </w:p>
    <w:p>
      <w:pPr>
        <w:spacing w:line="360" w:lineRule="auto"/>
        <w:rPr/>
      </w:pPr>
    </w:p>
    <w:p>
      <w:r>
        <w:rPr/>
        <w:br w:type="page"/>
      </w:r>
    </w:p>
    <w:p>
      <w:pPr>
        <w:spacing w:line="360" w:lineRule="auto"/>
        <w:rPr/>
      </w:pPr>
      <w:r>
        <w:t>Slide 6</w:t>
      </w:r>
    </w:p>
    <w:p>
      <w:pPr>
        <w:spacing w:line="360" w:lineRule="auto"/>
        <w:rPr/>
      </w:pPr>
    </w:p>
    <w:p>
      <w:pPr>
        <w:spacing w:line="360" w:lineRule="auto"/>
        <w:jc w:val="center"/>
        <w:rPr/>
      </w:pPr>
      <w:r>
        <w:rPr/>
        <w:drawing xmlns:mc="http://schemas.openxmlformats.org/markup-compatibility/2006">
          <wp:inline>
            <wp:extent cx="4562475" cy="2571750"/>
            <wp:effectExtent l="0" t="0" r="25400" b="2540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
                    <pic:cNvPicPr>
                      <a:picLocks noGrp="0" noSelect="0" noRot="0" noChangeAspect="1" noMove="0" noResize="0" noAdjustHandles="0" noChangeShapeType="0"/>
                    </pic:cNvPicPr>
                  </pic:nvPicPr>
                  <pic:blipFill>
                    <a:blip r:embed="rId36"/>
                    <a:srcRect l="0" t="0" r="0" b="0"/>
                    <a:stretch/>
                  </pic:blipFill>
                  <pic:spPr>
                    <a:xfrm>
                      <a:off x="0" y="0"/>
                      <a:ext cx="4562475" cy="2571750"/>
                    </a:xfrm>
                    <a:prstGeom prst="rect">
                      <a:avLst/>
                    </a:prstGeom>
                    <a:ln w="12700">
                      <a:solidFill>
                        <a:srgbClr val="000000"/>
                      </a:solidFill>
                    </a:ln>
                    <a:effectLst/>
                  </pic:spPr>
                </pic:pic>
              </a:graphicData>
            </a:graphic>
          </wp:inline>
        </w:drawing>
      </w:r>
    </w:p>
    <w:p>
      <w:pPr>
        <w:spacing w:line="360" w:lineRule="auto"/>
        <w:jc w:val="center"/>
        <w:rPr/>
      </w:pPr>
    </w:p>
    <w:p>
      <w:pPr>
        <w:spacing w:after="0" w:line="240" w:lineRule="auto"/>
        <w:rPr>
          <w:rFonts w:ascii="Times New Roman" w:cs="Times New Roman" w:eastAsia="Times New Roman" w:hAnsi="Times New Roman"/>
          <w:sz w:val="24"/>
          <w:szCs w:val="24"/>
        </w:rPr>
      </w:pPr>
      <w:r>
        <w:rPr>
          <w:rFonts w:ascii="Arial" w:cs="Arial" w:eastAsia="Times New Roman" w:hAnsi="Times New Roman"/>
          <w:sz w:val="24"/>
          <w:szCs w:val="24"/>
          <w:lang w:val="en-GB"/>
        </w:rPr>
        <w:t>A scatter diagram was is suitable in evaluating primary data in relation to Duckworth</w:t>
      </w:r>
      <w:r>
        <w:rPr>
          <w:rFonts w:ascii="Arial" w:cs="Arial" w:eastAsia="Times New Roman" w:hAnsi="Times New Roman"/>
          <w:sz w:val="24"/>
          <w:szCs w:val="24"/>
          <w:lang w:val="en-GB"/>
        </w:rPr>
        <w:t>’</w:t>
      </w:r>
      <w:r>
        <w:rPr>
          <w:rFonts w:ascii="Arial" w:cs="Arial" w:eastAsia="Times New Roman" w:hAnsi="Times New Roman"/>
          <w:sz w:val="24"/>
          <w:szCs w:val="24"/>
          <w:lang w:val="en-GB"/>
        </w:rPr>
        <w:t xml:space="preserve">s work. As pointed out by </w:t>
      </w:r>
      <w:r>
        <w:rPr>
          <w:rFonts w:ascii="Arial" w:cs="Arial" w:eastAsia="Times New Roman" w:hAnsi="Times New Roman"/>
          <w:sz w:val="24"/>
          <w:szCs w:val="24"/>
          <w:lang w:val="en-GB"/>
        </w:rPr>
        <w:t>Yusof</w:t>
      </w:r>
      <w:r>
        <w:rPr>
          <w:rFonts w:ascii="Arial" w:cs="Arial" w:eastAsia="Times New Roman" w:hAnsi="Times New Roman"/>
          <w:sz w:val="24"/>
          <w:szCs w:val="24"/>
          <w:lang w:val="en-GB"/>
        </w:rPr>
        <w:t xml:space="preserve"> </w:t>
      </w:r>
      <w:r>
        <w:rPr>
          <w:rFonts w:ascii="Arial" w:cs="Arial" w:eastAsia="Times New Roman" w:hAnsi="Times New Roman"/>
          <w:i/>
          <w:iCs/>
          <w:sz w:val="24"/>
          <w:szCs w:val="24"/>
          <w:lang w:val="en-GB"/>
        </w:rPr>
        <w:t xml:space="preserve">et al. </w:t>
      </w:r>
      <w:r>
        <w:rPr>
          <w:rFonts w:ascii="Arial" w:cs="Arial" w:eastAsia="Times New Roman" w:hAnsi="Times New Roman"/>
          <w:sz w:val="24"/>
          <w:szCs w:val="24"/>
          <w:lang w:val="en-GB"/>
        </w:rPr>
        <w:t xml:space="preserve">(2018), a scatter diagram graphs various pairs of numerical data by placing one variable in each axis to assess the relationship between them. The </w:t>
      </w:r>
      <w:r>
        <w:rPr>
          <w:rFonts w:ascii="Arial" w:cs="Arial" w:eastAsia="Times New Roman" w:hAnsi="Times New Roman"/>
          <w:sz w:val="24"/>
          <w:szCs w:val="24"/>
          <w:lang w:val="en-GB"/>
        </w:rPr>
        <w:t>authors</w:t>
      </w:r>
      <w:r>
        <w:rPr>
          <w:rFonts w:ascii="Arial" w:cs="Arial" w:eastAsia="Times New Roman" w:hAnsi="Times New Roman"/>
          <w:sz w:val="24"/>
          <w:szCs w:val="24"/>
          <w:lang w:val="en-GB"/>
        </w:rPr>
        <w:t xml:space="preserve"> further state that lines in a scatter plot fall along the curve or line in case the variables are corralled. To evaluate the primary data, the participants were asked questions on their view of knowledge, data, information and wisdom. Their views are represented in the scatter plot in the slide. </w:t>
      </w:r>
    </w:p>
    <w:p>
      <w:pPr>
        <w:spacing w:after="0" w:line="240" w:lineRule="auto"/>
        <w:rPr>
          <w:rFonts w:ascii="Times New Roman" w:cs="Times New Roman" w:eastAsia="Times New Roman" w:hAnsi="Times New Roman"/>
          <w:sz w:val="24"/>
          <w:szCs w:val="24"/>
        </w:rPr>
      </w:pPr>
      <w:r>
        <w:rPr>
          <w:rFonts w:ascii="Arial" w:cs="Arial" w:eastAsia="Times New Roman" w:hAnsi="Times New Roman"/>
          <w:sz w:val="24"/>
          <w:szCs w:val="24"/>
          <w:lang w:val="en-GB"/>
        </w:rPr>
        <w:t> </w:t>
      </w:r>
    </w:p>
    <w:p>
      <w:pPr>
        <w:spacing w:after="0" w:line="240" w:lineRule="auto"/>
        <w:rPr>
          <w:rFonts w:ascii="Calibri" w:cs="Calibri" w:hAnsi="Calibri"/>
          <w:sz w:val="24"/>
          <w:szCs w:val="24"/>
          <w:lang w:val="en-GB"/>
        </w:rPr>
      </w:pPr>
    </w:p>
    <w:p>
      <w:pPr>
        <w:spacing w:after="0" w:line="240" w:lineRule="auto"/>
        <w:rPr>
          <w:rFonts w:ascii="Arial" w:cs="Arial" w:hAnsi="Arial"/>
          <w:sz w:val="24"/>
          <w:szCs w:val="24"/>
        </w:rPr>
      </w:pPr>
    </w:p>
    <w:p>
      <w:pPr>
        <w:spacing w:line="360" w:lineRule="auto"/>
        <w:rPr/>
      </w:pPr>
    </w:p>
    <w:p>
      <w:r>
        <w:rPr/>
        <w:br w:type="page"/>
      </w:r>
    </w:p>
    <w:p>
      <w:pPr>
        <w:spacing w:line="360" w:lineRule="auto"/>
        <w:rPr/>
      </w:pPr>
      <w:r>
        <w:t>Slide 7</w:t>
      </w:r>
    </w:p>
    <w:p>
      <w:pPr>
        <w:spacing w:line="360" w:lineRule="auto"/>
        <w:rPr/>
      </w:pPr>
    </w:p>
    <w:p>
      <w:pPr>
        <w:spacing w:line="360" w:lineRule="auto"/>
        <w:jc w:val="center"/>
        <w:rPr/>
      </w:pPr>
      <w:r>
        <w:rPr/>
        <w:drawing xmlns:mc="http://schemas.openxmlformats.org/markup-compatibility/2006">
          <wp:inline>
            <wp:extent cx="4562475" cy="2571750"/>
            <wp:effectExtent l="0" t="0" r="25400" b="2540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
                    <pic:cNvPicPr>
                      <a:picLocks noGrp="0" noSelect="0" noRot="0" noChangeAspect="1" noMove="0" noResize="0" noAdjustHandles="0" noChangeShapeType="0"/>
                    </pic:cNvPicPr>
                  </pic:nvPicPr>
                  <pic:blipFill>
                    <a:blip r:embed="rId37"/>
                    <a:srcRect l="0" t="0" r="0" b="0"/>
                    <a:stretch/>
                  </pic:blipFill>
                  <pic:spPr>
                    <a:xfrm>
                      <a:off x="0" y="0"/>
                      <a:ext cx="4562475" cy="2571750"/>
                    </a:xfrm>
                    <a:prstGeom prst="rect">
                      <a:avLst/>
                    </a:prstGeom>
                    <a:ln w="12700">
                      <a:solidFill>
                        <a:srgbClr val="000000"/>
                      </a:solidFill>
                    </a:ln>
                    <a:effectLst/>
                  </pic:spPr>
                </pic:pic>
              </a:graphicData>
            </a:graphic>
          </wp:inline>
        </w:drawing>
      </w:r>
    </w:p>
    <w:p>
      <w:pPr>
        <w:spacing w:line="360" w:lineRule="auto"/>
        <w:jc w:val="center"/>
        <w:rPr/>
      </w:pPr>
    </w:p>
    <w:p>
      <w:pPr>
        <w:spacing w:after="0" w:line="240" w:lineRule="auto"/>
        <w:rPr>
          <w:rFonts w:ascii="Calibri" w:cs="Calibri" w:hAnsi="Calibri"/>
          <w:sz w:val="24"/>
          <w:szCs w:val="24"/>
          <w:lang w:val="en-GB"/>
        </w:rPr>
      </w:pPr>
      <w:r>
        <w:rPr>
          <w:rFonts w:ascii="Arial" w:cs="Arial" w:eastAsia="Times New Roman" w:hAnsi="Times New Roman"/>
          <w:sz w:val="24"/>
          <w:szCs w:val="24"/>
          <w:lang w:val="en-GB"/>
        </w:rPr>
        <w:t>Information is described as structured or organised data processed to make it relevant or appropriate for a specific context or purpose (</w:t>
      </w:r>
      <w:r>
        <w:rPr>
          <w:rFonts w:ascii="Arial" w:cs="Arial" w:eastAsia="Times New Roman" w:hAnsi="Times New Roman"/>
          <w:color w:val="222222"/>
          <w:sz w:val="24"/>
          <w:szCs w:val="24"/>
          <w:lang w:val="en-GB"/>
        </w:rPr>
        <w:t>McDowell 2021)</w:t>
      </w:r>
      <w:r>
        <w:rPr>
          <w:rFonts w:ascii="Arial" w:cs="Arial" w:eastAsia="Times New Roman" w:hAnsi="Times New Roman"/>
          <w:sz w:val="24"/>
          <w:szCs w:val="24"/>
          <w:lang w:val="en-GB"/>
        </w:rPr>
        <w:t xml:space="preserve">. The process makes information to be valuable, relevant and meaningful. In this case, the difference between data and information is not functional but rather structural. On their part, </w:t>
      </w:r>
      <w:r>
        <w:rPr>
          <w:rFonts w:ascii="Arial" w:cs="Arial" w:eastAsia="Times New Roman" w:hAnsi="Times New Roman"/>
          <w:sz w:val="24"/>
          <w:szCs w:val="24"/>
          <w:lang w:val="en-GB"/>
        </w:rPr>
        <w:t>Sesana</w:t>
      </w:r>
      <w:r>
        <w:rPr>
          <w:rFonts w:ascii="Arial" w:cs="Arial" w:eastAsia="Times New Roman" w:hAnsi="Times New Roman"/>
          <w:sz w:val="24"/>
          <w:szCs w:val="24"/>
          <w:lang w:val="en-GB"/>
        </w:rPr>
        <w:t xml:space="preserve"> </w:t>
      </w:r>
      <w:r>
        <w:rPr>
          <w:rFonts w:ascii="Arial" w:cs="Arial" w:eastAsia="Times New Roman" w:hAnsi="Times New Roman"/>
          <w:i/>
          <w:iCs/>
          <w:sz w:val="24"/>
          <w:szCs w:val="24"/>
          <w:lang w:val="en-GB"/>
        </w:rPr>
        <w:t xml:space="preserve">et al. </w:t>
      </w:r>
      <w:r>
        <w:rPr>
          <w:rFonts w:ascii="Arial" w:cs="Arial" w:eastAsia="Times New Roman" w:hAnsi="Times New Roman"/>
          <w:sz w:val="24"/>
          <w:szCs w:val="24"/>
          <w:lang w:val="en-GB"/>
        </w:rPr>
        <w:t>(2019) defined information in the DIKW pyramid as structure, value, meaning, format and organisation. Information can be obtained from analytical and statistical tools of data (</w:t>
      </w:r>
      <w:r>
        <w:rPr>
          <w:rFonts w:ascii="Arial" w:cs="Arial" w:eastAsia="Times New Roman" w:hAnsi="Times New Roman"/>
          <w:color w:val="222222"/>
          <w:sz w:val="24"/>
          <w:szCs w:val="24"/>
          <w:lang w:val="en-GB"/>
        </w:rPr>
        <w:t xml:space="preserve">Guerrero-Prado </w:t>
      </w:r>
      <w:r>
        <w:rPr>
          <w:rFonts w:ascii="Arial" w:cs="Arial" w:eastAsia="Times New Roman" w:hAnsi="Times New Roman"/>
          <w:i/>
          <w:iCs/>
          <w:color w:val="222222"/>
          <w:sz w:val="24"/>
          <w:szCs w:val="24"/>
          <w:lang w:val="en-GB"/>
        </w:rPr>
        <w:t xml:space="preserve">et al. </w:t>
      </w:r>
      <w:r>
        <w:rPr>
          <w:rFonts w:ascii="Arial" w:cs="Arial" w:eastAsia="Times New Roman" w:hAnsi="Times New Roman"/>
          <w:color w:val="222222"/>
          <w:sz w:val="24"/>
          <w:szCs w:val="24"/>
          <w:lang w:val="en-GB"/>
        </w:rPr>
        <w:t>2021)</w:t>
      </w:r>
      <w:r>
        <w:rPr>
          <w:rFonts w:ascii="Arial" w:cs="Arial" w:eastAsia="Times New Roman" w:hAnsi="Times New Roman"/>
          <w:sz w:val="24"/>
          <w:szCs w:val="24"/>
          <w:lang w:val="en-GB"/>
        </w:rPr>
        <w:t>. In Duckworth</w:t>
      </w:r>
      <w:r>
        <w:rPr>
          <w:rFonts w:ascii="Arial" w:cs="Arial" w:eastAsia="Times New Roman" w:hAnsi="Times New Roman"/>
          <w:sz w:val="24"/>
          <w:szCs w:val="24"/>
          <w:lang w:val="en-GB"/>
        </w:rPr>
        <w:t>’</w:t>
      </w:r>
      <w:r>
        <w:rPr>
          <w:rFonts w:ascii="Arial" w:cs="Arial" w:eastAsia="Times New Roman" w:hAnsi="Times New Roman"/>
          <w:sz w:val="24"/>
          <w:szCs w:val="24"/>
          <w:lang w:val="en-GB"/>
        </w:rPr>
        <w:t>s case, information is the context to which her work gives meaning, while data is he content to which it gives form. Therefore, her work conveys meaning to the audience as a narrative experience and patter (</w:t>
      </w:r>
      <w:r>
        <w:rPr>
          <w:rFonts w:ascii="Arial" w:cs="Arial" w:eastAsia="Times New Roman" w:hAnsi="Times New Roman"/>
          <w:color w:val="222222"/>
          <w:sz w:val="24"/>
          <w:szCs w:val="24"/>
          <w:lang w:val="en-GB"/>
        </w:rPr>
        <w:t xml:space="preserve">Guerrero-Prado </w:t>
      </w:r>
      <w:r>
        <w:rPr>
          <w:rFonts w:ascii="Arial" w:cs="Arial" w:eastAsia="Times New Roman" w:hAnsi="Times New Roman"/>
          <w:i/>
          <w:iCs/>
          <w:color w:val="222222"/>
          <w:sz w:val="24"/>
          <w:szCs w:val="24"/>
          <w:lang w:val="en-GB"/>
        </w:rPr>
        <w:t xml:space="preserve">et al. </w:t>
      </w:r>
      <w:r>
        <w:rPr>
          <w:rFonts w:ascii="Arial" w:cs="Arial" w:eastAsia="Times New Roman" w:hAnsi="Times New Roman"/>
          <w:color w:val="222222"/>
          <w:sz w:val="24"/>
          <w:szCs w:val="24"/>
          <w:lang w:val="en-GB"/>
        </w:rPr>
        <w:t>2021)</w:t>
      </w:r>
      <w:r>
        <w:rPr>
          <w:rFonts w:ascii="Arial" w:cs="Arial" w:eastAsia="Times New Roman" w:hAnsi="Times New Roman"/>
          <w:sz w:val="24"/>
          <w:szCs w:val="24"/>
          <w:lang w:val="en-GB"/>
        </w:rPr>
        <w:t>. Her lectures provide the audience with approach and causes vital for achieving their goals. For instance, she identifies passion and perseverance or grit as key in being successful. She gives some of her TED talks in a narrative pattern. This is because some aspects of her lectures can only be comprehended by the audience through a chronological approach. On the other hand, her lectures also consist of information about various people. Therefore, her audience can easily understand the information through articulation of action in setting or context. Sometimes, she delivers the lectures in slightly different versions to enable it reach different audiences. Her audience may also influence the way she delivers or conveys the lectures over time through their reactions. In addition, Duckworth</w:t>
      </w:r>
      <w:r>
        <w:rPr>
          <w:rFonts w:ascii="Arial" w:cs="Arial" w:eastAsia="Times New Roman" w:hAnsi="Times New Roman"/>
          <w:sz w:val="24"/>
          <w:szCs w:val="24"/>
          <w:lang w:val="en-GB"/>
        </w:rPr>
        <w:t>’</w:t>
      </w:r>
      <w:r>
        <w:rPr>
          <w:rFonts w:ascii="Arial" w:cs="Arial" w:eastAsia="Times New Roman" w:hAnsi="Times New Roman"/>
          <w:sz w:val="24"/>
          <w:szCs w:val="24"/>
          <w:lang w:val="en-GB"/>
        </w:rPr>
        <w:t xml:space="preserve">s lectures do not only inform the audience but may also move them emotionally because they contain valuable insights and lessons. </w:t>
      </w:r>
    </w:p>
    <w:p>
      <w:pPr>
        <w:spacing w:after="0" w:line="240" w:lineRule="auto"/>
        <w:rPr>
          <w:rFonts w:ascii="Arial" w:cs="Arial" w:hAnsi="Arial"/>
          <w:sz w:val="24"/>
          <w:szCs w:val="24"/>
        </w:rPr>
      </w:pPr>
    </w:p>
    <w:p>
      <w:pPr>
        <w:spacing w:line="360" w:lineRule="auto"/>
        <w:rPr/>
      </w:pPr>
    </w:p>
    <w:p>
      <w:r>
        <w:rPr/>
        <w:br w:type="page"/>
      </w:r>
      <w:r>
        <w:t>Slide 8</w:t>
      </w:r>
    </w:p>
    <w:p>
      <w:pPr>
        <w:spacing w:line="360" w:lineRule="auto"/>
        <w:rPr/>
      </w:pPr>
    </w:p>
    <w:p>
      <w:pPr>
        <w:spacing w:line="360" w:lineRule="auto"/>
        <w:jc w:val="center"/>
        <w:rPr/>
      </w:pPr>
      <w:r>
        <w:rPr/>
        <w:drawing xmlns:mc="http://schemas.openxmlformats.org/markup-compatibility/2006">
          <wp:inline>
            <wp:extent cx="4562475" cy="2571750"/>
            <wp:effectExtent l="0" t="0" r="25400" b="2540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
                    <pic:cNvPicPr>
                      <a:picLocks noGrp="0" noSelect="0" noRot="0" noChangeAspect="1" noMove="0" noResize="0" noAdjustHandles="0" noChangeShapeType="0"/>
                    </pic:cNvPicPr>
                  </pic:nvPicPr>
                  <pic:blipFill>
                    <a:blip r:embed="rId38"/>
                    <a:srcRect l="0" t="0" r="0" b="0"/>
                    <a:stretch/>
                  </pic:blipFill>
                  <pic:spPr>
                    <a:xfrm>
                      <a:off x="0" y="0"/>
                      <a:ext cx="4562475" cy="2571750"/>
                    </a:xfrm>
                    <a:prstGeom prst="rect">
                      <a:avLst/>
                    </a:prstGeom>
                    <a:ln w="12700">
                      <a:solidFill>
                        <a:srgbClr val="000000"/>
                      </a:solidFill>
                    </a:ln>
                    <a:effectLst/>
                  </pic:spPr>
                </pic:pic>
              </a:graphicData>
            </a:graphic>
          </wp:inline>
        </w:drawing>
      </w:r>
    </w:p>
    <w:p>
      <w:pPr>
        <w:spacing w:line="360" w:lineRule="auto"/>
        <w:jc w:val="center"/>
        <w:rPr/>
      </w:pPr>
    </w:p>
    <w:p>
      <w:pPr>
        <w:spacing w:after="0" w:line="240" w:lineRule="auto"/>
        <w:rPr>
          <w:rFonts w:ascii="Times New Roman" w:cs="Times New Roman" w:eastAsia="Times New Roman" w:hAnsi="Times New Roman"/>
          <w:sz w:val="24"/>
          <w:szCs w:val="24"/>
        </w:rPr>
      </w:pPr>
      <w:r>
        <w:rPr>
          <w:rFonts w:ascii="Arial" w:cs="Arial" w:eastAsia="Times New Roman" w:hAnsi="Times New Roman"/>
          <w:sz w:val="24"/>
          <w:szCs w:val="24"/>
          <w:lang w:val="en-GB"/>
        </w:rPr>
        <w:t>Knowledge in the wisdom pyramid is referred to as actionable information. Knowledge makes information useful or actionable (</w:t>
      </w:r>
      <w:r>
        <w:rPr>
          <w:rFonts w:ascii="Arial" w:cs="Arial" w:eastAsia="Times New Roman" w:hAnsi="Times New Roman"/>
          <w:sz w:val="24"/>
          <w:szCs w:val="24"/>
          <w:lang w:val="en-GB"/>
        </w:rPr>
        <w:t>Merkus</w:t>
      </w:r>
      <w:r>
        <w:rPr>
          <w:rFonts w:ascii="Arial" w:cs="Arial" w:eastAsia="Times New Roman" w:hAnsi="Times New Roman"/>
          <w:sz w:val="24"/>
          <w:szCs w:val="24"/>
          <w:lang w:val="en-GB"/>
        </w:rPr>
        <w:t xml:space="preserve"> </w:t>
      </w:r>
      <w:r>
        <w:rPr>
          <w:rFonts w:ascii="Arial" w:cs="Arial" w:eastAsia="Times New Roman" w:hAnsi="Times New Roman"/>
          <w:i/>
          <w:iCs/>
          <w:sz w:val="24"/>
          <w:szCs w:val="24"/>
          <w:lang w:val="en-GB"/>
        </w:rPr>
        <w:t xml:space="preserve">et al. </w:t>
      </w:r>
      <w:r>
        <w:rPr>
          <w:rFonts w:ascii="Arial" w:cs="Arial" w:eastAsia="Times New Roman" w:hAnsi="Times New Roman"/>
          <w:sz w:val="24"/>
          <w:szCs w:val="24"/>
          <w:lang w:val="en-GB"/>
        </w:rPr>
        <w:t>2019). For instance, appropriate management of knowledge requires the audience to have the ability to sustain organisational memory (</w:t>
      </w:r>
      <w:r>
        <w:rPr>
          <w:rFonts w:ascii="Arial" w:cs="Arial" w:eastAsia="Times New Roman" w:hAnsi="Times New Roman"/>
          <w:sz w:val="24"/>
          <w:szCs w:val="24"/>
          <w:lang w:val="en-GB"/>
        </w:rPr>
        <w:t>Yusof</w:t>
      </w:r>
      <w:r>
        <w:rPr>
          <w:rFonts w:ascii="Arial" w:cs="Arial" w:eastAsia="Times New Roman" w:hAnsi="Times New Roman"/>
          <w:sz w:val="24"/>
          <w:szCs w:val="24"/>
          <w:lang w:val="en-GB"/>
        </w:rPr>
        <w:t xml:space="preserve"> </w:t>
      </w:r>
      <w:r>
        <w:rPr>
          <w:rFonts w:ascii="Arial" w:cs="Arial" w:eastAsia="Times New Roman" w:hAnsi="Times New Roman"/>
          <w:i/>
          <w:iCs/>
          <w:sz w:val="24"/>
          <w:szCs w:val="24"/>
          <w:lang w:val="en-GB"/>
        </w:rPr>
        <w:t xml:space="preserve">et al. </w:t>
      </w:r>
      <w:r>
        <w:rPr>
          <w:rFonts w:ascii="Arial" w:cs="Arial" w:eastAsia="Times New Roman" w:hAnsi="Times New Roman"/>
          <w:sz w:val="24"/>
          <w:szCs w:val="24"/>
          <w:lang w:val="en-GB"/>
        </w:rPr>
        <w:t>2018). Duckworth delivers her lectures in a memorable form, linking various events with a casual explanation for easy comprehension by the audience. On the other hand, her lectures also give the audience organisational memory, although they may also need implicit contextual information. The knowledge in Duckworth</w:t>
      </w:r>
      <w:r>
        <w:rPr>
          <w:rFonts w:ascii="Arial" w:cs="Arial" w:eastAsia="Times New Roman" w:hAnsi="Times New Roman"/>
          <w:sz w:val="24"/>
          <w:szCs w:val="24"/>
          <w:lang w:val="en-GB"/>
        </w:rPr>
        <w:t>’</w:t>
      </w:r>
      <w:r>
        <w:rPr>
          <w:rFonts w:ascii="Arial" w:cs="Arial" w:eastAsia="Times New Roman" w:hAnsi="Times New Roman"/>
          <w:sz w:val="24"/>
          <w:szCs w:val="24"/>
          <w:lang w:val="en-GB"/>
        </w:rPr>
        <w:t>s lectures does not only provide the audience with what to do to be successful but also how to do it aptly. In addition, Duckworth</w:t>
      </w:r>
      <w:r>
        <w:rPr>
          <w:rFonts w:ascii="Arial" w:cs="Arial" w:eastAsia="Times New Roman" w:hAnsi="Times New Roman"/>
          <w:sz w:val="24"/>
          <w:szCs w:val="24"/>
          <w:lang w:val="en-GB"/>
        </w:rPr>
        <w:t>’</w:t>
      </w:r>
      <w:r>
        <w:rPr>
          <w:rFonts w:ascii="Arial" w:cs="Arial" w:eastAsia="Times New Roman" w:hAnsi="Times New Roman"/>
          <w:sz w:val="24"/>
          <w:szCs w:val="24"/>
          <w:lang w:val="en-GB"/>
        </w:rPr>
        <w:t>s lecturers are easily comprehensible due to her organised thoughts (</w:t>
      </w:r>
      <w:r>
        <w:rPr>
          <w:rFonts w:ascii="Arial" w:cs="Arial" w:eastAsia="Times New Roman" w:hAnsi="Times New Roman"/>
          <w:sz w:val="24"/>
          <w:szCs w:val="24"/>
          <w:lang w:val="en-GB"/>
        </w:rPr>
        <w:t>Golub</w:t>
      </w:r>
      <w:r>
        <w:rPr>
          <w:rFonts w:ascii="Arial" w:cs="Arial" w:eastAsia="Times New Roman" w:hAnsi="Times New Roman"/>
          <w:sz w:val="24"/>
          <w:szCs w:val="24"/>
          <w:lang w:val="en-GB"/>
        </w:rPr>
        <w:t xml:space="preserve"> </w:t>
      </w:r>
      <w:r>
        <w:rPr>
          <w:rFonts w:ascii="Arial" w:cs="Arial" w:eastAsia="Times New Roman" w:hAnsi="Times New Roman"/>
          <w:i/>
          <w:iCs/>
          <w:sz w:val="24"/>
          <w:szCs w:val="24"/>
          <w:lang w:val="en-GB"/>
        </w:rPr>
        <w:t xml:space="preserve">et al. </w:t>
      </w:r>
      <w:r>
        <w:rPr>
          <w:rFonts w:ascii="Arial" w:cs="Arial" w:eastAsia="Times New Roman" w:hAnsi="Times New Roman"/>
          <w:sz w:val="24"/>
          <w:szCs w:val="24"/>
          <w:lang w:val="en-GB"/>
        </w:rPr>
        <w:t xml:space="preserve">2021). This makes it easy for the audience to learn and gain knowledge on how to be successful from her TED lectures. However, knowledge may not be enough in understanding how to achieve success, especially in paradoxical, </w:t>
      </w:r>
      <w:r>
        <w:rPr>
          <w:rFonts w:ascii="Arial" w:cs="Arial" w:eastAsia="Times New Roman" w:hAnsi="Times New Roman"/>
          <w:sz w:val="24"/>
          <w:szCs w:val="24"/>
          <w:lang w:val="en-GB"/>
        </w:rPr>
        <w:t>conflictual</w:t>
      </w:r>
      <w:r>
        <w:rPr>
          <w:rFonts w:ascii="Arial" w:cs="Arial" w:eastAsia="Times New Roman" w:hAnsi="Times New Roman"/>
          <w:sz w:val="24"/>
          <w:szCs w:val="24"/>
          <w:lang w:val="en-GB"/>
        </w:rPr>
        <w:t xml:space="preserve"> and uncertain situations. Wisdom may therefore help her audience comprehend the lectures in such circumstances. </w:t>
      </w:r>
    </w:p>
    <w:p>
      <w:pPr>
        <w:spacing w:after="0" w:line="240" w:lineRule="auto"/>
        <w:rPr>
          <w:rFonts w:ascii="Calibri" w:cs="Calibri" w:hAnsi="Calibri"/>
          <w:sz w:val="24"/>
          <w:szCs w:val="24"/>
          <w:lang w:val="en-GB"/>
        </w:rPr>
      </w:pPr>
    </w:p>
    <w:p>
      <w:pPr>
        <w:spacing w:after="0" w:line="240" w:lineRule="auto"/>
        <w:rPr>
          <w:rFonts w:ascii="Arial" w:cs="Arial" w:hAnsi="Arial"/>
          <w:sz w:val="24"/>
          <w:szCs w:val="24"/>
        </w:rPr>
      </w:pPr>
    </w:p>
    <w:p>
      <w:pPr>
        <w:spacing w:line="360" w:lineRule="auto"/>
        <w:rPr/>
      </w:pPr>
    </w:p>
    <w:p>
      <w:r>
        <w:rPr/>
        <w:br w:type="page"/>
      </w:r>
    </w:p>
    <w:p>
      <w:pPr>
        <w:spacing w:line="360" w:lineRule="auto"/>
        <w:rPr/>
      </w:pPr>
      <w:r>
        <w:t>Slide 9</w:t>
      </w:r>
    </w:p>
    <w:p>
      <w:pPr>
        <w:spacing w:line="360" w:lineRule="auto"/>
        <w:rPr/>
      </w:pPr>
    </w:p>
    <w:p>
      <w:pPr>
        <w:spacing w:line="360" w:lineRule="auto"/>
        <w:jc w:val="center"/>
        <w:rPr/>
      </w:pPr>
      <w:r>
        <w:rPr/>
        <w:drawing xmlns:mc="http://schemas.openxmlformats.org/markup-compatibility/2006">
          <wp:inline>
            <wp:extent cx="4562475" cy="2571750"/>
            <wp:effectExtent l="0" t="0" r="25400" b="2540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
                    <pic:cNvPicPr>
                      <a:picLocks noGrp="0" noSelect="0" noRot="0" noChangeAspect="1" noMove="0" noResize="0" noAdjustHandles="0" noChangeShapeType="0"/>
                    </pic:cNvPicPr>
                  </pic:nvPicPr>
                  <pic:blipFill>
                    <a:blip r:embed="rId39"/>
                    <a:srcRect l="0" t="0" r="0" b="0"/>
                    <a:stretch/>
                  </pic:blipFill>
                  <pic:spPr>
                    <a:xfrm>
                      <a:off x="0" y="0"/>
                      <a:ext cx="4562475" cy="2571750"/>
                    </a:xfrm>
                    <a:prstGeom prst="rect">
                      <a:avLst/>
                    </a:prstGeom>
                    <a:ln w="12700">
                      <a:solidFill>
                        <a:srgbClr val="000000"/>
                      </a:solidFill>
                    </a:ln>
                    <a:effectLst/>
                  </pic:spPr>
                </pic:pic>
              </a:graphicData>
            </a:graphic>
          </wp:inline>
        </w:drawing>
      </w:r>
    </w:p>
    <w:p>
      <w:pPr>
        <w:spacing w:line="360" w:lineRule="auto"/>
        <w:jc w:val="center"/>
        <w:rPr/>
      </w:pPr>
    </w:p>
    <w:p>
      <w:pPr>
        <w:spacing w:after="0" w:line="240" w:lineRule="auto"/>
        <w:rPr>
          <w:rFonts w:ascii="Times New Roman" w:cs="Times New Roman" w:eastAsia="Times New Roman" w:hAnsi="Times New Roman"/>
          <w:sz w:val="24"/>
          <w:szCs w:val="24"/>
        </w:rPr>
      </w:pPr>
      <w:r>
        <w:rPr>
          <w:rFonts w:ascii="Arial" w:cs="Arial" w:eastAsia="Times New Roman" w:hAnsi="Times New Roman"/>
          <w:sz w:val="24"/>
          <w:szCs w:val="24"/>
          <w:lang w:val="en-GB"/>
        </w:rPr>
        <w:t xml:space="preserve">Wisdom in the DIKW model is defined as the integrated knowledge, making knowledge to be useful. On their part, </w:t>
      </w:r>
      <w:r>
        <w:rPr>
          <w:rFonts w:ascii="Arial" w:cs="Arial" w:eastAsia="Times New Roman" w:hAnsi="Times New Roman"/>
          <w:sz w:val="24"/>
          <w:szCs w:val="24"/>
          <w:lang w:val="en-GB"/>
        </w:rPr>
        <w:t>Sardar</w:t>
      </w:r>
      <w:r>
        <w:rPr>
          <w:rFonts w:ascii="Arial" w:cs="Arial" w:eastAsia="Times New Roman" w:hAnsi="Times New Roman"/>
          <w:sz w:val="24"/>
          <w:szCs w:val="24"/>
          <w:lang w:val="en-GB"/>
        </w:rPr>
        <w:t xml:space="preserve"> (2020) defined wisdom as the act of knowing the right thing that needs to be done and make sound decisions and judgements without thought. Therefore, wisdom requires the sense of right and wrong, unethical and ethical and good and bad. Wisdom is the destination for scientists of multiple disciplines and those of information (</w:t>
      </w:r>
      <w:r>
        <w:rPr>
          <w:rFonts w:ascii="Arial" w:cs="Arial" w:eastAsia="Times New Roman" w:hAnsi="Times New Roman"/>
          <w:sz w:val="24"/>
          <w:szCs w:val="24"/>
          <w:lang w:val="en-GB"/>
        </w:rPr>
        <w:t>Merkus</w:t>
      </w:r>
      <w:r>
        <w:rPr>
          <w:rFonts w:ascii="Arial" w:cs="Arial" w:eastAsia="Times New Roman" w:hAnsi="Times New Roman"/>
          <w:sz w:val="24"/>
          <w:szCs w:val="24"/>
          <w:lang w:val="en-GB"/>
        </w:rPr>
        <w:t xml:space="preserve"> </w:t>
      </w:r>
      <w:r>
        <w:rPr>
          <w:rFonts w:ascii="Arial" w:cs="Arial" w:eastAsia="Times New Roman" w:hAnsi="Times New Roman"/>
          <w:i/>
          <w:iCs/>
          <w:sz w:val="24"/>
          <w:szCs w:val="24"/>
          <w:lang w:val="en-GB"/>
        </w:rPr>
        <w:t xml:space="preserve">et al. </w:t>
      </w:r>
      <w:r>
        <w:rPr>
          <w:rFonts w:ascii="Arial" w:cs="Arial" w:eastAsia="Times New Roman" w:hAnsi="Times New Roman"/>
          <w:sz w:val="24"/>
          <w:szCs w:val="24"/>
          <w:lang w:val="en-GB"/>
        </w:rPr>
        <w:t xml:space="preserve">2019). On their part, </w:t>
      </w:r>
      <w:r>
        <w:rPr>
          <w:rFonts w:ascii="Arial" w:cs="Arial" w:eastAsia="Times New Roman" w:hAnsi="Times New Roman"/>
          <w:color w:val="222222"/>
          <w:sz w:val="24"/>
          <w:szCs w:val="24"/>
          <w:lang w:val="en-GB"/>
        </w:rPr>
        <w:t>Frick</w:t>
      </w:r>
      <w:r>
        <w:rPr>
          <w:rFonts w:ascii="Arial" w:cs="Arial" w:eastAsia="Times New Roman" w:hAnsi="Times New Roman"/>
          <w:color w:val="222222"/>
          <w:sz w:val="24"/>
          <w:szCs w:val="24"/>
          <w:lang w:val="en-GB"/>
        </w:rPr>
        <w:t>é</w:t>
      </w:r>
      <w:r>
        <w:rPr>
          <w:rFonts w:ascii="Arial" w:cs="Arial" w:eastAsia="Times New Roman" w:hAnsi="Times New Roman"/>
          <w:color w:val="222222"/>
          <w:sz w:val="24"/>
          <w:szCs w:val="24"/>
          <w:lang w:val="en-GB"/>
        </w:rPr>
        <w:t xml:space="preserve"> (2019)</w:t>
      </w:r>
      <w:r>
        <w:rPr>
          <w:rFonts w:ascii="Arial" w:cs="Arial" w:eastAsia="Times New Roman" w:hAnsi="Times New Roman"/>
          <w:sz w:val="24"/>
          <w:szCs w:val="24"/>
          <w:lang w:val="en-GB"/>
        </w:rPr>
        <w:t xml:space="preserve"> defined wisdom as the accumulated knowledge that allows the audience to understand the application of different concepts from a single domain to new problems or situations. Duckworth</w:t>
      </w:r>
      <w:r>
        <w:rPr>
          <w:rFonts w:ascii="Arial" w:cs="Arial" w:eastAsia="Times New Roman" w:hAnsi="Times New Roman"/>
          <w:sz w:val="24"/>
          <w:szCs w:val="24"/>
          <w:lang w:val="en-GB"/>
        </w:rPr>
        <w:t>’</w:t>
      </w:r>
      <w:r>
        <w:rPr>
          <w:rFonts w:ascii="Arial" w:cs="Arial" w:eastAsia="Times New Roman" w:hAnsi="Times New Roman"/>
          <w:sz w:val="24"/>
          <w:szCs w:val="24"/>
          <w:lang w:val="en-GB"/>
        </w:rPr>
        <w:t>s lectures are pragmatic, giving her audience an action plan on how to be successful. She explores wisdom as the ability of an individual to be successful through passion and perseverance. In order to extract principles, individuals have to understand knowledge. On the other hand, wisdom requires knowledge as it is associated with identifying a strategy beyond the obvious. The association of lectures and wisdom endures in Duckworth</w:t>
      </w:r>
      <w:r>
        <w:rPr>
          <w:rFonts w:ascii="Arial" w:cs="Arial" w:eastAsia="Times New Roman" w:hAnsi="Times New Roman"/>
          <w:sz w:val="24"/>
          <w:szCs w:val="24"/>
          <w:lang w:val="en-GB"/>
        </w:rPr>
        <w:t>’</w:t>
      </w:r>
      <w:r>
        <w:rPr>
          <w:rFonts w:ascii="Arial" w:cs="Arial" w:eastAsia="Times New Roman" w:hAnsi="Times New Roman"/>
          <w:sz w:val="24"/>
          <w:szCs w:val="24"/>
          <w:lang w:val="en-GB"/>
        </w:rPr>
        <w:t xml:space="preserve">s work because it ensures accumulation of wisdom. </w:t>
      </w:r>
    </w:p>
    <w:p>
      <w:pPr>
        <w:spacing w:after="0" w:line="240" w:lineRule="auto"/>
        <w:rPr>
          <w:rFonts w:ascii="Calibri" w:cs="Calibri" w:hAnsi="Calibri"/>
          <w:sz w:val="24"/>
          <w:szCs w:val="24"/>
          <w:lang w:val="en-GB"/>
        </w:rPr>
      </w:pPr>
    </w:p>
    <w:p>
      <w:pPr>
        <w:spacing w:after="0" w:line="240" w:lineRule="auto"/>
        <w:rPr>
          <w:rFonts w:ascii="Arial" w:cs="Arial" w:hAnsi="Arial"/>
          <w:sz w:val="24"/>
          <w:szCs w:val="24"/>
        </w:rPr>
      </w:pPr>
    </w:p>
    <w:p>
      <w:pPr>
        <w:spacing w:line="360" w:lineRule="auto"/>
        <w:rPr/>
      </w:pPr>
    </w:p>
    <w:p>
      <w:r>
        <w:rPr/>
        <w:br w:type="page"/>
      </w:r>
    </w:p>
    <w:p>
      <w:pPr>
        <w:spacing w:line="360" w:lineRule="auto"/>
        <w:rPr/>
      </w:pPr>
      <w:r>
        <w:t>Slide 10</w:t>
      </w:r>
    </w:p>
    <w:p>
      <w:pPr>
        <w:spacing w:line="360" w:lineRule="auto"/>
        <w:rPr/>
      </w:pPr>
    </w:p>
    <w:p>
      <w:pPr>
        <w:spacing w:line="360" w:lineRule="auto"/>
        <w:jc w:val="center"/>
        <w:rPr/>
      </w:pPr>
      <w:r>
        <w:rPr/>
        <w:drawing xmlns:mc="http://schemas.openxmlformats.org/markup-compatibility/2006">
          <wp:inline>
            <wp:extent cx="4562475" cy="2571750"/>
            <wp:effectExtent l="0" t="0" r="25400" b="25400"/>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
                    <pic:cNvPicPr>
                      <a:picLocks noGrp="0" noSelect="0" noRot="0" noChangeAspect="1" noMove="0" noResize="0" noAdjustHandles="0" noChangeShapeType="0"/>
                    </pic:cNvPicPr>
                  </pic:nvPicPr>
                  <pic:blipFill>
                    <a:blip r:embed="rId40"/>
                    <a:srcRect l="0" t="0" r="0" b="0"/>
                    <a:stretch/>
                  </pic:blipFill>
                  <pic:spPr>
                    <a:xfrm>
                      <a:off x="0" y="0"/>
                      <a:ext cx="4562475" cy="2571750"/>
                    </a:xfrm>
                    <a:prstGeom prst="rect">
                      <a:avLst/>
                    </a:prstGeom>
                    <a:ln w="12700">
                      <a:solidFill>
                        <a:srgbClr val="000000"/>
                      </a:solidFill>
                    </a:ln>
                    <a:effectLst/>
                  </pic:spPr>
                </pic:pic>
              </a:graphicData>
            </a:graphic>
          </wp:inline>
        </w:drawing>
      </w:r>
    </w:p>
    <w:p>
      <w:pPr>
        <w:spacing w:line="360" w:lineRule="auto"/>
        <w:jc w:val="center"/>
        <w:rPr/>
      </w:pPr>
    </w:p>
    <w:p>
      <w:pPr>
        <w:spacing w:after="0" w:line="240" w:lineRule="auto"/>
        <w:rPr>
          <w:rFonts w:ascii="Times New Roman" w:cs="Times New Roman" w:eastAsia="Times New Roman" w:hAnsi="Times New Roman"/>
          <w:sz w:val="24"/>
          <w:szCs w:val="24"/>
        </w:rPr>
      </w:pPr>
      <w:r>
        <w:rPr>
          <w:rFonts w:ascii="Arial" w:cs="Arial" w:eastAsia="Times New Roman" w:hAnsi="Times New Roman"/>
          <w:sz w:val="24"/>
          <w:szCs w:val="24"/>
          <w:lang w:val="en-GB"/>
        </w:rPr>
        <w:t>According the evaluation of the in the previous slides, which includes data, information, knowledge, and wisdom, Duckworth</w:t>
      </w:r>
      <w:r>
        <w:rPr>
          <w:rFonts w:ascii="Arial" w:cs="Arial" w:eastAsia="Times New Roman" w:hAnsi="Times New Roman"/>
          <w:sz w:val="24"/>
          <w:szCs w:val="24"/>
          <w:lang w:val="en-GB"/>
        </w:rPr>
        <w:t>’</w:t>
      </w:r>
      <w:r>
        <w:rPr>
          <w:rFonts w:ascii="Arial" w:cs="Arial" w:eastAsia="Times New Roman" w:hAnsi="Times New Roman"/>
          <w:sz w:val="24"/>
          <w:szCs w:val="24"/>
          <w:lang w:val="en-GB"/>
        </w:rPr>
        <w:t>s TED talks pass the DIKW test in relation to the primary data. The talks relate well with her audience, especially the students who tend to have the urge of being successful in future (</w:t>
      </w:r>
      <w:r>
        <w:rPr>
          <w:rFonts w:ascii="Arial" w:cs="Arial" w:eastAsia="Times New Roman" w:hAnsi="Times New Roman"/>
          <w:color w:val="222222"/>
          <w:sz w:val="24"/>
          <w:szCs w:val="24"/>
          <w:lang w:val="en-GB"/>
        </w:rPr>
        <w:t>Frick</w:t>
      </w:r>
      <w:r>
        <w:rPr>
          <w:rFonts w:ascii="Arial" w:cs="Arial" w:eastAsia="Times New Roman" w:hAnsi="Times New Roman"/>
          <w:color w:val="222222"/>
          <w:sz w:val="24"/>
          <w:szCs w:val="24"/>
          <w:lang w:val="en-GB"/>
        </w:rPr>
        <w:t>é</w:t>
      </w:r>
      <w:r>
        <w:rPr>
          <w:rFonts w:ascii="Arial" w:cs="Arial" w:eastAsia="Times New Roman" w:hAnsi="Times New Roman"/>
          <w:color w:val="222222"/>
          <w:sz w:val="24"/>
          <w:szCs w:val="24"/>
          <w:lang w:val="en-GB"/>
        </w:rPr>
        <w:t xml:space="preserve"> 2019)</w:t>
      </w:r>
      <w:r>
        <w:rPr>
          <w:rFonts w:ascii="Arial" w:cs="Arial" w:eastAsia="Times New Roman" w:hAnsi="Times New Roman"/>
          <w:sz w:val="24"/>
          <w:szCs w:val="24"/>
          <w:lang w:val="en-GB"/>
        </w:rPr>
        <w:t>. In addition, her work is reliable and easy to adopt in meeting goals. According to the participants, the primary components of the DIKW are data, information, knowledge and wisdom. On the other hand, previous data published about Duckworth</w:t>
      </w:r>
      <w:r>
        <w:rPr>
          <w:rFonts w:ascii="Arial" w:cs="Arial" w:eastAsia="Times New Roman" w:hAnsi="Times New Roman"/>
          <w:sz w:val="24"/>
          <w:szCs w:val="24"/>
          <w:lang w:val="en-GB"/>
        </w:rPr>
        <w:t>’</w:t>
      </w:r>
      <w:r>
        <w:rPr>
          <w:rFonts w:ascii="Arial" w:cs="Arial" w:eastAsia="Times New Roman" w:hAnsi="Times New Roman"/>
          <w:sz w:val="24"/>
          <w:szCs w:val="24"/>
          <w:lang w:val="en-GB"/>
        </w:rPr>
        <w:t xml:space="preserve">s talk are secondary data. </w:t>
      </w:r>
      <w:r>
        <w:rPr>
          <w:rFonts w:ascii="Arial" w:cs="Arial" w:eastAsia="Times New Roman" w:hAnsi="Times New Roman"/>
          <w:sz w:val="24"/>
          <w:szCs w:val="24"/>
          <w:lang w:val="en-GB"/>
        </w:rPr>
        <w:t xml:space="preserve">Consequently, most studies done </w:t>
      </w:r>
      <w:r>
        <w:rPr>
          <w:rFonts w:ascii="Arial" w:cs="Arial" w:eastAsia="Times New Roman" w:hAnsi="Times New Roman"/>
          <w:sz w:val="24"/>
          <w:szCs w:val="24"/>
          <w:lang w:val="en-GB"/>
        </w:rPr>
        <w:t>confirm</w:t>
      </w:r>
      <w:r>
        <w:rPr>
          <w:rFonts w:ascii="Arial" w:cs="Arial" w:eastAsia="Times New Roman" w:hAnsi="Times New Roman"/>
          <w:sz w:val="24"/>
          <w:szCs w:val="24"/>
          <w:lang w:val="en-GB"/>
        </w:rPr>
        <w:t xml:space="preserve"> a positive relationship between DIKW model and her work (</w:t>
      </w:r>
      <w:r>
        <w:rPr>
          <w:rFonts w:ascii="Arial" w:cs="Arial" w:eastAsia="Times New Roman" w:hAnsi="Times New Roman"/>
          <w:sz w:val="24"/>
          <w:szCs w:val="24"/>
          <w:lang w:val="en-GB"/>
        </w:rPr>
        <w:t>Yusof</w:t>
      </w:r>
      <w:r>
        <w:rPr>
          <w:rFonts w:ascii="Arial" w:cs="Arial" w:eastAsia="Times New Roman" w:hAnsi="Times New Roman"/>
          <w:sz w:val="24"/>
          <w:szCs w:val="24"/>
          <w:lang w:val="en-GB"/>
        </w:rPr>
        <w:t xml:space="preserve"> </w:t>
      </w:r>
      <w:r>
        <w:rPr>
          <w:rFonts w:ascii="Arial" w:cs="Arial" w:eastAsia="Times New Roman" w:hAnsi="Times New Roman"/>
          <w:i/>
          <w:iCs/>
          <w:sz w:val="24"/>
          <w:szCs w:val="24"/>
          <w:lang w:val="en-GB"/>
        </w:rPr>
        <w:t xml:space="preserve">et al. </w:t>
      </w:r>
      <w:r>
        <w:rPr>
          <w:rFonts w:ascii="Arial" w:cs="Arial" w:eastAsia="Times New Roman" w:hAnsi="Times New Roman"/>
          <w:sz w:val="24"/>
          <w:szCs w:val="24"/>
          <w:lang w:val="en-GB"/>
        </w:rPr>
        <w:t>2018).</w:t>
      </w:r>
      <w:r>
        <w:rPr>
          <w:rFonts w:ascii="Arial" w:cs="Arial" w:eastAsia="Times New Roman" w:hAnsi="Times New Roman"/>
          <w:sz w:val="24"/>
          <w:szCs w:val="24"/>
          <w:lang w:val="en-GB"/>
        </w:rPr>
        <w:t xml:space="preserve"> This is further confirmed in studies that explored the relationship between measure of dispersion and standard deviation, which showed same pattern in primary and secondary data.</w:t>
      </w:r>
    </w:p>
    <w:p>
      <w:pPr>
        <w:spacing w:after="0" w:line="240" w:lineRule="auto"/>
        <w:rPr>
          <w:rFonts w:ascii="Times New Roman" w:cs="Times New Roman" w:eastAsia="Times New Roman" w:hAnsi="Times New Roman"/>
          <w:sz w:val="24"/>
          <w:szCs w:val="24"/>
        </w:rPr>
      </w:pPr>
      <w:r>
        <w:rPr>
          <w:rFonts w:ascii="Arial" w:cs="Arial" w:eastAsia="Times New Roman" w:hAnsi="Times New Roman"/>
          <w:sz w:val="24"/>
          <w:szCs w:val="24"/>
          <w:lang w:val="en-GB"/>
        </w:rPr>
        <w:t> </w:t>
      </w:r>
    </w:p>
    <w:p>
      <w:pPr>
        <w:spacing w:after="0" w:line="240" w:lineRule="auto"/>
        <w:rPr>
          <w:rFonts w:ascii="Calibri" w:cs="Calibri" w:hAnsi="Calibri"/>
          <w:sz w:val="24"/>
          <w:szCs w:val="24"/>
          <w:lang w:val="en-GB"/>
        </w:rPr>
      </w:pPr>
    </w:p>
    <w:p>
      <w:pPr>
        <w:spacing w:after="0" w:line="240" w:lineRule="auto"/>
        <w:rPr>
          <w:rFonts w:ascii="Arial" w:cs="Arial" w:hAnsi="Arial"/>
          <w:sz w:val="24"/>
          <w:szCs w:val="24"/>
        </w:rPr>
      </w:pPr>
    </w:p>
    <w:p>
      <w:pPr>
        <w:spacing w:line="360" w:lineRule="auto"/>
        <w:rPr/>
      </w:pPr>
    </w:p>
    <w:p>
      <w:r>
        <w:rPr/>
        <w:br w:type="page"/>
      </w:r>
    </w:p>
    <w:p>
      <w:pPr>
        <w:spacing w:line="360" w:lineRule="auto"/>
        <w:rPr/>
      </w:pPr>
      <w:r>
        <w:t>Slide 11</w:t>
      </w:r>
    </w:p>
    <w:p>
      <w:pPr>
        <w:spacing w:line="360" w:lineRule="auto"/>
        <w:rPr/>
      </w:pPr>
    </w:p>
    <w:p>
      <w:pPr>
        <w:spacing w:line="360" w:lineRule="auto"/>
        <w:jc w:val="center"/>
        <w:rPr/>
      </w:pPr>
      <w:r>
        <w:rPr/>
        <w:drawing xmlns:mc="http://schemas.openxmlformats.org/markup-compatibility/2006">
          <wp:inline>
            <wp:extent cx="4562475" cy="2571750"/>
            <wp:effectExtent l="0" t="0" r="25400" b="2540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
                    <pic:cNvPicPr>
                      <a:picLocks noGrp="0" noSelect="0" noRot="0" noChangeAspect="1" noMove="0" noResize="0" noAdjustHandles="0" noChangeShapeType="0"/>
                    </pic:cNvPicPr>
                  </pic:nvPicPr>
                  <pic:blipFill>
                    <a:blip r:embed="rId41"/>
                    <a:srcRect l="0" t="0" r="0" b="0"/>
                    <a:stretch/>
                  </pic:blipFill>
                  <pic:spPr>
                    <a:xfrm>
                      <a:off x="0" y="0"/>
                      <a:ext cx="4562475" cy="2571750"/>
                    </a:xfrm>
                    <a:prstGeom prst="rect">
                      <a:avLst/>
                    </a:prstGeom>
                    <a:ln w="12700">
                      <a:solidFill>
                        <a:srgbClr val="000000"/>
                      </a:solidFill>
                    </a:ln>
                    <a:effectLst/>
                  </pic:spPr>
                </pic:pic>
              </a:graphicData>
            </a:graphic>
          </wp:inline>
        </w:drawing>
      </w:r>
    </w:p>
    <w:p>
      <w:pPr>
        <w:spacing w:line="360" w:lineRule="auto"/>
        <w:jc w:val="center"/>
        <w:rPr/>
      </w:pPr>
    </w:p>
    <w:p>
      <w:pPr>
        <w:spacing w:after="0" w:line="240" w:lineRule="auto"/>
        <w:rPr>
          <w:rFonts w:ascii="Times New Roman" w:cs="Times New Roman" w:eastAsia="Times New Roman" w:hAnsi="Times New Roman"/>
          <w:sz w:val="24"/>
          <w:szCs w:val="24"/>
        </w:rPr>
      </w:pPr>
      <w:r>
        <w:rPr>
          <w:rFonts w:ascii="Arial" w:cs="Arial" w:eastAsia="Times New Roman" w:hAnsi="Times New Roman"/>
          <w:sz w:val="24"/>
          <w:szCs w:val="24"/>
          <w:lang w:val="en-GB"/>
        </w:rPr>
        <w:t>In conclusion, the presentation has focused on the use of DIKW and CRAAP frameworks in refuting or confirming Angela Duckworth</w:t>
      </w:r>
      <w:r>
        <w:rPr>
          <w:rFonts w:ascii="Arial" w:cs="Arial" w:eastAsia="Times New Roman" w:hAnsi="Times New Roman"/>
          <w:sz w:val="24"/>
          <w:szCs w:val="24"/>
          <w:lang w:val="en-GB"/>
        </w:rPr>
        <w:t>’</w:t>
      </w:r>
      <w:r>
        <w:rPr>
          <w:rFonts w:ascii="Arial" w:cs="Arial" w:eastAsia="Times New Roman" w:hAnsi="Times New Roman"/>
          <w:sz w:val="24"/>
          <w:szCs w:val="24"/>
          <w:lang w:val="en-GB"/>
        </w:rPr>
        <w:t xml:space="preserve">s work. She is a popular American psychologists, science and academic author. According to Duckworth, grit is a combination of perseverance and passion rather than talent. She further points out to the scientific evidence that grit can grow, making it a hallmark for high achievers in all sectors. CRAAP test stands for currency, relevance, authority, accuracy and purpose that </w:t>
      </w:r>
      <w:r>
        <w:rPr>
          <w:rFonts w:ascii="Arial" w:cs="Arial" w:eastAsia="Times New Roman" w:hAnsi="Times New Roman"/>
          <w:sz w:val="24"/>
          <w:szCs w:val="24"/>
          <w:lang w:val="en-GB"/>
        </w:rPr>
        <w:t>consist</w:t>
      </w:r>
      <w:r>
        <w:rPr>
          <w:rFonts w:ascii="Arial" w:cs="Arial" w:eastAsia="Times New Roman" w:hAnsi="Times New Roman"/>
          <w:sz w:val="24"/>
          <w:szCs w:val="24"/>
          <w:lang w:val="en-GB"/>
        </w:rPr>
        <w:t xml:space="preserve"> of a list of questions that help evaluate or assess information. On the other hand, the DIKW </w:t>
      </w:r>
      <w:r>
        <w:rPr>
          <w:rFonts w:ascii="Arial" w:cs="Arial" w:eastAsia="Times New Roman" w:hAnsi="Times New Roman"/>
          <w:sz w:val="24"/>
          <w:szCs w:val="24"/>
          <w:lang w:val="en-GB"/>
        </w:rPr>
        <w:t>pyramid</w:t>
      </w:r>
      <w:r>
        <w:rPr>
          <w:rFonts w:ascii="Arial" w:cs="Arial" w:eastAsia="Times New Roman" w:hAnsi="Times New Roman"/>
          <w:sz w:val="24"/>
          <w:szCs w:val="24"/>
          <w:lang w:val="en-GB"/>
        </w:rPr>
        <w:t xml:space="preserve"> is a class of models representing functional or structural relationship between information, wisdom, knowledge and data. The presentation has covered the aspects of Duckworth</w:t>
      </w:r>
      <w:r>
        <w:rPr>
          <w:rFonts w:ascii="Arial" w:cs="Arial" w:eastAsia="Times New Roman" w:hAnsi="Times New Roman"/>
          <w:sz w:val="24"/>
          <w:szCs w:val="24"/>
          <w:lang w:val="en-GB"/>
        </w:rPr>
        <w:t>’</w:t>
      </w:r>
      <w:r>
        <w:rPr>
          <w:rFonts w:ascii="Arial" w:cs="Arial" w:eastAsia="Times New Roman" w:hAnsi="Times New Roman"/>
          <w:sz w:val="24"/>
          <w:szCs w:val="24"/>
          <w:lang w:val="en-GB"/>
        </w:rPr>
        <w:t>s work in terms of wisdom, knowledge, data and information. Her work is important to teachers and students in reducing the risk of using low-quality, inaccurate or unreliable information. From the evaluation in the slides, Duckworth</w:t>
      </w:r>
      <w:r>
        <w:rPr>
          <w:rFonts w:ascii="Arial" w:cs="Arial" w:eastAsia="Times New Roman" w:hAnsi="Times New Roman"/>
          <w:sz w:val="24"/>
          <w:szCs w:val="24"/>
          <w:lang w:val="en-GB"/>
        </w:rPr>
        <w:t>’</w:t>
      </w:r>
      <w:r>
        <w:rPr>
          <w:rFonts w:ascii="Arial" w:cs="Arial" w:eastAsia="Times New Roman" w:hAnsi="Times New Roman"/>
          <w:sz w:val="24"/>
          <w:szCs w:val="24"/>
          <w:lang w:val="en-GB"/>
        </w:rPr>
        <w:t xml:space="preserve">s work passes the CRAAP and the DIKW test. According to her work, adherence to intensive passion and goals can help her audience achieve success. </w:t>
      </w:r>
    </w:p>
    <w:p>
      <w:pPr>
        <w:spacing w:after="0" w:line="240" w:lineRule="auto"/>
        <w:rPr>
          <w:rFonts w:ascii="Times New Roman" w:cs="Times New Roman" w:eastAsia="Times New Roman" w:hAnsi="Times New Roman"/>
          <w:sz w:val="24"/>
          <w:szCs w:val="24"/>
        </w:rPr>
      </w:pPr>
      <w:r>
        <w:rPr>
          <w:rFonts w:ascii="Arial" w:cs="Arial" w:eastAsia="Times New Roman" w:hAnsi="Times New Roman"/>
          <w:sz w:val="24"/>
          <w:szCs w:val="24"/>
          <w:lang w:val="en-GB"/>
        </w:rPr>
        <w:t> </w:t>
      </w:r>
    </w:p>
    <w:p>
      <w:pPr>
        <w:spacing w:after="0" w:line="240" w:lineRule="auto"/>
        <w:rPr>
          <w:rFonts w:ascii="Times New Roman" w:cs="Times New Roman" w:eastAsia="Times New Roman" w:hAnsi="Times New Roman"/>
          <w:sz w:val="24"/>
          <w:szCs w:val="24"/>
        </w:rPr>
      </w:pPr>
      <w:r>
        <w:rPr>
          <w:rFonts w:ascii="Arial" w:cs="Arial" w:eastAsia="Times New Roman" w:hAnsi="Times New Roman"/>
          <w:sz w:val="24"/>
          <w:szCs w:val="24"/>
          <w:lang w:val="en-GB"/>
        </w:rPr>
        <w:t> </w:t>
      </w:r>
    </w:p>
    <w:p>
      <w:pPr>
        <w:spacing w:after="0" w:line="240" w:lineRule="auto"/>
        <w:rPr>
          <w:rFonts w:ascii="Calibri" w:cs="Calibri" w:hAnsi="Calibri"/>
          <w:sz w:val="24"/>
          <w:szCs w:val="24"/>
          <w:lang w:val="en-GB"/>
        </w:rPr>
      </w:pPr>
    </w:p>
    <w:p>
      <w:pPr>
        <w:spacing w:after="0" w:line="240" w:lineRule="auto"/>
        <w:rPr>
          <w:rFonts w:ascii="Arial" w:cs="Arial" w:hAnsi="Arial"/>
          <w:sz w:val="24"/>
          <w:szCs w:val="24"/>
        </w:rPr>
      </w:pPr>
    </w:p>
    <w:p>
      <w:pPr>
        <w:spacing w:line="360" w:lineRule="auto"/>
        <w:rPr/>
      </w:pPr>
    </w:p>
    <w:p>
      <w:r>
        <w:rPr/>
        <w:br w:type="page"/>
      </w:r>
    </w:p>
    <w:p>
      <w:pPr>
        <w:spacing w:line="360" w:lineRule="auto"/>
        <w:rPr/>
      </w:pPr>
      <w:r>
        <w:t>Slide 12</w:t>
      </w:r>
    </w:p>
    <w:p>
      <w:pPr>
        <w:spacing w:line="360" w:lineRule="auto"/>
        <w:rPr/>
      </w:pPr>
    </w:p>
    <w:p>
      <w:pPr>
        <w:spacing w:line="360" w:lineRule="auto"/>
        <w:jc w:val="center"/>
        <w:rPr/>
      </w:pPr>
      <w:r>
        <w:rPr/>
        <w:drawing xmlns:mc="http://schemas.openxmlformats.org/markup-compatibility/2006">
          <wp:inline>
            <wp:extent cx="4562475" cy="2571750"/>
            <wp:effectExtent l="0" t="0" r="25400" b="25400"/>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
                    <pic:cNvPicPr>
                      <a:picLocks noGrp="0" noSelect="0" noRot="0" noChangeAspect="1" noMove="0" noResize="0" noAdjustHandles="0" noChangeShapeType="0"/>
                    </pic:cNvPicPr>
                  </pic:nvPicPr>
                  <pic:blipFill>
                    <a:blip r:embed="rId42"/>
                    <a:srcRect l="0" t="0" r="0" b="0"/>
                    <a:stretch/>
                  </pic:blipFill>
                  <pic:spPr>
                    <a:xfrm>
                      <a:off x="0" y="0"/>
                      <a:ext cx="4562475" cy="2571750"/>
                    </a:xfrm>
                    <a:prstGeom prst="rect">
                      <a:avLst/>
                    </a:prstGeom>
                    <a:ln w="12700">
                      <a:solidFill>
                        <a:srgbClr val="000000"/>
                      </a:solidFill>
                    </a:ln>
                    <a:effectLst/>
                  </pic:spPr>
                </pic:pic>
              </a:graphicData>
            </a:graphic>
          </wp:inline>
        </w:drawing>
      </w:r>
    </w:p>
    <w:p>
      <w:pPr>
        <w:spacing w:line="360" w:lineRule="auto"/>
        <w:jc w:val="center"/>
        <w:rPr/>
      </w:pPr>
    </w:p>
    <w:p>
      <w:pPr>
        <w:spacing w:line="360" w:lineRule="auto"/>
        <w:rPr/>
      </w:pPr>
    </w:p>
    <w:p>
      <w:pPr>
        <w:spacing w:line="360" w:lineRule="auto"/>
        <w:rPr/>
      </w:pPr>
    </w:p>
    <w:sectPr>
      <w:headerReference w:type="default" r:id="rId43"/>
      <w:footerReference w:type="default" r:id="rId44"/>
      <w:pgSz w:w="12240" w:h="15840"/>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00000000" w:usb1="00000000" w:usb2="00000009" w:usb3="00000000" w:csb0="000001ff" w:csb1="00000000"/>
  </w:font>
  <w:font w:name="Times New Roman">
    <w:panose1 w:val="02020603050405020304"/>
    <w:charset w:val="00"/>
    <w:family w:val="roman"/>
    <w:pitch w:val="variable"/>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Cambria">
    <w:panose1 w:val="02040503050406030204"/>
    <w:charset w:val="00"/>
    <w:family w:val="roman"/>
    <w:pitch w:val="variable"/>
    <w:sig w:usb0="00000000" w:usb1="420024ff" w:usb2="0200000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w:p>
    <w:pPr>
      <w:spacing w:after="0" w:line="240" w:lineRule="auto"/>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w:p>
    <w:pPr>
      <w:spacing w:after="0" w:line="240" w:lineRule="auto"/>
      <w:rPr/>
    </w:pPr>
    <w:r>
      <w:t>Student Name: Ebong Obot</w:t>
    </w:r>
  </w:p>
  <w:p>
    <w:pPr>
      <w:spacing w:after="0" w:line="240" w:lineRule="auto"/>
      <w:rPr/>
    </w:pPr>
    <w:r>
      <w:t>Student ID Number: 1915035</w:t>
    </w:r>
  </w:p>
  <w:p>
    <w:pPr>
      <w:spacing w:after="0" w:line="240" w:lineRule="auto"/>
      <w:rPr/>
    </w:pPr>
    <w:r>
      <w:t>Course Module: Digital Skills and Research Methods</w:t>
    </w:r>
  </w:p>
  <w:p>
    <w:pPr>
      <w:spacing w:after="0" w:line="240" w:lineRule="auto"/>
      <w:rPr/>
    </w:pPr>
    <w:r>
      <w:t>Tutor: Afua Adams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87E"/>
    <w:rsid w:val="00023F85"/>
    <w:rsid w:val="000C0DBD"/>
    <w:rsid w:val="00515B04"/>
    <w:rsid w:val="0076787E"/>
    <w:rsid w:val="00910E98"/>
    <w:rsid w:val="00D871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footnotePr/>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US" w:bidi="ar-SA" w:eastAsia="en-US"/>
      </w:rPr>
    </w:rPrDefault>
    <w:pPrDefault>
      <w:pPr>
        <w:spacing w:after="200" w:line="276" w:lineRule="auto"/>
      </w:pPr>
    </w:pPrDefault>
  </w:docDefaults>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376091"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f81bd"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f81bd"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f81bd"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243f60"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243f60"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376091"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f81bd"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f81bd"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f81bd"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f81bd" w:themeColor="accent1" w:sz="8" w:space="4"/>
      </w:pBdr>
      <w:spacing w:after="300" w:line="240" w:lineRule="auto"/>
      <w:contextualSpacing w:val="on"/>
    </w:pPr>
    <w:rPr>
      <w:rFonts w:asciiTheme="majorHAnsi" w:cstheme="majorBidi" w:eastAsiaTheme="majorEastAsia" w:hAnsiTheme="majorHAnsi"/>
      <w:color w:val="17375d"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f81bd"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f81bd"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000ff"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default="1" w:styleId="Normal">
    <w:name w:val="Normal"/>
    <w:uiPriority w:val="99"/>
    <w:qFormat w:val="on"/>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9" Type="http://schemas.openxmlformats.org/officeDocument/2006/relationships/fontTable" Target="fontTable.xml"/><Relationship Id="rId3" Type="http://schemas.openxmlformats.org/officeDocument/2006/relationships/settings" Target="settings.xml"/><Relationship Id="rId30" Type="http://schemas.openxmlformats.org/officeDocument/2006/relationships/theme" Target="theme/theme1.xml"/><Relationship Id="rId31" Type="http://schemas.openxmlformats.org/officeDocument/2006/relationships/image" Target="media/image13.emf"/><Relationship Id="rId32" Type="http://schemas.openxmlformats.org/officeDocument/2006/relationships/image" Target="media/image14.emf"/><Relationship Id="rId33" Type="http://schemas.openxmlformats.org/officeDocument/2006/relationships/image" Target="media/image15.emf"/><Relationship Id="rId34" Type="http://schemas.openxmlformats.org/officeDocument/2006/relationships/image" Target="media/image16.emf"/><Relationship Id="rId35" Type="http://schemas.openxmlformats.org/officeDocument/2006/relationships/image" Target="media/image17.emf"/><Relationship Id="rId36" Type="http://schemas.openxmlformats.org/officeDocument/2006/relationships/image" Target="media/image18.emf"/><Relationship Id="rId37" Type="http://schemas.openxmlformats.org/officeDocument/2006/relationships/image" Target="media/image19.emf"/><Relationship Id="rId38" Type="http://schemas.openxmlformats.org/officeDocument/2006/relationships/image" Target="media/image20.emf"/><Relationship Id="rId39" Type="http://schemas.openxmlformats.org/officeDocument/2006/relationships/image" Target="media/image21.emf"/><Relationship Id="rId40" Type="http://schemas.openxmlformats.org/officeDocument/2006/relationships/image" Target="media/image22.emf"/><Relationship Id="rId41" Type="http://schemas.openxmlformats.org/officeDocument/2006/relationships/image" Target="media/image23.emf"/><Relationship Id="rId42" Type="http://schemas.openxmlformats.org/officeDocument/2006/relationships/image" Target="media/image24.emf"/><Relationship Id="rId43" Type="http://schemas.openxmlformats.org/officeDocument/2006/relationships/header" Target="header1.xml"/><Relationship Id="rId44" Type="http://schemas.openxmlformats.org/officeDocument/2006/relationships/footer" Target="footer1.xml"/><Relationship Id="rId2" Type="http://schemas.microsoft.com/office/2007/relationships/stylesWithEffects" Target="stylesWithEffect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package" Target="embeddings/Microsoft_PowerPoint_Slide1.sldx"/><Relationship Id="rId7" Type="http://schemas.openxmlformats.org/officeDocument/2006/relationships/image" Target="media/image2.emf"/><Relationship Id="rId8" Type="http://schemas.openxmlformats.org/officeDocument/2006/relationships/package" Target="embeddings/Microsoft_PowerPoint_Slide2.sldx"/><Relationship Id="rId9" Type="http://schemas.openxmlformats.org/officeDocument/2006/relationships/image" Target="media/image3.emf"/><Relationship Id="rId10" Type="http://schemas.openxmlformats.org/officeDocument/2006/relationships/package" Target="embeddings/Microsoft_PowerPoint_Slide3.sldx"/><Relationship Id="rId11" Type="http://schemas.openxmlformats.org/officeDocument/2006/relationships/image" Target="media/image4.emf"/><Relationship Id="rId12" Type="http://schemas.openxmlformats.org/officeDocument/2006/relationships/package" Target="embeddings/Microsoft_PowerPoint_Slide4.sldx"/><Relationship Id="rId13" Type="http://schemas.openxmlformats.org/officeDocument/2006/relationships/image" Target="media/image5.emf"/><Relationship Id="rId14" Type="http://schemas.openxmlformats.org/officeDocument/2006/relationships/package" Target="embeddings/Microsoft_PowerPoint_Slide5.sldx"/><Relationship Id="rId15" Type="http://schemas.openxmlformats.org/officeDocument/2006/relationships/image" Target="media/image6.emf"/><Relationship Id="rId16" Type="http://schemas.openxmlformats.org/officeDocument/2006/relationships/package" Target="embeddings/Microsoft_PowerPoint_Slide6.sldx"/><Relationship Id="rId17" Type="http://schemas.openxmlformats.org/officeDocument/2006/relationships/image" Target="media/image7.emf"/><Relationship Id="rId18" Type="http://schemas.openxmlformats.org/officeDocument/2006/relationships/package" Target="embeddings/Microsoft_PowerPoint_Slide7.sldx"/><Relationship Id="rId19" Type="http://schemas.openxmlformats.org/officeDocument/2006/relationships/image" Target="media/image8.emf"/><Relationship Id="rId20" Type="http://schemas.openxmlformats.org/officeDocument/2006/relationships/package" Target="embeddings/Microsoft_PowerPoint_Slide8.sldx"/><Relationship Id="rId21" Type="http://schemas.openxmlformats.org/officeDocument/2006/relationships/image" Target="media/image9.emf"/><Relationship Id="rId22" Type="http://schemas.openxmlformats.org/officeDocument/2006/relationships/package" Target="embeddings/Microsoft_PowerPoint_Slide9.sldx"/><Relationship Id="rId23" Type="http://schemas.openxmlformats.org/officeDocument/2006/relationships/image" Target="media/image10.emf"/><Relationship Id="rId24" Type="http://schemas.openxmlformats.org/officeDocument/2006/relationships/package" Target="embeddings/Microsoft_PowerPoint_Slide10.sldx"/><Relationship Id="rId25" Type="http://schemas.openxmlformats.org/officeDocument/2006/relationships/image" Target="media/image11.emf"/><Relationship Id="rId26" Type="http://schemas.openxmlformats.org/officeDocument/2006/relationships/package" Target="embeddings/Microsoft_PowerPoint_Slide11.sldx"/><Relationship Id="rId27" Type="http://schemas.openxmlformats.org/officeDocument/2006/relationships/image" Target="media/image12.emf"/><Relationship Id="rId28" Type="http://schemas.openxmlformats.org/officeDocument/2006/relationships/package" Target="embeddings/Microsoft_PowerPoint_Slide12.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2042</Words>
  <Characters>11642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Obot</cp:lastModifiedBy>
</cp:coreProperties>
</file>