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1FCC4" w14:textId="69501500" w:rsidR="003C2EC8" w:rsidRDefault="00D47A7E">
      <w:r>
        <w:t>Statutory interpretation is the process courts undergo when interpreting and applying legislation. M</w:t>
      </w:r>
      <w:r w:rsidR="003D5FD7">
        <w:t>ost</w:t>
      </w:r>
      <w:r>
        <w:t xml:space="preserve"> cases brought to court include legislation</w:t>
      </w:r>
      <w:r w:rsidR="003D5FD7">
        <w:t xml:space="preserve"> and some amount of interpretation is needed when cases involve a statue. Most of time</w:t>
      </w:r>
      <w:r w:rsidR="00A566A9">
        <w:t>,</w:t>
      </w:r>
      <w:r w:rsidR="003D5FD7">
        <w:t xml:space="preserve"> the wording of a statue will be clear and the arguments between the parties in court will be based on different accounts of an event and conflicting evidence. </w:t>
      </w:r>
      <w:r w:rsidR="00052FE6">
        <w:t>However, in some cases there will be some ambiguity in the words of a statue and then it is the judge’s decision that will affect the case.</w:t>
      </w:r>
      <w:r w:rsidR="003C2EC8">
        <w:t xml:space="preserve"> This is process is known as statutory interpretation. </w:t>
      </w:r>
      <w:r w:rsidR="00D205FF" w:rsidRPr="00D205FF">
        <w:rPr>
          <w:i/>
          <w:iCs/>
        </w:rPr>
        <w:t>(Slapper, 2003)</w:t>
      </w:r>
      <w:r w:rsidR="00925941">
        <w:rPr>
          <w:i/>
          <w:iCs/>
        </w:rPr>
        <w:t xml:space="preserve"> </w:t>
      </w:r>
      <w:r w:rsidR="00925941">
        <w:t xml:space="preserve">To help judges make a sound decision, there are </w:t>
      </w:r>
      <w:r w:rsidR="00261F86">
        <w:t>rules and approaches that they follow, depending on the case, the rules are used to different extents</w:t>
      </w:r>
      <w:r w:rsidR="00F01A7F">
        <w:t xml:space="preserve"> where needed</w:t>
      </w:r>
      <w:r w:rsidR="00261F86">
        <w:t xml:space="preserve">. </w:t>
      </w:r>
      <w:r w:rsidR="00B41FD6">
        <w:t xml:space="preserve">Statutory interpretation is needed because of the unpredictability of fact situations, </w:t>
      </w:r>
      <w:r w:rsidR="00343E89">
        <w:t>there are many detailed provisions of statues which set rules, these rules are generalised and do not detail what needs to be done in every case as there are many possible situations</w:t>
      </w:r>
      <w:r w:rsidR="005B380A">
        <w:t xml:space="preserve"> which cannot be covered by set rules. In these cases, the courts needs to decide what needs to be done </w:t>
      </w:r>
      <w:r w:rsidR="00F41C82">
        <w:t xml:space="preserve">and this is not always a simple task. Another reason why statutory interpretation is needed the ambiguity of language. The language used in statues is not always precise and there may be differences in the words chosen, for example some provisions purposefully use words like </w:t>
      </w:r>
      <w:r w:rsidR="00AF68C5">
        <w:t xml:space="preserve">‘fair’ and ‘reasonable’ which do not have a precise </w:t>
      </w:r>
      <w:r w:rsidR="00AF68C5" w:rsidRPr="00F6753B">
        <w:t xml:space="preserve">meaning and give the judges the task of </w:t>
      </w:r>
      <w:r w:rsidR="00DF69E4" w:rsidRPr="00F6753B">
        <w:t>deciding a fair definition in the given scenario.</w:t>
      </w:r>
      <w:r w:rsidR="00D237B2">
        <w:t xml:space="preserve"> </w:t>
      </w:r>
      <w:r w:rsidR="00D237B2" w:rsidRPr="00D237B2">
        <w:rPr>
          <w:i/>
          <w:iCs/>
        </w:rPr>
        <w:t>(Partington, 2012)</w:t>
      </w:r>
      <w:r w:rsidR="00DF69E4" w:rsidRPr="00F6753B">
        <w:t xml:space="preserve"> </w:t>
      </w:r>
      <w:r w:rsidR="00B3136E" w:rsidRPr="00F6753B">
        <w:t xml:space="preserve">As society has developed, words have had changes in meaning </w:t>
      </w:r>
      <w:r w:rsidR="00883CFA" w:rsidRPr="00F6753B">
        <w:t>such as the term ‘member of family’</w:t>
      </w:r>
      <w:r w:rsidR="001956AC" w:rsidRPr="00F6753B">
        <w:t xml:space="preserve"> regarding the Rent Act 1977</w:t>
      </w:r>
      <w:r w:rsidR="00883CFA" w:rsidRPr="00F6753B">
        <w:t xml:space="preserve"> which in the 1940s only meant blood relatives</w:t>
      </w:r>
      <w:r w:rsidR="001956AC" w:rsidRPr="00F6753B">
        <w:t xml:space="preserve">, however </w:t>
      </w:r>
      <w:r w:rsidR="00883CFA" w:rsidRPr="00F6753B">
        <w:t>since 1999 a long-term homosexual partner of a deceased tenant could</w:t>
      </w:r>
      <w:r w:rsidR="00CA4BFD">
        <w:t xml:space="preserve"> be used under the term and therefore to</w:t>
      </w:r>
      <w:r w:rsidR="00883CFA" w:rsidRPr="00F6753B">
        <w:t xml:space="preserve"> take over </w:t>
      </w:r>
      <w:r w:rsidR="00EB42B7" w:rsidRPr="00F6753B">
        <w:t>a</w:t>
      </w:r>
      <w:r w:rsidR="00883CFA" w:rsidRPr="00F6753B">
        <w:t xml:space="preserve"> tenancy</w:t>
      </w:r>
      <w:r w:rsidR="001956AC" w:rsidRPr="00F6753B">
        <w:t>.</w:t>
      </w:r>
      <w:r w:rsidR="00883CFA" w:rsidRPr="00F6753B">
        <w:t xml:space="preserve"> </w:t>
      </w:r>
      <w:r w:rsidR="00883CFA" w:rsidRPr="00F6753B">
        <w:rPr>
          <w:i/>
          <w:iCs/>
        </w:rPr>
        <w:t>(Fitzpatrick v Sterling, 1999)</w:t>
      </w:r>
      <w:r w:rsidR="00D237B2">
        <w:rPr>
          <w:i/>
          <w:iCs/>
        </w:rPr>
        <w:t xml:space="preserve"> </w:t>
      </w:r>
    </w:p>
    <w:p w14:paraId="512E8856" w14:textId="1D1E6C9F" w:rsidR="008024E4" w:rsidRDefault="00D237B2">
      <w:r>
        <w:t xml:space="preserve">There are three main rules that support statutory interpretation, these are the Literal, Golden and Mischief rules. The literal rule makes it so all words in statues have their original meanings from dictionaries, </w:t>
      </w:r>
      <w:r w:rsidR="00CF79DE">
        <w:t xml:space="preserve">this is in order to interpret the will of Parliament which is to use words with their literal and natural meanings. The literal rule must be followed if there is no ambiguity, even if the result is nonsensical, </w:t>
      </w:r>
      <w:r w:rsidR="00CF79DE" w:rsidRPr="00CF79DE">
        <w:t>Lord Esher</w:t>
      </w:r>
      <w:r w:rsidR="00CF79DE">
        <w:t xml:space="preserve"> stated in</w:t>
      </w:r>
      <w:r w:rsidR="00CF79DE" w:rsidRPr="00CF79DE">
        <w:t xml:space="preserve"> </w:t>
      </w:r>
      <w:r w:rsidR="00CF79DE" w:rsidRPr="00CF79DE">
        <w:rPr>
          <w:i/>
          <w:iCs/>
        </w:rPr>
        <w:t>R v Judge of the City of London Court (1</w:t>
      </w:r>
      <w:r w:rsidR="008024E4">
        <w:rPr>
          <w:i/>
          <w:iCs/>
        </w:rPr>
        <w:t>89</w:t>
      </w:r>
      <w:r w:rsidR="00CF79DE" w:rsidRPr="00CF79DE">
        <w:rPr>
          <w:i/>
          <w:iCs/>
        </w:rPr>
        <w:t>2)</w:t>
      </w:r>
      <w:r w:rsidR="00CF79DE">
        <w:rPr>
          <w:i/>
          <w:iCs/>
        </w:rPr>
        <w:t>: “</w:t>
      </w:r>
      <w:r w:rsidR="00CF79DE" w:rsidRPr="00CF79DE">
        <w:rPr>
          <w:i/>
          <w:iCs/>
        </w:rPr>
        <w:t>‘If the words of an Act are clear, you must follow them, even though they lead to a manifest absurdity.</w:t>
      </w:r>
      <w:r w:rsidR="00CF79DE">
        <w:rPr>
          <w:i/>
          <w:iCs/>
        </w:rPr>
        <w:t>”</w:t>
      </w:r>
      <w:r w:rsidR="008024E4">
        <w:rPr>
          <w:i/>
          <w:iCs/>
        </w:rPr>
        <w:t xml:space="preserve"> </w:t>
      </w:r>
      <w:r w:rsidR="008024E4">
        <w:t xml:space="preserve">An example of the literal rule being used is in </w:t>
      </w:r>
      <w:r w:rsidR="008024E4" w:rsidRPr="008024E4">
        <w:rPr>
          <w:i/>
          <w:iCs/>
        </w:rPr>
        <w:t>Fisher v Bell 1961</w:t>
      </w:r>
      <w:r w:rsidR="008024E4">
        <w:rPr>
          <w:i/>
          <w:iCs/>
        </w:rPr>
        <w:t xml:space="preserve"> </w:t>
      </w:r>
      <w:r w:rsidR="008024E4">
        <w:t>where parliament banned flick knifes after many violent incidents, the</w:t>
      </w:r>
      <w:r w:rsidR="008024E4" w:rsidRPr="008024E4">
        <w:t xml:space="preserve"> Restriction of Offensive Weapons Act 1959</w:t>
      </w:r>
      <w:r w:rsidR="008024E4">
        <w:t xml:space="preserve"> made it illegal to ‘sell or offer for sale’ flick knifes. The defendant had flick knifes in his shop window, offering them for sale, however the court said that ‘offers for sale’ has to be given in its ordinary meaning and that this case was not an offer for sale but instead an invitation for people to create an offer to buy. Therefore, the defendant was not guilty even though this was the </w:t>
      </w:r>
      <w:r w:rsidR="00E0296A">
        <w:t xml:space="preserve">exact reason the Act was created. </w:t>
      </w:r>
    </w:p>
    <w:p w14:paraId="3339D658" w14:textId="54904C88" w:rsidR="00E0296A" w:rsidRDefault="00E0296A">
      <w:r>
        <w:t xml:space="preserve">The golden rule allows the judge to </w:t>
      </w:r>
      <w:r w:rsidR="00DF285B">
        <w:t xml:space="preserve">change or use a different definition from the natural meaning of a word if the literal rule has given a clear absurd result, which parliament could have not intended. </w:t>
      </w:r>
      <w:r w:rsidR="00C94345">
        <w:t xml:space="preserve">An example of the golden rule is seen in </w:t>
      </w:r>
      <w:r w:rsidR="00C94345" w:rsidRPr="00C94345">
        <w:rPr>
          <w:i/>
          <w:iCs/>
        </w:rPr>
        <w:t>R v Allen (1872)</w:t>
      </w:r>
      <w:r w:rsidR="00C94345">
        <w:rPr>
          <w:i/>
          <w:iCs/>
        </w:rPr>
        <w:t xml:space="preserve"> </w:t>
      </w:r>
      <w:r w:rsidR="006B2CB6">
        <w:t xml:space="preserve">which is a case involving the charge of bigamy under the </w:t>
      </w:r>
      <w:r w:rsidR="006B2CB6" w:rsidRPr="006B2CB6">
        <w:t>Offences Against the Person Act 1861</w:t>
      </w:r>
      <w:r w:rsidR="006B2CB6">
        <w:t xml:space="preserve">. The OAPA 1861 states that ‘Whosoever being married shall marry any other person during the life of the former husband or wife . . . shall be guilty of bigamy.’ In </w:t>
      </w:r>
      <w:r w:rsidR="006B2CB6" w:rsidRPr="006B2CB6">
        <w:rPr>
          <w:i/>
          <w:iCs/>
        </w:rPr>
        <w:t>R v Allen (1872)</w:t>
      </w:r>
      <w:r w:rsidR="006B2CB6">
        <w:t xml:space="preserve"> it was shown that it was not possible for </w:t>
      </w:r>
      <w:r w:rsidR="00125798">
        <w:t>an</w:t>
      </w:r>
      <w:r w:rsidR="006B2CB6">
        <w:t xml:space="preserve"> already married person to ‘marry’ somebody else, a marriage ceremony could be done but they would not actually be married, therefore using the literal rule would make the statue pointless. </w:t>
      </w:r>
      <w:r w:rsidR="00125798">
        <w:t>Parliament</w:t>
      </w:r>
      <w:r w:rsidR="006B2CB6">
        <w:t xml:space="preserve"> then decided that ‘</w:t>
      </w:r>
      <w:r w:rsidR="00125798">
        <w:t xml:space="preserve">shall marry’ should be interpreted as ‘shall go through a marriage ceremony’. </w:t>
      </w:r>
    </w:p>
    <w:p w14:paraId="7652F984" w14:textId="2A5C9A0E" w:rsidR="00F84025" w:rsidRDefault="00D4321A">
      <w:r>
        <w:t xml:space="preserve">The mischief rule was created in </w:t>
      </w:r>
      <w:r w:rsidRPr="00D4321A">
        <w:rPr>
          <w:i/>
          <w:iCs/>
        </w:rPr>
        <w:t>Heydon’s Case</w:t>
      </w:r>
      <w:r>
        <w:rPr>
          <w:i/>
          <w:iCs/>
        </w:rPr>
        <w:t xml:space="preserve"> [1584]</w:t>
      </w:r>
      <w:r>
        <w:t xml:space="preserve"> </w:t>
      </w:r>
      <w:r w:rsidR="00F84025">
        <w:t xml:space="preserve">and makes it so judges should consider three factors in the case. Firstly, what was the law before the making of the act. Secondly, what problem (‘mischief’) the statue was trying to remedy. Lastly, what remedy Parliament was trying to provide. </w:t>
      </w:r>
      <w:r w:rsidR="00DE1BC2">
        <w:t xml:space="preserve">Judges will consider what parliament was trying to achieve by adding the legislation. </w:t>
      </w:r>
      <w:r w:rsidR="00F84025">
        <w:t xml:space="preserve">The judge of the case will then interpret the statue in a way that will solve the problem that Parliament was </w:t>
      </w:r>
      <w:r w:rsidR="00F84025">
        <w:lastRenderedPageBreak/>
        <w:t xml:space="preserve">addressing. </w:t>
      </w:r>
      <w:r w:rsidR="00DE1BC2">
        <w:t>If there is any ambiguity in the statue this would be interpreted in a way that will meet the intentions of Parliament.</w:t>
      </w:r>
      <w:r w:rsidR="006C2EF5">
        <w:t xml:space="preserve"> An example of the mischief rule being used is in </w:t>
      </w:r>
      <w:r w:rsidR="006C2EF5" w:rsidRPr="006C2EF5">
        <w:rPr>
          <w:i/>
          <w:iCs/>
        </w:rPr>
        <w:t>Goris v Scott [1874]</w:t>
      </w:r>
      <w:r w:rsidR="006C2EF5">
        <w:t xml:space="preserve"> </w:t>
      </w:r>
      <w:r w:rsidR="00D94D38">
        <w:t xml:space="preserve">where a person claimed under the </w:t>
      </w:r>
      <w:r w:rsidR="00D94D38" w:rsidRPr="00D94D38">
        <w:rPr>
          <w:i/>
          <w:iCs/>
        </w:rPr>
        <w:t>Contagious Diseases (Animals) Act 1869</w:t>
      </w:r>
      <w:r w:rsidR="00D94D38">
        <w:rPr>
          <w:i/>
          <w:iCs/>
        </w:rPr>
        <w:t xml:space="preserve"> </w:t>
      </w:r>
      <w:r w:rsidR="00D94D38">
        <w:t>against the defendant who was transporting their sheep by ship. The sheep were not penned in and were blown overboard, the court decided that the Act’s purpose was to prevent the mischief of the spread of disease, not the loss of animals overboard, therefore the claim did not work</w:t>
      </w:r>
      <w:r w:rsidR="00D94D38" w:rsidRPr="00D94D38">
        <w:rPr>
          <w:i/>
          <w:iCs/>
        </w:rPr>
        <w:t>. (Elliott, 2009)</w:t>
      </w:r>
      <w:r w:rsidR="00CD6350">
        <w:rPr>
          <w:i/>
          <w:iCs/>
        </w:rPr>
        <w:t xml:space="preserve"> </w:t>
      </w:r>
    </w:p>
    <w:p w14:paraId="0DB3835B" w14:textId="6F193764" w:rsidR="00CD6350" w:rsidRDefault="00CD6350">
      <w:pPr>
        <w:rPr>
          <w:i/>
          <w:iCs/>
        </w:rPr>
      </w:pPr>
      <w:r>
        <w:t xml:space="preserve">The purposive approach is when the judges interprets the law in a way for its general purpose, it makes courts look beyond the words used in the provision, and instead look at the intended purpose for example if it was created to protect a specific group of people or effect social change. </w:t>
      </w:r>
      <w:r w:rsidRPr="00CD6350">
        <w:t xml:space="preserve">It is </w:t>
      </w:r>
      <w:r w:rsidR="00773AF0">
        <w:t>the main</w:t>
      </w:r>
      <w:r w:rsidRPr="00CD6350">
        <w:t xml:space="preserve"> approach to statutory interpretation in the United Kingdom.</w:t>
      </w:r>
      <w:r w:rsidR="00C24946">
        <w:t xml:space="preserve"> </w:t>
      </w:r>
      <w:r w:rsidR="00C24946" w:rsidRPr="00C24946">
        <w:rPr>
          <w:i/>
          <w:iCs/>
        </w:rPr>
        <w:t>(Fafinski, 2010)</w:t>
      </w:r>
    </w:p>
    <w:p w14:paraId="356EF1B0" w14:textId="2F65ECB4" w:rsidR="001A227B" w:rsidRDefault="001A227B">
      <w:pPr>
        <w:rPr>
          <w:i/>
          <w:iCs/>
        </w:rPr>
      </w:pPr>
      <w:r>
        <w:t xml:space="preserve">Statutory interpretation has problems when following these rules. The literal rule can </w:t>
      </w:r>
      <w:r w:rsidR="00CD45A2">
        <w:t xml:space="preserve">produce </w:t>
      </w:r>
      <w:r>
        <w:t xml:space="preserve">unfair results, even against parliament’s will such as in </w:t>
      </w:r>
      <w:r w:rsidRPr="001A227B">
        <w:rPr>
          <w:i/>
          <w:iCs/>
        </w:rPr>
        <w:t>Fisher v Bell (1961)</w:t>
      </w:r>
      <w:r>
        <w:t xml:space="preserve">. The rule is also </w:t>
      </w:r>
      <w:r w:rsidR="00385E66">
        <w:t xml:space="preserve">useless when the answer of the case cannot be found in the words of the statue. </w:t>
      </w:r>
      <w:r w:rsidR="00385E66" w:rsidRPr="00385E66">
        <w:t>In addition, many laws were made a long time ago</w:t>
      </w:r>
      <w:r w:rsidR="00385E66">
        <w:t>, p</w:t>
      </w:r>
      <w:r w:rsidR="00385E66" w:rsidRPr="00385E66">
        <w:t xml:space="preserve">arliament’s intentions </w:t>
      </w:r>
      <w:r w:rsidR="00385E66">
        <w:t>with the laws could have changed.</w:t>
      </w:r>
      <w:r w:rsidR="00AD7E1A">
        <w:t xml:space="preserve"> The golden rule as pointed out by the Law Commission in 1969, has no clear definition of a ‘absurd result’. The golden rule is undemocratic as judges have all the power, making the law, which is </w:t>
      </w:r>
      <w:r w:rsidR="0046797D">
        <w:t>an</w:t>
      </w:r>
      <w:r w:rsidR="00AD7E1A">
        <w:t xml:space="preserve"> un-elected body when </w:t>
      </w:r>
      <w:r w:rsidR="0046797D">
        <w:t xml:space="preserve">law making power should be with the elected parliament. </w:t>
      </w:r>
      <w:r w:rsidR="00AD7E1A">
        <w:t xml:space="preserve"> </w:t>
      </w:r>
      <w:r w:rsidR="0046797D">
        <w:t xml:space="preserve">The mischief rule is also undemocratic, judges do not know for certain parliament’s exact intention when making a law. The mischief rule also has the problem of judicial bias, different judges could have different opinions on what a fair outcome is on a case and how to interpret statues. This is clearly </w:t>
      </w:r>
      <w:r w:rsidR="00A739D6">
        <w:t>unfair,</w:t>
      </w:r>
      <w:r w:rsidR="0046797D">
        <w:t xml:space="preserve"> and cases should be decided with the same outcome no matter on what judges hear them. </w:t>
      </w:r>
      <w:r w:rsidR="00A739D6" w:rsidRPr="00A739D6">
        <w:rPr>
          <w:i/>
          <w:iCs/>
        </w:rPr>
        <w:t>(Elliot, 2009)</w:t>
      </w:r>
    </w:p>
    <w:p w14:paraId="5C57D577" w14:textId="30A511A5" w:rsidR="006F1FBF" w:rsidRDefault="006F1FBF">
      <w:pPr>
        <w:rPr>
          <w:i/>
          <w:iCs/>
        </w:rPr>
      </w:pPr>
    </w:p>
    <w:p w14:paraId="7A38D7E6" w14:textId="74367A3F" w:rsidR="005E15FE" w:rsidRPr="00F9187C" w:rsidRDefault="006F1FBF">
      <w:r>
        <w:t xml:space="preserve">Judiciary is most known for applying the law and parliament’s role is to create the law, however it’s not as simple as that as it ignores judicial creativity of the common law and the doctrine of judicial precedent. </w:t>
      </w:r>
      <w:r w:rsidR="00FB6499">
        <w:t>It also ignor</w:t>
      </w:r>
      <w:r w:rsidR="002F55CA">
        <w:t>es</w:t>
      </w:r>
      <w:r w:rsidR="00FB6499">
        <w:t xml:space="preserve"> judiciary’s power of interpreting legislation</w:t>
      </w:r>
      <w:r w:rsidR="002F55CA">
        <w:t xml:space="preserve">, when applying legislation, judges must find out the clear meaning and to do so they have the sometimes-difficult task of interpreting the legislation. </w:t>
      </w:r>
      <w:r w:rsidR="004F4BAD">
        <w:t xml:space="preserve">An important part of language in law is fluidity, words can have more than one meaning and therefore a word can have different meanings depending on the context. </w:t>
      </w:r>
      <w:r w:rsidR="009D14C9">
        <w:t>When this ambiguity occurs, the judge decide</w:t>
      </w:r>
      <w:r w:rsidR="00CD45A2">
        <w:t>s</w:t>
      </w:r>
      <w:r w:rsidR="009D14C9">
        <w:t xml:space="preserve"> on which meaning to use for specific words, depending on the context they are used, this means some legislation will have uncertainty </w:t>
      </w:r>
      <w:r w:rsidR="00C44DB6">
        <w:t xml:space="preserve">which has to be dealt with through judicial interpretation. This is an active process, however also a creative process as it means judiciary will have to determine law in their own way depending on what legislation they are given to work with. This means that judges can abuse their role and interpret legislation in a way that fits their own personal views and prejudices. </w:t>
      </w:r>
      <w:r w:rsidR="00E123AA">
        <w:t xml:space="preserve"> </w:t>
      </w:r>
      <w:r w:rsidR="00E123AA" w:rsidRPr="00E123AA">
        <w:rPr>
          <w:i/>
          <w:iCs/>
        </w:rPr>
        <w:t>(Slapper, 2006)</w:t>
      </w:r>
    </w:p>
    <w:p w14:paraId="22E1BDB0" w14:textId="77777777" w:rsidR="00224317" w:rsidRPr="001A227B" w:rsidRDefault="00224317"/>
    <w:p w14:paraId="3E18EDD1" w14:textId="4CEEA1FC" w:rsidR="00D94D38" w:rsidRPr="00D94D38" w:rsidRDefault="00D94D38" w:rsidP="00D94D38"/>
    <w:p w14:paraId="4FE53C29" w14:textId="77777777" w:rsidR="00D94D38" w:rsidRPr="00D94D38" w:rsidRDefault="00D94D38"/>
    <w:p w14:paraId="101914ED" w14:textId="2C10D740" w:rsidR="00D237B2" w:rsidRPr="008024E4" w:rsidRDefault="00D237B2"/>
    <w:p w14:paraId="171616B7" w14:textId="457216C3" w:rsidR="00F2154E" w:rsidRDefault="00F2154E">
      <w:pPr>
        <w:rPr>
          <w:i/>
          <w:iCs/>
        </w:rPr>
      </w:pPr>
    </w:p>
    <w:p w14:paraId="143A9397" w14:textId="77777777" w:rsidR="003C2EC8" w:rsidRDefault="003C2EC8"/>
    <w:p w14:paraId="26DD5DB0" w14:textId="77777777" w:rsidR="00C74483" w:rsidRDefault="00C74483">
      <w:pPr>
        <w:rPr>
          <w:b/>
          <w:bCs/>
          <w:sz w:val="24"/>
          <w:szCs w:val="24"/>
          <w:u w:val="single"/>
        </w:rPr>
      </w:pPr>
    </w:p>
    <w:p w14:paraId="19269050" w14:textId="1B79B339" w:rsidR="003C2EC8" w:rsidRDefault="003C2EC8">
      <w:pPr>
        <w:rPr>
          <w:b/>
          <w:bCs/>
          <w:sz w:val="24"/>
          <w:szCs w:val="24"/>
          <w:u w:val="single"/>
        </w:rPr>
      </w:pPr>
      <w:r w:rsidRPr="003C2EC8">
        <w:rPr>
          <w:b/>
          <w:bCs/>
          <w:sz w:val="24"/>
          <w:szCs w:val="24"/>
          <w:u w:val="single"/>
        </w:rPr>
        <w:lastRenderedPageBreak/>
        <w:t>References:</w:t>
      </w:r>
    </w:p>
    <w:p w14:paraId="6FBA1DE7" w14:textId="5AA8E5A7" w:rsidR="00FD34DF" w:rsidRDefault="00D205FF">
      <w:pPr>
        <w:rPr>
          <w:b/>
          <w:bCs/>
          <w:i/>
          <w:iCs/>
          <w:sz w:val="24"/>
          <w:szCs w:val="24"/>
          <w:u w:val="single"/>
        </w:rPr>
      </w:pPr>
      <w:r w:rsidRPr="00D205FF">
        <w:rPr>
          <w:b/>
          <w:bCs/>
          <w:i/>
          <w:iCs/>
          <w:sz w:val="24"/>
          <w:szCs w:val="24"/>
        </w:rPr>
        <w:t>The English Legal System,</w:t>
      </w:r>
      <w:r w:rsidR="00F6753B">
        <w:rPr>
          <w:b/>
          <w:bCs/>
          <w:i/>
          <w:iCs/>
          <w:sz w:val="24"/>
          <w:szCs w:val="24"/>
        </w:rPr>
        <w:t xml:space="preserve"> 2003,</w:t>
      </w:r>
      <w:r w:rsidRPr="00D205FF">
        <w:rPr>
          <w:b/>
          <w:bCs/>
          <w:i/>
          <w:iCs/>
          <w:sz w:val="24"/>
          <w:szCs w:val="24"/>
        </w:rPr>
        <w:t xml:space="preserve"> Garry Slapper &amp; David Kelly, Page 171-172</w:t>
      </w:r>
    </w:p>
    <w:p w14:paraId="4EACEA0D" w14:textId="38FF69A4" w:rsidR="00F6753B" w:rsidRDefault="00F6753B">
      <w:pPr>
        <w:rPr>
          <w:b/>
          <w:bCs/>
          <w:i/>
          <w:iCs/>
          <w:sz w:val="24"/>
          <w:szCs w:val="24"/>
        </w:rPr>
      </w:pPr>
      <w:r w:rsidRPr="00F6753B">
        <w:rPr>
          <w:b/>
          <w:bCs/>
          <w:i/>
          <w:iCs/>
          <w:sz w:val="24"/>
          <w:szCs w:val="24"/>
        </w:rPr>
        <w:t>Introduction to the English Legal System,</w:t>
      </w:r>
      <w:r>
        <w:rPr>
          <w:b/>
          <w:bCs/>
          <w:i/>
          <w:iCs/>
          <w:sz w:val="24"/>
          <w:szCs w:val="24"/>
        </w:rPr>
        <w:t xml:space="preserve"> 2012,</w:t>
      </w:r>
      <w:r w:rsidRPr="00F6753B">
        <w:rPr>
          <w:b/>
          <w:bCs/>
          <w:i/>
          <w:iCs/>
          <w:sz w:val="24"/>
          <w:szCs w:val="24"/>
        </w:rPr>
        <w:t xml:space="preserve"> Martin Partington</w:t>
      </w:r>
      <w:r>
        <w:rPr>
          <w:b/>
          <w:bCs/>
          <w:i/>
          <w:iCs/>
          <w:sz w:val="24"/>
          <w:szCs w:val="24"/>
        </w:rPr>
        <w:t xml:space="preserve">, </w:t>
      </w:r>
      <w:r w:rsidRPr="00F6753B">
        <w:rPr>
          <w:b/>
          <w:bCs/>
          <w:i/>
          <w:iCs/>
          <w:sz w:val="24"/>
          <w:szCs w:val="24"/>
        </w:rPr>
        <w:t>Page</w:t>
      </w:r>
      <w:r>
        <w:rPr>
          <w:b/>
          <w:bCs/>
          <w:i/>
          <w:iCs/>
          <w:sz w:val="24"/>
          <w:szCs w:val="24"/>
        </w:rPr>
        <w:t xml:space="preserve"> 64-66</w:t>
      </w:r>
    </w:p>
    <w:p w14:paraId="2B628208" w14:textId="1AE70CF6" w:rsidR="00D237B2" w:rsidRDefault="00D237B2" w:rsidP="00D237B2">
      <w:pPr>
        <w:rPr>
          <w:b/>
          <w:bCs/>
          <w:i/>
          <w:iCs/>
          <w:sz w:val="24"/>
          <w:szCs w:val="24"/>
        </w:rPr>
      </w:pPr>
      <w:r w:rsidRPr="00883CFA">
        <w:rPr>
          <w:b/>
          <w:bCs/>
          <w:i/>
          <w:iCs/>
          <w:sz w:val="24"/>
          <w:szCs w:val="24"/>
        </w:rPr>
        <w:t>Fitzpatrick v Sterling Housing Association [1999]</w:t>
      </w:r>
    </w:p>
    <w:p w14:paraId="39848156" w14:textId="59212068" w:rsidR="00D237B2" w:rsidRDefault="008024E4">
      <w:pPr>
        <w:rPr>
          <w:b/>
          <w:bCs/>
          <w:i/>
          <w:iCs/>
          <w:sz w:val="24"/>
          <w:szCs w:val="24"/>
        </w:rPr>
      </w:pPr>
      <w:r w:rsidRPr="008024E4">
        <w:rPr>
          <w:b/>
          <w:bCs/>
          <w:i/>
          <w:iCs/>
          <w:sz w:val="24"/>
          <w:szCs w:val="24"/>
        </w:rPr>
        <w:t xml:space="preserve">R v Judge of the City of London Court </w:t>
      </w:r>
      <w:r>
        <w:rPr>
          <w:b/>
          <w:bCs/>
          <w:i/>
          <w:iCs/>
          <w:sz w:val="24"/>
          <w:szCs w:val="24"/>
        </w:rPr>
        <w:t>[</w:t>
      </w:r>
      <w:r w:rsidRPr="008024E4">
        <w:rPr>
          <w:b/>
          <w:bCs/>
          <w:i/>
          <w:iCs/>
          <w:sz w:val="24"/>
          <w:szCs w:val="24"/>
        </w:rPr>
        <w:t>1892</w:t>
      </w:r>
      <w:r>
        <w:rPr>
          <w:b/>
          <w:bCs/>
          <w:i/>
          <w:iCs/>
          <w:sz w:val="24"/>
          <w:szCs w:val="24"/>
        </w:rPr>
        <w:t>]</w:t>
      </w:r>
    </w:p>
    <w:p w14:paraId="349B99CB" w14:textId="069F7895" w:rsidR="008024E4" w:rsidRDefault="008024E4">
      <w:pPr>
        <w:rPr>
          <w:b/>
          <w:bCs/>
          <w:i/>
          <w:iCs/>
          <w:sz w:val="24"/>
          <w:szCs w:val="24"/>
        </w:rPr>
      </w:pPr>
      <w:r w:rsidRPr="008024E4">
        <w:rPr>
          <w:b/>
          <w:bCs/>
          <w:i/>
          <w:iCs/>
          <w:sz w:val="24"/>
          <w:szCs w:val="24"/>
        </w:rPr>
        <w:t>Fisher v Bell [1961]</w:t>
      </w:r>
    </w:p>
    <w:p w14:paraId="653AD86D" w14:textId="437DFBD9" w:rsidR="00945DFB" w:rsidRDefault="00C94345">
      <w:pPr>
        <w:rPr>
          <w:b/>
          <w:bCs/>
          <w:i/>
          <w:iCs/>
          <w:sz w:val="24"/>
          <w:szCs w:val="24"/>
        </w:rPr>
      </w:pPr>
      <w:r>
        <w:rPr>
          <w:b/>
          <w:bCs/>
          <w:i/>
          <w:iCs/>
          <w:sz w:val="24"/>
          <w:szCs w:val="24"/>
        </w:rPr>
        <w:t>R v Allen [1872]</w:t>
      </w:r>
    </w:p>
    <w:p w14:paraId="533397EF" w14:textId="7D589F6F" w:rsidR="006C2EF5" w:rsidRPr="006C2EF5" w:rsidRDefault="006C2EF5">
      <w:pPr>
        <w:rPr>
          <w:b/>
          <w:bCs/>
          <w:i/>
          <w:iCs/>
          <w:sz w:val="28"/>
          <w:szCs w:val="28"/>
        </w:rPr>
      </w:pPr>
      <w:r w:rsidRPr="006C2EF5">
        <w:rPr>
          <w:b/>
          <w:bCs/>
          <w:i/>
          <w:iCs/>
          <w:sz w:val="24"/>
          <w:szCs w:val="24"/>
        </w:rPr>
        <w:t>Goris v Scott [1874]</w:t>
      </w:r>
    </w:p>
    <w:p w14:paraId="2EE1AF57" w14:textId="4B8DB4AB" w:rsidR="00C94345" w:rsidRDefault="00945DFB">
      <w:pPr>
        <w:rPr>
          <w:b/>
          <w:bCs/>
          <w:i/>
          <w:iCs/>
          <w:sz w:val="24"/>
          <w:szCs w:val="24"/>
        </w:rPr>
      </w:pPr>
      <w:r w:rsidRPr="00945DFB">
        <w:rPr>
          <w:b/>
          <w:bCs/>
          <w:i/>
          <w:iCs/>
          <w:sz w:val="24"/>
          <w:szCs w:val="24"/>
        </w:rPr>
        <w:t>English Legal System, 10th Edition</w:t>
      </w:r>
      <w:r>
        <w:rPr>
          <w:b/>
          <w:bCs/>
          <w:i/>
          <w:iCs/>
          <w:sz w:val="24"/>
          <w:szCs w:val="24"/>
        </w:rPr>
        <w:t xml:space="preserve">, 2009, </w:t>
      </w:r>
      <w:r w:rsidRPr="00945DFB">
        <w:rPr>
          <w:b/>
          <w:bCs/>
          <w:i/>
          <w:iCs/>
          <w:sz w:val="24"/>
          <w:szCs w:val="24"/>
        </w:rPr>
        <w:t>Catherine Elliott</w:t>
      </w:r>
      <w:r>
        <w:rPr>
          <w:b/>
          <w:bCs/>
          <w:i/>
          <w:iCs/>
          <w:sz w:val="24"/>
          <w:szCs w:val="24"/>
        </w:rPr>
        <w:t xml:space="preserve"> &amp;</w:t>
      </w:r>
      <w:r w:rsidRPr="00945DFB">
        <w:rPr>
          <w:b/>
          <w:bCs/>
          <w:i/>
          <w:iCs/>
          <w:sz w:val="24"/>
          <w:szCs w:val="24"/>
        </w:rPr>
        <w:t xml:space="preserve"> Frances Quinn</w:t>
      </w:r>
      <w:r>
        <w:rPr>
          <w:b/>
          <w:bCs/>
          <w:i/>
          <w:iCs/>
          <w:sz w:val="24"/>
          <w:szCs w:val="24"/>
        </w:rPr>
        <w:t>, Pages 51-56</w:t>
      </w:r>
    </w:p>
    <w:p w14:paraId="1658E18F" w14:textId="3AAB0D8C" w:rsidR="00C24946" w:rsidRDefault="00C24946">
      <w:pPr>
        <w:rPr>
          <w:b/>
          <w:bCs/>
          <w:i/>
          <w:iCs/>
          <w:sz w:val="24"/>
          <w:szCs w:val="24"/>
        </w:rPr>
      </w:pPr>
      <w:r w:rsidRPr="00C24946">
        <w:rPr>
          <w:b/>
          <w:bCs/>
          <w:i/>
          <w:iCs/>
          <w:sz w:val="24"/>
          <w:szCs w:val="24"/>
        </w:rPr>
        <w:t>English legal system</w:t>
      </w:r>
      <w:r>
        <w:rPr>
          <w:b/>
          <w:bCs/>
          <w:i/>
          <w:iCs/>
          <w:sz w:val="24"/>
          <w:szCs w:val="24"/>
        </w:rPr>
        <w:t>, 3</w:t>
      </w:r>
      <w:r w:rsidRPr="00C24946">
        <w:rPr>
          <w:b/>
          <w:bCs/>
          <w:i/>
          <w:iCs/>
          <w:sz w:val="24"/>
          <w:szCs w:val="24"/>
          <w:vertAlign w:val="superscript"/>
        </w:rPr>
        <w:t>rd</w:t>
      </w:r>
      <w:r>
        <w:rPr>
          <w:b/>
          <w:bCs/>
          <w:i/>
          <w:iCs/>
          <w:sz w:val="24"/>
          <w:szCs w:val="24"/>
        </w:rPr>
        <w:t xml:space="preserve"> Edition, 2010, </w:t>
      </w:r>
      <w:r w:rsidRPr="00C24946">
        <w:rPr>
          <w:b/>
          <w:bCs/>
          <w:i/>
          <w:iCs/>
          <w:sz w:val="24"/>
          <w:szCs w:val="24"/>
        </w:rPr>
        <w:t>Stefan Fafinski</w:t>
      </w:r>
      <w:r>
        <w:rPr>
          <w:b/>
          <w:bCs/>
          <w:i/>
          <w:iCs/>
          <w:sz w:val="24"/>
          <w:szCs w:val="24"/>
        </w:rPr>
        <w:t xml:space="preserve"> &amp; </w:t>
      </w:r>
      <w:r w:rsidRPr="00C24946">
        <w:rPr>
          <w:b/>
          <w:bCs/>
          <w:i/>
          <w:iCs/>
          <w:sz w:val="24"/>
          <w:szCs w:val="24"/>
        </w:rPr>
        <w:t>Emily Finch</w:t>
      </w:r>
      <w:r>
        <w:rPr>
          <w:b/>
          <w:bCs/>
          <w:i/>
          <w:iCs/>
          <w:sz w:val="24"/>
          <w:szCs w:val="24"/>
        </w:rPr>
        <w:t>, Page 21</w:t>
      </w:r>
    </w:p>
    <w:p w14:paraId="0596B74F" w14:textId="09F280A2" w:rsidR="00E123AA" w:rsidRDefault="00E123AA" w:rsidP="00E123AA">
      <w:pPr>
        <w:rPr>
          <w:b/>
          <w:bCs/>
          <w:i/>
          <w:iCs/>
          <w:sz w:val="24"/>
          <w:szCs w:val="24"/>
          <w:u w:val="single"/>
        </w:rPr>
      </w:pPr>
      <w:r w:rsidRPr="00D205FF">
        <w:rPr>
          <w:b/>
          <w:bCs/>
          <w:i/>
          <w:iCs/>
          <w:sz w:val="24"/>
          <w:szCs w:val="24"/>
        </w:rPr>
        <w:t>The English Legal System,</w:t>
      </w:r>
      <w:r>
        <w:rPr>
          <w:b/>
          <w:bCs/>
          <w:i/>
          <w:iCs/>
          <w:sz w:val="24"/>
          <w:szCs w:val="24"/>
        </w:rPr>
        <w:t xml:space="preserve"> 2003,</w:t>
      </w:r>
      <w:r w:rsidRPr="00D205FF">
        <w:rPr>
          <w:b/>
          <w:bCs/>
          <w:i/>
          <w:iCs/>
          <w:sz w:val="24"/>
          <w:szCs w:val="24"/>
        </w:rPr>
        <w:t xml:space="preserve"> Garry Slapper &amp; David Kelly, Page 17</w:t>
      </w:r>
      <w:r>
        <w:rPr>
          <w:b/>
          <w:bCs/>
          <w:i/>
          <w:iCs/>
          <w:sz w:val="24"/>
          <w:szCs w:val="24"/>
        </w:rPr>
        <w:t>2-174</w:t>
      </w:r>
    </w:p>
    <w:p w14:paraId="4F337EDD" w14:textId="77777777" w:rsidR="00E123AA" w:rsidRPr="00C24946" w:rsidRDefault="00E123AA">
      <w:pPr>
        <w:rPr>
          <w:b/>
          <w:bCs/>
          <w:i/>
          <w:iCs/>
          <w:sz w:val="24"/>
          <w:szCs w:val="24"/>
        </w:rPr>
      </w:pPr>
    </w:p>
    <w:sectPr w:rsidR="00E123AA" w:rsidRPr="00C249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85A37"/>
    <w:multiLevelType w:val="hybridMultilevel"/>
    <w:tmpl w:val="4F724058"/>
    <w:lvl w:ilvl="0" w:tplc="E9DC4448">
      <w:start w:val="1"/>
      <w:numFmt w:val="bullet"/>
      <w:lvlText w:val=""/>
      <w:lvlJc w:val="left"/>
      <w:pPr>
        <w:tabs>
          <w:tab w:val="num" w:pos="720"/>
        </w:tabs>
        <w:ind w:left="720" w:hanging="360"/>
      </w:pPr>
      <w:rPr>
        <w:rFonts w:ascii="Wingdings 3" w:hAnsi="Wingdings 3" w:hint="default"/>
      </w:rPr>
    </w:lvl>
    <w:lvl w:ilvl="1" w:tplc="CF629540" w:tentative="1">
      <w:start w:val="1"/>
      <w:numFmt w:val="bullet"/>
      <w:lvlText w:val=""/>
      <w:lvlJc w:val="left"/>
      <w:pPr>
        <w:tabs>
          <w:tab w:val="num" w:pos="1440"/>
        </w:tabs>
        <w:ind w:left="1440" w:hanging="360"/>
      </w:pPr>
      <w:rPr>
        <w:rFonts w:ascii="Wingdings 3" w:hAnsi="Wingdings 3" w:hint="default"/>
      </w:rPr>
    </w:lvl>
    <w:lvl w:ilvl="2" w:tplc="20A00CCC" w:tentative="1">
      <w:start w:val="1"/>
      <w:numFmt w:val="bullet"/>
      <w:lvlText w:val=""/>
      <w:lvlJc w:val="left"/>
      <w:pPr>
        <w:tabs>
          <w:tab w:val="num" w:pos="2160"/>
        </w:tabs>
        <w:ind w:left="2160" w:hanging="360"/>
      </w:pPr>
      <w:rPr>
        <w:rFonts w:ascii="Wingdings 3" w:hAnsi="Wingdings 3" w:hint="default"/>
      </w:rPr>
    </w:lvl>
    <w:lvl w:ilvl="3" w:tplc="5B7ABBAC" w:tentative="1">
      <w:start w:val="1"/>
      <w:numFmt w:val="bullet"/>
      <w:lvlText w:val=""/>
      <w:lvlJc w:val="left"/>
      <w:pPr>
        <w:tabs>
          <w:tab w:val="num" w:pos="2880"/>
        </w:tabs>
        <w:ind w:left="2880" w:hanging="360"/>
      </w:pPr>
      <w:rPr>
        <w:rFonts w:ascii="Wingdings 3" w:hAnsi="Wingdings 3" w:hint="default"/>
      </w:rPr>
    </w:lvl>
    <w:lvl w:ilvl="4" w:tplc="2F369FF4" w:tentative="1">
      <w:start w:val="1"/>
      <w:numFmt w:val="bullet"/>
      <w:lvlText w:val=""/>
      <w:lvlJc w:val="left"/>
      <w:pPr>
        <w:tabs>
          <w:tab w:val="num" w:pos="3600"/>
        </w:tabs>
        <w:ind w:left="3600" w:hanging="360"/>
      </w:pPr>
      <w:rPr>
        <w:rFonts w:ascii="Wingdings 3" w:hAnsi="Wingdings 3" w:hint="default"/>
      </w:rPr>
    </w:lvl>
    <w:lvl w:ilvl="5" w:tplc="C158F882" w:tentative="1">
      <w:start w:val="1"/>
      <w:numFmt w:val="bullet"/>
      <w:lvlText w:val=""/>
      <w:lvlJc w:val="left"/>
      <w:pPr>
        <w:tabs>
          <w:tab w:val="num" w:pos="4320"/>
        </w:tabs>
        <w:ind w:left="4320" w:hanging="360"/>
      </w:pPr>
      <w:rPr>
        <w:rFonts w:ascii="Wingdings 3" w:hAnsi="Wingdings 3" w:hint="default"/>
      </w:rPr>
    </w:lvl>
    <w:lvl w:ilvl="6" w:tplc="412EFB52" w:tentative="1">
      <w:start w:val="1"/>
      <w:numFmt w:val="bullet"/>
      <w:lvlText w:val=""/>
      <w:lvlJc w:val="left"/>
      <w:pPr>
        <w:tabs>
          <w:tab w:val="num" w:pos="5040"/>
        </w:tabs>
        <w:ind w:left="5040" w:hanging="360"/>
      </w:pPr>
      <w:rPr>
        <w:rFonts w:ascii="Wingdings 3" w:hAnsi="Wingdings 3" w:hint="default"/>
      </w:rPr>
    </w:lvl>
    <w:lvl w:ilvl="7" w:tplc="3CD6549A" w:tentative="1">
      <w:start w:val="1"/>
      <w:numFmt w:val="bullet"/>
      <w:lvlText w:val=""/>
      <w:lvlJc w:val="left"/>
      <w:pPr>
        <w:tabs>
          <w:tab w:val="num" w:pos="5760"/>
        </w:tabs>
        <w:ind w:left="5760" w:hanging="360"/>
      </w:pPr>
      <w:rPr>
        <w:rFonts w:ascii="Wingdings 3" w:hAnsi="Wingdings 3" w:hint="default"/>
      </w:rPr>
    </w:lvl>
    <w:lvl w:ilvl="8" w:tplc="14CAF8BA" w:tentative="1">
      <w:start w:val="1"/>
      <w:numFmt w:val="bullet"/>
      <w:lvlText w:val=""/>
      <w:lvlJc w:val="left"/>
      <w:pPr>
        <w:tabs>
          <w:tab w:val="num" w:pos="6480"/>
        </w:tabs>
        <w:ind w:left="6480" w:hanging="360"/>
      </w:pPr>
      <w:rPr>
        <w:rFonts w:ascii="Wingdings 3" w:hAnsi="Wingdings 3" w:hint="default"/>
      </w:rPr>
    </w:lvl>
  </w:abstractNum>
  <w:num w:numId="1" w16cid:durableId="754014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EDC"/>
    <w:rsid w:val="00052FE6"/>
    <w:rsid w:val="00125798"/>
    <w:rsid w:val="00194EDC"/>
    <w:rsid w:val="001956AC"/>
    <w:rsid w:val="001A227B"/>
    <w:rsid w:val="00224317"/>
    <w:rsid w:val="00261F86"/>
    <w:rsid w:val="002F55CA"/>
    <w:rsid w:val="00343E89"/>
    <w:rsid w:val="00385E66"/>
    <w:rsid w:val="003C2EC8"/>
    <w:rsid w:val="003D5FD7"/>
    <w:rsid w:val="0046797D"/>
    <w:rsid w:val="004F4BAD"/>
    <w:rsid w:val="005B380A"/>
    <w:rsid w:val="005E15FE"/>
    <w:rsid w:val="006B2CB6"/>
    <w:rsid w:val="006C2EF5"/>
    <w:rsid w:val="006F1FBF"/>
    <w:rsid w:val="00773AF0"/>
    <w:rsid w:val="008024E4"/>
    <w:rsid w:val="0084017C"/>
    <w:rsid w:val="00883CFA"/>
    <w:rsid w:val="00925941"/>
    <w:rsid w:val="00945DFB"/>
    <w:rsid w:val="00991318"/>
    <w:rsid w:val="009D14C9"/>
    <w:rsid w:val="00A566A9"/>
    <w:rsid w:val="00A739D6"/>
    <w:rsid w:val="00AD7E1A"/>
    <w:rsid w:val="00AF68C5"/>
    <w:rsid w:val="00B3136E"/>
    <w:rsid w:val="00B41FD6"/>
    <w:rsid w:val="00C0539B"/>
    <w:rsid w:val="00C24946"/>
    <w:rsid w:val="00C44DB6"/>
    <w:rsid w:val="00C74483"/>
    <w:rsid w:val="00C94345"/>
    <w:rsid w:val="00CA4BFD"/>
    <w:rsid w:val="00CD45A2"/>
    <w:rsid w:val="00CD6350"/>
    <w:rsid w:val="00CF79DE"/>
    <w:rsid w:val="00D205FF"/>
    <w:rsid w:val="00D237B2"/>
    <w:rsid w:val="00D4321A"/>
    <w:rsid w:val="00D47A7E"/>
    <w:rsid w:val="00D94D38"/>
    <w:rsid w:val="00DE1BC2"/>
    <w:rsid w:val="00DF285B"/>
    <w:rsid w:val="00DF69E4"/>
    <w:rsid w:val="00E0296A"/>
    <w:rsid w:val="00E123AA"/>
    <w:rsid w:val="00E341DC"/>
    <w:rsid w:val="00E635BF"/>
    <w:rsid w:val="00EB42B7"/>
    <w:rsid w:val="00F01A7F"/>
    <w:rsid w:val="00F2154E"/>
    <w:rsid w:val="00F41C82"/>
    <w:rsid w:val="00F6753B"/>
    <w:rsid w:val="00F84025"/>
    <w:rsid w:val="00F9187C"/>
    <w:rsid w:val="00FB6499"/>
    <w:rsid w:val="00FD3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114A1"/>
  <w15:chartTrackingRefBased/>
  <w15:docId w15:val="{C8ACA44A-093E-4D9C-8214-F95704D5F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54272">
      <w:bodyDiv w:val="1"/>
      <w:marLeft w:val="0"/>
      <w:marRight w:val="0"/>
      <w:marTop w:val="0"/>
      <w:marBottom w:val="0"/>
      <w:divBdr>
        <w:top w:val="none" w:sz="0" w:space="0" w:color="auto"/>
        <w:left w:val="none" w:sz="0" w:space="0" w:color="auto"/>
        <w:bottom w:val="none" w:sz="0" w:space="0" w:color="auto"/>
        <w:right w:val="none" w:sz="0" w:space="0" w:color="auto"/>
      </w:divBdr>
      <w:divsChild>
        <w:div w:id="16655396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858</TotalTime>
  <Pages>1</Pages>
  <Words>1232</Words>
  <Characters>7025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Ramsey</dc:creator>
  <cp:keywords/>
  <dc:description/>
  <cp:lastModifiedBy>Sean Ramsey</cp:lastModifiedBy>
  <cp:revision>21</cp:revision>
  <dcterms:created xsi:type="dcterms:W3CDTF">2022-03-30T19:23:00Z</dcterms:created>
  <dcterms:modified xsi:type="dcterms:W3CDTF">2022-04-26T15:48:00Z</dcterms:modified>
</cp:coreProperties>
</file>