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rPr>
          <w:rFonts w:ascii="Arial" w:hAnsi="Arial"/>
        </w:rPr>
      </w:pPr>
    </w:p>
    <w:p>
      <w:pPr>
        <w:pStyle w:val="Body"/>
        <w:spacing w:line="480" w:lineRule="auto"/>
        <w:jc w:val="center"/>
        <w:rPr>
          <w:rFonts w:ascii="Arial" w:cs="Arial" w:hAnsi="Arial" w:eastAsia="Arial"/>
          <w:b w:val="1"/>
          <w:bCs w:val="1"/>
          <w:sz w:val="26"/>
          <w:szCs w:val="26"/>
        </w:rPr>
      </w:pPr>
      <w:r>
        <w:rPr>
          <w:rFonts w:ascii="Arial" w:hAnsi="Arial"/>
          <w:b w:val="1"/>
          <w:bCs w:val="1"/>
          <w:sz w:val="26"/>
          <w:szCs w:val="26"/>
          <w:rtl w:val="0"/>
          <w:lang w:val="en-US"/>
        </w:rPr>
        <w:t xml:space="preserve">Chapter 1.1: Introduction </w:t>
      </w:r>
    </w:p>
    <w:p>
      <w:pPr>
        <w:pStyle w:val="Body"/>
        <w:spacing w:line="480" w:lineRule="auto"/>
        <w:rPr>
          <w:rFonts w:ascii="Arial" w:cs="Arial" w:hAnsi="Arial" w:eastAsia="Arial"/>
        </w:rPr>
      </w:pPr>
      <w:r>
        <w:rPr>
          <w:rFonts w:ascii="Arial" w:hAnsi="Arial"/>
          <w:rtl w:val="0"/>
          <w:lang w:val="en-US"/>
        </w:rPr>
        <w:t>Bullying is a significant issue affecting children, adolescents, and young adults globally</w:t>
      </w:r>
      <w:r>
        <w:rPr>
          <w:rFonts w:ascii="Arial" w:hAnsi="Arial"/>
          <w:rtl w:val="0"/>
          <w:lang w:val="en-US"/>
        </w:rPr>
        <w:t xml:space="preserve"> with</w:t>
      </w:r>
      <w:r>
        <w:rPr>
          <w:rFonts w:ascii="Arial" w:hAnsi="Arial"/>
          <w:rtl w:val="0"/>
        </w:rPr>
        <w:t xml:space="preserve"> </w:t>
      </w:r>
      <w:r>
        <w:rPr>
          <w:rFonts w:ascii="Arial" w:hAnsi="Arial"/>
          <w:rtl w:val="0"/>
          <w:lang w:val="en-US"/>
        </w:rPr>
        <w:t>bullying casting a long, dark shadows upon the victims</w:t>
      </w:r>
      <w:r>
        <w:rPr>
          <w:rFonts w:ascii="Arial" w:hAnsi="Arial" w:hint="default"/>
          <w:rtl w:val="0"/>
          <w:lang w:val="en-US"/>
        </w:rPr>
        <w:t xml:space="preserve">’ </w:t>
      </w:r>
      <w:r>
        <w:rPr>
          <w:rFonts w:ascii="Arial" w:hAnsi="Arial"/>
          <w:rtl w:val="0"/>
          <w:lang w:val="en-US"/>
        </w:rPr>
        <w:t xml:space="preserve">life. Research (Copeland et al., 2013) has extensively documented the immediate and long-term psychological impact faced by those who are victim to bullying behaviours. The victims often tend to develop serious psychological distortions, such as depression and anxiety disorders; including panic attacks and pervasive social anxiety. Additionally, it is asserted that victims self-esteem is shattered, sometimes beyond repair; leaving them insecure and with a lack of trust for those around them. Sadly, suicidal ideation and attempts are worryingly common outcomes amongst victims of bullying. On the other hand, research (Farrington &amp; Ttofi, 2011) asserts that the perpetrators of bullying tend to have struggles of their own; especially in adulthood, where they exhibiting higher rates of anti-social behaviours such as truancy, substance abuse, and general lack of respect for the law when compared to their non-bullying peers. </w:t>
      </w:r>
      <w:r>
        <w:rPr>
          <w:rFonts w:ascii="Arial" w:hAnsi="Arial"/>
          <w:rtl w:val="0"/>
          <w:lang w:val="en-US"/>
        </w:rPr>
        <w:t>Given the prevalence of bullying and it</w:t>
      </w:r>
      <w:r>
        <w:rPr>
          <w:rFonts w:ascii="Arial" w:hAnsi="Arial"/>
          <w:rtl w:val="0"/>
          <w:lang w:val="en-US"/>
        </w:rPr>
        <w:t>s</w:t>
      </w:r>
      <w:r>
        <w:rPr>
          <w:rFonts w:ascii="Arial" w:hAnsi="Arial"/>
          <w:rtl w:val="0"/>
          <w:lang w:val="pt-PT"/>
        </w:rPr>
        <w:t xml:space="preserve"> detrimental impac</w:t>
      </w:r>
      <w:r>
        <w:rPr>
          <w:rFonts w:ascii="Arial" w:hAnsi="Arial"/>
          <w:rtl w:val="0"/>
          <w:lang w:val="en-US"/>
        </w:rPr>
        <w:t xml:space="preserve">t on both the victim and perpetrators </w:t>
      </w:r>
      <w:r>
        <w:rPr>
          <w:rFonts w:ascii="Arial" w:hAnsi="Arial"/>
          <w:rtl w:val="0"/>
          <w:lang w:val="en-US"/>
        </w:rPr>
        <w:t>mental health, relationships, and development, it is imperative that we advance our understanding of this phenomenon.</w:t>
      </w:r>
      <w:r>
        <w:rPr>
          <w:rFonts w:ascii="Arial" w:hAnsi="Arial"/>
          <w:rtl w:val="0"/>
          <w:lang w:val="en-US"/>
        </w:rPr>
        <w:t xml:space="preserve"> </w:t>
      </w:r>
    </w:p>
    <w:p>
      <w:pPr>
        <w:pStyle w:val="Body"/>
        <w:spacing w:line="480" w:lineRule="auto"/>
        <w:rPr>
          <w:rFonts w:ascii="Arial" w:cs="Arial" w:hAnsi="Arial" w:eastAsia="Arial"/>
        </w:rPr>
      </w:pPr>
      <w:r>
        <w:rPr>
          <w:rFonts w:ascii="Arial" w:cs="Arial" w:hAnsi="Arial" w:eastAsia="Arial"/>
        </w:rPr>
        <w:tab/>
      </w:r>
      <w:r>
        <w:rPr>
          <w:rFonts w:ascii="Arial" w:hAnsi="Arial"/>
          <w:rtl w:val="0"/>
          <w:lang w:val="en-US"/>
        </w:rPr>
        <w:t>This study aims uncover recurring themes in undergraduate students</w:t>
      </w:r>
      <w:r>
        <w:rPr>
          <w:rFonts w:ascii="Arial" w:hAnsi="Arial" w:hint="default"/>
          <w:rtl w:val="1"/>
        </w:rPr>
        <w:t xml:space="preserve">’ </w:t>
      </w:r>
      <w:r>
        <w:rPr>
          <w:rFonts w:ascii="Arial" w:hAnsi="Arial"/>
          <w:rtl w:val="0"/>
          <w:lang w:val="en-US"/>
        </w:rPr>
        <w:t>perceptions of media representations of bullying incidents and the individuals involved.</w:t>
      </w:r>
      <w:r>
        <w:rPr>
          <w:rFonts w:ascii="Arial" w:hAnsi="Arial"/>
          <w:rtl w:val="0"/>
          <w:lang w:val="en-US"/>
        </w:rPr>
        <w:t xml:space="preserve"> Specifically, this study aims to explore how the psychology students perceive the impact of media depictions on bullying survivors and perpetrators. To do this, this study will conduct two focus groups and employ the Braun and Clarke (2006) Thematic Analysis to identify, analyse and report patterns within the dataset. The topic of bullying should be acknowledged as important research due to the aforementioned disastrous consequences to those involved. According to research into bullying within the higher education environment, it has remained relatively scarce when compared to bullying within primary and comprehensive school; even as concerns about student mental health has intensified </w:t>
      </w:r>
      <w:r>
        <w:rPr>
          <w:rFonts w:ascii="Arial" w:hAnsi="Arial"/>
          <w:rtl w:val="0"/>
          <w:lang w:val="en-US"/>
        </w:rPr>
        <w:t xml:space="preserve">(The Insight Network, 2019). </w:t>
      </w:r>
      <w:r>
        <w:rPr>
          <w:rFonts w:ascii="Arial" w:hAnsi="Arial"/>
          <w:rtl w:val="0"/>
          <w:lang w:val="en-US"/>
        </w:rPr>
        <w:t xml:space="preserve">Watts et al. (2017) argues that students in higher education are subject the higher rates of cyberbullying, with the victims of such behaviour often not reporting the incidents. It is imperative to recognise that this particular study can provide to the already existing literature on understanding of the phenomenon, which ultimately follows on to research </w:t>
      </w:r>
      <w:r>
        <w:rPr>
          <w:rFonts w:ascii="Arial" w:hAnsi="Arial"/>
          <w:rtl w:val="0"/>
          <w:lang w:val="en-US"/>
        </w:rPr>
        <w:t xml:space="preserve">efforts to tackle bullying within </w:t>
      </w:r>
      <w:r>
        <w:rPr>
          <w:rFonts w:ascii="Arial" w:hAnsi="Arial"/>
          <w:rtl w:val="0"/>
          <w:lang w:val="en-US"/>
        </w:rPr>
        <w:t>higher eduction</w:t>
      </w:r>
      <w:r>
        <w:rPr>
          <w:rFonts w:ascii="Arial" w:hAnsi="Arial"/>
          <w:rtl w:val="0"/>
        </w:rPr>
        <w:t xml:space="preserve">. </w:t>
      </w:r>
      <w:r>
        <w:rPr>
          <w:rFonts w:ascii="Arial" w:hAnsi="Arial"/>
          <w:rtl w:val="0"/>
          <w:lang w:val="en-US"/>
        </w:rPr>
        <w:t>It is evident that bullying remains prevalent from primary to university level of education, but most studies focus solely on the younger years. The proposed research will help address the imbalance and lack of research into higher education bullying. By exploring psychology students</w:t>
      </w:r>
      <w:r>
        <w:rPr>
          <w:rFonts w:ascii="Arial" w:hAnsi="Arial" w:hint="default"/>
          <w:rtl w:val="0"/>
          <w:lang w:val="en-US"/>
        </w:rPr>
        <w:t xml:space="preserve">’ </w:t>
      </w:r>
      <w:r>
        <w:rPr>
          <w:rFonts w:ascii="Arial" w:hAnsi="Arial"/>
          <w:rtl w:val="0"/>
          <w:lang w:val="en-US"/>
        </w:rPr>
        <w:t>perceptions, it provides a voice to an older demographic and allows for comparison of perceptions in order to work towards effective anti-bullying strategies.</w:t>
      </w:r>
    </w:p>
    <w:p>
      <w:pPr>
        <w:pStyle w:val="Body"/>
        <w:spacing w:line="480" w:lineRule="auto"/>
        <w:rPr>
          <w:rFonts w:ascii="Arial" w:cs="Arial" w:hAnsi="Arial" w:eastAsia="Arial"/>
        </w:rPr>
      </w:pPr>
    </w:p>
    <w:p>
      <w:pPr>
        <w:pStyle w:val="Body"/>
        <w:spacing w:line="480" w:lineRule="auto"/>
        <w:rPr>
          <w:rFonts w:ascii="Arial" w:cs="Arial" w:hAnsi="Arial" w:eastAsia="Arial"/>
        </w:rPr>
      </w:pPr>
    </w:p>
    <w:p>
      <w:pPr>
        <w:pStyle w:val="Body"/>
        <w:spacing w:line="480" w:lineRule="auto"/>
        <w:jc w:val="center"/>
        <w:rPr>
          <w:rFonts w:ascii="Arial" w:cs="Arial" w:hAnsi="Arial" w:eastAsia="Arial"/>
          <w:b w:val="1"/>
          <w:bCs w:val="1"/>
          <w:sz w:val="26"/>
          <w:szCs w:val="26"/>
        </w:rPr>
      </w:pPr>
      <w:r>
        <w:rPr>
          <w:rFonts w:ascii="Arial" w:hAnsi="Arial"/>
          <w:b w:val="1"/>
          <w:bCs w:val="1"/>
          <w:sz w:val="26"/>
          <w:szCs w:val="26"/>
          <w:rtl w:val="0"/>
          <w:lang w:val="en-US"/>
        </w:rPr>
        <w:t>1.2: Literature Review</w:t>
      </w:r>
    </w:p>
    <w:p>
      <w:pPr>
        <w:pStyle w:val="Body"/>
        <w:spacing w:line="480" w:lineRule="auto"/>
        <w:rPr>
          <w:rFonts w:ascii="Arial" w:cs="Arial" w:hAnsi="Arial" w:eastAsia="Arial"/>
        </w:rPr>
      </w:pPr>
    </w:p>
    <w:p>
      <w:pPr>
        <w:pStyle w:val="Body"/>
        <w:spacing w:line="480" w:lineRule="auto"/>
        <w:rPr>
          <w:rFonts w:ascii="Arial" w:cs="Arial" w:hAnsi="Arial" w:eastAsia="Arial"/>
        </w:rPr>
      </w:pPr>
      <w:r>
        <w:rPr>
          <w:rFonts w:ascii="Arial" w:hAnsi="Arial"/>
          <w:rtl w:val="0"/>
          <w:lang w:val="en-US"/>
        </w:rPr>
        <w:t xml:space="preserve">Renowned </w:t>
      </w:r>
      <w:r>
        <w:rPr>
          <w:rFonts w:ascii="Arial" w:hAnsi="Arial"/>
          <w:rtl w:val="0"/>
        </w:rPr>
        <w:t>psychologist</w:t>
      </w:r>
      <w:r>
        <w:rPr>
          <w:rFonts w:ascii="Arial" w:hAnsi="Arial"/>
          <w:rtl w:val="0"/>
          <w:lang w:val="en-US"/>
        </w:rPr>
        <w:t xml:space="preserve">, </w:t>
      </w:r>
      <w:r>
        <w:rPr>
          <w:rFonts w:ascii="Arial" w:hAnsi="Arial"/>
          <w:rtl w:val="0"/>
          <w:lang w:val="nl-NL"/>
        </w:rPr>
        <w:t>Dan Olweus</w:t>
      </w:r>
      <w:r>
        <w:rPr>
          <w:rFonts w:ascii="Arial" w:hAnsi="Arial"/>
          <w:rtl w:val="0"/>
          <w:lang w:val="en-US"/>
        </w:rPr>
        <w:t xml:space="preserve">, was the </w:t>
      </w:r>
      <w:r>
        <w:rPr>
          <w:rFonts w:ascii="Arial" w:hAnsi="Arial"/>
          <w:rtl w:val="0"/>
          <w:lang w:val="en-US"/>
        </w:rPr>
        <w:t xml:space="preserve">first </w:t>
      </w:r>
      <w:r>
        <w:rPr>
          <w:rFonts w:ascii="Arial" w:hAnsi="Arial"/>
          <w:rtl w:val="0"/>
          <w:lang w:val="en-US"/>
        </w:rPr>
        <w:t xml:space="preserve">to </w:t>
      </w:r>
      <w:r>
        <w:rPr>
          <w:rFonts w:ascii="Arial" w:hAnsi="Arial"/>
          <w:rtl w:val="0"/>
          <w:lang w:val="en-US"/>
        </w:rPr>
        <w:t>researc</w:t>
      </w:r>
      <w:r>
        <w:rPr>
          <w:rFonts w:ascii="Arial" w:hAnsi="Arial"/>
          <w:rtl w:val="0"/>
          <w:lang w:val="en-US"/>
        </w:rPr>
        <w:t>h</w:t>
      </w:r>
      <w:r>
        <w:rPr>
          <w:rFonts w:ascii="Arial" w:hAnsi="Arial"/>
          <w:rtl w:val="0"/>
          <w:lang w:val="en-US"/>
        </w:rPr>
        <w:t xml:space="preserve"> bullying within educational setting and is considered a pioneer in research on bullying and the victimisation of children</w:t>
      </w:r>
      <w:r>
        <w:rPr>
          <w:rFonts w:ascii="Arial" w:hAnsi="Arial"/>
          <w:rtl w:val="0"/>
          <w:lang w:val="en-US"/>
        </w:rPr>
        <w:t xml:space="preserve"> (1973; 1978). Olweus (1973;1994) </w:t>
      </w:r>
      <w:r>
        <w:rPr>
          <w:rFonts w:ascii="Arial" w:hAnsi="Arial"/>
          <w:rtl w:val="0"/>
          <w:lang w:val="en-US"/>
        </w:rPr>
        <w:t>sought to provide an overview of the current knowledge of bullying among schoolchildren. The research aimed to provide an overview of the current state of knowledge on bullying among schoolchildren, based on systematic research, and provide guidance on effective school-based interventions to address bullying</w:t>
      </w:r>
      <w:r>
        <w:rPr>
          <w:rFonts w:ascii="Arial" w:hAnsi="Arial"/>
          <w:rtl w:val="0"/>
          <w:lang w:val="en-US"/>
        </w:rPr>
        <w:t xml:space="preserve">. Olweus (1994) defines bullying as </w:t>
      </w:r>
      <w:r>
        <w:rPr>
          <w:rFonts w:ascii="Arial" w:hAnsi="Arial"/>
          <w:rtl w:val="0"/>
          <w:lang w:val="en-US"/>
        </w:rPr>
        <w:t xml:space="preserve">repeated, prolonged </w:t>
      </w:r>
      <w:r>
        <w:rPr>
          <w:rFonts w:ascii="Arial" w:hAnsi="Arial"/>
          <w:rtl w:val="0"/>
          <w:lang w:val="en-US"/>
        </w:rPr>
        <w:t>exposure to the aggressive behaviours of others. These aggressive behaviours are described by Olweus (1994) as a deliberate attempt to hurt or upset someone; including acts of physical violence, such as hitting, as well as non-physical acts such as name-calling, rude gesturing, or the intentional social exclusion of an individual. It is clear that Olweus (1994) highlights that the behaviour displayed by perpetrators of bullying have an intent to cause harm or discomfort to another person. Additionally, Olweus (1994) asserts the importance of a power dynamics, insisting that the power imbalance should be considered as inherent in the term</w:t>
      </w:r>
      <w:r>
        <w:rPr>
          <w:rFonts w:ascii="Arial" w:hAnsi="Arial" w:hint="default"/>
          <w:rtl w:val="0"/>
          <w:lang w:val="en-US"/>
        </w:rPr>
        <w:t>’</w:t>
      </w:r>
      <w:r>
        <w:rPr>
          <w:rFonts w:ascii="Arial" w:hAnsi="Arial"/>
          <w:rtl w:val="0"/>
          <w:lang w:val="en-US"/>
        </w:rPr>
        <w:t xml:space="preserve">s definition.  </w:t>
      </w:r>
      <w:r>
        <w:rPr>
          <w:rFonts w:ascii="Arial" w:hAnsi="Arial"/>
          <w:rtl w:val="0"/>
          <w:lang w:val="nl-NL"/>
        </w:rPr>
        <w:t>Olweus (1994)</w:t>
      </w:r>
      <w:r>
        <w:rPr>
          <w:rFonts w:ascii="Arial" w:hAnsi="Arial"/>
          <w:rtl w:val="0"/>
          <w:lang w:val="en-US"/>
        </w:rPr>
        <w:t xml:space="preserve"> argues that the victim has difficulty defending themselves against the repetitive abuse, which is what defines bullying from other unpleasant behaviour. Similarly, </w:t>
      </w:r>
      <w:r>
        <w:rPr>
          <w:rFonts w:ascii="Arial" w:hAnsi="Arial"/>
          <w:rtl w:val="0"/>
          <w:lang w:val="pt-PT"/>
        </w:rPr>
        <w:t>Gueri</w:t>
      </w:r>
      <w:r>
        <w:rPr>
          <w:rFonts w:ascii="Arial" w:hAnsi="Arial"/>
          <w:rtl w:val="0"/>
          <w:lang w:val="en-US"/>
        </w:rPr>
        <w:t xml:space="preserve">n and </w:t>
      </w:r>
      <w:r>
        <w:rPr>
          <w:rFonts w:ascii="Arial" w:hAnsi="Arial"/>
          <w:rtl w:val="0"/>
        </w:rPr>
        <w:t>Hennessy</w:t>
      </w:r>
      <w:r>
        <w:rPr>
          <w:rFonts w:ascii="Arial" w:hAnsi="Arial"/>
          <w:rtl w:val="0"/>
          <w:lang w:val="en-US"/>
        </w:rPr>
        <w:t xml:space="preserve"> </w:t>
      </w:r>
      <w:r>
        <w:rPr>
          <w:rFonts w:ascii="Arial" w:hAnsi="Arial"/>
          <w:rtl w:val="0"/>
        </w:rPr>
        <w:t>(2002)</w:t>
      </w:r>
      <w:r>
        <w:rPr>
          <w:rFonts w:ascii="Arial" w:hAnsi="Arial"/>
          <w:rtl w:val="0"/>
          <w:lang w:val="en-US"/>
        </w:rPr>
        <w:t xml:space="preserve"> sought the define the key features of bullying by examining primary school pupils</w:t>
      </w:r>
      <w:r>
        <w:rPr>
          <w:rFonts w:ascii="Arial" w:hAnsi="Arial" w:hint="default"/>
          <w:rtl w:val="0"/>
          <w:lang w:val="en-US"/>
        </w:rPr>
        <w:t xml:space="preserve">’ </w:t>
      </w:r>
      <w:r>
        <w:rPr>
          <w:rFonts w:ascii="Arial" w:hAnsi="Arial"/>
          <w:rtl w:val="0"/>
          <w:lang w:val="en-US"/>
        </w:rPr>
        <w:t>understanding of bullying in comparison to the definitions of bullying used throughout research. The study recruited 166 pupils within the final two grades of primary school in Ireland. Of the 166 pupils, 89 male and 77 female, all around the age of 12. The aim of the study was to explore the pupils views on the key features that are widely accepted the define bullying: n</w:t>
      </w:r>
      <w:r>
        <w:rPr>
          <w:rFonts w:ascii="Arial" w:hAnsi="Arial"/>
          <w:rtl w:val="0"/>
          <w:lang w:val="en-US"/>
        </w:rPr>
        <w:t>egative impact, imbalance of power, provocation, repetition, intent</w:t>
      </w:r>
      <w:r>
        <w:rPr>
          <w:rFonts w:ascii="Arial" w:hAnsi="Arial"/>
          <w:rtl w:val="0"/>
          <w:lang w:val="en-US"/>
        </w:rPr>
        <w:t xml:space="preserve"> (Smith &amp; Sharp, 1994; </w:t>
      </w:r>
      <w:r>
        <w:rPr>
          <w:rFonts w:ascii="Arial" w:hAnsi="Arial"/>
          <w:rtl w:val="0"/>
          <w:lang w:val="en-US"/>
        </w:rPr>
        <w:t>Stephenson &amp; Smith, 1989; Olweus,1993;</w:t>
      </w:r>
      <w:r>
        <w:rPr>
          <w:rFonts w:ascii="Arial" w:hAnsi="Arial"/>
          <w:rtl w:val="0"/>
          <w:lang w:val="en-US"/>
        </w:rPr>
        <w:t xml:space="preserve"> 1994; </w:t>
      </w:r>
      <w:r>
        <w:rPr>
          <w:rFonts w:ascii="Arial" w:hAnsi="Arial"/>
          <w:rtl w:val="0"/>
        </w:rPr>
        <w:t>1996; 1997; 1999)</w:t>
      </w:r>
      <w:r>
        <w:rPr>
          <w:rFonts w:ascii="Arial" w:hAnsi="Arial"/>
          <w:rtl w:val="0"/>
          <w:lang w:val="en-US"/>
        </w:rPr>
        <w:t>. In contrast the the aforementioned definitions of bullying, the study highlighted that pupils</w:t>
      </w:r>
      <w:r>
        <w:rPr>
          <w:rFonts w:ascii="Arial" w:hAnsi="Arial" w:hint="default"/>
          <w:rtl w:val="0"/>
          <w:lang w:val="en-US"/>
        </w:rPr>
        <w:t xml:space="preserve">’ </w:t>
      </w:r>
      <w:r>
        <w:rPr>
          <w:rFonts w:ascii="Arial" w:hAnsi="Arial"/>
          <w:rtl w:val="0"/>
          <w:lang w:val="en-US"/>
        </w:rPr>
        <w:t>perceptions did not see intent, repetition or lack of provocation as imperative in recognising a behaviour as bullying. Over half argued that behaviour shouldn</w:t>
      </w:r>
      <w:r>
        <w:rPr>
          <w:rFonts w:ascii="Arial" w:hAnsi="Arial" w:hint="default"/>
          <w:rtl w:val="0"/>
          <w:lang w:val="en-US"/>
        </w:rPr>
        <w:t>’</w:t>
      </w:r>
      <w:r>
        <w:rPr>
          <w:rFonts w:ascii="Arial" w:hAnsi="Arial"/>
          <w:rtl w:val="0"/>
          <w:lang w:val="en-US"/>
        </w:rPr>
        <w:t xml:space="preserve">t have to be repeated to be considered as bullying. Additionally, 63% asserted that intention was not important either; the pupils strongly asserted that the imperative factor is the impact upon the victim. While </w:t>
      </w:r>
      <w:r>
        <w:rPr>
          <w:rFonts w:ascii="Arial" w:hAnsi="Arial"/>
          <w:rtl w:val="0"/>
          <w:lang w:val="en-US"/>
        </w:rPr>
        <w:t>Guerin and Hennessy</w:t>
      </w:r>
      <w:r>
        <w:rPr>
          <w:rFonts w:ascii="Arial" w:hAnsi="Arial" w:hint="default"/>
          <w:rtl w:val="0"/>
          <w:lang w:val="en-US"/>
        </w:rPr>
        <w:t>’</w:t>
      </w:r>
      <w:r>
        <w:rPr>
          <w:rFonts w:ascii="Arial" w:hAnsi="Arial"/>
          <w:rtl w:val="0"/>
          <w:lang w:val="en-US"/>
        </w:rPr>
        <w:t>s</w:t>
      </w:r>
      <w:r>
        <w:rPr>
          <w:rFonts w:ascii="Arial" w:hAnsi="Arial"/>
          <w:rtl w:val="0"/>
        </w:rPr>
        <w:t xml:space="preserve"> (2002)</w:t>
      </w:r>
      <w:r>
        <w:rPr>
          <w:rFonts w:ascii="Arial" w:hAnsi="Arial"/>
          <w:rtl w:val="0"/>
          <w:lang w:val="en-US"/>
        </w:rPr>
        <w:t xml:space="preserve"> study recruited school children, male and female, all around 12 years old, Olweus</w:t>
      </w:r>
      <w:r>
        <w:rPr>
          <w:rFonts w:ascii="Arial" w:hAnsi="Arial" w:hint="default"/>
          <w:rtl w:val="0"/>
          <w:lang w:val="en-US"/>
        </w:rPr>
        <w:t>’</w:t>
      </w:r>
      <w:r>
        <w:rPr>
          <w:rFonts w:ascii="Arial" w:hAnsi="Arial"/>
          <w:rtl w:val="0"/>
          <w:lang w:val="en-US"/>
        </w:rPr>
        <w:t xml:space="preserve">s (1978) pioneer research of </w:t>
      </w:r>
      <w:r>
        <w:rPr>
          <w:rFonts w:ascii="Arial" w:hAnsi="Arial"/>
          <w:rtl w:val="0"/>
          <w:lang w:val="en-US"/>
        </w:rPr>
        <w:t>1000 boys aged 12 to 16</w:t>
      </w:r>
      <w:r>
        <w:rPr>
          <w:rFonts w:ascii="Arial" w:hAnsi="Arial"/>
          <w:rtl w:val="0"/>
          <w:lang w:val="en-US"/>
        </w:rPr>
        <w:t>. Some studies have suggested (Madsen, 1996; Smith &amp; Levan, 1995) that younger children consider a broader concept of bullying behaviours compared to children who begin to enter adolescent, and further into adulthood. Smith and Levan (1995) assert that six and seven years olds are more likely than older children to consider behaviours like fighting or shouting as bullying. In addition to this, Madsen (1996) asserts that while older participants had more nuanced definitions of bullying, younger participants have a much broader view. The research heavily argues that</w:t>
      </w:r>
      <w:r>
        <w:rPr>
          <w:rFonts w:ascii="Arial" w:hAnsi="Arial"/>
          <w:rtl w:val="0"/>
          <w:lang w:val="en-US"/>
        </w:rPr>
        <w:t xml:space="preserve"> differences between age groups</w:t>
      </w:r>
      <w:r>
        <w:rPr>
          <w:rFonts w:ascii="Arial" w:hAnsi="Arial"/>
          <w:rtl w:val="0"/>
          <w:lang w:val="en-US"/>
        </w:rPr>
        <w:t xml:space="preserve"> are important in defining bullying; </w:t>
      </w:r>
      <w:r>
        <w:rPr>
          <w:rFonts w:ascii="Arial" w:hAnsi="Arial"/>
          <w:rtl w:val="0"/>
          <w:lang w:val="en-US"/>
        </w:rPr>
        <w:t>with younger children using a more expansive definition that did not require repetitive harmful actions or intent</w:t>
      </w:r>
      <w:r>
        <w:rPr>
          <w:rFonts w:ascii="Arial" w:hAnsi="Arial"/>
          <w:rtl w:val="0"/>
          <w:lang w:val="en-US"/>
        </w:rPr>
        <w:t>, and o</w:t>
      </w:r>
      <w:r>
        <w:rPr>
          <w:rFonts w:ascii="Arial" w:hAnsi="Arial"/>
          <w:rtl w:val="0"/>
          <w:lang w:val="da-DK"/>
        </w:rPr>
        <w:t xml:space="preserve">lder </w:t>
      </w:r>
      <w:r>
        <w:rPr>
          <w:rFonts w:ascii="Arial" w:hAnsi="Arial"/>
          <w:rtl w:val="0"/>
          <w:lang w:val="en-US"/>
        </w:rPr>
        <w:t xml:space="preserve">individuals had </w:t>
      </w:r>
      <w:r>
        <w:rPr>
          <w:rFonts w:ascii="Arial" w:hAnsi="Arial"/>
          <w:rtl w:val="0"/>
          <w:lang w:val="en-US"/>
        </w:rPr>
        <w:t xml:space="preserve">definitions that </w:t>
      </w:r>
      <w:r>
        <w:rPr>
          <w:rFonts w:ascii="Arial" w:hAnsi="Arial"/>
          <w:rtl w:val="0"/>
          <w:lang w:val="en-US"/>
        </w:rPr>
        <w:t>emphasised</w:t>
      </w:r>
      <w:r>
        <w:rPr>
          <w:rFonts w:ascii="Arial" w:hAnsi="Arial"/>
          <w:rtl w:val="0"/>
          <w:lang w:val="en-US"/>
        </w:rPr>
        <w:t xml:space="preserve"> repetition and </w:t>
      </w:r>
      <w:r>
        <w:rPr>
          <w:rFonts w:ascii="Arial" w:hAnsi="Arial"/>
          <w:rtl w:val="0"/>
          <w:lang w:val="en-US"/>
        </w:rPr>
        <w:t>the potential for detrimental impact more.</w:t>
      </w:r>
    </w:p>
    <w:p>
      <w:pPr>
        <w:pStyle w:val="Body"/>
        <w:spacing w:line="480" w:lineRule="auto"/>
        <w:rPr>
          <w:rFonts w:ascii="Arial" w:cs="Arial" w:hAnsi="Arial" w:eastAsia="Arial"/>
        </w:rPr>
      </w:pPr>
      <w:r>
        <w:rPr>
          <w:rFonts w:ascii="Arial" w:cs="Arial" w:hAnsi="Arial" w:eastAsia="Arial"/>
          <w:rtl w:val="0"/>
          <w:lang w:val="en-US"/>
        </w:rPr>
        <w:tab/>
        <w:t>Attitudes towards bullying can change drastically over time, therefore understanding how different age groups</w:t>
      </w:r>
      <w:r>
        <w:rPr>
          <w:rFonts w:ascii="Arial" w:hAnsi="Arial" w:hint="default"/>
          <w:rtl w:val="0"/>
          <w:lang w:val="en-US"/>
        </w:rPr>
        <w:t xml:space="preserve">’ </w:t>
      </w:r>
      <w:r>
        <w:rPr>
          <w:rFonts w:ascii="Arial" w:hAnsi="Arial"/>
          <w:rtl w:val="0"/>
          <w:lang w:val="en-US"/>
        </w:rPr>
        <w:t xml:space="preserve">perceptions and opinions of bullying is imperative in research. </w:t>
      </w:r>
      <w:r>
        <w:rPr>
          <w:rFonts w:ascii="Arial" w:hAnsi="Arial"/>
          <w:rtl w:val="0"/>
          <w:lang w:val="de-DE"/>
        </w:rPr>
        <w:t>Hellstr</w:t>
      </w:r>
      <w:r>
        <w:rPr>
          <w:rFonts w:ascii="Arial" w:hAnsi="Arial" w:hint="default"/>
          <w:rtl w:val="0"/>
          <w:lang w:val="sv-SE"/>
        </w:rPr>
        <w:t>ö</w:t>
      </w:r>
      <w:r>
        <w:rPr>
          <w:rFonts w:ascii="Arial" w:hAnsi="Arial"/>
          <w:rtl w:val="0"/>
        </w:rPr>
        <w:t>m</w:t>
      </w:r>
      <w:r>
        <w:rPr>
          <w:rFonts w:ascii="Arial" w:hAnsi="Arial"/>
          <w:rtl w:val="0"/>
          <w:lang w:val="en-US"/>
        </w:rPr>
        <w:t xml:space="preserve"> et al. (</w:t>
      </w:r>
      <w:r>
        <w:rPr>
          <w:rFonts w:ascii="Arial" w:hAnsi="Arial"/>
          <w:rtl w:val="0"/>
        </w:rPr>
        <w:t>2015)</w:t>
      </w:r>
      <w:r>
        <w:rPr>
          <w:rFonts w:ascii="Arial" w:hAnsi="Arial"/>
          <w:rtl w:val="0"/>
          <w:lang w:val="en-US"/>
        </w:rPr>
        <w:t xml:space="preserve"> sought to explore how adolescent students</w:t>
      </w:r>
      <w:r>
        <w:rPr>
          <w:rFonts w:ascii="Arial" w:hAnsi="Arial" w:hint="default"/>
          <w:rtl w:val="0"/>
          <w:lang w:val="en-US"/>
        </w:rPr>
        <w:t xml:space="preserve">’ </w:t>
      </w:r>
      <w:r>
        <w:rPr>
          <w:rFonts w:ascii="Arial" w:hAnsi="Arial"/>
          <w:rtl w:val="0"/>
          <w:lang w:val="en-US"/>
        </w:rPr>
        <w:t xml:space="preserve">perceptions of bullying differences across age and gender, by recruiting </w:t>
      </w:r>
      <w:r>
        <w:rPr>
          <w:rFonts w:ascii="Arial" w:hAnsi="Arial"/>
          <w:rtl w:val="0"/>
          <w:lang w:val="en-US"/>
        </w:rPr>
        <w:t>128 participants aged 13 or 15 from two school</w:t>
      </w:r>
      <w:r>
        <w:rPr>
          <w:rFonts w:ascii="Arial" w:hAnsi="Arial"/>
          <w:rtl w:val="0"/>
          <w:lang w:val="en-US"/>
        </w:rPr>
        <w:t>s</w:t>
      </w:r>
      <w:r>
        <w:rPr>
          <w:rFonts w:ascii="Arial" w:hAnsi="Arial"/>
          <w:rtl w:val="0"/>
        </w:rPr>
        <w:t>.</w:t>
      </w:r>
      <w:r>
        <w:rPr>
          <w:rFonts w:ascii="Arial" w:hAnsi="Arial"/>
          <w:rtl w:val="0"/>
          <w:lang w:val="en-US"/>
        </w:rPr>
        <w:t xml:space="preserve"> </w:t>
      </w:r>
      <w:r>
        <w:rPr>
          <w:rFonts w:ascii="Arial" w:hAnsi="Arial"/>
          <w:rtl w:val="0"/>
          <w:lang w:val="en-US"/>
        </w:rPr>
        <w:t>This study utilised a mixed-methods approach, using both a questionnaire and a focus group to gather results. The questionnaire aimed to examine how students of different genders and age groups perceive and define different bullying behaviours. Specifically, it compared the perspectives of 13-year-olds versus 15-year-olds, as well as males versus females. The focus group complemented this by gathering descriptive data on how adolescents generally view and define bullying based on their own personal experiences.</w:t>
      </w:r>
      <w:r>
        <w:rPr>
          <w:rFonts w:ascii="Arial" w:hAnsi="Arial"/>
          <w:rtl w:val="0"/>
          <w:lang w:val="en-US"/>
        </w:rPr>
        <w:t xml:space="preserve"> </w:t>
      </w:r>
      <w:r>
        <w:rPr>
          <w:rFonts w:ascii="Arial" w:hAnsi="Arial"/>
          <w:rtl w:val="0"/>
          <w:lang w:val="en-US"/>
        </w:rPr>
        <w:t xml:space="preserve">The questionnaire results suggested that 15-year-old students and female students tended to have a more inclusive perspective, recognising a broader range of behaviours as bullying compared to 13-year-olds and males. For example, older students showed a particular focus on identifying social exclusion as a form of bullying. The focus group highlighted the difficulty adolescents face in deciphering when a behaviour crosses the line to become bullying. Participants focused less on traditional definitive criteria for bullying like repetition and power imbalance, but rather emphasised the negative impacts of behaviours when deciding if the label "bullying" applies. </w:t>
      </w:r>
    </w:p>
    <w:p>
      <w:pPr>
        <w:pStyle w:val="Body"/>
        <w:spacing w:line="480" w:lineRule="auto"/>
        <w:rPr>
          <w:rFonts w:ascii="Arial" w:cs="Arial" w:hAnsi="Arial" w:eastAsia="Arial"/>
        </w:rPr>
      </w:pPr>
      <w:r>
        <w:rPr>
          <w:rFonts w:ascii="Arial" w:cs="Arial" w:hAnsi="Arial" w:eastAsia="Arial"/>
          <w:rtl w:val="0"/>
          <w:lang w:val="en-US"/>
        </w:rPr>
        <w:tab/>
        <w:t>To understand the multifaceted nature of bullying behaviour it is imperative to recognise the diverse types of bullying. Wang et al. (2009) sought to examine four types of bullying: physical, verbal, relational and cyber. The research asserts physical bullying as infliction of bodily harm, verbal bullying as the deployment of hurtful language to diminish another</w:t>
      </w:r>
      <w:r>
        <w:rPr>
          <w:rFonts w:ascii="Arial" w:hAnsi="Arial" w:hint="default"/>
          <w:rtl w:val="0"/>
          <w:lang w:val="en-US"/>
        </w:rPr>
        <w:t>’</w:t>
      </w:r>
      <w:r>
        <w:rPr>
          <w:rFonts w:ascii="Arial" w:hAnsi="Arial"/>
          <w:rtl w:val="0"/>
          <w:lang w:val="en-US"/>
        </w:rPr>
        <w:t xml:space="preserve">s esteem, relational bullying as social exclusion or defamation, and cyberbullying as the utilisation of technology to perpetrate harm. The research analysed 7,182 United States students, with a mean age of 14.3 years of age, data from the 2005/2006 Health Behaviour in School-age Children (HBSC; Roberts et al., 2007) and utilised the revised Olweus Bully/Victim Questionnaire to measure physical, verbal, relational and cyberbullying involvement and victimisation. Wang et al. (2009) asserts that there was a high prevalence of involvement in both bullying perpetration and victimisation across all forms measured. It is imperative to recognise that the research suggests that cyberbullying appeared distinct in nature when compared to </w:t>
      </w:r>
      <w:r>
        <w:rPr>
          <w:rFonts w:ascii="Arial" w:hAnsi="Arial" w:hint="default"/>
          <w:rtl w:val="0"/>
          <w:lang w:val="en-US"/>
        </w:rPr>
        <w:t>‘</w:t>
      </w:r>
      <w:r>
        <w:rPr>
          <w:rFonts w:ascii="Arial" w:hAnsi="Arial"/>
          <w:rtl w:val="0"/>
          <w:lang w:val="en-US"/>
        </w:rPr>
        <w:t>traditional</w:t>
      </w:r>
      <w:r>
        <w:rPr>
          <w:rFonts w:ascii="Arial" w:hAnsi="Arial" w:hint="default"/>
          <w:rtl w:val="0"/>
          <w:lang w:val="en-US"/>
        </w:rPr>
        <w:t xml:space="preserve">’ </w:t>
      </w:r>
      <w:r>
        <w:rPr>
          <w:rFonts w:ascii="Arial" w:hAnsi="Arial"/>
          <w:rtl w:val="0"/>
          <w:lang w:val="en-US"/>
        </w:rPr>
        <w:t xml:space="preserve">forms of bullying. </w:t>
      </w:r>
    </w:p>
    <w:p>
      <w:pPr>
        <w:pStyle w:val="Body"/>
        <w:spacing w:line="480" w:lineRule="auto"/>
        <w:rPr>
          <w:rFonts w:ascii="Arial" w:cs="Arial" w:hAnsi="Arial" w:eastAsia="Arial"/>
        </w:rPr>
      </w:pPr>
      <w:r>
        <w:rPr>
          <w:rFonts w:ascii="Arial" w:cs="Arial" w:hAnsi="Arial" w:eastAsia="Arial"/>
          <w:rtl w:val="0"/>
          <w:lang w:val="en-US"/>
        </w:rPr>
        <w:tab/>
        <w:t xml:space="preserve">For the purpose of this research study, cyber bullying will be considered as just as valid as </w:t>
      </w:r>
      <w:r>
        <w:rPr>
          <w:rFonts w:ascii="Arial" w:hAnsi="Arial" w:hint="default"/>
          <w:rtl w:val="0"/>
          <w:lang w:val="en-US"/>
        </w:rPr>
        <w:t>‘</w:t>
      </w:r>
      <w:r>
        <w:rPr>
          <w:rFonts w:ascii="Arial" w:hAnsi="Arial"/>
          <w:rtl w:val="0"/>
          <w:lang w:val="en-US"/>
        </w:rPr>
        <w:t>traditional</w:t>
      </w:r>
      <w:r>
        <w:rPr>
          <w:rFonts w:ascii="Arial" w:hAnsi="Arial" w:hint="default"/>
          <w:rtl w:val="0"/>
          <w:lang w:val="en-US"/>
        </w:rPr>
        <w:t xml:space="preserve">’ </w:t>
      </w:r>
      <w:r>
        <w:rPr>
          <w:rFonts w:ascii="Arial" w:hAnsi="Arial"/>
          <w:rtl w:val="0"/>
          <w:lang w:val="en-US"/>
        </w:rPr>
        <w:t>forms of bullying as the technology enables damaging bullying and harassment within higher education due to its covert nature; allowing for perpetrators to disguise their actions (Harrison et al., 2022). A qualitative thematic analysis of  40 undergraduate United Kingdom university students from 17 university. The study utilised semi-structured questions on defining, experiencing and witnessing bullying via one online focus group (N=34) and one in-person group (N=6). Students</w:t>
      </w:r>
      <w:r>
        <w:rPr>
          <w:rFonts w:ascii="Arial" w:hAnsi="Arial" w:hint="default"/>
          <w:rtl w:val="0"/>
          <w:lang w:val="en-US"/>
        </w:rPr>
        <w:t xml:space="preserve">’ </w:t>
      </w:r>
      <w:r>
        <w:rPr>
          <w:rFonts w:ascii="Arial" w:hAnsi="Arial"/>
          <w:rtl w:val="0"/>
          <w:lang w:val="en-US"/>
        </w:rPr>
        <w:t>perceptions and experiences of bullying identified that higher education bullying shares a striking resemblance to schoolyard bullying, verbal abuse or social exclusion. However, the research asserts a resemblance to romantic relationship abuse such as, sexual harassment or controlling behaviour. Additionally, it is suggested that power imbalance should be seen as the central element in higher education bullying, related to systemic inequality and social hierarchy. Furthermore, questions related to witnessing bullying asserted that bystanders attempted to justify non-intervention by belittling the situation, or blaming victims; allowing bullying to persist with the higher education environment.</w:t>
      </w:r>
    </w:p>
    <w:p>
      <w:pPr>
        <w:pStyle w:val="Default"/>
        <w:bidi w:val="0"/>
        <w:spacing w:before="0" w:line="480" w:lineRule="auto"/>
        <w:ind w:left="0" w:right="0" w:firstLine="0"/>
        <w:jc w:val="left"/>
        <w:rPr>
          <w:rFonts w:ascii="Arial" w:cs="Arial" w:hAnsi="Arial" w:eastAsia="Arial"/>
          <w:i w:val="1"/>
          <w:iCs w:val="1"/>
          <w:outline w:val="0"/>
          <w:color w:val="b41700"/>
          <w:sz w:val="26"/>
          <w:szCs w:val="26"/>
          <w:shd w:val="clear" w:color="auto" w:fill="ffffff"/>
          <w:rtl w:val="0"/>
          <w14:textFill>
            <w14:solidFill>
              <w14:srgbClr w14:val="B51700"/>
            </w14:solidFill>
          </w14:textFill>
        </w:rPr>
      </w:pPr>
      <w:r>
        <w:rPr>
          <w:rFonts w:ascii="Arial" w:cs="Arial" w:hAnsi="Arial" w:eastAsia="Arial"/>
          <w:outline w:val="0"/>
          <w:color w:val="222222"/>
          <w:sz w:val="22"/>
          <w:szCs w:val="22"/>
          <w:shd w:val="clear" w:color="auto" w:fill="ffffff"/>
          <w:rtl w:val="0"/>
          <w14:textFill>
            <w14:solidFill>
              <w14:srgbClr w14:val="222222"/>
            </w14:solidFill>
          </w14:textFill>
        </w:rPr>
        <w:tab/>
      </w:r>
      <w:r>
        <w:rPr>
          <w:rFonts w:ascii="Arial" w:hAnsi="Arial"/>
          <w:outline w:val="0"/>
          <w:color w:val="222222"/>
          <w:sz w:val="22"/>
          <w:szCs w:val="22"/>
          <w:shd w:val="clear" w:color="auto" w:fill="ffffff"/>
          <w:rtl w:val="0"/>
          <w:lang w:val="nl-NL"/>
          <w14:textFill>
            <w14:solidFill>
              <w14:srgbClr w14:val="222222"/>
            </w14:solidFill>
          </w14:textFill>
        </w:rPr>
        <w:t>Biswas</w:t>
      </w:r>
      <w:r>
        <w:rPr>
          <w:rFonts w:ascii="Arial" w:hAnsi="Arial"/>
          <w:outline w:val="0"/>
          <w:color w:val="222222"/>
          <w:sz w:val="22"/>
          <w:szCs w:val="22"/>
          <w:shd w:val="clear" w:color="auto" w:fill="ffffff"/>
          <w:rtl w:val="0"/>
          <w:lang w:val="en-US"/>
          <w14:textFill>
            <w14:solidFill>
              <w14:srgbClr w14:val="222222"/>
            </w14:solidFill>
          </w14:textFill>
        </w:rPr>
        <w:t xml:space="preserve"> et al. (2020) identified that a clear gap within the literature and research surrounding the prevalence of bullying within the educational setting; with the majority research directly relating to high-income countries (HICs), compared to the limited data from low-to-middle-income countries (LMICs). Biswas et al. (2020) </w:t>
      </w:r>
      <w:r>
        <w:rPr>
          <w:rFonts w:ascii="Arial" w:hAnsi="Arial"/>
          <w:outline w:val="0"/>
          <w:color w:val="222222"/>
          <w:sz w:val="22"/>
          <w:szCs w:val="22"/>
          <w:shd w:val="clear" w:color="auto" w:fill="ffffff"/>
          <w:rtl w:val="0"/>
          <w:lang w:val="en-US"/>
          <w14:textFill>
            <w14:solidFill>
              <w14:srgbClr w14:val="222222"/>
            </w14:solidFill>
          </w14:textFill>
        </w:rPr>
        <w:t xml:space="preserve">sought to </w:t>
      </w:r>
      <w:r>
        <w:rPr>
          <w:rFonts w:ascii="Arial" w:hAnsi="Arial"/>
          <w:outline w:val="0"/>
          <w:color w:val="222222"/>
          <w:sz w:val="22"/>
          <w:szCs w:val="22"/>
          <w:shd w:val="clear" w:color="auto" w:fill="ffffff"/>
          <w:rtl w:val="0"/>
          <w:lang w:val="en-US"/>
          <w14:textFill>
            <w14:solidFill>
              <w14:srgbClr w14:val="222222"/>
            </w14:solidFill>
          </w14:textFill>
        </w:rPr>
        <w:t>highlight</w:t>
      </w:r>
      <w:r>
        <w:rPr>
          <w:rFonts w:ascii="Arial" w:hAnsi="Arial"/>
          <w:outline w:val="0"/>
          <w:color w:val="222222"/>
          <w:sz w:val="22"/>
          <w:szCs w:val="22"/>
          <w:shd w:val="clear" w:color="auto" w:fill="ffffff"/>
          <w:rtl w:val="0"/>
          <w:lang w:val="en-US"/>
          <w14:textFill>
            <w14:solidFill>
              <w14:srgbClr w14:val="222222"/>
            </w14:solidFill>
          </w14:textFill>
        </w:rPr>
        <w:t xml:space="preserve"> these gaps by providing a comprehensive overview of the global prevalence of bullying and </w:t>
      </w:r>
      <w:r>
        <w:rPr>
          <w:rFonts w:ascii="Arial" w:hAnsi="Arial"/>
          <w:outline w:val="0"/>
          <w:color w:val="222222"/>
          <w:sz w:val="22"/>
          <w:szCs w:val="22"/>
          <w:shd w:val="clear" w:color="auto" w:fill="ffffff"/>
          <w:rtl w:val="0"/>
          <w:lang w:val="en-US"/>
          <w14:textFill>
            <w14:solidFill>
              <w14:srgbClr w14:val="222222"/>
            </w14:solidFill>
          </w14:textFill>
        </w:rPr>
        <w:t xml:space="preserve">analyse </w:t>
      </w:r>
      <w:r>
        <w:rPr>
          <w:rFonts w:ascii="Arial" w:hAnsi="Arial"/>
          <w:outline w:val="0"/>
          <w:color w:val="222222"/>
          <w:sz w:val="22"/>
          <w:szCs w:val="22"/>
          <w:shd w:val="clear" w:color="auto" w:fill="ffffff"/>
          <w:rtl w:val="0"/>
          <w:lang w:val="en-US"/>
          <w14:textFill>
            <w14:solidFill>
              <w14:srgbClr w14:val="222222"/>
            </w14:solidFill>
          </w14:textFill>
        </w:rPr>
        <w:t xml:space="preserve">the </w:t>
      </w:r>
      <w:r>
        <w:rPr>
          <w:rFonts w:ascii="Arial" w:hAnsi="Arial"/>
          <w:outline w:val="0"/>
          <w:color w:val="222222"/>
          <w:sz w:val="22"/>
          <w:szCs w:val="22"/>
          <w:shd w:val="clear" w:color="auto" w:fill="ffffff"/>
          <w:rtl w:val="0"/>
          <w:lang w:val="en-US"/>
          <w14:textFill>
            <w14:solidFill>
              <w14:srgbClr w14:val="222222"/>
            </w14:solidFill>
          </w14:textFill>
        </w:rPr>
        <w:t xml:space="preserve">importance of </w:t>
      </w:r>
      <w:r>
        <w:rPr>
          <w:rFonts w:ascii="Arial" w:hAnsi="Arial"/>
          <w:outline w:val="0"/>
          <w:color w:val="222222"/>
          <w:sz w:val="22"/>
          <w:szCs w:val="22"/>
          <w:shd w:val="clear" w:color="auto" w:fill="ffffff"/>
          <w:rtl w:val="0"/>
          <w:lang w:val="en-US"/>
          <w14:textFill>
            <w14:solidFill>
              <w14:srgbClr w14:val="222222"/>
            </w14:solidFill>
          </w14:textFill>
        </w:rPr>
        <w:t>relationship</w:t>
      </w:r>
      <w:r>
        <w:rPr>
          <w:rFonts w:ascii="Arial" w:hAnsi="Arial"/>
          <w:outline w:val="0"/>
          <w:color w:val="222222"/>
          <w:sz w:val="22"/>
          <w:szCs w:val="22"/>
          <w:shd w:val="clear" w:color="auto" w:fill="ffffff"/>
          <w:rtl w:val="0"/>
          <w:lang w:val="en-US"/>
          <w14:textFill>
            <w14:solidFill>
              <w14:srgbClr w14:val="222222"/>
            </w14:solidFill>
          </w14:textFill>
        </w:rPr>
        <w:t>s</w:t>
      </w:r>
      <w:r>
        <w:rPr>
          <w:rFonts w:ascii="Arial" w:hAnsi="Arial"/>
          <w:outline w:val="0"/>
          <w:color w:val="222222"/>
          <w:sz w:val="22"/>
          <w:szCs w:val="22"/>
          <w:shd w:val="clear" w:color="auto" w:fill="ffffff"/>
          <w:rtl w:val="0"/>
          <w:lang w:val="en-US"/>
          <w14:textFill>
            <w14:solidFill>
              <w14:srgbClr w14:val="222222"/>
            </w14:solidFill>
          </w14:textFill>
        </w:rPr>
        <w:t xml:space="preserve"> with peer</w:t>
      </w:r>
      <w:r>
        <w:rPr>
          <w:rFonts w:ascii="Arial" w:hAnsi="Arial"/>
          <w:outline w:val="0"/>
          <w:color w:val="222222"/>
          <w:sz w:val="22"/>
          <w:szCs w:val="22"/>
          <w:shd w:val="clear" w:color="auto" w:fill="ffffff"/>
          <w:rtl w:val="0"/>
          <w:lang w:val="en-US"/>
          <w14:textFill>
            <w14:solidFill>
              <w14:srgbClr w14:val="222222"/>
            </w14:solidFill>
          </w14:textFill>
        </w:rPr>
        <w:t xml:space="preserve">s or </w:t>
      </w:r>
      <w:r>
        <w:rPr>
          <w:rFonts w:ascii="Arial" w:hAnsi="Arial"/>
          <w:outline w:val="0"/>
          <w:color w:val="222222"/>
          <w:sz w:val="22"/>
          <w:szCs w:val="22"/>
          <w:shd w:val="clear" w:color="auto" w:fill="ffffff"/>
          <w:rtl w:val="0"/>
          <w:lang w:val="it-IT"/>
          <w14:textFill>
            <w14:solidFill>
              <w14:srgbClr w14:val="222222"/>
            </w14:solidFill>
          </w14:textFill>
        </w:rPr>
        <w:t>parental support</w:t>
      </w:r>
      <w:r>
        <w:rPr>
          <w:rFonts w:ascii="Arial" w:hAnsi="Arial"/>
          <w:outline w:val="0"/>
          <w:color w:val="222222"/>
          <w:sz w:val="22"/>
          <w:szCs w:val="22"/>
          <w:shd w:val="clear" w:color="auto" w:fill="ffffff"/>
          <w:rtl w:val="0"/>
          <w:lang w:val="en-US"/>
          <w14:textFill>
            <w14:solidFill>
              <w14:srgbClr w14:val="222222"/>
            </w14:solidFill>
          </w14:textFill>
        </w:rPr>
        <w:t xml:space="preserve"> by </w:t>
      </w:r>
      <w:r>
        <w:rPr>
          <w:rFonts w:ascii="Arial" w:hAnsi="Arial"/>
          <w:outline w:val="0"/>
          <w:color w:val="222222"/>
          <w:sz w:val="22"/>
          <w:szCs w:val="22"/>
          <w:shd w:val="clear" w:color="auto" w:fill="ffffff"/>
          <w:rtl w:val="0"/>
          <w:lang w:val="en-US"/>
          <w14:textFill>
            <w14:solidFill>
              <w14:srgbClr w14:val="222222"/>
            </w14:solidFill>
          </w14:textFill>
        </w:rPr>
        <w:t>using data from 83 countries.</w:t>
      </w:r>
      <w:r>
        <w:rPr>
          <w:rFonts w:ascii="Arial" w:hAnsi="Arial"/>
          <w:outline w:val="0"/>
          <w:color w:val="222222"/>
          <w:sz w:val="22"/>
          <w:szCs w:val="22"/>
          <w:shd w:val="clear" w:color="auto" w:fill="ffffff"/>
          <w:rtl w:val="0"/>
          <w:lang w:val="en-US"/>
          <w14:textFill>
            <w14:solidFill>
              <w14:srgbClr w14:val="222222"/>
            </w14:solidFill>
          </w14:textFill>
        </w:rPr>
        <w:t xml:space="preserve"> This </w:t>
      </w:r>
      <w:r>
        <w:rPr>
          <w:rFonts w:ascii="Arial" w:hAnsi="Arial"/>
          <w:outline w:val="0"/>
          <w:color w:val="222222"/>
          <w:sz w:val="22"/>
          <w:szCs w:val="22"/>
          <w:shd w:val="clear" w:color="auto" w:fill="ffffff"/>
          <w:rtl w:val="0"/>
          <w:lang w:val="en-US"/>
          <w14:textFill>
            <w14:solidFill>
              <w14:srgbClr w14:val="222222"/>
            </w14:solidFill>
          </w14:textFill>
        </w:rPr>
        <w:t>global cross-sectional study utilised data from the Global School-based Student Health Survey (GSHS) collected between 2003 and 2015. The GSHS surveys adolescent students aged 12-17 years on various health indicators, including bullying victimisation, using a two-stage cluster sampling method to obtain nationally representative samples. Biswas et al. (2020)</w:t>
      </w:r>
      <w:r>
        <w:rPr>
          <w:rFonts w:ascii="Arial" w:hAnsi="Arial"/>
          <w:outline w:val="0"/>
          <w:color w:val="222222"/>
          <w:sz w:val="22"/>
          <w:szCs w:val="22"/>
          <w:shd w:val="clear" w:color="auto" w:fill="ffffff"/>
          <w:rtl w:val="0"/>
          <w:lang w:val="en-US"/>
          <w14:textFill>
            <w14:solidFill>
              <w14:srgbClr w14:val="222222"/>
            </w14:solidFill>
          </w14:textFill>
        </w:rPr>
        <w:t xml:space="preserve"> analysed </w:t>
      </w:r>
      <w:r>
        <w:rPr>
          <w:rFonts w:ascii="Arial" w:hAnsi="Arial"/>
          <w:outline w:val="0"/>
          <w:color w:val="222222"/>
          <w:sz w:val="22"/>
          <w:szCs w:val="22"/>
          <w:shd w:val="clear" w:color="auto" w:fill="ffffff"/>
          <w:rtl w:val="0"/>
          <w:lang w:val="en-US"/>
          <w14:textFill>
            <w14:solidFill>
              <w14:srgbClr w14:val="222222"/>
            </w14:solidFill>
          </w14:textFill>
        </w:rPr>
        <w:t xml:space="preserve">317,869 adolescents from 83 countries spanning low-to-high income levels. The sample was 48% male and 52% female with a mean age of 14.6 years. </w:t>
      </w:r>
      <w:r>
        <w:rPr>
          <w:rFonts w:ascii="Arial" w:hAnsi="Arial"/>
          <w:outline w:val="0"/>
          <w:color w:val="222222"/>
          <w:sz w:val="22"/>
          <w:szCs w:val="22"/>
          <w:shd w:val="clear" w:color="auto" w:fill="ffffff"/>
          <w:rtl w:val="0"/>
          <w:lang w:val="en-US"/>
          <w14:textFill>
            <w14:solidFill>
              <w14:srgbClr w14:val="222222"/>
            </w14:solidFill>
          </w14:textFill>
        </w:rPr>
        <w:t>In order to measure b</w:t>
      </w:r>
      <w:r>
        <w:rPr>
          <w:rFonts w:ascii="Arial" w:hAnsi="Arial"/>
          <w:outline w:val="0"/>
          <w:color w:val="222222"/>
          <w:sz w:val="22"/>
          <w:szCs w:val="22"/>
          <w:shd w:val="clear" w:color="auto" w:fill="ffffff"/>
          <w:rtl w:val="0"/>
          <w:lang w:val="en-US"/>
          <w14:textFill>
            <w14:solidFill>
              <w14:srgbClr w14:val="222222"/>
            </w14:solidFill>
          </w14:textFill>
        </w:rPr>
        <w:t xml:space="preserve">ullying </w:t>
      </w:r>
      <w:r>
        <w:rPr>
          <w:rFonts w:ascii="Arial" w:hAnsi="Arial"/>
          <w:outline w:val="0"/>
          <w:color w:val="222222"/>
          <w:sz w:val="22"/>
          <w:szCs w:val="22"/>
          <w:shd w:val="clear" w:color="auto" w:fill="ffffff"/>
          <w:rtl w:val="0"/>
          <w:lang w:val="en-US"/>
          <w14:textFill>
            <w14:solidFill>
              <w14:srgbClr w14:val="222222"/>
            </w14:solidFill>
          </w14:textFill>
        </w:rPr>
        <w:t xml:space="preserve">victimisation. A </w:t>
      </w:r>
      <w:r>
        <w:rPr>
          <w:rFonts w:ascii="Arial" w:hAnsi="Arial"/>
          <w:outline w:val="0"/>
          <w:color w:val="222222"/>
          <w:sz w:val="22"/>
          <w:szCs w:val="22"/>
          <w:shd w:val="clear" w:color="auto" w:fill="ffffff"/>
          <w:rtl w:val="0"/>
          <w:lang w:val="en-US"/>
          <w14:textFill>
            <w14:solidFill>
              <w14:srgbClr w14:val="222222"/>
            </w14:solidFill>
          </w14:textFill>
        </w:rPr>
        <w:t>self-report</w:t>
      </w:r>
      <w:r>
        <w:rPr>
          <w:rFonts w:ascii="Arial" w:hAnsi="Arial"/>
          <w:outline w:val="0"/>
          <w:color w:val="222222"/>
          <w:sz w:val="22"/>
          <w:szCs w:val="22"/>
          <w:shd w:val="clear" w:color="auto" w:fill="ffffff"/>
          <w:rtl w:val="0"/>
          <w:lang w:val="en-US"/>
          <w14:textFill>
            <w14:solidFill>
              <w14:srgbClr w14:val="222222"/>
            </w14:solidFill>
          </w14:textFill>
        </w:rPr>
        <w:t xml:space="preserve"> was adopted; measuring</w:t>
      </w:r>
      <w:r>
        <w:rPr>
          <w:rFonts w:ascii="Arial" w:hAnsi="Arial"/>
          <w:outline w:val="0"/>
          <w:color w:val="222222"/>
          <w:sz w:val="22"/>
          <w:szCs w:val="22"/>
          <w:shd w:val="clear" w:color="auto" w:fill="ffffff"/>
          <w:rtl w:val="0"/>
          <w14:textFill>
            <w14:solidFill>
              <w14:srgbClr w14:val="222222"/>
            </w14:solidFill>
          </w14:textFill>
        </w:rPr>
        <w:t xml:space="preserve"> </w:t>
      </w:r>
      <w:r>
        <w:rPr>
          <w:rFonts w:ascii="Arial" w:hAnsi="Arial"/>
          <w:outline w:val="0"/>
          <w:color w:val="222222"/>
          <w:sz w:val="22"/>
          <w:szCs w:val="22"/>
          <w:shd w:val="clear" w:color="auto" w:fill="ffffff"/>
          <w:rtl w:val="0"/>
          <w:lang w:val="en-US"/>
          <w14:textFill>
            <w14:solidFill>
              <w14:srgbClr w14:val="222222"/>
            </w14:solidFill>
          </w14:textFill>
        </w:rPr>
        <w:t xml:space="preserve">incidents of bullying at </w:t>
      </w:r>
      <w:r>
        <w:rPr>
          <w:rFonts w:ascii="Arial" w:hAnsi="Arial"/>
          <w:outline w:val="0"/>
          <w:color w:val="222222"/>
          <w:sz w:val="22"/>
          <w:szCs w:val="22"/>
          <w:shd w:val="clear" w:color="auto" w:fill="ffffff"/>
          <w:rtl w:val="0"/>
          <w:lang w:val="en-US"/>
          <w14:textFill>
            <w14:solidFill>
              <w14:srgbClr w14:val="222222"/>
            </w14:solidFill>
          </w14:textFill>
        </w:rPr>
        <w:t xml:space="preserve">least 1 day in the past 30 days. </w:t>
      </w:r>
      <w:r>
        <w:rPr>
          <w:rFonts w:ascii="Arial" w:hAnsi="Arial"/>
          <w:outline w:val="0"/>
          <w:color w:val="222222"/>
          <w:sz w:val="22"/>
          <w:szCs w:val="22"/>
          <w:shd w:val="clear" w:color="auto" w:fill="ffffff"/>
          <w:rtl w:val="0"/>
          <w:lang w:val="en-US"/>
          <w14:textFill>
            <w14:solidFill>
              <w14:srgbClr w14:val="222222"/>
            </w14:solidFill>
          </w14:textFill>
        </w:rPr>
        <w:t>Additionally, p</w:t>
      </w:r>
      <w:r>
        <w:rPr>
          <w:rFonts w:ascii="Arial" w:hAnsi="Arial"/>
          <w:outline w:val="0"/>
          <w:color w:val="222222"/>
          <w:sz w:val="22"/>
          <w:szCs w:val="22"/>
          <w:shd w:val="clear" w:color="auto" w:fill="ffffff"/>
          <w:rtl w:val="0"/>
          <w:lang w:val="en-US"/>
          <w14:textFill>
            <w14:solidFill>
              <w14:srgbClr w14:val="222222"/>
            </w14:solidFill>
          </w14:textFill>
        </w:rPr>
        <w:t xml:space="preserve">eer support was assessed by students' ratings of peers being kind or helpful, and parental support was measured using two questions assessing parental understanding of the student's problems and parental knowledge of the student's free time activities. Students were asked how often in the past 30 days their parents understood their problems and worries, and how often their parents really knew what they were doing during free time. Response options for each question were 'never', 'rarely', 'sometimes', 'most of the time', and </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always</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 xml:space="preserve"> </w:t>
      </w:r>
      <w:r>
        <w:rPr>
          <w:rFonts w:ascii="Arial" w:hAnsi="Arial"/>
          <w:outline w:val="0"/>
          <w:color w:val="222222"/>
          <w:sz w:val="22"/>
          <w:szCs w:val="22"/>
          <w:shd w:val="clear" w:color="auto" w:fill="ffffff"/>
          <w:rtl w:val="0"/>
          <w:lang w:val="en-US"/>
          <w14:textFill>
            <w14:solidFill>
              <w14:srgbClr w14:val="222222"/>
            </w14:solidFill>
          </w14:textFill>
        </w:rPr>
        <w:t>The research concluded a global prevalence of bullying victimisation at 30.5%, ranging widely from 7% in Tajikistan to 75% in Samoa. The highest prevalence rates were observed in the Eastern Mediterranean region (45.1%) and the African region (43.5%), while the lowest rate was seen in the European region (8.4%).  Additionally, the researchers argues a higher prevalence among males (33%) compared to females (28.2%).Furthermore, higher levels of both parental and peer support were associated with lower odds of experiencing bullying victimisation, suggesting that these support systems could be considered that these support systems are protective specifically against being a victim of bullying.</w:t>
      </w: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rPr>
          <w:i w:val="1"/>
          <w:iCs w:val="1"/>
          <w:outline w:val="0"/>
          <w:color w:val="b41700"/>
          <w:sz w:val="26"/>
          <w:szCs w:val="26"/>
          <w14:textFill>
            <w14:solidFill>
              <w14:srgbClr w14:val="B51700"/>
            </w14:solidFill>
          </w14:textFill>
        </w:rPr>
      </w:pPr>
    </w:p>
    <w:p>
      <w:pPr>
        <w:pStyle w:val="Body"/>
        <w:spacing w:line="480" w:lineRule="auto"/>
        <w:jc w:val="center"/>
        <w:rPr>
          <w:rFonts w:ascii="Arial" w:cs="Arial" w:hAnsi="Arial" w:eastAsia="Arial"/>
          <w:b w:val="1"/>
          <w:bCs w:val="1"/>
          <w:i w:val="1"/>
          <w:iCs w:val="1"/>
          <w:outline w:val="0"/>
          <w:color w:val="b41700"/>
          <w:sz w:val="26"/>
          <w:szCs w:val="26"/>
          <w14:textFill>
            <w14:solidFill>
              <w14:srgbClr w14:val="B51700"/>
            </w14:solidFill>
          </w14:textFill>
        </w:rPr>
      </w:pPr>
    </w:p>
    <w:p>
      <w:pPr>
        <w:pStyle w:val="Body"/>
        <w:spacing w:line="480" w:lineRule="auto"/>
        <w:jc w:val="center"/>
        <w:rPr>
          <w:rFonts w:ascii="Arial" w:cs="Arial" w:hAnsi="Arial" w:eastAsia="Arial"/>
          <w:b w:val="1"/>
          <w:bCs w:val="1"/>
          <w:i w:val="1"/>
          <w:iCs w:val="1"/>
          <w:outline w:val="0"/>
          <w:color w:val="b41700"/>
          <w:sz w:val="26"/>
          <w:szCs w:val="26"/>
          <w14:textFill>
            <w14:solidFill>
              <w14:srgbClr w14:val="B51700"/>
            </w14:solidFill>
          </w14:textFill>
        </w:rPr>
      </w:pPr>
      <w:r>
        <w:rPr>
          <w:rFonts w:ascii="Arial" w:hAnsi="Arial"/>
          <w:b w:val="1"/>
          <w:bCs w:val="1"/>
          <w:sz w:val="26"/>
          <w:szCs w:val="26"/>
          <w:rtl w:val="0"/>
          <w:lang w:val="en-US"/>
        </w:rPr>
        <w:t>Chapter 2:</w:t>
      </w:r>
      <w:r>
        <w:rPr>
          <w:rFonts w:ascii="Arial" w:hAnsi="Arial"/>
          <w:b w:val="1"/>
          <w:bCs w:val="1"/>
          <w:i w:val="1"/>
          <w:iCs w:val="1"/>
          <w:outline w:val="0"/>
          <w:color w:val="b41700"/>
          <w:sz w:val="26"/>
          <w:szCs w:val="26"/>
          <w:rtl w:val="0"/>
          <w:lang w:val="en-US"/>
          <w14:textFill>
            <w14:solidFill>
              <w14:srgbClr w14:val="B51700"/>
            </w14:solidFill>
          </w14:textFill>
        </w:rPr>
        <w:t xml:space="preserve"> </w:t>
      </w:r>
      <w:r>
        <w:rPr>
          <w:rFonts w:ascii="Arial" w:hAnsi="Arial"/>
          <w:b w:val="1"/>
          <w:bCs w:val="1"/>
          <w:sz w:val="24"/>
          <w:szCs w:val="24"/>
          <w:rtl w:val="0"/>
          <w:lang w:val="en-US"/>
        </w:rPr>
        <w:t>Method</w:t>
      </w:r>
    </w:p>
    <w:p>
      <w:pPr>
        <w:pStyle w:val="Body"/>
        <w:spacing w:line="480" w:lineRule="auto"/>
        <w:rPr>
          <w:b w:val="1"/>
          <w:bCs w:val="1"/>
        </w:rPr>
      </w:pPr>
    </w:p>
    <w:p>
      <w:pPr>
        <w:pStyle w:val="Default"/>
        <w:bidi w:val="0"/>
        <w:spacing w:before="0" w:line="480" w:lineRule="auto"/>
        <w:ind w:left="0" w:right="0" w:firstLine="0"/>
        <w:jc w:val="left"/>
        <w:rPr>
          <w:rFonts w:ascii="Arial" w:cs="Arial" w:hAnsi="Arial" w:eastAsia="Arial"/>
          <w:b w:val="1"/>
          <w:bCs w:val="1"/>
          <w:outline w:val="0"/>
          <w:color w:val="222222"/>
          <w:sz w:val="22"/>
          <w:szCs w:val="22"/>
          <w:shd w:val="clear" w:color="auto" w:fill="ffffff"/>
          <w:rtl w:val="0"/>
          <w14:textFill>
            <w14:solidFill>
              <w14:srgbClr w14:val="222222"/>
            </w14:solidFill>
          </w14:textFill>
        </w:rPr>
      </w:pPr>
      <w:r>
        <w:rPr>
          <w:rFonts w:ascii="Arial" w:hAnsi="Arial"/>
          <w:b w:val="1"/>
          <w:bCs w:val="1"/>
          <w:outline w:val="0"/>
          <w:color w:val="222222"/>
          <w:sz w:val="22"/>
          <w:szCs w:val="22"/>
          <w:shd w:val="clear" w:color="auto" w:fill="ffffff"/>
          <w:rtl w:val="0"/>
          <w:lang w:val="en-US"/>
          <w14:textFill>
            <w14:solidFill>
              <w14:srgbClr w14:val="222222"/>
            </w14:solidFill>
          </w14:textFill>
        </w:rPr>
        <w:t xml:space="preserve">Participants </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hAnsi="Arial"/>
          <w:outline w:val="0"/>
          <w:color w:val="222222"/>
          <w:sz w:val="22"/>
          <w:szCs w:val="22"/>
          <w:shd w:val="clear" w:color="auto" w:fill="ffffff"/>
          <w:rtl w:val="0"/>
          <w:lang w:val="en-US"/>
          <w14:textFill>
            <w14:solidFill>
              <w14:srgbClr w14:val="222222"/>
            </w14:solidFill>
          </w14:textFill>
        </w:rPr>
        <w:t>After gaining ethical</w:t>
      </w:r>
      <w:r>
        <w:rPr>
          <w:rFonts w:ascii="Arial" w:hAnsi="Arial" w:hint="default"/>
          <w:outline w:val="0"/>
          <w:color w:val="222222"/>
          <w:sz w:val="22"/>
          <w:szCs w:val="22"/>
          <w:shd w:val="clear" w:color="auto" w:fill="ffffff"/>
          <w:rtl w:val="0"/>
          <w14:textFill>
            <w14:solidFill>
              <w14:srgbClr w14:val="222222"/>
            </w14:solidFill>
          </w14:textFill>
        </w:rPr>
        <w:t> </w:t>
      </w:r>
      <w:r>
        <w:rPr>
          <w:rFonts w:ascii="Arial" w:hAnsi="Arial"/>
          <w:outline w:val="0"/>
          <w:color w:val="222222"/>
          <w:sz w:val="22"/>
          <w:szCs w:val="22"/>
          <w:shd w:val="clear" w:color="auto" w:fill="ffffff"/>
          <w:rtl w:val="0"/>
          <w:lang w:val="en-US"/>
          <w14:textFill>
            <w14:solidFill>
              <w14:srgbClr w14:val="222222"/>
            </w14:solidFill>
          </w14:textFill>
        </w:rPr>
        <w:t xml:space="preserve">approval </w:t>
      </w:r>
      <w:r>
        <w:rPr>
          <w:rFonts w:ascii="Arial" w:hAnsi="Arial"/>
          <w:outline w:val="0"/>
          <w:color w:val="222222"/>
          <w:sz w:val="22"/>
          <w:szCs w:val="22"/>
          <w:shd w:val="clear" w:color="auto" w:fill="ffffff"/>
          <w:rtl w:val="0"/>
          <w:lang w:val="en-US"/>
          <w14:textFill>
            <w14:solidFill>
              <w14:srgbClr w14:val="222222"/>
            </w14:solidFill>
          </w14:textFill>
        </w:rPr>
        <w:t xml:space="preserve">from the </w:t>
      </w:r>
      <w:r>
        <w:rPr>
          <w:rFonts w:ascii="Arial" w:hAnsi="Arial"/>
          <w:outline w:val="0"/>
          <w:color w:val="222222"/>
          <w:sz w:val="22"/>
          <w:szCs w:val="22"/>
          <w:shd w:val="clear" w:color="auto" w:fill="ffffff"/>
          <w:rtl w:val="0"/>
          <w:lang w:val="en-US"/>
          <w14:textFill>
            <w14:solidFill>
              <w14:srgbClr w14:val="222222"/>
            </w14:solidFill>
          </w14:textFill>
        </w:rPr>
        <w:t xml:space="preserve">University of Wales Trinity St David (UWTS) Department of Psychology's ethics committee (Appendix A) </w:t>
      </w:r>
      <w:r>
        <w:rPr>
          <w:rFonts w:ascii="Arial" w:hAnsi="Arial"/>
          <w:outline w:val="0"/>
          <w:color w:val="222222"/>
          <w:sz w:val="22"/>
          <w:szCs w:val="22"/>
          <w:shd w:val="clear" w:color="auto" w:fill="ffffff"/>
          <w:rtl w:val="0"/>
          <w:lang w:val="en-US"/>
          <w14:textFill>
            <w14:solidFill>
              <w14:srgbClr w14:val="222222"/>
            </w14:solidFill>
          </w14:textFill>
        </w:rPr>
        <w:t xml:space="preserve"> X undergraduate students (x females, x males) were recruitment from their higher education psychology related course at UWTSD through the psychology Experiment Management System (EMS). Participants were rewarded with course credits for their participation. This study included no inclusion or exclusion criteria, however there was an advisory to potential participants stating </w:t>
      </w:r>
      <w:r>
        <w:rPr>
          <w:rFonts w:ascii="Arial" w:hAnsi="Arial"/>
          <w:outline w:val="0"/>
          <w:color w:val="222222"/>
          <w:sz w:val="22"/>
          <w:szCs w:val="22"/>
          <w:shd w:val="clear" w:color="auto" w:fill="ffffff"/>
          <w:rtl w:val="0"/>
          <w:lang w:val="en-US"/>
          <w14:textFill>
            <w14:solidFill>
              <w14:srgbClr w14:val="222222"/>
            </w14:solidFill>
          </w14:textFill>
        </w:rPr>
        <w:t>Participants should only sign-up if they feel comfortable discussing bullying</w:t>
      </w:r>
      <w:r>
        <w:rPr>
          <w:rFonts w:ascii="Arial" w:hAnsi="Arial"/>
          <w:outline w:val="0"/>
          <w:color w:val="222222"/>
          <w:sz w:val="22"/>
          <w:szCs w:val="22"/>
          <w:shd w:val="clear" w:color="auto" w:fill="ffffff"/>
          <w:rtl w:val="0"/>
          <w:lang w:val="en-US"/>
          <w14:textFill>
            <w14:solidFill>
              <w14:srgbClr w14:val="222222"/>
            </w14:solidFill>
          </w14:textFill>
        </w:rPr>
        <w:t>. Participants of the study were provided with an information sheet (Appendix B) that detailed the study and all read and confirmed their consent (Appendix C) to participate in the study. During recruitment, each of the participant</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s identities have been anonymised with the use of participant ID</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s assigned by EMS.</w:t>
      </w:r>
    </w:p>
    <w:p>
      <w:pPr>
        <w:pStyle w:val="Default"/>
        <w:bidi w:val="0"/>
        <w:spacing w:before="0" w:line="240" w:lineRule="auto"/>
        <w:ind w:left="0" w:right="0" w:firstLine="0"/>
        <w:jc w:val="left"/>
        <w:rPr>
          <w:rFonts w:ascii="Cambria" w:cs="Cambria" w:hAnsi="Cambria" w:eastAsia="Cambria"/>
          <w:outline w:val="0"/>
          <w:color w:val="212121"/>
          <w:sz w:val="40"/>
          <w:szCs w:val="40"/>
          <w:shd w:val="clear" w:color="auto" w:fill="ffffff"/>
          <w:rtl w:val="0"/>
          <w14:textFill>
            <w14:solidFill>
              <w14:srgbClr w14:val="212121"/>
            </w14:solidFill>
          </w14:textFill>
        </w:rPr>
      </w:pP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b w:val="1"/>
          <w:bCs w:val="1"/>
          <w:outline w:val="0"/>
          <w:color w:val="222222"/>
          <w:sz w:val="22"/>
          <w:szCs w:val="22"/>
          <w:shd w:val="clear" w:color="auto" w:fill="ffffff"/>
          <w:rtl w:val="0"/>
          <w14:textFill>
            <w14:solidFill>
              <w14:srgbClr w14:val="222222"/>
            </w14:solidFill>
          </w14:textFill>
        </w:rPr>
      </w:pPr>
      <w:r>
        <w:rPr>
          <w:rFonts w:ascii="Arial" w:hAnsi="Arial"/>
          <w:b w:val="1"/>
          <w:bCs w:val="1"/>
          <w:outline w:val="0"/>
          <w:color w:val="222222"/>
          <w:sz w:val="22"/>
          <w:szCs w:val="22"/>
          <w:shd w:val="clear" w:color="auto" w:fill="ffffff"/>
          <w:rtl w:val="0"/>
          <w:lang w:val="en-US"/>
          <w14:textFill>
            <w14:solidFill>
              <w14:srgbClr w14:val="222222"/>
            </w14:solidFill>
          </w14:textFill>
        </w:rPr>
        <w:t>Data Collection</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hAnsi="Arial"/>
          <w:outline w:val="0"/>
          <w:color w:val="222222"/>
          <w:sz w:val="22"/>
          <w:szCs w:val="22"/>
          <w:shd w:val="clear" w:color="auto" w:fill="ffffff"/>
          <w:rtl w:val="0"/>
          <w:lang w:val="en-US"/>
          <w14:textFill>
            <w14:solidFill>
              <w14:srgbClr w14:val="222222"/>
            </w14:solidFill>
          </w14:textFill>
        </w:rPr>
        <w:t xml:space="preserve">Two 45 minute semi-structured focus groups have been adopted for the purpose of this research. </w:t>
      </w:r>
      <w:r>
        <w:rPr>
          <w:rFonts w:ascii="Arial" w:hAnsi="Arial"/>
          <w:outline w:val="0"/>
          <w:color w:val="222222"/>
          <w:sz w:val="22"/>
          <w:szCs w:val="22"/>
          <w:shd w:val="clear" w:color="auto" w:fill="ffffff"/>
          <w:rtl w:val="0"/>
          <w:lang w:val="en-US"/>
          <w14:textFill>
            <w14:solidFill>
              <w14:srgbClr w14:val="222222"/>
            </w14:solidFill>
          </w14:textFill>
        </w:rPr>
        <w:t xml:space="preserve">In order to facilitate an in-depth discussion about student's perceptions of media representation of bullying, several news media articles featuring depictions of bullying, victims, </w:t>
      </w:r>
      <w:r>
        <w:rPr>
          <w:rFonts w:ascii="Arial" w:hAnsi="Arial"/>
          <w:outline w:val="0"/>
          <w:color w:val="222222"/>
          <w:sz w:val="22"/>
          <w:szCs w:val="22"/>
          <w:shd w:val="clear" w:color="auto" w:fill="ffffff"/>
          <w:rtl w:val="0"/>
          <w:lang w:val="en-US"/>
          <w14:textFill>
            <w14:solidFill>
              <w14:srgbClr w14:val="222222"/>
            </w14:solidFill>
          </w14:textFill>
        </w:rPr>
        <w:t xml:space="preserve">and perpetrators </w:t>
      </w:r>
      <w:r>
        <w:rPr>
          <w:rFonts w:ascii="Arial" w:hAnsi="Arial"/>
          <w:outline w:val="0"/>
          <w:color w:val="222222"/>
          <w:sz w:val="22"/>
          <w:szCs w:val="22"/>
          <w:shd w:val="clear" w:color="auto" w:fill="ffffff"/>
          <w:rtl w:val="0"/>
          <w:lang w:val="en-US"/>
          <w14:textFill>
            <w14:solidFill>
              <w14:srgbClr w14:val="222222"/>
            </w14:solidFill>
          </w14:textFill>
        </w:rPr>
        <w:t>were selected and provided to students to read and discuss. These articles were intentionally pre-selected by the researcher to ensure a balanced representation from various viewpoints and contexts related to bullying portrayals.</w:t>
      </w:r>
      <w:r>
        <w:rPr>
          <w:rFonts w:ascii="Arial" w:hAnsi="Arial"/>
          <w:outline w:val="0"/>
          <w:color w:val="222222"/>
          <w:sz w:val="22"/>
          <w:szCs w:val="22"/>
          <w:shd w:val="clear" w:color="auto" w:fill="ffffff"/>
          <w:rtl w:val="0"/>
          <w:lang w:val="en-US"/>
          <w14:textFill>
            <w14:solidFill>
              <w14:srgbClr w14:val="222222"/>
            </w14:solidFill>
          </w14:textFill>
        </w:rPr>
        <w:t xml:space="preserve"> Open-ended and guiding questions were structured around these media example such as, </w:t>
      </w:r>
      <w:r>
        <w:rPr>
          <w:rFonts w:ascii="Arial" w:hAnsi="Arial" w:hint="default"/>
          <w:outline w:val="0"/>
          <w:color w:val="222222"/>
          <w:kern w:val="2"/>
          <w:sz w:val="22"/>
          <w:szCs w:val="22"/>
          <w:shd w:val="clear" w:color="auto" w:fill="ffffff"/>
          <w:rtl w:val="0"/>
          <w:lang w:val="en-US"/>
          <w14:textFill>
            <w14:solidFill>
              <w14:srgbClr w14:val="222222"/>
            </w14:solidFill>
          </w14:textFill>
        </w:rPr>
        <w:t>“</w:t>
      </w:r>
      <w:r>
        <w:rPr>
          <w:rFonts w:ascii="Arial" w:hAnsi="Arial"/>
          <w:outline w:val="0"/>
          <w:color w:val="1c1917"/>
          <w:kern w:val="2"/>
          <w:sz w:val="22"/>
          <w:szCs w:val="22"/>
          <w:u w:color="1c1917"/>
          <w:shd w:val="clear" w:color="auto" w:fill="ffffff"/>
          <w:rtl w:val="0"/>
          <w:lang w:val="en-US"/>
          <w14:textFill>
            <w14:solidFill>
              <w14:srgbClr w14:val="1C1917"/>
            </w14:solidFill>
          </w14:textFill>
        </w:rPr>
        <w:t>What are the key features of how news media reports on bullying incidents, based on these articles?</w:t>
      </w:r>
      <w:r>
        <w:rPr>
          <w:rFonts w:ascii="Arial" w:hAnsi="Arial" w:hint="default"/>
          <w:outline w:val="0"/>
          <w:color w:val="1c1917"/>
          <w:kern w:val="2"/>
          <w:sz w:val="22"/>
          <w:szCs w:val="22"/>
          <w:u w:color="1c1917"/>
          <w:shd w:val="clear" w:color="auto" w:fill="ffffff"/>
          <w:rtl w:val="0"/>
          <w:lang w:val="en-US"/>
          <w14:textFill>
            <w14:solidFill>
              <w14:srgbClr w14:val="1C1917"/>
            </w14:solidFill>
          </w14:textFill>
        </w:rPr>
        <w:t>”</w:t>
      </w:r>
      <w:r>
        <w:rPr>
          <w:rFonts w:ascii="Arial" w:hAnsi="Arial"/>
          <w:outline w:val="0"/>
          <w:color w:val="1c1917"/>
          <w:kern w:val="2"/>
          <w:sz w:val="22"/>
          <w:szCs w:val="22"/>
          <w:u w:color="1c1917"/>
          <w:shd w:val="clear" w:color="auto" w:fill="ffffff"/>
          <w:rtl w:val="0"/>
          <w:lang w:val="en-US"/>
          <w14:textFill>
            <w14:solidFill>
              <w14:srgbClr w14:val="1C1917"/>
            </w14:solidFill>
          </w14:textFill>
        </w:rPr>
        <w:t xml:space="preserve">. </w:t>
      </w:r>
      <w:r>
        <w:rPr>
          <w:rFonts w:ascii="Arial" w:hAnsi="Arial"/>
          <w:outline w:val="0"/>
          <w:color w:val="222222"/>
          <w:sz w:val="22"/>
          <w:szCs w:val="22"/>
          <w:shd w:val="clear" w:color="auto" w:fill="ffffff"/>
          <w:rtl w:val="0"/>
          <w:lang w:val="en-US"/>
          <w14:textFill>
            <w14:solidFill>
              <w14:srgbClr w14:val="222222"/>
            </w14:solidFill>
          </w14:textFill>
        </w:rPr>
        <w:t>Each session was conducted within a private room in the university campus, with the location being supplied on sign-up. Each participants was provided with a placemat, numbered from 1-8, for the purpose of identification. Although it isn</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t necessary, participants were welcomed to the study and given the option to partake in some refreshments provided by the researcher. According to Krueger</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 xml:space="preserve">s (2014) Practical Guide for Applied Research, providing refreshments can create a more relaxed, non-threatening, informal environment that encourages an increase in participation. </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cs="Arial" w:hAnsi="Arial" w:eastAsia="Arial"/>
          <w:outline w:val="0"/>
          <w:color w:val="222222"/>
          <w:sz w:val="22"/>
          <w:szCs w:val="22"/>
          <w:shd w:val="clear" w:color="auto" w:fill="ffffff"/>
          <w:rtl w:val="0"/>
          <w:lang w:val="en-US"/>
          <w14:textFill>
            <w14:solidFill>
              <w14:srgbClr w14:val="222222"/>
            </w14:solidFill>
          </w14:textFill>
        </w:rPr>
        <w:tab/>
        <w:t>Prior to data collections, informed consent and demographic information (age and gender identity) were collected from all participants. Participants were then introduced to the research, and the ethical considerations related to participation were stipulated. For the purposes of accurate data collection and analysis, both focus groups were digitally audio recorded. Additionally, the researcher documented observational notes to capture areas of importance for the analysis stage. T</w:t>
      </w:r>
      <w:r>
        <w:rPr>
          <w:rFonts w:ascii="Arial" w:hAnsi="Arial"/>
          <w:outline w:val="0"/>
          <w:color w:val="222222"/>
          <w:sz w:val="22"/>
          <w:szCs w:val="22"/>
          <w:shd w:val="clear" w:color="auto" w:fill="ffffff"/>
          <w:rtl w:val="0"/>
          <w:lang w:val="en-US"/>
          <w14:textFill>
            <w14:solidFill>
              <w14:srgbClr w14:val="222222"/>
            </w14:solidFill>
          </w14:textFill>
        </w:rPr>
        <w:t>he audio recordings from the focus group sessions</w:t>
      </w:r>
      <w:r>
        <w:rPr>
          <w:rFonts w:ascii="Arial" w:hAnsi="Arial"/>
          <w:outline w:val="0"/>
          <w:color w:val="222222"/>
          <w:sz w:val="22"/>
          <w:szCs w:val="22"/>
          <w:shd w:val="clear" w:color="auto" w:fill="ffffff"/>
          <w:rtl w:val="0"/>
          <w:lang w:val="en-US"/>
          <w14:textFill>
            <w14:solidFill>
              <w14:srgbClr w14:val="222222"/>
            </w14:solidFill>
          </w14:textFill>
        </w:rPr>
        <w:t xml:space="preserve"> were transcribed verbatim in preparation for the data analysis stage. At the conclusion of the study, participants received a verbal debrief and a written debriefing form that outlined the study</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s purpose, research questions, as well as contact details for the lead researcher, research supervisor, and support services.</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cs="Arial" w:hAnsi="Arial" w:eastAsia="Arial"/>
          <w:outline w:val="0"/>
          <w:color w:val="222222"/>
          <w:sz w:val="22"/>
          <w:szCs w:val="22"/>
          <w:shd w:val="clear" w:color="auto" w:fill="ffffff"/>
          <w:rtl w:val="0"/>
          <w:lang w:val="en-US"/>
          <w14:textFill>
            <w14:solidFill>
              <w14:srgbClr w14:val="222222"/>
            </w14:solidFill>
          </w14:textFill>
        </w:rPr>
        <w:tab/>
        <w:t xml:space="preserve"> Individual interviews were considered as a method of data collection, however focus group discussions allow for participant interaction; fostering collaborative synergy amongst participants, allowing them to build on one another</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s opinions in ways that an individual interview cannot allow. Additionally, focus groups are argued as favourable when collecting qualitative data if opportunities are limited, allowing for various perspective on the subject mater within a single session, opposing that of a one- to one-interview (</w:t>
      </w:r>
      <w:r>
        <w:rPr>
          <w:rFonts w:ascii="Arial" w:hAnsi="Arial"/>
          <w:outline w:val="0"/>
          <w:color w:val="222222"/>
          <w:sz w:val="22"/>
          <w:szCs w:val="22"/>
          <w:shd w:val="clear" w:color="auto" w:fill="ffffff"/>
          <w:rtl w:val="0"/>
          <w:lang w:val="nl-NL"/>
          <w14:textFill>
            <w14:solidFill>
              <w14:srgbClr w14:val="222222"/>
            </w14:solidFill>
          </w14:textFill>
        </w:rPr>
        <w:t>Stewart &amp; Shamdasani, 2014; Vanderstoep &amp; Johnston, 2009).</w:t>
      </w:r>
      <w:r>
        <w:rPr>
          <w:rFonts w:ascii="Arial" w:hAnsi="Arial"/>
          <w:outline w:val="0"/>
          <w:color w:val="222222"/>
          <w:sz w:val="22"/>
          <w:szCs w:val="22"/>
          <w:shd w:val="clear" w:color="auto" w:fill="ffffff"/>
          <w:rtl w:val="0"/>
          <w:lang w:val="en-US"/>
          <w14:textFill>
            <w14:solidFill>
              <w14:srgbClr w14:val="222222"/>
            </w14:solidFill>
          </w14:textFill>
        </w:rPr>
        <w:t xml:space="preserve"> </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b w:val="1"/>
          <w:bCs w:val="1"/>
          <w:outline w:val="0"/>
          <w:color w:val="222222"/>
          <w:sz w:val="22"/>
          <w:szCs w:val="22"/>
          <w:shd w:val="clear" w:color="auto" w:fill="ffffff"/>
          <w:rtl w:val="0"/>
          <w14:textFill>
            <w14:solidFill>
              <w14:srgbClr w14:val="222222"/>
            </w14:solidFill>
          </w14:textFill>
        </w:rPr>
      </w:pPr>
      <w:r>
        <w:rPr>
          <w:rFonts w:ascii="Arial" w:hAnsi="Arial"/>
          <w:b w:val="1"/>
          <w:bCs w:val="1"/>
          <w:outline w:val="0"/>
          <w:color w:val="222222"/>
          <w:sz w:val="22"/>
          <w:szCs w:val="22"/>
          <w:shd w:val="clear" w:color="auto" w:fill="ffffff"/>
          <w:rtl w:val="0"/>
          <w:lang w:val="en-US"/>
          <w14:textFill>
            <w14:solidFill>
              <w14:srgbClr w14:val="222222"/>
            </w14:solidFill>
          </w14:textFill>
        </w:rPr>
        <w:t>Analysis</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hAnsi="Arial"/>
          <w:outline w:val="0"/>
          <w:color w:val="222222"/>
          <w:sz w:val="22"/>
          <w:szCs w:val="22"/>
          <w:shd w:val="clear" w:color="auto" w:fill="ffffff"/>
          <w:rtl w:val="0"/>
          <w:lang w:val="en-US"/>
          <w14:textFill>
            <w14:solidFill>
              <w14:srgbClr w14:val="222222"/>
            </w14:solidFill>
          </w14:textFill>
        </w:rPr>
        <w:t>Transcripts of the both focus groups were analysed by utilising Braun and Clarke</w:t>
      </w:r>
      <w:r>
        <w:rPr>
          <w:rFonts w:ascii="Arial" w:hAnsi="Arial" w:hint="default"/>
          <w:outline w:val="0"/>
          <w:color w:val="222222"/>
          <w:sz w:val="22"/>
          <w:szCs w:val="22"/>
          <w:shd w:val="clear" w:color="auto" w:fill="ffffff"/>
          <w:rtl w:val="0"/>
          <w:lang w:val="en-US"/>
          <w14:textFill>
            <w14:solidFill>
              <w14:srgbClr w14:val="222222"/>
            </w14:solidFill>
          </w14:textFill>
        </w:rPr>
        <w:t>’</w:t>
      </w:r>
      <w:r>
        <w:rPr>
          <w:rFonts w:ascii="Arial" w:hAnsi="Arial"/>
          <w:outline w:val="0"/>
          <w:color w:val="222222"/>
          <w:sz w:val="22"/>
          <w:szCs w:val="22"/>
          <w:shd w:val="clear" w:color="auto" w:fill="ffffff"/>
          <w:rtl w:val="0"/>
          <w:lang w:val="en-US"/>
          <w14:textFill>
            <w14:solidFill>
              <w14:srgbClr w14:val="222222"/>
            </w14:solidFill>
          </w14:textFill>
        </w:rPr>
        <w:t xml:space="preserve">s (2006) six-has framework for conducting a thematic analysis. First, the researcher familiarised themselves with the data by listening repeatedly to the audio recordings, reading the transcript x times, whilst annotating the transcripts during this vigorous process. Next, the initial codes were generated by systematically doing interesting features across the entire dataset. These code were then accumulated into potential themes, which were then reviewed and reminded before being defined and named. At this stage, super-ordinate and sub-ordinate themes were finalised and written up, with compelling data extracts to substantiate the analysis. </w:t>
      </w: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r>
        <w:rPr>
          <w:rFonts w:ascii="Arial" w:cs="Arial" w:hAnsi="Arial" w:eastAsia="Arial"/>
          <w:outline w:val="0"/>
          <w:color w:val="222222"/>
          <w:sz w:val="22"/>
          <w:szCs w:val="22"/>
          <w:shd w:val="clear" w:color="auto" w:fill="ffffff"/>
          <w:rtl w:val="0"/>
          <w:lang w:val="en-US"/>
          <w14:textFill>
            <w14:solidFill>
              <w14:srgbClr w14:val="222222"/>
            </w14:solidFill>
          </w14:textFill>
        </w:rPr>
        <w:tab/>
        <w:t>If this particular study is to be replicated, it should be acknowledged that whilst the six-phase transactional analysis is stipulated in a sequential order, Braun and Clarke (2021) asserts that the analysis is not a straightforward process, but requires the researcher to revisit phases to ensure a comprehensive understanding. Thematic analysis was selected as the most appropriate approach for this study based on the exploratory nature of the research and the aims of identifying patterns in participants data. The goal of a thematic analysis is to identify, analyse and report patterns of themes related to the study in question (Braun &amp; Clarke, 2006). If the aims of this study was to understand participants</w:t>
      </w:r>
      <w:r>
        <w:rPr>
          <w:rFonts w:ascii="Arial" w:hAnsi="Arial" w:hint="default"/>
          <w:outline w:val="0"/>
          <w:color w:val="222222"/>
          <w:sz w:val="22"/>
          <w:szCs w:val="22"/>
          <w:shd w:val="clear" w:color="auto" w:fill="ffffff"/>
          <w:rtl w:val="0"/>
          <w:lang w:val="en-US"/>
          <w14:textFill>
            <w14:solidFill>
              <w14:srgbClr w14:val="222222"/>
            </w14:solidFill>
          </w14:textFill>
        </w:rPr>
        <w:t xml:space="preserve">’ </w:t>
      </w:r>
      <w:r>
        <w:rPr>
          <w:rFonts w:ascii="Arial" w:hAnsi="Arial"/>
          <w:outline w:val="0"/>
          <w:color w:val="222222"/>
          <w:sz w:val="22"/>
          <w:szCs w:val="22"/>
          <w:shd w:val="clear" w:color="auto" w:fill="ffffff"/>
          <w:rtl w:val="0"/>
          <w:lang w:val="en-US"/>
          <w14:textFill>
            <w14:solidFill>
              <w14:srgbClr w14:val="222222"/>
            </w14:solidFill>
          </w14:textFill>
        </w:rPr>
        <w:t xml:space="preserve">lived experiences related to bullying, then Interpretive Phenomenological Analysis (IPA; </w:t>
      </w:r>
      <w:r>
        <w:rPr>
          <w:rFonts w:ascii="Arial" w:hAnsi="Arial"/>
          <w:outline w:val="0"/>
          <w:color w:val="222222"/>
          <w:sz w:val="22"/>
          <w:szCs w:val="22"/>
          <w:shd w:val="clear" w:color="auto" w:fill="ffffff"/>
          <w:rtl w:val="0"/>
          <w:lang w:val="da-DK"/>
          <w14:textFill>
            <w14:solidFill>
              <w14:srgbClr w14:val="222222"/>
            </w14:solidFill>
          </w14:textFill>
        </w:rPr>
        <w:t>Smith &amp; Fieldsend</w:t>
      </w:r>
      <w:r>
        <w:rPr>
          <w:rFonts w:ascii="Arial" w:hAnsi="Arial"/>
          <w:outline w:val="0"/>
          <w:color w:val="222222"/>
          <w:sz w:val="22"/>
          <w:szCs w:val="22"/>
          <w:shd w:val="clear" w:color="auto" w:fill="ffffff"/>
          <w:rtl w:val="0"/>
          <w:lang w:val="en-US"/>
          <w14:textFill>
            <w14:solidFill>
              <w14:srgbClr w14:val="222222"/>
            </w14:solidFill>
          </w14:textFill>
        </w:rPr>
        <w:t xml:space="preserve">, </w:t>
      </w:r>
      <w:r>
        <w:rPr>
          <w:rFonts w:ascii="Arial" w:hAnsi="Arial"/>
          <w:outline w:val="0"/>
          <w:color w:val="222222"/>
          <w:sz w:val="22"/>
          <w:szCs w:val="22"/>
          <w:shd w:val="clear" w:color="auto" w:fill="ffffff"/>
          <w:rtl w:val="0"/>
          <w14:textFill>
            <w14:solidFill>
              <w14:srgbClr w14:val="222222"/>
            </w14:solidFill>
          </w14:textFill>
        </w:rPr>
        <w:t>2021)</w:t>
      </w:r>
      <w:r>
        <w:rPr>
          <w:rFonts w:ascii="Arial" w:hAnsi="Arial"/>
          <w:outline w:val="0"/>
          <w:color w:val="222222"/>
          <w:sz w:val="22"/>
          <w:szCs w:val="22"/>
          <w:shd w:val="clear" w:color="auto" w:fill="ffffff"/>
          <w:rtl w:val="0"/>
          <w:lang w:val="en-US"/>
          <w14:textFill>
            <w14:solidFill>
              <w14:srgbClr w14:val="222222"/>
            </w14:solidFill>
          </w14:textFill>
        </w:rPr>
        <w:t xml:space="preserve"> would have been better suited to that specific research goal. </w:t>
      </w:r>
    </w:p>
    <w:p>
      <w:pPr>
        <w:pStyle w:val="Default"/>
        <w:bidi w:val="0"/>
        <w:spacing w:before="0" w:line="240" w:lineRule="auto"/>
        <w:ind w:left="0" w:right="0" w:firstLine="0"/>
        <w:jc w:val="left"/>
        <w:rPr>
          <w:rFonts w:ascii="Arial" w:cs="Arial" w:hAnsi="Arial" w:eastAsia="Arial"/>
          <w:outline w:val="0"/>
          <w:color w:val="222222"/>
          <w:sz w:val="26"/>
          <w:szCs w:val="26"/>
          <w:shd w:val="clear" w:color="auto" w:fill="ffffff"/>
          <w:rtl w:val="0"/>
          <w14:textFill>
            <w14:solidFill>
              <w14:srgbClr w14:val="222222"/>
            </w14:solidFill>
          </w14:textFill>
        </w:rPr>
      </w:pPr>
    </w:p>
    <w:p>
      <w:pPr>
        <w:pStyle w:val="Default"/>
        <w:bidi w:val="0"/>
        <w:spacing w:before="0" w:line="240" w:lineRule="auto"/>
        <w:ind w:left="0" w:right="0" w:firstLine="0"/>
        <w:jc w:val="left"/>
        <w:rPr>
          <w:rFonts w:ascii="Arial" w:cs="Arial" w:hAnsi="Arial" w:eastAsia="Arial"/>
          <w:outline w:val="0"/>
          <w:color w:val="222222"/>
          <w:sz w:val="26"/>
          <w:szCs w:val="26"/>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Arial" w:cs="Arial" w:hAnsi="Arial" w:eastAsia="Arial"/>
          <w:outline w:val="0"/>
          <w:color w:val="222222"/>
          <w:sz w:val="22"/>
          <w:szCs w:val="22"/>
          <w:shd w:val="clear" w:color="auto" w:fill="ffffff"/>
          <w:rtl w:val="0"/>
          <w14:textFill>
            <w14:solidFill>
              <w14:srgbClr w14:val="222222"/>
            </w14:solidFill>
          </w14:textFill>
        </w:rPr>
      </w:pPr>
    </w:p>
    <w:p>
      <w:pPr>
        <w:pStyle w:val="Default"/>
        <w:bidi w:val="0"/>
        <w:spacing w:before="0" w:line="480" w:lineRule="auto"/>
        <w:ind w:left="0" w:right="0" w:firstLine="0"/>
        <w:jc w:val="left"/>
        <w:rPr>
          <w:rFonts w:ascii="Helvetica" w:cs="Helvetica" w:hAnsi="Helvetica" w:eastAsia="Helvetica"/>
          <w:outline w:val="0"/>
          <w:color w:val="1c1917"/>
          <w:shd w:val="clear" w:color="auto" w:fill="ffffff"/>
          <w:rtl w:val="0"/>
          <w14:textFill>
            <w14:solidFill>
              <w14:srgbClr w14:val="1C1917"/>
            </w14:solidFill>
          </w14:textFill>
        </w:rPr>
      </w:pPr>
    </w:p>
    <w:p>
      <w:pPr>
        <w:pStyle w:val="Default"/>
        <w:bidi w:val="0"/>
        <w:spacing w:before="0" w:line="480" w:lineRule="auto"/>
        <w:ind w:left="0" w:right="0" w:firstLine="0"/>
        <w:jc w:val="left"/>
        <w:rPr>
          <w:rFonts w:ascii="Helvetica" w:cs="Helvetica" w:hAnsi="Helvetica" w:eastAsia="Helvetica"/>
          <w:outline w:val="0"/>
          <w:color w:val="1c1917"/>
          <w:shd w:val="clear" w:color="auto" w:fill="ffffff"/>
          <w:rtl w:val="0"/>
          <w14:textFill>
            <w14:solidFill>
              <w14:srgbClr w14:val="1C1917"/>
            </w14:solidFill>
          </w14:textFill>
        </w:rPr>
      </w:pPr>
    </w:p>
    <w:p>
      <w:pPr>
        <w:pStyle w:val="Default"/>
        <w:bidi w:val="0"/>
        <w:spacing w:before="0" w:line="480" w:lineRule="auto"/>
        <w:ind w:left="0" w:right="0" w:firstLine="0"/>
        <w:jc w:val="left"/>
        <w:rPr>
          <w:rFonts w:ascii="Helvetica" w:cs="Helvetica" w:hAnsi="Helvetica" w:eastAsia="Helvetica"/>
          <w:outline w:val="0"/>
          <w:color w:val="1c1917"/>
          <w:shd w:val="clear" w:color="auto" w:fill="ffffff"/>
          <w:rtl w:val="0"/>
          <w14:textFill>
            <w14:solidFill>
              <w14:srgbClr w14:val="1C1917"/>
            </w14:solidFill>
          </w14:textFill>
        </w:rPr>
      </w:pPr>
    </w:p>
    <w:p>
      <w:pPr>
        <w:pStyle w:val="Body"/>
        <w:spacing w:line="480" w:lineRule="auto"/>
        <w:jc w:val="center"/>
        <w:rPr>
          <w:rFonts w:ascii="Arial" w:cs="Arial" w:hAnsi="Arial" w:eastAsia="Arial"/>
          <w:b w:val="1"/>
          <w:bCs w:val="1"/>
          <w:sz w:val="24"/>
          <w:szCs w:val="24"/>
        </w:rPr>
      </w:pPr>
    </w:p>
    <w:p>
      <w:pPr>
        <w:pStyle w:val="Body"/>
        <w:spacing w:line="480" w:lineRule="auto"/>
        <w:jc w:val="center"/>
        <w:rPr>
          <w:rFonts w:ascii="Arial" w:cs="Arial" w:hAnsi="Arial" w:eastAsia="Arial"/>
          <w:b w:val="1"/>
          <w:bCs w:val="1"/>
          <w:sz w:val="24"/>
          <w:szCs w:val="24"/>
        </w:rPr>
      </w:pPr>
    </w:p>
    <w:p>
      <w:pPr>
        <w:pStyle w:val="Body"/>
        <w:spacing w:line="480" w:lineRule="auto"/>
        <w:jc w:val="center"/>
        <w:rPr>
          <w:rFonts w:ascii="Arial" w:cs="Arial" w:hAnsi="Arial" w:eastAsia="Arial"/>
          <w:b w:val="1"/>
          <w:bCs w:val="1"/>
          <w:sz w:val="24"/>
          <w:szCs w:val="24"/>
        </w:rPr>
      </w:pPr>
    </w:p>
    <w:p>
      <w:pPr>
        <w:pStyle w:val="Body"/>
        <w:spacing w:line="480" w:lineRule="auto"/>
        <w:jc w:val="center"/>
        <w:rPr>
          <w:rFonts w:ascii="Arial" w:cs="Arial" w:hAnsi="Arial" w:eastAsia="Arial"/>
          <w:b w:val="1"/>
          <w:bCs w:val="1"/>
          <w:sz w:val="24"/>
          <w:szCs w:val="24"/>
        </w:rPr>
      </w:pPr>
    </w:p>
    <w:p>
      <w:pPr>
        <w:pStyle w:val="Body"/>
        <w:spacing w:line="480" w:lineRule="auto"/>
        <w:jc w:val="center"/>
        <w:rPr>
          <w:rFonts w:ascii="Arial" w:cs="Arial" w:hAnsi="Arial" w:eastAsia="Arial"/>
          <w:b w:val="1"/>
          <w:bCs w:val="1"/>
          <w:sz w:val="24"/>
          <w:szCs w:val="24"/>
        </w:rPr>
      </w:pPr>
    </w:p>
    <w:p>
      <w:pPr>
        <w:pStyle w:val="Default"/>
        <w:bidi w:val="0"/>
        <w:spacing w:before="0" w:line="480" w:lineRule="auto"/>
        <w:ind w:left="0" w:right="0" w:firstLine="0"/>
        <w:jc w:val="left"/>
        <w:rPr>
          <w:rFonts w:ascii="Helvetica" w:cs="Helvetica" w:hAnsi="Helvetica" w:eastAsia="Helvetica"/>
          <w:outline w:val="0"/>
          <w:color w:val="1c1917"/>
          <w:shd w:val="clear" w:color="auto" w:fill="ffffff"/>
          <w:rtl w:val="0"/>
          <w14:textFill>
            <w14:solidFill>
              <w14:srgbClr w14:val="1C1917"/>
            </w14:solidFill>
          </w14:textFill>
        </w:rPr>
      </w:pPr>
    </w:p>
    <w:p>
      <w:pPr>
        <w:pStyle w:val="Default"/>
        <w:bidi w:val="0"/>
        <w:spacing w:before="0" w:line="480" w:lineRule="auto"/>
        <w:ind w:left="0" w:right="0" w:firstLine="0"/>
        <w:jc w:val="left"/>
        <w:rPr>
          <w:rFonts w:ascii="Helvetica" w:cs="Helvetica" w:hAnsi="Helvetica" w:eastAsia="Helvetica"/>
          <w:outline w:val="0"/>
          <w:color w:val="1c1917"/>
          <w:shd w:val="clear" w:color="auto" w:fill="ffffff"/>
          <w:rtl w:val="0"/>
          <w14:textFill>
            <w14:solidFill>
              <w14:srgbClr w14:val="1C1917"/>
            </w14:solidFill>
          </w14:textFill>
        </w:rPr>
      </w:pPr>
    </w:p>
    <w:p>
      <w:pPr>
        <w:pStyle w:val="Default"/>
        <w:bidi w:val="0"/>
        <w:spacing w:before="0" w:line="480" w:lineRule="auto"/>
        <w:ind w:left="0" w:right="0" w:firstLine="0"/>
        <w:jc w:val="left"/>
        <w:rPr>
          <w:rtl w:val="0"/>
        </w:rPr>
      </w:pPr>
      <w:r>
        <w:rPr>
          <w:rFonts w:ascii="Helvetica" w:cs="Helvetica" w:hAnsi="Helvetica" w:eastAsia="Helvetica"/>
          <w:outline w:val="0"/>
          <w:color w:val="1c1917"/>
          <w:shd w:val="clear" w:color="auto" w:fill="ffffff"/>
          <w:rtl w:val="0"/>
          <w14:textFill>
            <w14:solidFill>
              <w14:srgbClr w14:val="1C1917"/>
            </w14:solidFill>
          </w14:textFill>
        </w:rPr>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