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E832E9" w14:textId="659F8B90" w:rsidR="00300C3E" w:rsidRPr="00DD626A" w:rsidRDefault="00983C23" w:rsidP="00983C23">
      <w:pPr>
        <w:jc w:val="center"/>
        <w:rPr>
          <w:b/>
          <w:bCs/>
          <w:sz w:val="28"/>
          <w:szCs w:val="28"/>
          <w:lang w:val="en-GB"/>
        </w:rPr>
      </w:pPr>
      <w:r w:rsidRPr="00DD626A">
        <w:rPr>
          <w:b/>
          <w:bCs/>
          <w:sz w:val="28"/>
          <w:szCs w:val="28"/>
          <w:lang w:val="en-GB"/>
        </w:rPr>
        <w:t xml:space="preserve">Ralph Neville, 1st </w:t>
      </w:r>
      <w:r w:rsidR="00004BB9" w:rsidRPr="00DD626A">
        <w:rPr>
          <w:b/>
          <w:bCs/>
          <w:sz w:val="28"/>
          <w:szCs w:val="28"/>
          <w:lang w:val="en-GB"/>
        </w:rPr>
        <w:t>E</w:t>
      </w:r>
      <w:r w:rsidRPr="00DD626A">
        <w:rPr>
          <w:b/>
          <w:bCs/>
          <w:sz w:val="28"/>
          <w:szCs w:val="28"/>
          <w:lang w:val="en-GB"/>
        </w:rPr>
        <w:t>arl of Westmorland</w:t>
      </w:r>
    </w:p>
    <w:p w14:paraId="5C4C461A" w14:textId="6973F49A" w:rsidR="00983C23" w:rsidRPr="00DD626A" w:rsidRDefault="0013628F" w:rsidP="00983C23">
      <w:pPr>
        <w:jc w:val="both"/>
        <w:rPr>
          <w:lang w:val="en-GB"/>
        </w:rPr>
      </w:pPr>
      <w:r w:rsidRPr="00DD626A">
        <w:rPr>
          <w:lang w:val="en-GB"/>
        </w:rPr>
        <w:t>Ralph Neville</w:t>
      </w:r>
      <w:r w:rsidR="00D96F1A" w:rsidRPr="00DD626A">
        <w:rPr>
          <w:lang w:val="en-GB"/>
        </w:rPr>
        <w:t xml:space="preserve"> (c. 1364</w:t>
      </w:r>
      <w:r w:rsidR="009326F0" w:rsidRPr="00DD626A">
        <w:rPr>
          <w:lang w:val="en-GB"/>
        </w:rPr>
        <w:t>-1425) was the son of the 3</w:t>
      </w:r>
      <w:r w:rsidR="002C342C" w:rsidRPr="00DD626A">
        <w:rPr>
          <w:lang w:val="en-GB"/>
        </w:rPr>
        <w:t>rd</w:t>
      </w:r>
      <w:r w:rsidR="009326F0" w:rsidRPr="00DD626A">
        <w:rPr>
          <w:lang w:val="en-GB"/>
        </w:rPr>
        <w:t xml:space="preserve"> Baron Neville and </w:t>
      </w:r>
      <w:r w:rsidR="00D4059E" w:rsidRPr="00DD626A">
        <w:rPr>
          <w:lang w:val="en-GB"/>
        </w:rPr>
        <w:t>succeeded</w:t>
      </w:r>
      <w:r w:rsidR="009326F0" w:rsidRPr="00DD626A">
        <w:rPr>
          <w:lang w:val="en-GB"/>
        </w:rPr>
        <w:t xml:space="preserve"> to the title in 1388</w:t>
      </w:r>
      <w:r w:rsidR="00FE0B51" w:rsidRPr="00DD626A">
        <w:rPr>
          <w:lang w:val="en-GB"/>
        </w:rPr>
        <w:t xml:space="preserve"> and was created the 1</w:t>
      </w:r>
      <w:r w:rsidR="00FE0B51" w:rsidRPr="00DD626A">
        <w:rPr>
          <w:vertAlign w:val="superscript"/>
          <w:lang w:val="en-GB"/>
        </w:rPr>
        <w:t>st</w:t>
      </w:r>
      <w:r w:rsidR="00FE0B51" w:rsidRPr="00DD626A">
        <w:rPr>
          <w:lang w:val="en-GB"/>
        </w:rPr>
        <w:t xml:space="preserve"> earl of Westmorland in </w:t>
      </w:r>
      <w:r w:rsidR="00AE3D0E" w:rsidRPr="00DD626A">
        <w:rPr>
          <w:lang w:val="en-GB"/>
        </w:rPr>
        <w:t>1397</w:t>
      </w:r>
      <w:r w:rsidR="00AE3D0E" w:rsidRPr="00DD626A">
        <w:rPr>
          <w:rStyle w:val="Funotenzeichen"/>
          <w:lang w:val="en-GB"/>
        </w:rPr>
        <w:footnoteReference w:id="1"/>
      </w:r>
      <w:r w:rsidR="009326F0" w:rsidRPr="00DD626A">
        <w:rPr>
          <w:lang w:val="en-GB"/>
        </w:rPr>
        <w:t>.</w:t>
      </w:r>
      <w:r w:rsidR="0052199A" w:rsidRPr="00DD626A">
        <w:rPr>
          <w:lang w:val="en-GB"/>
        </w:rPr>
        <w:t xml:space="preserve"> He was </w:t>
      </w:r>
      <w:r w:rsidR="00B64744" w:rsidRPr="00DD626A">
        <w:rPr>
          <w:lang w:val="en-GB"/>
        </w:rPr>
        <w:t xml:space="preserve">a very </w:t>
      </w:r>
      <w:r w:rsidR="009153FF" w:rsidRPr="00DD626A">
        <w:rPr>
          <w:lang w:val="en-GB"/>
        </w:rPr>
        <w:t>prominent</w:t>
      </w:r>
      <w:r w:rsidR="00B64744" w:rsidRPr="00DD626A">
        <w:rPr>
          <w:lang w:val="en-GB"/>
        </w:rPr>
        <w:t xml:space="preserve"> nobleman during </w:t>
      </w:r>
      <w:r w:rsidR="0063274A" w:rsidRPr="00DD626A">
        <w:rPr>
          <w:lang w:val="en-GB"/>
        </w:rPr>
        <w:t xml:space="preserve">the </w:t>
      </w:r>
      <w:r w:rsidR="00B77327" w:rsidRPr="00DD626A">
        <w:rPr>
          <w:lang w:val="en-GB"/>
        </w:rPr>
        <w:t>reign of Ric</w:t>
      </w:r>
      <w:r w:rsidR="0013720B" w:rsidRPr="00DD626A">
        <w:rPr>
          <w:lang w:val="en-GB"/>
        </w:rPr>
        <w:t>hard II, Henry IV and Henry V. He was married twice. First, to Margaret Stafford,</w:t>
      </w:r>
      <w:r w:rsidR="00232E24" w:rsidRPr="00DD626A">
        <w:rPr>
          <w:lang w:val="en-GB"/>
        </w:rPr>
        <w:t xml:space="preserve"> daughter of Hug</w:t>
      </w:r>
      <w:r w:rsidR="002C342C" w:rsidRPr="00DD626A">
        <w:rPr>
          <w:lang w:val="en-GB"/>
        </w:rPr>
        <w:t>h</w:t>
      </w:r>
      <w:r w:rsidR="00232E24" w:rsidRPr="00DD626A">
        <w:rPr>
          <w:lang w:val="en-GB"/>
        </w:rPr>
        <w:t xml:space="preserve"> Stafford, 2</w:t>
      </w:r>
      <w:r w:rsidR="002C342C" w:rsidRPr="00DD626A">
        <w:rPr>
          <w:lang w:val="en-GB"/>
        </w:rPr>
        <w:t>nd</w:t>
      </w:r>
      <w:r w:rsidR="00232E24" w:rsidRPr="00DD626A">
        <w:rPr>
          <w:lang w:val="en-GB"/>
        </w:rPr>
        <w:t xml:space="preserve"> Earl of Stafford, establishing a connection to an important aristocratic family.</w:t>
      </w:r>
      <w:r w:rsidR="00470789" w:rsidRPr="00DD626A">
        <w:rPr>
          <w:lang w:val="en-GB"/>
        </w:rPr>
        <w:t xml:space="preserve"> His second marriage to Joan Beaufort, half</w:t>
      </w:r>
      <w:r w:rsidR="006601E6" w:rsidRPr="00DD626A">
        <w:rPr>
          <w:lang w:val="en-GB"/>
        </w:rPr>
        <w:t>-</w:t>
      </w:r>
      <w:r w:rsidR="00470789" w:rsidRPr="00DD626A">
        <w:rPr>
          <w:lang w:val="en-GB"/>
        </w:rPr>
        <w:t xml:space="preserve">sister </w:t>
      </w:r>
      <w:r w:rsidR="00DC68B7" w:rsidRPr="00DD626A">
        <w:rPr>
          <w:lang w:val="en-GB"/>
        </w:rPr>
        <w:t xml:space="preserve">of </w:t>
      </w:r>
      <w:r w:rsidR="00470789" w:rsidRPr="00DD626A">
        <w:rPr>
          <w:lang w:val="en-GB"/>
        </w:rPr>
        <w:t xml:space="preserve">Henry </w:t>
      </w:r>
      <w:r w:rsidR="0031295B" w:rsidRPr="00DD626A">
        <w:rPr>
          <w:lang w:val="en-GB"/>
        </w:rPr>
        <w:t>Bolingbroke</w:t>
      </w:r>
      <w:r w:rsidR="00BE5E7A" w:rsidRPr="00DD626A">
        <w:rPr>
          <w:lang w:val="en-GB"/>
        </w:rPr>
        <w:t xml:space="preserve">, later King Henry IV, </w:t>
      </w:r>
      <w:r w:rsidR="006601E6" w:rsidRPr="00DD626A">
        <w:rPr>
          <w:lang w:val="en-GB"/>
        </w:rPr>
        <w:t>strengthened</w:t>
      </w:r>
      <w:r w:rsidR="0031295B" w:rsidRPr="00DD626A">
        <w:rPr>
          <w:lang w:val="en-GB"/>
        </w:rPr>
        <w:t xml:space="preserve"> his connection to the Lancastrian </w:t>
      </w:r>
      <w:r w:rsidR="006601E6" w:rsidRPr="00DD626A">
        <w:rPr>
          <w:lang w:val="en-GB"/>
        </w:rPr>
        <w:t>dynasty</w:t>
      </w:r>
      <w:r w:rsidR="00DA3842" w:rsidRPr="00DD626A">
        <w:rPr>
          <w:rStyle w:val="Funotenzeichen"/>
          <w:lang w:val="en-GB"/>
        </w:rPr>
        <w:footnoteReference w:id="2"/>
      </w:r>
      <w:r w:rsidR="006601E6" w:rsidRPr="00DD626A">
        <w:rPr>
          <w:lang w:val="en-GB"/>
        </w:rPr>
        <w:t>.</w:t>
      </w:r>
      <w:r w:rsidR="00055D15" w:rsidRPr="00DD626A">
        <w:rPr>
          <w:lang w:val="en-GB"/>
        </w:rPr>
        <w:t xml:space="preserve"> </w:t>
      </w:r>
      <w:r w:rsidR="00B465F2" w:rsidRPr="00DD626A">
        <w:rPr>
          <w:lang w:val="en-GB"/>
        </w:rPr>
        <w:t>He had twenty-two or twenty-three children from his two marriages</w:t>
      </w:r>
      <w:r w:rsidR="007A7D41" w:rsidRPr="00DD626A">
        <w:rPr>
          <w:lang w:val="en-GB"/>
        </w:rPr>
        <w:t>.</w:t>
      </w:r>
      <w:r w:rsidR="00D92065" w:rsidRPr="00DD626A">
        <w:rPr>
          <w:lang w:val="en-GB"/>
        </w:rPr>
        <w:t xml:space="preserve"> </w:t>
      </w:r>
      <w:r w:rsidR="007A7D41" w:rsidRPr="00DD626A">
        <w:rPr>
          <w:lang w:val="en-GB"/>
        </w:rPr>
        <w:t>D</w:t>
      </w:r>
      <w:r w:rsidR="00AE7224" w:rsidRPr="00DD626A">
        <w:rPr>
          <w:lang w:val="en-GB"/>
        </w:rPr>
        <w:t>uring his second marriage</w:t>
      </w:r>
      <w:r w:rsidR="00D92065" w:rsidRPr="00DD626A">
        <w:rPr>
          <w:lang w:val="en-GB"/>
        </w:rPr>
        <w:t xml:space="preserve">, </w:t>
      </w:r>
      <w:r w:rsidR="007A7D41" w:rsidRPr="00DD626A">
        <w:rPr>
          <w:lang w:val="en-GB"/>
        </w:rPr>
        <w:t xml:space="preserve">he </w:t>
      </w:r>
      <w:r w:rsidR="00D92065" w:rsidRPr="00DD626A">
        <w:rPr>
          <w:lang w:val="en-GB"/>
        </w:rPr>
        <w:t xml:space="preserve">made </w:t>
      </w:r>
      <w:r w:rsidR="00AE7224" w:rsidRPr="00DD626A">
        <w:rPr>
          <w:lang w:val="en-GB"/>
        </w:rPr>
        <w:t xml:space="preserve">a </w:t>
      </w:r>
      <w:r w:rsidR="007A7D41" w:rsidRPr="00DD626A">
        <w:rPr>
          <w:lang w:val="en-GB"/>
        </w:rPr>
        <w:t>series of property settlements</w:t>
      </w:r>
      <w:r w:rsidR="00AE7224" w:rsidRPr="00DD626A">
        <w:rPr>
          <w:lang w:val="en-GB"/>
        </w:rPr>
        <w:t xml:space="preserve"> that </w:t>
      </w:r>
      <w:r w:rsidR="007F63AD" w:rsidRPr="00DD626A">
        <w:rPr>
          <w:lang w:val="en-GB"/>
        </w:rPr>
        <w:t>favoured the descendants</w:t>
      </w:r>
      <w:r w:rsidR="00BF0C0F" w:rsidRPr="00DD626A">
        <w:rPr>
          <w:lang w:val="en-GB"/>
        </w:rPr>
        <w:t xml:space="preserve"> of</w:t>
      </w:r>
      <w:r w:rsidR="007F63AD" w:rsidRPr="00DD626A">
        <w:rPr>
          <w:lang w:val="en-GB"/>
        </w:rPr>
        <w:t xml:space="preserve"> Joan Beaufort </w:t>
      </w:r>
      <w:r w:rsidR="00BF0C0F" w:rsidRPr="00DD626A">
        <w:rPr>
          <w:lang w:val="en-GB"/>
        </w:rPr>
        <w:t>over those from his first</w:t>
      </w:r>
      <w:r w:rsidR="00F15DD7" w:rsidRPr="00DD626A">
        <w:rPr>
          <w:lang w:val="en-GB"/>
        </w:rPr>
        <w:t xml:space="preserve"> marriage.</w:t>
      </w:r>
      <w:r w:rsidR="00055D15" w:rsidRPr="00DD626A">
        <w:rPr>
          <w:rStyle w:val="Funotenzeichen"/>
          <w:lang w:val="en-GB"/>
        </w:rPr>
        <w:footnoteReference w:id="3"/>
      </w:r>
    </w:p>
    <w:p w14:paraId="3958ADBB" w14:textId="77777777" w:rsidR="00F15DD7" w:rsidRPr="00DD626A" w:rsidRDefault="00F15DD7" w:rsidP="00983C23">
      <w:pPr>
        <w:jc w:val="both"/>
        <w:rPr>
          <w:lang w:val="en-GB"/>
        </w:rPr>
      </w:pPr>
    </w:p>
    <w:p w14:paraId="4BEDDD2E" w14:textId="53D55CDF" w:rsidR="007E53A3" w:rsidRPr="00DD626A" w:rsidRDefault="007E53A3" w:rsidP="00983C23">
      <w:pPr>
        <w:jc w:val="both"/>
        <w:rPr>
          <w:b/>
          <w:bCs/>
          <w:lang w:val="en-GB"/>
        </w:rPr>
      </w:pPr>
      <w:r w:rsidRPr="00DD626A">
        <w:rPr>
          <w:b/>
          <w:bCs/>
          <w:lang w:val="en-GB"/>
        </w:rPr>
        <w:t>Archival material</w:t>
      </w:r>
    </w:p>
    <w:p w14:paraId="762E2649" w14:textId="01C728F1" w:rsidR="00C01AEE" w:rsidRPr="00DD626A" w:rsidRDefault="00C01AEE" w:rsidP="00983C23">
      <w:pPr>
        <w:jc w:val="both"/>
        <w:rPr>
          <w:b/>
          <w:bCs/>
          <w:lang w:val="en-GB"/>
        </w:rPr>
      </w:pPr>
      <w:r w:rsidRPr="00DD626A">
        <w:rPr>
          <w:b/>
          <w:bCs/>
          <w:lang w:val="en-GB"/>
        </w:rPr>
        <w:t>London</w:t>
      </w:r>
    </w:p>
    <w:p w14:paraId="0093B4C6" w14:textId="42FD30CB" w:rsidR="00C01AEE" w:rsidRPr="00DD626A" w:rsidRDefault="00C01AEE" w:rsidP="00983C23">
      <w:pPr>
        <w:jc w:val="both"/>
        <w:rPr>
          <w:b/>
          <w:bCs/>
          <w:lang w:val="en-GB"/>
        </w:rPr>
      </w:pPr>
      <w:r w:rsidRPr="00DD626A">
        <w:rPr>
          <w:b/>
          <w:bCs/>
          <w:lang w:val="en-GB"/>
        </w:rPr>
        <w:t>The National Archives</w:t>
      </w:r>
    </w:p>
    <w:p w14:paraId="56D87218" w14:textId="5A11D43C" w:rsidR="007E53A3" w:rsidRPr="00DD626A" w:rsidRDefault="00403937" w:rsidP="00983C23">
      <w:pPr>
        <w:jc w:val="both"/>
        <w:rPr>
          <w:lang w:val="en-GB"/>
        </w:rPr>
      </w:pPr>
      <w:r w:rsidRPr="00DD626A">
        <w:rPr>
          <w:lang w:val="en-GB"/>
        </w:rPr>
        <w:t>C 13</w:t>
      </w:r>
      <w:r w:rsidR="009F06B3" w:rsidRPr="00DD626A">
        <w:rPr>
          <w:lang w:val="en-GB"/>
        </w:rPr>
        <w:t>9/104/42, mm.3</w:t>
      </w:r>
      <w:r w:rsidR="00887C08" w:rsidRPr="00DD626A">
        <w:rPr>
          <w:lang w:val="en-GB"/>
        </w:rPr>
        <w:t>–</w:t>
      </w:r>
      <w:r w:rsidR="009F06B3" w:rsidRPr="00DD626A">
        <w:rPr>
          <w:lang w:val="en-GB"/>
        </w:rPr>
        <w:t>4</w:t>
      </w:r>
      <w:r w:rsidR="00B80AE2" w:rsidRPr="00DD626A">
        <w:rPr>
          <w:lang w:val="en-GB"/>
        </w:rPr>
        <w:t>, inquisition post mortem of Joan, Countess of Westmorland, Essex, 6 December 1440</w:t>
      </w:r>
      <w:r w:rsidR="00C01AEE" w:rsidRPr="00DD626A">
        <w:rPr>
          <w:rStyle w:val="Funotenzeichen"/>
          <w:lang w:val="en-GB"/>
        </w:rPr>
        <w:footnoteReference w:id="4"/>
      </w:r>
    </w:p>
    <w:p w14:paraId="2560C93A" w14:textId="7083C5A8" w:rsidR="00EA03C3" w:rsidRPr="00DD626A" w:rsidRDefault="00194BA3" w:rsidP="00983C23">
      <w:pPr>
        <w:jc w:val="both"/>
        <w:rPr>
          <w:lang w:val="en-GB"/>
        </w:rPr>
      </w:pPr>
      <w:r w:rsidRPr="00DD626A">
        <w:rPr>
          <w:lang w:val="en-GB"/>
        </w:rPr>
        <w:t xml:space="preserve">This record is particularly useful </w:t>
      </w:r>
      <w:r w:rsidR="008B424C" w:rsidRPr="00DD626A">
        <w:rPr>
          <w:lang w:val="en-GB"/>
        </w:rPr>
        <w:t>for investigating how property was settled on the descendants from Ralph Neville’s second marriage to Joan Beaufor</w:t>
      </w:r>
      <w:r w:rsidR="00F03F4D" w:rsidRPr="00DD626A">
        <w:rPr>
          <w:lang w:val="en-GB"/>
        </w:rPr>
        <w:t>t</w:t>
      </w:r>
      <w:r w:rsidR="008B424C" w:rsidRPr="00DD626A">
        <w:rPr>
          <w:lang w:val="en-GB"/>
        </w:rPr>
        <w:t xml:space="preserve"> </w:t>
      </w:r>
      <w:r w:rsidR="001C0DCC" w:rsidRPr="00DD626A">
        <w:rPr>
          <w:lang w:val="en-GB"/>
        </w:rPr>
        <w:t xml:space="preserve">as the inquisition concerns the settlement of the </w:t>
      </w:r>
      <w:r w:rsidR="00236A75" w:rsidRPr="00DD626A">
        <w:rPr>
          <w:lang w:val="en-GB"/>
        </w:rPr>
        <w:t>lands and manors on her son</w:t>
      </w:r>
      <w:r w:rsidR="00FF4C6A" w:rsidRPr="00DD626A">
        <w:rPr>
          <w:lang w:val="en-GB"/>
        </w:rPr>
        <w:t xml:space="preserve"> Richard</w:t>
      </w:r>
      <w:r w:rsidR="00653845" w:rsidRPr="00DD626A">
        <w:rPr>
          <w:lang w:val="en-GB"/>
        </w:rPr>
        <w:t>, Earl of Salisbury</w:t>
      </w:r>
      <w:r w:rsidR="00FF4C6A" w:rsidRPr="00DD626A">
        <w:rPr>
          <w:lang w:val="en-GB"/>
        </w:rPr>
        <w:t>.</w:t>
      </w:r>
    </w:p>
    <w:p w14:paraId="191738AD" w14:textId="77777777" w:rsidR="00FF4C6A" w:rsidRPr="00DD626A" w:rsidRDefault="00FF4C6A" w:rsidP="00983C23">
      <w:pPr>
        <w:jc w:val="both"/>
        <w:rPr>
          <w:lang w:val="en-GB"/>
        </w:rPr>
      </w:pPr>
    </w:p>
    <w:p w14:paraId="34EA3B16" w14:textId="68AAE453" w:rsidR="00511371" w:rsidRPr="00DD626A" w:rsidRDefault="00511371" w:rsidP="00983C23">
      <w:pPr>
        <w:jc w:val="both"/>
        <w:rPr>
          <w:lang w:val="en-GB"/>
        </w:rPr>
      </w:pPr>
      <w:r w:rsidRPr="00DD626A">
        <w:rPr>
          <w:lang w:val="en-GB"/>
        </w:rPr>
        <w:t>C</w:t>
      </w:r>
      <w:r w:rsidR="00887C08" w:rsidRPr="00DD626A">
        <w:rPr>
          <w:lang w:val="en-GB"/>
        </w:rPr>
        <w:t xml:space="preserve"> 139/10</w:t>
      </w:r>
      <w:r w:rsidR="006F21D4" w:rsidRPr="00DD626A">
        <w:rPr>
          <w:lang w:val="en-GB"/>
        </w:rPr>
        <w:t>4</w:t>
      </w:r>
      <w:r w:rsidR="00887C08" w:rsidRPr="00DD626A">
        <w:rPr>
          <w:lang w:val="en-GB"/>
        </w:rPr>
        <w:t>/42, mm.12–13, inquisition post mortem of Joan, Countess of Westmorland</w:t>
      </w:r>
      <w:r w:rsidR="004776FA" w:rsidRPr="00DD626A">
        <w:rPr>
          <w:lang w:val="en-GB"/>
        </w:rPr>
        <w:t>, Yorkshire, 22 December 1440</w:t>
      </w:r>
      <w:r w:rsidR="004776FA" w:rsidRPr="00DD626A">
        <w:rPr>
          <w:rStyle w:val="Funotenzeichen"/>
          <w:lang w:val="en-GB"/>
        </w:rPr>
        <w:footnoteReference w:id="5"/>
      </w:r>
    </w:p>
    <w:p w14:paraId="31556EC0" w14:textId="4E777D58" w:rsidR="0042622C" w:rsidRPr="00DD626A" w:rsidRDefault="00F658F8" w:rsidP="00983C23">
      <w:pPr>
        <w:jc w:val="both"/>
        <w:rPr>
          <w:lang w:val="en-GB"/>
        </w:rPr>
      </w:pPr>
      <w:r w:rsidRPr="00DD626A">
        <w:rPr>
          <w:lang w:val="en-GB"/>
        </w:rPr>
        <w:t xml:space="preserve">This record also covers the </w:t>
      </w:r>
      <w:r w:rsidR="00FD64B8" w:rsidRPr="00DD626A">
        <w:rPr>
          <w:lang w:val="en-GB"/>
        </w:rPr>
        <w:t>inquisition post mortem of Joan. However, in this case, the investig</w:t>
      </w:r>
      <w:r w:rsidR="00A07688" w:rsidRPr="00DD626A">
        <w:rPr>
          <w:lang w:val="en-GB"/>
        </w:rPr>
        <w:t>ation was held at the castle at York</w:t>
      </w:r>
      <w:r w:rsidR="00B017F3" w:rsidRPr="00DD626A">
        <w:rPr>
          <w:lang w:val="en-GB"/>
        </w:rPr>
        <w:t xml:space="preserve"> before a different jury.</w:t>
      </w:r>
      <w:r w:rsidR="0098269C" w:rsidRPr="00DD626A">
        <w:rPr>
          <w:lang w:val="en-GB"/>
        </w:rPr>
        <w:t xml:space="preserve"> Unlike the Essex </w:t>
      </w:r>
      <w:r w:rsidR="00AF05B4" w:rsidRPr="00DD626A">
        <w:rPr>
          <w:lang w:val="en-GB"/>
        </w:rPr>
        <w:t xml:space="preserve">inquisition, it also provides evidence of the </w:t>
      </w:r>
      <w:r w:rsidR="00AA4DA9" w:rsidRPr="00DD626A">
        <w:rPr>
          <w:lang w:val="en-GB"/>
        </w:rPr>
        <w:t xml:space="preserve">Neville family’s </w:t>
      </w:r>
      <w:r w:rsidR="00AF05B4" w:rsidRPr="00DD626A">
        <w:rPr>
          <w:lang w:val="en-GB"/>
        </w:rPr>
        <w:t>extensive northern estates.</w:t>
      </w:r>
    </w:p>
    <w:p w14:paraId="7B899652" w14:textId="77777777" w:rsidR="00523B59" w:rsidRPr="00DD626A" w:rsidRDefault="00523B59" w:rsidP="00983C23">
      <w:pPr>
        <w:jc w:val="both"/>
        <w:rPr>
          <w:lang w:val="en-GB"/>
        </w:rPr>
      </w:pPr>
    </w:p>
    <w:p w14:paraId="2D70D5E3" w14:textId="483E64C6" w:rsidR="00523B59" w:rsidRPr="00DD626A" w:rsidRDefault="00523B59" w:rsidP="00983C23">
      <w:pPr>
        <w:jc w:val="both"/>
        <w:rPr>
          <w:lang w:val="en-GB"/>
        </w:rPr>
      </w:pPr>
      <w:r w:rsidRPr="00DD626A">
        <w:rPr>
          <w:lang w:val="en-GB"/>
        </w:rPr>
        <w:lastRenderedPageBreak/>
        <w:t>CP 25/1/291</w:t>
      </w:r>
      <w:r w:rsidR="006E0DD0" w:rsidRPr="00DD626A">
        <w:rPr>
          <w:lang w:val="en-GB"/>
        </w:rPr>
        <w:t>/63, no. 43, final concord, 17 May 1416</w:t>
      </w:r>
      <w:r w:rsidR="00A405CD" w:rsidRPr="00DD626A">
        <w:rPr>
          <w:rStyle w:val="Funotenzeichen"/>
          <w:lang w:val="en-GB"/>
        </w:rPr>
        <w:footnoteReference w:id="6"/>
      </w:r>
    </w:p>
    <w:p w14:paraId="66B5B6D7" w14:textId="7F62C48E" w:rsidR="00A405CD" w:rsidRPr="00DD626A" w:rsidRDefault="00A405CD" w:rsidP="00983C23">
      <w:pPr>
        <w:jc w:val="both"/>
        <w:rPr>
          <w:lang w:val="en-GB"/>
        </w:rPr>
      </w:pPr>
      <w:r w:rsidRPr="00DD626A">
        <w:rPr>
          <w:lang w:val="en-GB"/>
        </w:rPr>
        <w:t xml:space="preserve">This document </w:t>
      </w:r>
      <w:r w:rsidR="006067A6" w:rsidRPr="00DD626A">
        <w:rPr>
          <w:lang w:val="en-GB"/>
        </w:rPr>
        <w:t xml:space="preserve">is particularly relevant for the inheritance dispute because it </w:t>
      </w:r>
      <w:r w:rsidR="00B150E4" w:rsidRPr="00DD626A">
        <w:rPr>
          <w:lang w:val="en-GB"/>
        </w:rPr>
        <w:t xml:space="preserve">establishes that </w:t>
      </w:r>
      <w:r w:rsidR="00E7617A" w:rsidRPr="00DD626A">
        <w:rPr>
          <w:lang w:val="en-GB"/>
        </w:rPr>
        <w:t>land</w:t>
      </w:r>
      <w:r w:rsidR="00B150E4" w:rsidRPr="00DD626A">
        <w:rPr>
          <w:lang w:val="en-GB"/>
        </w:rPr>
        <w:t xml:space="preserve"> and </w:t>
      </w:r>
      <w:r w:rsidR="00E7617A" w:rsidRPr="00DD626A">
        <w:rPr>
          <w:lang w:val="en-GB"/>
        </w:rPr>
        <w:t xml:space="preserve">several manors </w:t>
      </w:r>
      <w:r w:rsidR="006F21D4" w:rsidRPr="00DD626A">
        <w:rPr>
          <w:lang w:val="en-GB"/>
        </w:rPr>
        <w:t>were settled upon Ralph and Joan and their</w:t>
      </w:r>
      <w:r w:rsidR="009C3E4A" w:rsidRPr="00DD626A">
        <w:rPr>
          <w:lang w:val="en-GB"/>
        </w:rPr>
        <w:t xml:space="preserve"> male heirs</w:t>
      </w:r>
      <w:r w:rsidR="0007092A" w:rsidRPr="00DD626A">
        <w:rPr>
          <w:lang w:val="en-GB"/>
        </w:rPr>
        <w:t>.</w:t>
      </w:r>
      <w:r w:rsidR="00616B5C" w:rsidRPr="00DD626A">
        <w:rPr>
          <w:lang w:val="en-GB"/>
        </w:rPr>
        <w:t xml:space="preserve"> </w:t>
      </w:r>
      <w:r w:rsidR="004C3CAF" w:rsidRPr="00DD626A">
        <w:rPr>
          <w:lang w:val="en-GB"/>
        </w:rPr>
        <w:t>Estates would only pass to Ralph’s descendants from his first marriage if this line of inheritance failed.</w:t>
      </w:r>
    </w:p>
    <w:p w14:paraId="02ECC428" w14:textId="77777777" w:rsidR="0042622C" w:rsidRPr="00DD626A" w:rsidRDefault="0042622C" w:rsidP="00983C23">
      <w:pPr>
        <w:jc w:val="both"/>
        <w:rPr>
          <w:lang w:val="en-GB"/>
        </w:rPr>
      </w:pPr>
    </w:p>
    <w:p w14:paraId="39C8B473" w14:textId="63BF7126" w:rsidR="00E91984" w:rsidRPr="00DD626A" w:rsidRDefault="00B6708C" w:rsidP="00983C23">
      <w:pPr>
        <w:jc w:val="both"/>
        <w:rPr>
          <w:b/>
          <w:bCs/>
          <w:lang w:val="en-GB"/>
        </w:rPr>
      </w:pPr>
      <w:r w:rsidRPr="00DD626A">
        <w:rPr>
          <w:b/>
          <w:bCs/>
          <w:lang w:val="en-GB"/>
        </w:rPr>
        <w:t>Durham Cathedral Archive</w:t>
      </w:r>
    </w:p>
    <w:p w14:paraId="1E9B646F" w14:textId="3FF51F90" w:rsidR="00651FD2" w:rsidRPr="00DD626A" w:rsidRDefault="006F4C27" w:rsidP="00983C23">
      <w:pPr>
        <w:jc w:val="both"/>
        <w:rPr>
          <w:b/>
          <w:bCs/>
          <w:lang w:val="en-GB"/>
        </w:rPr>
      </w:pPr>
      <w:r w:rsidRPr="00DD626A">
        <w:rPr>
          <w:b/>
          <w:bCs/>
          <w:lang w:val="en-GB"/>
        </w:rPr>
        <w:t>Eboracensia catalogue</w:t>
      </w:r>
    </w:p>
    <w:p w14:paraId="1BC6535E" w14:textId="61CD65FC" w:rsidR="006F4C27" w:rsidRPr="00DD626A" w:rsidRDefault="006F4C27" w:rsidP="00983C23">
      <w:pPr>
        <w:jc w:val="both"/>
        <w:rPr>
          <w:lang w:val="en-GB"/>
        </w:rPr>
      </w:pPr>
      <w:r w:rsidRPr="00DD626A">
        <w:rPr>
          <w:lang w:val="en-GB"/>
        </w:rPr>
        <w:t>DCD 1.2</w:t>
      </w:r>
      <w:r w:rsidR="006F21D4" w:rsidRPr="00DD626A">
        <w:rPr>
          <w:lang w:val="en-GB"/>
        </w:rPr>
        <w:t>.</w:t>
      </w:r>
      <w:r w:rsidRPr="00DD626A">
        <w:rPr>
          <w:lang w:val="en-GB"/>
        </w:rPr>
        <w:t xml:space="preserve">Ebor.15c, c. </w:t>
      </w:r>
      <w:r w:rsidR="00D633F9" w:rsidRPr="00DD626A">
        <w:rPr>
          <w:lang w:val="en-GB"/>
        </w:rPr>
        <w:t>1434</w:t>
      </w:r>
      <w:r w:rsidR="00E17882" w:rsidRPr="00DD626A">
        <w:rPr>
          <w:rStyle w:val="Funotenzeichen"/>
          <w:lang w:val="en-GB"/>
        </w:rPr>
        <w:footnoteReference w:id="7"/>
      </w:r>
    </w:p>
    <w:p w14:paraId="16CF720D" w14:textId="37C9EC97" w:rsidR="00D633F9" w:rsidRPr="00DD626A" w:rsidRDefault="00D633F9" w:rsidP="00983C23">
      <w:pPr>
        <w:jc w:val="both"/>
        <w:rPr>
          <w:lang w:val="en-GB"/>
        </w:rPr>
      </w:pPr>
      <w:r w:rsidRPr="00DD626A">
        <w:rPr>
          <w:lang w:val="en-GB"/>
        </w:rPr>
        <w:t xml:space="preserve">Draft account </w:t>
      </w:r>
      <w:r w:rsidR="00F03F4D" w:rsidRPr="00DD626A">
        <w:rPr>
          <w:lang w:val="en-GB"/>
        </w:rPr>
        <w:t>of dispute over the late Earl of Westmorland’s will, including demands from his widow, Joan Beaufort and their son, Richard Neville, Earl of Salisbury</w:t>
      </w:r>
    </w:p>
    <w:p w14:paraId="5326A412" w14:textId="58C96B58" w:rsidR="00FE3741" w:rsidRPr="00DD626A" w:rsidRDefault="00FE3741" w:rsidP="00983C23">
      <w:pPr>
        <w:jc w:val="both"/>
        <w:rPr>
          <w:lang w:val="en-GB"/>
        </w:rPr>
      </w:pPr>
      <w:r w:rsidRPr="00DD626A">
        <w:rPr>
          <w:lang w:val="en-GB"/>
        </w:rPr>
        <w:t xml:space="preserve">This document is relevant because </w:t>
      </w:r>
      <w:r w:rsidR="00DD1B09" w:rsidRPr="00DD626A">
        <w:rPr>
          <w:lang w:val="en-GB"/>
        </w:rPr>
        <w:t xml:space="preserve">it confirms that </w:t>
      </w:r>
      <w:r w:rsidR="00211CE4" w:rsidRPr="00DD626A">
        <w:rPr>
          <w:lang w:val="en-GB"/>
        </w:rPr>
        <w:t>Ralph</w:t>
      </w:r>
      <w:r w:rsidR="00DE7944" w:rsidRPr="00DD626A">
        <w:rPr>
          <w:lang w:val="en-GB"/>
        </w:rPr>
        <w:t xml:space="preserve"> Neville, 2</w:t>
      </w:r>
      <w:r w:rsidR="00DE7944" w:rsidRPr="00DD626A">
        <w:rPr>
          <w:vertAlign w:val="superscript"/>
          <w:lang w:val="en-GB"/>
        </w:rPr>
        <w:t>nd</w:t>
      </w:r>
      <w:r w:rsidR="00DE7944" w:rsidRPr="00DD626A">
        <w:rPr>
          <w:lang w:val="en-GB"/>
        </w:rPr>
        <w:t xml:space="preserve"> Earl of Westmorland as well as Joan, widow of the 1</w:t>
      </w:r>
      <w:r w:rsidR="00DE7944" w:rsidRPr="00DD626A">
        <w:rPr>
          <w:vertAlign w:val="superscript"/>
          <w:lang w:val="en-GB"/>
        </w:rPr>
        <w:t>st</w:t>
      </w:r>
      <w:r w:rsidR="00DE7944" w:rsidRPr="00DD626A">
        <w:rPr>
          <w:lang w:val="en-GB"/>
        </w:rPr>
        <w:t xml:space="preserve"> Earl of Westmorland, and her son Richard, Earl of Salisbury both demanded that the documents</w:t>
      </w:r>
      <w:r w:rsidR="00B0273C" w:rsidRPr="00DD626A">
        <w:rPr>
          <w:lang w:val="en-GB"/>
        </w:rPr>
        <w:t xml:space="preserve"> be surrendered to them as b</w:t>
      </w:r>
      <w:r w:rsidR="00270B15" w:rsidRPr="00DD626A">
        <w:rPr>
          <w:lang w:val="en-GB"/>
        </w:rPr>
        <w:t>oth parties wanted custody of the late earl’s will.</w:t>
      </w:r>
      <w:r w:rsidR="009153FF" w:rsidRPr="00DD626A">
        <w:rPr>
          <w:lang w:val="en-GB"/>
        </w:rPr>
        <w:t xml:space="preserve"> </w:t>
      </w:r>
    </w:p>
    <w:p w14:paraId="5285A804" w14:textId="77777777" w:rsidR="00791FC5" w:rsidRPr="00DD626A" w:rsidRDefault="00791FC5" w:rsidP="00983C23">
      <w:pPr>
        <w:jc w:val="both"/>
        <w:rPr>
          <w:lang w:val="en-GB"/>
        </w:rPr>
      </w:pPr>
    </w:p>
    <w:p w14:paraId="0AF0D566" w14:textId="15B1C1F6" w:rsidR="00004BB9" w:rsidRPr="00DD626A" w:rsidRDefault="00004BB9" w:rsidP="00983C23">
      <w:pPr>
        <w:jc w:val="both"/>
        <w:rPr>
          <w:lang w:val="en-GB"/>
        </w:rPr>
      </w:pPr>
      <w:r w:rsidRPr="00DD626A">
        <w:rPr>
          <w:lang w:val="en-GB"/>
        </w:rPr>
        <w:t>DCD 1.2</w:t>
      </w:r>
      <w:r w:rsidR="006F21D4" w:rsidRPr="00DD626A">
        <w:rPr>
          <w:lang w:val="en-GB"/>
        </w:rPr>
        <w:t>.</w:t>
      </w:r>
      <w:r w:rsidRPr="00DD626A">
        <w:rPr>
          <w:lang w:val="en-GB"/>
        </w:rPr>
        <w:t>Ebor.15a, c. 1434</w:t>
      </w:r>
      <w:r w:rsidR="008425F3" w:rsidRPr="00DD626A">
        <w:rPr>
          <w:rStyle w:val="Funotenzeichen"/>
          <w:lang w:val="en-GB"/>
        </w:rPr>
        <w:footnoteReference w:id="8"/>
      </w:r>
    </w:p>
    <w:p w14:paraId="015DA855" w14:textId="34B71E0A" w:rsidR="00004BB9" w:rsidRPr="00DD626A" w:rsidRDefault="00004BB9" w:rsidP="00983C23">
      <w:pPr>
        <w:jc w:val="both"/>
        <w:rPr>
          <w:lang w:val="en-GB"/>
        </w:rPr>
      </w:pPr>
      <w:r w:rsidRPr="00DD626A">
        <w:rPr>
          <w:lang w:val="en-GB"/>
        </w:rPr>
        <w:t>A letter in English by Ralph Neville, 2</w:t>
      </w:r>
      <w:r w:rsidRPr="00DD626A">
        <w:rPr>
          <w:vertAlign w:val="superscript"/>
          <w:lang w:val="en-GB"/>
        </w:rPr>
        <w:t>nd</w:t>
      </w:r>
      <w:r w:rsidRPr="00DD626A">
        <w:rPr>
          <w:lang w:val="en-GB"/>
        </w:rPr>
        <w:t xml:space="preserve"> Earl of Westmorland</w:t>
      </w:r>
      <w:r w:rsidR="002570E6" w:rsidRPr="00DD626A">
        <w:rPr>
          <w:lang w:val="en-GB"/>
        </w:rPr>
        <w:t>, to the prior of Durham, regarding the will of the earl of Westmorland</w:t>
      </w:r>
    </w:p>
    <w:p w14:paraId="07527850" w14:textId="2DD83291" w:rsidR="002570E6" w:rsidRPr="00DD626A" w:rsidRDefault="002570E6" w:rsidP="00983C23">
      <w:pPr>
        <w:jc w:val="both"/>
        <w:rPr>
          <w:lang w:val="en-GB"/>
        </w:rPr>
      </w:pPr>
      <w:r w:rsidRPr="00DD626A">
        <w:rPr>
          <w:lang w:val="en-GB"/>
        </w:rPr>
        <w:t>Th</w:t>
      </w:r>
      <w:r w:rsidR="00114168" w:rsidRPr="00DD626A">
        <w:rPr>
          <w:lang w:val="en-GB"/>
        </w:rPr>
        <w:t>is letter provides the perspective of Ralph Neville</w:t>
      </w:r>
      <w:r w:rsidR="006F3AA4" w:rsidRPr="00DD626A">
        <w:rPr>
          <w:lang w:val="en-GB"/>
        </w:rPr>
        <w:t xml:space="preserve">, who asks that his grandfather’s will be </w:t>
      </w:r>
      <w:r w:rsidR="002B0877" w:rsidRPr="00DD626A">
        <w:rPr>
          <w:lang w:val="en-GB"/>
        </w:rPr>
        <w:t xml:space="preserve">opened in front of witnesses, including his uncle, the Earl of Northumberland, and the bishop of Durham, </w:t>
      </w:r>
      <w:r w:rsidR="00C93FED" w:rsidRPr="00DD626A">
        <w:rPr>
          <w:lang w:val="en-GB"/>
        </w:rPr>
        <w:t>with the prior of Durham</w:t>
      </w:r>
      <w:r w:rsidR="002B0877" w:rsidRPr="00DD626A">
        <w:rPr>
          <w:lang w:val="en-GB"/>
        </w:rPr>
        <w:t xml:space="preserve"> retain</w:t>
      </w:r>
      <w:r w:rsidR="00C93FED" w:rsidRPr="00DD626A">
        <w:rPr>
          <w:lang w:val="en-GB"/>
        </w:rPr>
        <w:t>ing</w:t>
      </w:r>
      <w:r w:rsidR="002B0877" w:rsidRPr="00DD626A">
        <w:rPr>
          <w:lang w:val="en-GB"/>
        </w:rPr>
        <w:t xml:space="preserve"> custody of the will. </w:t>
      </w:r>
      <w:r w:rsidR="009153FF" w:rsidRPr="00DD626A">
        <w:rPr>
          <w:lang w:val="en-GB"/>
        </w:rPr>
        <w:t xml:space="preserve">As such, the letter provides the perspective of one of the two parties to the inheritance conflict. </w:t>
      </w:r>
    </w:p>
    <w:p w14:paraId="77F8F047" w14:textId="77777777" w:rsidR="00270B15" w:rsidRPr="00DD626A" w:rsidRDefault="00270B15" w:rsidP="00983C23">
      <w:pPr>
        <w:jc w:val="both"/>
        <w:rPr>
          <w:lang w:val="en-GB"/>
        </w:rPr>
      </w:pPr>
    </w:p>
    <w:sectPr w:rsidR="00270B15" w:rsidRPr="00DD626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4E624D" w14:textId="77777777" w:rsidR="00977CBA" w:rsidRDefault="00977CBA" w:rsidP="00AE3D0E">
      <w:pPr>
        <w:spacing w:after="0" w:line="240" w:lineRule="auto"/>
      </w:pPr>
      <w:r>
        <w:separator/>
      </w:r>
    </w:p>
  </w:endnote>
  <w:endnote w:type="continuationSeparator" w:id="0">
    <w:p w14:paraId="67C164AE" w14:textId="77777777" w:rsidR="00977CBA" w:rsidRDefault="00977CBA" w:rsidP="00AE3D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FB22F9" w14:textId="77777777" w:rsidR="00977CBA" w:rsidRDefault="00977CBA" w:rsidP="00AE3D0E">
      <w:pPr>
        <w:spacing w:after="0" w:line="240" w:lineRule="auto"/>
      </w:pPr>
      <w:r>
        <w:separator/>
      </w:r>
    </w:p>
  </w:footnote>
  <w:footnote w:type="continuationSeparator" w:id="0">
    <w:p w14:paraId="609289B9" w14:textId="77777777" w:rsidR="00977CBA" w:rsidRDefault="00977CBA" w:rsidP="00AE3D0E">
      <w:pPr>
        <w:spacing w:after="0" w:line="240" w:lineRule="auto"/>
      </w:pPr>
      <w:r>
        <w:continuationSeparator/>
      </w:r>
    </w:p>
  </w:footnote>
  <w:footnote w:id="1">
    <w:p w14:paraId="24F7A895" w14:textId="02C4838C" w:rsidR="00AE3D0E" w:rsidRPr="00DC68B7" w:rsidRDefault="00AE3D0E">
      <w:pPr>
        <w:pStyle w:val="Funotentext"/>
        <w:rPr>
          <w:lang w:val="en-US"/>
        </w:rPr>
      </w:pPr>
      <w:r>
        <w:rPr>
          <w:rStyle w:val="Funotenzeichen"/>
        </w:rPr>
        <w:footnoteRef/>
      </w:r>
      <w:r w:rsidRPr="00AE3D0E">
        <w:rPr>
          <w:lang w:val="en-US"/>
        </w:rPr>
        <w:t xml:space="preserve"> Westmorland, Ralph Neville, 1st earl of. </w:t>
      </w:r>
      <w:r w:rsidRPr="00B77327">
        <w:rPr>
          <w:lang w:val="en-US"/>
        </w:rPr>
        <w:t xml:space="preserve">(2015). In </w:t>
      </w:r>
      <w:r w:rsidRPr="00B77327">
        <w:rPr>
          <w:i/>
          <w:iCs/>
          <w:lang w:val="en-US"/>
        </w:rPr>
        <w:t>The Oxford Companion to British History</w:t>
      </w:r>
      <w:r w:rsidRPr="00B77327">
        <w:rPr>
          <w:lang w:val="en-US"/>
        </w:rPr>
        <w:t xml:space="preserve"> (2nd ed.). </w:t>
      </w:r>
      <w:r w:rsidRPr="00DC68B7">
        <w:rPr>
          <w:lang w:val="en-US"/>
        </w:rPr>
        <w:t>Oxford University Press.</w:t>
      </w:r>
    </w:p>
  </w:footnote>
  <w:footnote w:id="2">
    <w:p w14:paraId="549D81DA" w14:textId="7E19E142" w:rsidR="00DA3842" w:rsidRPr="001807B4" w:rsidRDefault="00DA3842">
      <w:pPr>
        <w:pStyle w:val="Funotentext"/>
        <w:rPr>
          <w:lang w:val="en-US"/>
        </w:rPr>
      </w:pPr>
      <w:r>
        <w:rPr>
          <w:rStyle w:val="Funotenzeichen"/>
        </w:rPr>
        <w:footnoteRef/>
      </w:r>
      <w:r w:rsidRPr="001807B4">
        <w:rPr>
          <w:lang w:val="en-US"/>
        </w:rPr>
        <w:t xml:space="preserve"> </w:t>
      </w:r>
      <w:r w:rsidR="00EC3F42" w:rsidRPr="001807B4">
        <w:rPr>
          <w:lang w:val="en-US"/>
        </w:rPr>
        <w:t>‚Ralph Neville,</w:t>
      </w:r>
      <w:r w:rsidR="001807B4" w:rsidRPr="001807B4">
        <w:rPr>
          <w:lang w:val="en-US"/>
        </w:rPr>
        <w:t xml:space="preserve"> 1st Earl of Westmorland</w:t>
      </w:r>
      <w:r w:rsidR="00EC3F42" w:rsidRPr="001807B4">
        <w:rPr>
          <w:lang w:val="en-US"/>
        </w:rPr>
        <w:t>‘</w:t>
      </w:r>
      <w:r w:rsidR="001807B4" w:rsidRPr="001807B4">
        <w:rPr>
          <w:lang w:val="en-US"/>
        </w:rPr>
        <w:t>, Encyclopaedia Br</w:t>
      </w:r>
      <w:r w:rsidR="001807B4">
        <w:rPr>
          <w:lang w:val="en-US"/>
        </w:rPr>
        <w:t xml:space="preserve">itannica, </w:t>
      </w:r>
      <w:hyperlink r:id="rId1" w:history="1">
        <w:r w:rsidR="00D228DD" w:rsidRPr="00E42F8C">
          <w:rPr>
            <w:rStyle w:val="Hyperlink"/>
            <w:lang w:val="en-US"/>
          </w:rPr>
          <w:t>https://www.britannica.com/biography/Ralph-Neville-1st-Earl-of-Westmorland</w:t>
        </w:r>
      </w:hyperlink>
      <w:r w:rsidR="001807B4">
        <w:rPr>
          <w:lang w:val="en-US"/>
        </w:rPr>
        <w:t xml:space="preserve"> [access</w:t>
      </w:r>
      <w:r w:rsidR="00AC5C87">
        <w:rPr>
          <w:lang w:val="en-US"/>
        </w:rPr>
        <w:t>ed</w:t>
      </w:r>
      <w:r w:rsidR="001807B4">
        <w:rPr>
          <w:lang w:val="en-US"/>
        </w:rPr>
        <w:t xml:space="preserve"> 17 October 2026]</w:t>
      </w:r>
    </w:p>
  </w:footnote>
  <w:footnote w:id="3">
    <w:p w14:paraId="204CBBFF" w14:textId="6FEBE23F" w:rsidR="00055D15" w:rsidRPr="00055D15" w:rsidRDefault="00055D15">
      <w:pPr>
        <w:pStyle w:val="Funotentext"/>
        <w:rPr>
          <w:lang w:val="en-US"/>
        </w:rPr>
      </w:pPr>
      <w:r>
        <w:rPr>
          <w:rStyle w:val="Funotenzeichen"/>
        </w:rPr>
        <w:footnoteRef/>
      </w:r>
      <w:r w:rsidRPr="00055D15">
        <w:rPr>
          <w:lang w:val="en-US"/>
        </w:rPr>
        <w:t xml:space="preserve"> Anthony Tuck, ‘Neville, Ralph, first earl of Westmorland (c. 1364–1425)’, </w:t>
      </w:r>
      <w:r w:rsidRPr="00C93BE7">
        <w:rPr>
          <w:i/>
          <w:iCs/>
          <w:lang w:val="en-US"/>
        </w:rPr>
        <w:t xml:space="preserve">Oxford Dictionary of National Biography </w:t>
      </w:r>
      <w:r w:rsidRPr="00055D15">
        <w:rPr>
          <w:lang w:val="en-US"/>
        </w:rPr>
        <w:t xml:space="preserve">(Oxford: Oxford University Press, 2004; updated 3 January 2008), </w:t>
      </w:r>
      <w:hyperlink r:id="rId2" w:history="1">
        <w:r w:rsidRPr="00055D15">
          <w:rPr>
            <w:rStyle w:val="Hyperlink"/>
            <w:lang w:val="en-US"/>
          </w:rPr>
          <w:t>https://doi.org/10.1093/ref:odnb/19951</w:t>
        </w:r>
      </w:hyperlink>
      <w:r w:rsidRPr="00055D15">
        <w:rPr>
          <w:lang w:val="en-US"/>
        </w:rPr>
        <w:t xml:space="preserve"> [accessed 17 October 2026].</w:t>
      </w:r>
    </w:p>
  </w:footnote>
  <w:footnote w:id="4">
    <w:p w14:paraId="6DD98FBF" w14:textId="25268AFC" w:rsidR="00C01AEE" w:rsidRPr="00C01AEE" w:rsidRDefault="00C01AEE">
      <w:pPr>
        <w:pStyle w:val="Funotentext"/>
        <w:rPr>
          <w:lang w:val="en-US"/>
        </w:rPr>
      </w:pPr>
      <w:r>
        <w:rPr>
          <w:rStyle w:val="Funotenzeichen"/>
        </w:rPr>
        <w:footnoteRef/>
      </w:r>
      <w:r w:rsidRPr="00C01AEE">
        <w:rPr>
          <w:lang w:val="en-US"/>
        </w:rPr>
        <w:t xml:space="preserve"> Calendar of Inquisitions Post Mortem, XXV, no. 514, </w:t>
      </w:r>
      <w:r>
        <w:rPr>
          <w:lang w:val="en-US"/>
        </w:rPr>
        <w:t>Mapping the Medi</w:t>
      </w:r>
      <w:r w:rsidR="00EA03C3">
        <w:rPr>
          <w:lang w:val="en-US"/>
        </w:rPr>
        <w:t>eval Countryside</w:t>
      </w:r>
      <w:r w:rsidR="00905CC9">
        <w:rPr>
          <w:lang w:val="en-US"/>
        </w:rPr>
        <w:t>,</w:t>
      </w:r>
      <w:r w:rsidR="00905CC9" w:rsidRPr="00905CC9">
        <w:rPr>
          <w:lang w:val="en-US"/>
        </w:rPr>
        <w:t xml:space="preserve"> </w:t>
      </w:r>
      <w:r w:rsidR="00905CC9" w:rsidRPr="00905CC9">
        <w:rPr>
          <w:lang w:val="en-US"/>
        </w:rPr>
        <w:t>https://inquisitionspostmortem.ac.uk/view/inquisition/25-513/</w:t>
      </w:r>
      <w:r w:rsidRPr="00C01AEE">
        <w:rPr>
          <w:lang w:val="en-US"/>
        </w:rPr>
        <w:t xml:space="preserve"> [accessed 18 October 2026]</w:t>
      </w:r>
    </w:p>
  </w:footnote>
  <w:footnote w:id="5">
    <w:p w14:paraId="3E737959" w14:textId="51415AC6" w:rsidR="004776FA" w:rsidRPr="00391F08" w:rsidRDefault="004776FA">
      <w:pPr>
        <w:pStyle w:val="Funotentext"/>
        <w:rPr>
          <w:lang w:val="en-US"/>
        </w:rPr>
      </w:pPr>
      <w:r>
        <w:rPr>
          <w:rStyle w:val="Funotenzeichen"/>
        </w:rPr>
        <w:footnoteRef/>
      </w:r>
      <w:r w:rsidRPr="00391F08">
        <w:rPr>
          <w:lang w:val="en-US"/>
        </w:rPr>
        <w:t xml:space="preserve"> Calendar of Inquisitions Po</w:t>
      </w:r>
      <w:r w:rsidR="00391F08" w:rsidRPr="00391F08">
        <w:rPr>
          <w:lang w:val="en-US"/>
        </w:rPr>
        <w:t>st Mortem, XXV, no</w:t>
      </w:r>
      <w:r w:rsidR="00391F08">
        <w:rPr>
          <w:lang w:val="en-US"/>
        </w:rPr>
        <w:t>. 519, Mapping the Medi</w:t>
      </w:r>
      <w:r w:rsidR="00D228DD">
        <w:rPr>
          <w:lang w:val="en-US"/>
        </w:rPr>
        <w:t>e</w:t>
      </w:r>
      <w:r w:rsidR="00391F08">
        <w:rPr>
          <w:lang w:val="en-US"/>
        </w:rPr>
        <w:t>val Countryside</w:t>
      </w:r>
      <w:r w:rsidR="00905CC9">
        <w:rPr>
          <w:lang w:val="en-US"/>
        </w:rPr>
        <w:t xml:space="preserve">, </w:t>
      </w:r>
      <w:r w:rsidR="00905CC9" w:rsidRPr="00905CC9">
        <w:rPr>
          <w:lang w:val="en-US"/>
        </w:rPr>
        <w:t>https://inquisitionspostmortem.ac.uk/view/inquisition/25-513/</w:t>
      </w:r>
      <w:r w:rsidR="00AC5C87">
        <w:rPr>
          <w:lang w:val="en-US"/>
        </w:rPr>
        <w:t xml:space="preserve"> [accessed 18 October 2026]</w:t>
      </w:r>
    </w:p>
  </w:footnote>
  <w:footnote w:id="6">
    <w:p w14:paraId="1CACD5A6" w14:textId="6B289D6F" w:rsidR="00A405CD" w:rsidRPr="006067A6" w:rsidRDefault="00A405CD">
      <w:pPr>
        <w:pStyle w:val="Funotentext"/>
        <w:rPr>
          <w:lang w:val="en-US"/>
        </w:rPr>
      </w:pPr>
      <w:r>
        <w:rPr>
          <w:rStyle w:val="Funotenzeichen"/>
        </w:rPr>
        <w:footnoteRef/>
      </w:r>
      <w:r w:rsidRPr="006067A6">
        <w:rPr>
          <w:lang w:val="en-US"/>
        </w:rPr>
        <w:t xml:space="preserve"> </w:t>
      </w:r>
      <w:r w:rsidR="006067A6" w:rsidRPr="006067A6">
        <w:rPr>
          <w:lang w:val="en-US"/>
        </w:rPr>
        <w:t>Abstract and images of the or</w:t>
      </w:r>
      <w:r w:rsidR="006067A6">
        <w:rPr>
          <w:lang w:val="en-US"/>
        </w:rPr>
        <w:t>iginal, ‘CP 25/1/291/63, number 43’, Medieval Genealogy</w:t>
      </w:r>
      <w:r w:rsidR="00EE7299">
        <w:rPr>
          <w:lang w:val="en-US"/>
        </w:rPr>
        <w:t xml:space="preserve">, </w:t>
      </w:r>
      <w:r w:rsidR="00AA2D69" w:rsidRPr="00AA2D69">
        <w:rPr>
          <w:lang w:val="en-US"/>
        </w:rPr>
        <w:t>http://www.medievalgenealogy.org.uk/fines/abstracts/CP_25_1_291_63.shtml</w:t>
      </w:r>
      <w:r w:rsidR="006067A6">
        <w:rPr>
          <w:lang w:val="en-US"/>
        </w:rPr>
        <w:t xml:space="preserve"> [accessed 18 October 2026]</w:t>
      </w:r>
    </w:p>
  </w:footnote>
  <w:footnote w:id="7">
    <w:p w14:paraId="1FCE6C0F" w14:textId="798F9E1D" w:rsidR="00E17882" w:rsidRPr="00E17882" w:rsidRDefault="00E17882">
      <w:pPr>
        <w:pStyle w:val="Funotentext"/>
        <w:rPr>
          <w:lang w:val="en-US"/>
        </w:rPr>
      </w:pPr>
      <w:r>
        <w:rPr>
          <w:rStyle w:val="Funotenzeichen"/>
        </w:rPr>
        <w:footnoteRef/>
      </w:r>
      <w:r w:rsidRPr="00E17882">
        <w:rPr>
          <w:lang w:val="en-US"/>
        </w:rPr>
        <w:t xml:space="preserve"> Durham University Library, Archives and S</w:t>
      </w:r>
      <w:r>
        <w:rPr>
          <w:lang w:val="en-US"/>
        </w:rPr>
        <w:t>pecial Collections, ‘Durham Cathedral Archive: Eboracensia’</w:t>
      </w:r>
      <w:r w:rsidR="002F3B90">
        <w:rPr>
          <w:lang w:val="en-US"/>
        </w:rPr>
        <w:t xml:space="preserve">, DCD 1.2.Ebor.15c, </w:t>
      </w:r>
      <w:hyperlink r:id="rId3" w:history="1">
        <w:r w:rsidR="002F3B90" w:rsidRPr="00E42F8C">
          <w:rPr>
            <w:rStyle w:val="Hyperlink"/>
            <w:lang w:val="en-US"/>
          </w:rPr>
          <w:t>https://reed.dur.ac.uk/xtf/view?docId=ark%2F32150_s1xs55mc05t.xml</w:t>
        </w:r>
      </w:hyperlink>
      <w:r w:rsidR="002F3B90">
        <w:rPr>
          <w:lang w:val="en-US"/>
        </w:rPr>
        <w:t xml:space="preserve"> </w:t>
      </w:r>
      <w:r w:rsidR="008425F3">
        <w:rPr>
          <w:lang w:val="en-US"/>
        </w:rPr>
        <w:t>[accessed 18 October 2026]</w:t>
      </w:r>
    </w:p>
  </w:footnote>
  <w:footnote w:id="8">
    <w:p w14:paraId="5F6AC4EB" w14:textId="39C850F1" w:rsidR="008425F3" w:rsidRPr="008425F3" w:rsidRDefault="008425F3">
      <w:pPr>
        <w:pStyle w:val="Funotentext"/>
        <w:rPr>
          <w:lang w:val="en-US"/>
        </w:rPr>
      </w:pPr>
      <w:r>
        <w:rPr>
          <w:rStyle w:val="Funotenzeichen"/>
        </w:rPr>
        <w:footnoteRef/>
      </w:r>
      <w:r w:rsidRPr="008425F3">
        <w:rPr>
          <w:lang w:val="en-US"/>
        </w:rPr>
        <w:t xml:space="preserve"> </w:t>
      </w:r>
      <w:r w:rsidRPr="00E17882">
        <w:rPr>
          <w:lang w:val="en-US"/>
        </w:rPr>
        <w:t>Durham University Library, Archives and S</w:t>
      </w:r>
      <w:r>
        <w:rPr>
          <w:lang w:val="en-US"/>
        </w:rPr>
        <w:t>pecial Collections, ‘Durham Cathedral Archive: Eboracensia’, DCD 1.2.Ebor.15</w:t>
      </w:r>
      <w:r>
        <w:rPr>
          <w:lang w:val="en-US"/>
        </w:rPr>
        <w:t>a</w:t>
      </w:r>
      <w:r>
        <w:rPr>
          <w:lang w:val="en-US"/>
        </w:rPr>
        <w:t xml:space="preserve">, </w:t>
      </w:r>
      <w:hyperlink r:id="rId4" w:history="1">
        <w:r w:rsidRPr="00E42F8C">
          <w:rPr>
            <w:rStyle w:val="Hyperlink"/>
            <w:lang w:val="en-US"/>
          </w:rPr>
          <w:t>https://reed.dur.ac.uk/xtf/view?docId=ark%2F32150_s1xs55mc05t.xml</w:t>
        </w:r>
      </w:hyperlink>
      <w:r>
        <w:rPr>
          <w:lang w:val="en-US"/>
        </w:rPr>
        <w:t xml:space="preserve"> [accessed 18 October 2026]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7FF"/>
    <w:rsid w:val="00004BB9"/>
    <w:rsid w:val="00055D15"/>
    <w:rsid w:val="0007092A"/>
    <w:rsid w:val="00114168"/>
    <w:rsid w:val="0013628F"/>
    <w:rsid w:val="0013720B"/>
    <w:rsid w:val="00153A89"/>
    <w:rsid w:val="001728C1"/>
    <w:rsid w:val="001807B4"/>
    <w:rsid w:val="00194BA3"/>
    <w:rsid w:val="001C0DCC"/>
    <w:rsid w:val="00211CE4"/>
    <w:rsid w:val="00232E24"/>
    <w:rsid w:val="00236A75"/>
    <w:rsid w:val="00240E67"/>
    <w:rsid w:val="002570E6"/>
    <w:rsid w:val="00270B15"/>
    <w:rsid w:val="002B0877"/>
    <w:rsid w:val="002C342C"/>
    <w:rsid w:val="002E551A"/>
    <w:rsid w:val="002F3B90"/>
    <w:rsid w:val="00300C3E"/>
    <w:rsid w:val="0031295B"/>
    <w:rsid w:val="00391F08"/>
    <w:rsid w:val="00403937"/>
    <w:rsid w:val="0042622C"/>
    <w:rsid w:val="00470789"/>
    <w:rsid w:val="004776FA"/>
    <w:rsid w:val="004C3CAF"/>
    <w:rsid w:val="00511371"/>
    <w:rsid w:val="0052199A"/>
    <w:rsid w:val="00523B59"/>
    <w:rsid w:val="00532E5E"/>
    <w:rsid w:val="00565F70"/>
    <w:rsid w:val="006067A6"/>
    <w:rsid w:val="00616B5C"/>
    <w:rsid w:val="00624235"/>
    <w:rsid w:val="0063274A"/>
    <w:rsid w:val="00651FD2"/>
    <w:rsid w:val="00653845"/>
    <w:rsid w:val="006601E6"/>
    <w:rsid w:val="006A2DE0"/>
    <w:rsid w:val="006E0DD0"/>
    <w:rsid w:val="006F21D4"/>
    <w:rsid w:val="006F3AA4"/>
    <w:rsid w:val="006F4C27"/>
    <w:rsid w:val="007177DC"/>
    <w:rsid w:val="00791FC5"/>
    <w:rsid w:val="007A7D41"/>
    <w:rsid w:val="007B4FEA"/>
    <w:rsid w:val="007E3B52"/>
    <w:rsid w:val="007E53A3"/>
    <w:rsid w:val="007F63AD"/>
    <w:rsid w:val="008127FF"/>
    <w:rsid w:val="008425F3"/>
    <w:rsid w:val="00887C08"/>
    <w:rsid w:val="0089387E"/>
    <w:rsid w:val="008B424C"/>
    <w:rsid w:val="00905CC9"/>
    <w:rsid w:val="009153FF"/>
    <w:rsid w:val="009326F0"/>
    <w:rsid w:val="00977CBA"/>
    <w:rsid w:val="0098269C"/>
    <w:rsid w:val="00983C23"/>
    <w:rsid w:val="009C3E4A"/>
    <w:rsid w:val="009D2E3A"/>
    <w:rsid w:val="009E03E4"/>
    <w:rsid w:val="009F06B3"/>
    <w:rsid w:val="00A07688"/>
    <w:rsid w:val="00A405CD"/>
    <w:rsid w:val="00A72F5E"/>
    <w:rsid w:val="00AA1F0B"/>
    <w:rsid w:val="00AA2D69"/>
    <w:rsid w:val="00AA4DA9"/>
    <w:rsid w:val="00AC5C87"/>
    <w:rsid w:val="00AD309D"/>
    <w:rsid w:val="00AE3D0E"/>
    <w:rsid w:val="00AE7224"/>
    <w:rsid w:val="00AF05B4"/>
    <w:rsid w:val="00B017F3"/>
    <w:rsid w:val="00B0273C"/>
    <w:rsid w:val="00B150E4"/>
    <w:rsid w:val="00B45D7A"/>
    <w:rsid w:val="00B4626A"/>
    <w:rsid w:val="00B465F2"/>
    <w:rsid w:val="00B55510"/>
    <w:rsid w:val="00B55BE3"/>
    <w:rsid w:val="00B64744"/>
    <w:rsid w:val="00B6708C"/>
    <w:rsid w:val="00B77327"/>
    <w:rsid w:val="00B80AE2"/>
    <w:rsid w:val="00BE5E7A"/>
    <w:rsid w:val="00BF0C0F"/>
    <w:rsid w:val="00C01AEE"/>
    <w:rsid w:val="00C23846"/>
    <w:rsid w:val="00C32E78"/>
    <w:rsid w:val="00C33A5B"/>
    <w:rsid w:val="00C841C8"/>
    <w:rsid w:val="00C93BE7"/>
    <w:rsid w:val="00C93FED"/>
    <w:rsid w:val="00D228DD"/>
    <w:rsid w:val="00D247A1"/>
    <w:rsid w:val="00D4059E"/>
    <w:rsid w:val="00D633F9"/>
    <w:rsid w:val="00D65181"/>
    <w:rsid w:val="00D92065"/>
    <w:rsid w:val="00D96F1A"/>
    <w:rsid w:val="00D9765A"/>
    <w:rsid w:val="00DA3842"/>
    <w:rsid w:val="00DC68B7"/>
    <w:rsid w:val="00DD1B09"/>
    <w:rsid w:val="00DD626A"/>
    <w:rsid w:val="00DE7944"/>
    <w:rsid w:val="00E17882"/>
    <w:rsid w:val="00E7617A"/>
    <w:rsid w:val="00E91984"/>
    <w:rsid w:val="00EA03C3"/>
    <w:rsid w:val="00EC3F42"/>
    <w:rsid w:val="00EC6273"/>
    <w:rsid w:val="00EE7299"/>
    <w:rsid w:val="00F03F4D"/>
    <w:rsid w:val="00F15DD7"/>
    <w:rsid w:val="00F658F8"/>
    <w:rsid w:val="00FD64B8"/>
    <w:rsid w:val="00FE0B51"/>
    <w:rsid w:val="00FE3741"/>
    <w:rsid w:val="00FF4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120250"/>
  <w15:chartTrackingRefBased/>
  <w15:docId w15:val="{55E34627-B4C8-48CE-B96A-AF0ED85D1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8127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8127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8127F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8127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8127F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8127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8127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8127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8127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8127F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8127F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8127F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8127FF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8127FF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8127FF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8127FF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8127FF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8127F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8127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8127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8127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8127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8127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8127FF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8127FF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8127FF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8127F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8127FF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8127FF"/>
    <w:rPr>
      <w:b/>
      <w:bCs/>
      <w:smallCaps/>
      <w:color w:val="0F4761" w:themeColor="accent1" w:themeShade="BF"/>
      <w:spacing w:val="5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AE3D0E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AE3D0E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AE3D0E"/>
    <w:rPr>
      <w:vertAlign w:val="superscript"/>
    </w:rPr>
  </w:style>
  <w:style w:type="character" w:styleId="Hyperlink">
    <w:name w:val="Hyperlink"/>
    <w:basedOn w:val="Absatz-Standardschriftart"/>
    <w:uiPriority w:val="99"/>
    <w:unhideWhenUsed/>
    <w:rsid w:val="001807B4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1807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reed.dur.ac.uk/xtf/view?docId=ark%2F32150_s1xs55mc05t.xml" TargetMode="External"/><Relationship Id="rId2" Type="http://schemas.openxmlformats.org/officeDocument/2006/relationships/hyperlink" Target="https://doi.org/10.1093/ref:odnb/19951?utm_source=chatgpt.com" TargetMode="External"/><Relationship Id="rId1" Type="http://schemas.openxmlformats.org/officeDocument/2006/relationships/hyperlink" Target="https://www.britannica.com/biography/Ralph-Neville-1st-Earl-of-Westmorland" TargetMode="External"/><Relationship Id="rId4" Type="http://schemas.openxmlformats.org/officeDocument/2006/relationships/hyperlink" Target="https://reed.dur.ac.uk/xtf/view?docId=ark%2F32150_s1xs55mc05t.xml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2172FE-B19C-45E1-9051-A1EE35751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409</Words>
  <Characters>2582</Characters>
  <Application>Microsoft Office Word</Application>
  <DocSecurity>0</DocSecurity>
  <Lines>21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Peggy Plötz-Steger</dc:creator>
  <cp:keywords/>
  <dc:description/>
  <cp:lastModifiedBy>Peggy Plötz-Steger</cp:lastModifiedBy>
  <cp:revision>106</cp:revision>
  <dcterms:created xsi:type="dcterms:W3CDTF">2026-10-17T06:54:00Z</dcterms:created>
  <dcterms:modified xsi:type="dcterms:W3CDTF">2026-10-18T06:36:00Z</dcterms:modified>
</cp:coreProperties>
</file>