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E23E0D" w14:textId="6B19AFC1" w:rsidR="008E2551" w:rsidRDefault="00EE281B" w:rsidP="008E2551">
      <w:pPr>
        <w:spacing w:after="40" w:line="360" w:lineRule="auto"/>
        <w:jc w:val="center"/>
        <w:rPr>
          <w:b/>
          <w:bCs/>
        </w:rPr>
      </w:pPr>
      <w:r>
        <w:rPr>
          <w:noProof/>
        </w:rPr>
        <w:drawing>
          <wp:anchor distT="0" distB="0" distL="114300" distR="114300" simplePos="0" relativeHeight="251659264" behindDoc="0" locked="0" layoutInCell="1" allowOverlap="1" wp14:anchorId="0BD47733" wp14:editId="334E46E0">
            <wp:simplePos x="0" y="0"/>
            <wp:positionH relativeFrom="margin">
              <wp:posOffset>-692150</wp:posOffset>
            </wp:positionH>
            <wp:positionV relativeFrom="paragraph">
              <wp:posOffset>292100</wp:posOffset>
            </wp:positionV>
            <wp:extent cx="6881495" cy="3870325"/>
            <wp:effectExtent l="0" t="0" r="0" b="0"/>
            <wp:wrapSquare wrapText="bothSides"/>
            <wp:docPr id="1698947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947089" name="Picture 1698947089"/>
                    <pic:cNvPicPr/>
                  </pic:nvPicPr>
                  <pic:blipFill>
                    <a:blip r:embed="rId5">
                      <a:extLst>
                        <a:ext uri="{28A0092B-C50C-407E-A947-70E740481C1C}">
                          <a14:useLocalDpi xmlns:a14="http://schemas.microsoft.com/office/drawing/2010/main" val="0"/>
                        </a:ext>
                      </a:extLst>
                    </a:blip>
                    <a:stretch>
                      <a:fillRect/>
                    </a:stretch>
                  </pic:blipFill>
                  <pic:spPr>
                    <a:xfrm>
                      <a:off x="0" y="0"/>
                      <a:ext cx="6881495" cy="3870325"/>
                    </a:xfrm>
                    <a:prstGeom prst="rect">
                      <a:avLst/>
                    </a:prstGeom>
                  </pic:spPr>
                </pic:pic>
              </a:graphicData>
            </a:graphic>
            <wp14:sizeRelH relativeFrom="page">
              <wp14:pctWidth>0</wp14:pctWidth>
            </wp14:sizeRelH>
            <wp14:sizeRelV relativeFrom="page">
              <wp14:pctHeight>0</wp14:pctHeight>
            </wp14:sizeRelV>
          </wp:anchor>
        </w:drawing>
      </w:r>
      <w:r>
        <w:rPr>
          <w:b/>
          <w:bCs/>
        </w:rPr>
        <w:t xml:space="preserve">Part </w:t>
      </w:r>
      <w:proofErr w:type="gramStart"/>
      <w:r>
        <w:rPr>
          <w:b/>
          <w:bCs/>
        </w:rPr>
        <w:t>A:Portfolio</w:t>
      </w:r>
      <w:proofErr w:type="gramEnd"/>
    </w:p>
    <w:p w14:paraId="4FD042B9" w14:textId="77777777" w:rsidR="00EE281B" w:rsidRDefault="00EE281B" w:rsidP="008E2551">
      <w:pPr>
        <w:spacing w:after="40" w:line="360" w:lineRule="auto"/>
        <w:jc w:val="center"/>
        <w:rPr>
          <w:b/>
          <w:bCs/>
        </w:rPr>
      </w:pPr>
    </w:p>
    <w:p w14:paraId="3521F0C3" w14:textId="4276DB47" w:rsidR="008E2551" w:rsidRDefault="008E2551" w:rsidP="008E2551">
      <w:pPr>
        <w:spacing w:after="40" w:line="360" w:lineRule="auto"/>
        <w:jc w:val="center"/>
        <w:rPr>
          <w:b/>
          <w:bCs/>
        </w:rPr>
      </w:pPr>
    </w:p>
    <w:p w14:paraId="11B20CDF" w14:textId="7A73521C" w:rsidR="008E2551" w:rsidRDefault="008E2551" w:rsidP="008E2551">
      <w:pPr>
        <w:spacing w:after="40" w:line="360" w:lineRule="auto"/>
        <w:jc w:val="center"/>
        <w:rPr>
          <w:b/>
          <w:bCs/>
        </w:rPr>
      </w:pPr>
      <w:r>
        <w:rPr>
          <w:b/>
          <w:bCs/>
        </w:rPr>
        <w:t>BA (Hons) Leadership and Management Skills in the Workplace</w:t>
      </w:r>
    </w:p>
    <w:p w14:paraId="76A48E44" w14:textId="77777777" w:rsidR="008E2551" w:rsidRDefault="008E2551" w:rsidP="008E2551">
      <w:pPr>
        <w:spacing w:after="40" w:line="360" w:lineRule="auto"/>
        <w:jc w:val="center"/>
        <w:rPr>
          <w:b/>
          <w:bCs/>
        </w:rPr>
      </w:pPr>
      <w:r>
        <w:rPr>
          <w:b/>
          <w:bCs/>
        </w:rPr>
        <w:t xml:space="preserve">Student </w:t>
      </w:r>
      <w:proofErr w:type="spellStart"/>
      <w:proofErr w:type="gramStart"/>
      <w:r>
        <w:rPr>
          <w:b/>
          <w:bCs/>
        </w:rPr>
        <w:t>Name:Bozhidara</w:t>
      </w:r>
      <w:proofErr w:type="spellEnd"/>
      <w:proofErr w:type="gramEnd"/>
      <w:r>
        <w:rPr>
          <w:b/>
          <w:bCs/>
        </w:rPr>
        <w:t xml:space="preserve"> </w:t>
      </w:r>
      <w:proofErr w:type="spellStart"/>
      <w:r>
        <w:rPr>
          <w:b/>
          <w:bCs/>
        </w:rPr>
        <w:t>Naydenova</w:t>
      </w:r>
      <w:proofErr w:type="spellEnd"/>
    </w:p>
    <w:p w14:paraId="21F2BCF1" w14:textId="77777777" w:rsidR="008E2551" w:rsidRDefault="008E2551" w:rsidP="008E2551">
      <w:pPr>
        <w:spacing w:after="40" w:line="360" w:lineRule="auto"/>
        <w:jc w:val="center"/>
        <w:rPr>
          <w:b/>
          <w:bCs/>
        </w:rPr>
      </w:pPr>
      <w:r>
        <w:rPr>
          <w:b/>
          <w:bCs/>
        </w:rPr>
        <w:t>Student Number:2424540</w:t>
      </w:r>
    </w:p>
    <w:p w14:paraId="7847354D" w14:textId="77777777" w:rsidR="008E2551" w:rsidRDefault="008E2551" w:rsidP="008E2551">
      <w:pPr>
        <w:spacing w:after="40" w:line="360" w:lineRule="auto"/>
        <w:jc w:val="center"/>
      </w:pPr>
      <w:r>
        <w:rPr>
          <w:b/>
          <w:bCs/>
        </w:rPr>
        <w:t xml:space="preserve">Lecture </w:t>
      </w:r>
      <w:proofErr w:type="spellStart"/>
      <w:proofErr w:type="gramStart"/>
      <w:r>
        <w:rPr>
          <w:b/>
          <w:bCs/>
        </w:rPr>
        <w:t>Name:Sukhpreet</w:t>
      </w:r>
      <w:proofErr w:type="spellEnd"/>
      <w:proofErr w:type="gramEnd"/>
      <w:r>
        <w:rPr>
          <w:b/>
          <w:bCs/>
        </w:rPr>
        <w:t xml:space="preserve"> Grewal</w:t>
      </w:r>
    </w:p>
    <w:p w14:paraId="5ED4BD50" w14:textId="77777777" w:rsidR="008E2551" w:rsidRDefault="008E2551" w:rsidP="008E2551">
      <w:pPr>
        <w:spacing w:after="40" w:line="360" w:lineRule="auto"/>
        <w:jc w:val="center"/>
      </w:pPr>
      <w:r>
        <w:rPr>
          <w:b/>
          <w:bCs/>
        </w:rPr>
        <w:t>LCLM5003 – Project Management</w:t>
      </w:r>
    </w:p>
    <w:p w14:paraId="226F8719" w14:textId="77777777" w:rsidR="008E2551" w:rsidRDefault="008E2551" w:rsidP="008E2551">
      <w:pPr>
        <w:spacing w:after="300" w:line="360" w:lineRule="auto"/>
        <w:jc w:val="center"/>
      </w:pPr>
      <w:r>
        <w:rPr>
          <w:b/>
          <w:bCs/>
        </w:rPr>
        <w:t>Part B: Reflection on Feedback</w:t>
      </w:r>
    </w:p>
    <w:p w14:paraId="2B9E862D" w14:textId="77777777" w:rsidR="008E2551" w:rsidRDefault="008E2551" w:rsidP="008E2551">
      <w:pPr>
        <w:pStyle w:val="Heading1"/>
        <w:spacing w:before="240" w:after="160"/>
      </w:pPr>
      <w:r>
        <w:rPr>
          <w:b/>
          <w:bCs/>
          <w:sz w:val="28"/>
          <w:szCs w:val="28"/>
        </w:rPr>
        <w:t>Reflection on Tutor and Peer Feedback</w:t>
      </w:r>
    </w:p>
    <w:p w14:paraId="7B8E39BF" w14:textId="77777777" w:rsidR="008E2551" w:rsidRDefault="008E2551" w:rsidP="008E2551">
      <w:pPr>
        <w:spacing w:after="200" w:line="360" w:lineRule="auto"/>
        <w:jc w:val="both"/>
      </w:pPr>
      <w:r w:rsidRPr="00AF695C">
        <w:t>Not only are there some good points noted in the feedback on the Part A poster, the temporary multimodal transport hub project, but there are also significant areas of improvement that need to be addressed before the plan is finalized. The following reflection follows Gibbs' (1988) reflective cycle, from the description of the feedback to evaluation, and then ultimately to the final Project Management Plan (with clear action plan).</w:t>
      </w:r>
    </w:p>
    <w:p w14:paraId="1A4A4694" w14:textId="77777777" w:rsidR="008E2551" w:rsidRDefault="008E2551" w:rsidP="008E2551">
      <w:pPr>
        <w:pStyle w:val="Heading1"/>
        <w:spacing w:before="240" w:after="160"/>
      </w:pPr>
      <w:r>
        <w:rPr>
          <w:b/>
          <w:bCs/>
          <w:sz w:val="28"/>
          <w:szCs w:val="28"/>
        </w:rPr>
        <w:lastRenderedPageBreak/>
        <w:t>Key Strengths</w:t>
      </w:r>
    </w:p>
    <w:p w14:paraId="2E826EB6" w14:textId="77777777" w:rsidR="008E2551" w:rsidRDefault="008E2551" w:rsidP="008E2551">
      <w:pPr>
        <w:spacing w:after="200" w:line="360" w:lineRule="auto"/>
        <w:jc w:val="both"/>
      </w:pPr>
      <w:r>
        <w:t xml:space="preserve">Three </w:t>
      </w:r>
      <w:r w:rsidRPr="00AF695C">
        <w:t xml:space="preserve">strengths are confirmed in the session. Initially, the overall visual presentation and organization of the poster is stated to be </w:t>
      </w:r>
      <w:proofErr w:type="gramStart"/>
      <w:r w:rsidRPr="00AF695C">
        <w:t>good</w:t>
      </w:r>
      <w:proofErr w:type="gramEnd"/>
      <w:r w:rsidRPr="00AF695C">
        <w:t xml:space="preserve"> and the structure of the poster was correct, meaning that the layout was organized and helped the audience to understand the poster (Kerzner, 2022). Secondly, the justification is commended for being the only in the group to make a clear distinction between the old transport hub (the permanent one) and the proposed temporary one, which shows an early understanding of the extent of the project. Thirdly, scope and boundaries and the stakeholder mapping, including a </w:t>
      </w:r>
      <w:proofErr w:type="spellStart"/>
      <w:r w:rsidRPr="00AF695C">
        <w:t>Mendlows</w:t>
      </w:r>
      <w:proofErr w:type="spellEnd"/>
      <w:r w:rsidRPr="00AF695C">
        <w:t xml:space="preserve"> mapping matrix, </w:t>
      </w:r>
      <w:proofErr w:type="gramStart"/>
      <w:r w:rsidRPr="00AF695C">
        <w:t>is</w:t>
      </w:r>
      <w:proofErr w:type="gramEnd"/>
      <w:r w:rsidRPr="00AF695C">
        <w:t xml:space="preserve"> also captured as a point of significant difference, as no other student had started this thinking. At the same time early recognition of high power, high interest stakeholders like the council, funders and regulators </w:t>
      </w:r>
      <w:proofErr w:type="gramStart"/>
      <w:r w:rsidRPr="00AF695C">
        <w:t>is</w:t>
      </w:r>
      <w:proofErr w:type="gramEnd"/>
      <w:r w:rsidRPr="00AF695C">
        <w:t xml:space="preserve"> recognized as an appropriate starting point (Mendelow, 1991).</w:t>
      </w:r>
    </w:p>
    <w:p w14:paraId="5CDE18E1" w14:textId="77777777" w:rsidR="008E2551" w:rsidRDefault="008E2551" w:rsidP="008E2551">
      <w:pPr>
        <w:pStyle w:val="Heading1"/>
        <w:spacing w:before="240" w:after="160"/>
      </w:pPr>
      <w:r>
        <w:rPr>
          <w:b/>
          <w:bCs/>
          <w:sz w:val="28"/>
          <w:szCs w:val="28"/>
        </w:rPr>
        <w:t>Areas for Improvement</w:t>
      </w:r>
    </w:p>
    <w:p w14:paraId="4F6D44A2" w14:textId="77777777" w:rsidR="008E2551" w:rsidRDefault="008E2551" w:rsidP="008E2551">
      <w:pPr>
        <w:spacing w:after="200" w:line="360" w:lineRule="auto"/>
        <w:jc w:val="both"/>
      </w:pPr>
      <w:r w:rsidRPr="00AF695C">
        <w:t xml:space="preserve">There are more worrisome deficits in almost all areas. The aims and objectives are not differentiated between the one overarching ambition and the measurable, specific objectives that need to be put in place to achieve this; Baseline responsibilities, for example to stick to the budget, are stated as objectives. A lack of understanding of an undefined acronym (BREEAM) is a good example of an obvious violation of the assumption that a project manager is familiar with all components of the project. The stakeholder matrix, risk register and Gantt chart each contain risks that are too high-level to be actionable without having </w:t>
      </w:r>
      <w:proofErr w:type="gramStart"/>
      <w:r w:rsidRPr="00AF695C">
        <w:t>being</w:t>
      </w:r>
      <w:proofErr w:type="gramEnd"/>
      <w:r w:rsidRPr="00AF695C">
        <w:t xml:space="preserve"> broken down into more specific risks, along with an assessment of likelihood and impact (Project Management Institute, 2021). It is discovered that the quad chart is incomplete and the work breakdown structure is unfinished and needs to have the work clearly allocated to work packages and owners (Larson and Gray, 2021).</w:t>
      </w:r>
    </w:p>
    <w:p w14:paraId="2DEECCF9" w14:textId="77777777" w:rsidR="008E2551" w:rsidRDefault="008E2551" w:rsidP="008E2551">
      <w:pPr>
        <w:pStyle w:val="Heading1"/>
        <w:spacing w:before="240" w:after="160"/>
      </w:pPr>
      <w:r>
        <w:rPr>
          <w:b/>
          <w:bCs/>
          <w:sz w:val="28"/>
          <w:szCs w:val="28"/>
        </w:rPr>
        <w:t>How the Feedback Will Inform the Final Plan</w:t>
      </w:r>
    </w:p>
    <w:p w14:paraId="3D3A494B" w14:textId="77777777" w:rsidR="008E2551" w:rsidRDefault="008E2551" w:rsidP="008E2551">
      <w:pPr>
        <w:spacing w:after="200" w:line="360" w:lineRule="auto"/>
        <w:jc w:val="both"/>
      </w:pPr>
      <w:r w:rsidRPr="00AF695C">
        <w:t xml:space="preserve">Directly from this feedback, revisions are made, which are included </w:t>
      </w:r>
      <w:proofErr w:type="gramStart"/>
      <w:r w:rsidRPr="00AF695C">
        <w:t>into</w:t>
      </w:r>
      <w:proofErr w:type="gramEnd"/>
      <w:r w:rsidRPr="00AF695C">
        <w:t xml:space="preserve"> the final Project Management Plan. The aim is restated in one action statement with time </w:t>
      </w:r>
      <w:proofErr w:type="gramStart"/>
      <w:r w:rsidRPr="00AF695C">
        <w:t>frame, and</w:t>
      </w:r>
      <w:proofErr w:type="gramEnd"/>
      <w:r w:rsidRPr="00AF695C">
        <w:t xml:space="preserve"> supported by 3-4 SMART objectives that include measurable deliverables as opposed to re-stating standard project parameters. All technical jargon, such as BREEAM, has been explained when used for the first time. The stakeholder analysis is extended and used Mendelow's (1991) power/interest grid, with a more comprehensive and detailed list of stakeholders. With input from each risk owner, the risk register is then redeveloped, where each risk is described in </w:t>
      </w:r>
      <w:r w:rsidRPr="00AF695C">
        <w:lastRenderedPageBreak/>
        <w:t>specific and unambiguous terms and assigned a likelihood/impact score in a scoring matrix (Project Management Institute, 2021). The Gantt chart is updated with actual task times (days or weeks</w:t>
      </w:r>
      <w:proofErr w:type="gramStart"/>
      <w:r w:rsidRPr="00AF695C">
        <w:t>)</w:t>
      </w:r>
      <w:proofErr w:type="gramEnd"/>
      <w:r w:rsidRPr="00AF695C">
        <w:t xml:space="preserve"> and the work breakdown structure is updated to show level three work and assign who is responsible for </w:t>
      </w:r>
      <w:proofErr w:type="gramStart"/>
      <w:r w:rsidRPr="00AF695C">
        <w:t>each work</w:t>
      </w:r>
      <w:proofErr w:type="gramEnd"/>
      <w:r w:rsidRPr="00AF695C">
        <w:t xml:space="preserve"> package. Together, they bring the kind of thinking that is general and investigative to the more specific and supportable one necessary at this level of study.</w:t>
      </w:r>
    </w:p>
    <w:p w14:paraId="001A9E1D" w14:textId="77777777" w:rsidR="008E2551" w:rsidRDefault="008E2551" w:rsidP="008E2551">
      <w:pPr>
        <w:pStyle w:val="Heading1"/>
        <w:spacing w:before="240" w:after="160"/>
      </w:pPr>
      <w:r>
        <w:rPr>
          <w:b/>
          <w:bCs/>
          <w:sz w:val="28"/>
          <w:szCs w:val="28"/>
        </w:rPr>
        <w:t>References</w:t>
      </w:r>
    </w:p>
    <w:p w14:paraId="1830662D" w14:textId="77777777" w:rsidR="008E2551" w:rsidRDefault="008E2551" w:rsidP="008E2551">
      <w:pPr>
        <w:spacing w:after="140" w:line="360" w:lineRule="auto"/>
        <w:ind w:left="720" w:hanging="720"/>
      </w:pPr>
      <w:r>
        <w:t>Gibbs, G. (1988) Learning by doing: a guide to teaching and learning methods. Oxford: Further Education Unit, Oxford Polytechnic.</w:t>
      </w:r>
    </w:p>
    <w:p w14:paraId="13CC8333" w14:textId="77777777" w:rsidR="008E2551" w:rsidRDefault="008E2551" w:rsidP="008E2551">
      <w:pPr>
        <w:spacing w:after="140" w:line="360" w:lineRule="auto"/>
        <w:ind w:left="720" w:hanging="720"/>
      </w:pPr>
      <w:r>
        <w:t>Kerzner, H. (2022) Project management: a systems approach to planning, scheduling, and controlling. 13th end. Hoboken, NJ: Wiley.</w:t>
      </w:r>
    </w:p>
    <w:p w14:paraId="27D1FBE0" w14:textId="77777777" w:rsidR="008E2551" w:rsidRDefault="008E2551" w:rsidP="008E2551">
      <w:pPr>
        <w:spacing w:after="140" w:line="360" w:lineRule="auto"/>
        <w:ind w:left="720" w:hanging="720"/>
      </w:pPr>
      <w:r>
        <w:t>Larson, E.W. and Gray, C.F. (2021) Project management: the managerial process. 8th end. New York: McGraw-Hill.</w:t>
      </w:r>
    </w:p>
    <w:p w14:paraId="3DB87CD3" w14:textId="77777777" w:rsidR="008E2551" w:rsidRDefault="008E2551" w:rsidP="008E2551">
      <w:pPr>
        <w:spacing w:after="140" w:line="360" w:lineRule="auto"/>
        <w:ind w:left="720" w:hanging="720"/>
      </w:pPr>
      <w:r>
        <w:t>Mendelow, A.L. (1991) 'Stakeholder mapping', Proceedings of the 2nd International Conference on Information Systems, Cambridge, MA.</w:t>
      </w:r>
    </w:p>
    <w:p w14:paraId="69997C66" w14:textId="77777777" w:rsidR="008E2551" w:rsidRDefault="008E2551" w:rsidP="008E2551">
      <w:pPr>
        <w:spacing w:after="140" w:line="360" w:lineRule="auto"/>
        <w:ind w:left="720" w:hanging="720"/>
      </w:pPr>
      <w:r>
        <w:t>Project Management Institute (2021) A guide to the project management body of knowledge (PMBOK guide). 7th end. Newtown Square, PA: Project Management Institute.</w:t>
      </w:r>
    </w:p>
    <w:p w14:paraId="746DF5F1" w14:textId="579A9856" w:rsidR="00EE281B" w:rsidRDefault="00EE281B">
      <w:pPr>
        <w:spacing w:after="160" w:line="278" w:lineRule="auto"/>
      </w:pPr>
      <w:r>
        <w:br w:type="page"/>
      </w:r>
    </w:p>
    <w:p w14:paraId="47902AF6" w14:textId="77777777" w:rsidR="00EE281B" w:rsidRDefault="00EE281B" w:rsidP="00EE281B">
      <w:pPr>
        <w:spacing w:after="300"/>
        <w:jc w:val="center"/>
        <w:rPr>
          <w:b/>
          <w:bCs/>
          <w:color w:val="555555"/>
        </w:rPr>
      </w:pPr>
    </w:p>
    <w:p w14:paraId="00CD0D4B" w14:textId="77777777" w:rsidR="00EE281B" w:rsidRDefault="00EE281B" w:rsidP="00EE281B">
      <w:pPr>
        <w:spacing w:after="300"/>
        <w:jc w:val="center"/>
        <w:rPr>
          <w:b/>
          <w:bCs/>
          <w:color w:val="555555"/>
        </w:rPr>
      </w:pPr>
      <w:r>
        <w:rPr>
          <w:b/>
          <w:bCs/>
          <w:color w:val="555555"/>
        </w:rPr>
        <w:t xml:space="preserve">Student </w:t>
      </w:r>
      <w:proofErr w:type="spellStart"/>
      <w:proofErr w:type="gramStart"/>
      <w:r>
        <w:rPr>
          <w:b/>
          <w:bCs/>
          <w:color w:val="555555"/>
        </w:rPr>
        <w:t>Name:Bozhidara</w:t>
      </w:r>
      <w:proofErr w:type="spellEnd"/>
      <w:proofErr w:type="gramEnd"/>
      <w:r>
        <w:rPr>
          <w:b/>
          <w:bCs/>
          <w:color w:val="555555"/>
        </w:rPr>
        <w:t xml:space="preserve"> </w:t>
      </w:r>
      <w:proofErr w:type="spellStart"/>
      <w:r>
        <w:rPr>
          <w:b/>
          <w:bCs/>
          <w:color w:val="555555"/>
        </w:rPr>
        <w:t>Naydeova</w:t>
      </w:r>
      <w:proofErr w:type="spellEnd"/>
    </w:p>
    <w:p w14:paraId="55839544" w14:textId="77777777" w:rsidR="00EE281B" w:rsidRDefault="00EE281B" w:rsidP="00EE281B">
      <w:pPr>
        <w:spacing w:after="300"/>
        <w:jc w:val="center"/>
        <w:rPr>
          <w:b/>
          <w:bCs/>
          <w:color w:val="555555"/>
        </w:rPr>
      </w:pPr>
      <w:r>
        <w:rPr>
          <w:b/>
          <w:bCs/>
          <w:color w:val="555555"/>
        </w:rPr>
        <w:t>Student Nomer:2424540</w:t>
      </w:r>
    </w:p>
    <w:p w14:paraId="34023330" w14:textId="77777777" w:rsidR="00EE281B" w:rsidRDefault="00EE281B" w:rsidP="00EE281B">
      <w:pPr>
        <w:spacing w:after="300"/>
        <w:jc w:val="center"/>
        <w:rPr>
          <w:b/>
          <w:bCs/>
          <w:color w:val="555555"/>
        </w:rPr>
      </w:pPr>
      <w:r>
        <w:rPr>
          <w:b/>
          <w:bCs/>
          <w:color w:val="555555"/>
        </w:rPr>
        <w:t xml:space="preserve">Lecture </w:t>
      </w:r>
      <w:proofErr w:type="spellStart"/>
      <w:proofErr w:type="gramStart"/>
      <w:r>
        <w:rPr>
          <w:b/>
          <w:bCs/>
          <w:color w:val="555555"/>
        </w:rPr>
        <w:t>Name:Sukhpeet</w:t>
      </w:r>
      <w:proofErr w:type="spellEnd"/>
      <w:proofErr w:type="gramEnd"/>
      <w:r>
        <w:rPr>
          <w:b/>
          <w:bCs/>
          <w:color w:val="555555"/>
        </w:rPr>
        <w:t xml:space="preserve"> Grewal</w:t>
      </w:r>
    </w:p>
    <w:p w14:paraId="53728371" w14:textId="77777777" w:rsidR="00EE281B" w:rsidRDefault="00EE281B" w:rsidP="00EE281B">
      <w:pPr>
        <w:spacing w:after="300"/>
        <w:jc w:val="center"/>
        <w:rPr>
          <w:b/>
          <w:bCs/>
          <w:color w:val="555555"/>
        </w:rPr>
      </w:pPr>
      <w:r>
        <w:rPr>
          <w:b/>
          <w:bCs/>
          <w:color w:val="555555"/>
        </w:rPr>
        <w:t>LCLM5003 – Project Management</w:t>
      </w:r>
    </w:p>
    <w:p w14:paraId="6B295912" w14:textId="77777777" w:rsidR="00EE281B" w:rsidRDefault="00EE281B" w:rsidP="00EE281B">
      <w:pPr>
        <w:spacing w:after="200"/>
        <w:jc w:val="center"/>
      </w:pPr>
      <w:r>
        <w:rPr>
          <w:b/>
          <w:bCs/>
          <w:color w:val="1F4E2C"/>
          <w:sz w:val="44"/>
          <w:szCs w:val="44"/>
        </w:rPr>
        <w:t>Part C: Project Management Plan</w:t>
      </w:r>
    </w:p>
    <w:p w14:paraId="2C4AEB45" w14:textId="77777777" w:rsidR="00EE281B" w:rsidRDefault="00EE281B" w:rsidP="00EE281B">
      <w:pPr>
        <w:spacing w:after="500"/>
        <w:jc w:val="center"/>
      </w:pPr>
      <w:r>
        <w:rPr>
          <w:i/>
          <w:iCs/>
          <w:color w:val="333333"/>
          <w:sz w:val="28"/>
          <w:szCs w:val="28"/>
        </w:rPr>
        <w:t xml:space="preserve">Central Transport Hub Regeneration </w:t>
      </w:r>
      <w:proofErr w:type="spellStart"/>
      <w:r>
        <w:rPr>
          <w:i/>
          <w:iCs/>
          <w:color w:val="333333"/>
          <w:sz w:val="28"/>
          <w:szCs w:val="28"/>
        </w:rPr>
        <w:t>Programme</w:t>
      </w:r>
      <w:proofErr w:type="spellEnd"/>
    </w:p>
    <w:p w14:paraId="513086EA" w14:textId="77777777" w:rsidR="00EE281B" w:rsidRDefault="00EE281B" w:rsidP="00EE281B">
      <w:pPr>
        <w:spacing w:before="400" w:after="60"/>
        <w:jc w:val="center"/>
        <w:rPr>
          <w:color w:val="555555"/>
        </w:rPr>
      </w:pPr>
    </w:p>
    <w:p w14:paraId="4DB49879" w14:textId="77777777" w:rsidR="00EE281B" w:rsidRDefault="00EE281B" w:rsidP="00EE281B">
      <w:pPr>
        <w:spacing w:before="400" w:after="60"/>
        <w:jc w:val="center"/>
        <w:rPr>
          <w:color w:val="555555"/>
        </w:rPr>
      </w:pPr>
    </w:p>
    <w:p w14:paraId="244A2F27" w14:textId="77777777" w:rsidR="00EE281B" w:rsidRDefault="00EE281B" w:rsidP="00EE281B">
      <w:pPr>
        <w:spacing w:before="400" w:after="60"/>
        <w:jc w:val="center"/>
        <w:rPr>
          <w:color w:val="555555"/>
        </w:rPr>
      </w:pPr>
    </w:p>
    <w:p w14:paraId="4CFFB2CD" w14:textId="77777777" w:rsidR="00EE281B" w:rsidRDefault="00EE281B" w:rsidP="00EE281B">
      <w:pPr>
        <w:spacing w:before="400" w:after="60"/>
        <w:jc w:val="center"/>
        <w:rPr>
          <w:color w:val="555555"/>
        </w:rPr>
      </w:pPr>
    </w:p>
    <w:p w14:paraId="087B2ED4" w14:textId="77777777" w:rsidR="00EE281B" w:rsidRDefault="00EE281B" w:rsidP="00EE281B">
      <w:pPr>
        <w:spacing w:before="400" w:after="60"/>
        <w:jc w:val="center"/>
        <w:rPr>
          <w:color w:val="555555"/>
        </w:rPr>
      </w:pPr>
    </w:p>
    <w:p w14:paraId="78C03203" w14:textId="77777777" w:rsidR="00EE281B" w:rsidRDefault="00EE281B" w:rsidP="00EE281B">
      <w:pPr>
        <w:spacing w:before="400" w:after="60"/>
        <w:jc w:val="center"/>
        <w:rPr>
          <w:color w:val="555555"/>
        </w:rPr>
      </w:pPr>
    </w:p>
    <w:p w14:paraId="004B835F" w14:textId="77777777" w:rsidR="00EE281B" w:rsidRDefault="00EE281B" w:rsidP="00EE281B">
      <w:pPr>
        <w:spacing w:before="400" w:after="60"/>
        <w:jc w:val="center"/>
        <w:rPr>
          <w:color w:val="555555"/>
        </w:rPr>
      </w:pPr>
    </w:p>
    <w:p w14:paraId="6BFB84BD" w14:textId="77777777" w:rsidR="00EE281B" w:rsidRDefault="00EE281B" w:rsidP="00EE281B">
      <w:pPr>
        <w:spacing w:before="400" w:after="60"/>
        <w:jc w:val="center"/>
        <w:rPr>
          <w:color w:val="555555"/>
        </w:rPr>
      </w:pPr>
    </w:p>
    <w:p w14:paraId="2B202D77" w14:textId="77777777" w:rsidR="00EE281B" w:rsidRDefault="00EE281B" w:rsidP="00EE281B">
      <w:pPr>
        <w:spacing w:before="400" w:after="60"/>
        <w:jc w:val="center"/>
        <w:rPr>
          <w:color w:val="555555"/>
        </w:rPr>
      </w:pPr>
    </w:p>
    <w:p w14:paraId="0C7CF830" w14:textId="77777777" w:rsidR="00EE281B" w:rsidRDefault="00EE281B" w:rsidP="00EE281B">
      <w:pPr>
        <w:spacing w:before="400" w:after="60"/>
        <w:jc w:val="center"/>
      </w:pPr>
    </w:p>
    <w:p w14:paraId="314A07A1" w14:textId="77777777" w:rsidR="00EE281B" w:rsidRDefault="00EE281B" w:rsidP="00EE281B">
      <w:pPr>
        <w:spacing w:after="40"/>
        <w:jc w:val="center"/>
      </w:pPr>
    </w:p>
    <w:p w14:paraId="00137C31" w14:textId="77777777" w:rsidR="00EE281B" w:rsidRDefault="00EE281B" w:rsidP="00EE281B">
      <w:pPr>
        <w:jc w:val="center"/>
      </w:pPr>
      <w:r>
        <w:br w:type="page"/>
      </w:r>
    </w:p>
    <w:sdt>
      <w:sdtPr>
        <w:rPr>
          <w:rFonts w:ascii="Times New Roman" w:eastAsia="Times New Roman" w:hAnsi="Times New Roman" w:cs="Times New Roman"/>
          <w:color w:val="auto"/>
          <w:sz w:val="24"/>
          <w:szCs w:val="24"/>
        </w:rPr>
        <w:id w:val="227427421"/>
        <w:docPartObj>
          <w:docPartGallery w:val="Table of Contents"/>
          <w:docPartUnique/>
        </w:docPartObj>
      </w:sdtPr>
      <w:sdtEndPr>
        <w:rPr>
          <w:b/>
          <w:bCs/>
          <w:noProof/>
        </w:rPr>
      </w:sdtEndPr>
      <w:sdtContent>
        <w:p w14:paraId="069008F8" w14:textId="77777777" w:rsidR="00EE281B" w:rsidRDefault="00EE281B" w:rsidP="00EE281B">
          <w:pPr>
            <w:pStyle w:val="TOCHeading"/>
          </w:pPr>
          <w:r>
            <w:t>Table of Contents</w:t>
          </w:r>
        </w:p>
        <w:p w14:paraId="5EB4C92A" w14:textId="77777777" w:rsidR="00EE281B" w:rsidRDefault="00EE281B" w:rsidP="00EE281B">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6078380" w:history="1">
            <w:r w:rsidRPr="00682501">
              <w:rPr>
                <w:rStyle w:val="Hyperlink"/>
                <w:bCs/>
                <w:noProof/>
              </w:rPr>
              <w:t>Introduction</w:t>
            </w:r>
            <w:r>
              <w:rPr>
                <w:noProof/>
                <w:webHidden/>
              </w:rPr>
              <w:tab/>
            </w:r>
            <w:r>
              <w:rPr>
                <w:noProof/>
                <w:webHidden/>
              </w:rPr>
              <w:fldChar w:fldCharType="begin"/>
            </w:r>
            <w:r>
              <w:rPr>
                <w:noProof/>
                <w:webHidden/>
              </w:rPr>
              <w:instrText xml:space="preserve"> PAGEREF _Toc236078380 \h </w:instrText>
            </w:r>
            <w:r>
              <w:rPr>
                <w:noProof/>
                <w:webHidden/>
              </w:rPr>
            </w:r>
            <w:r>
              <w:rPr>
                <w:noProof/>
                <w:webHidden/>
              </w:rPr>
              <w:fldChar w:fldCharType="separate"/>
            </w:r>
            <w:r>
              <w:rPr>
                <w:noProof/>
                <w:webHidden/>
              </w:rPr>
              <w:t>3</w:t>
            </w:r>
            <w:r>
              <w:rPr>
                <w:noProof/>
                <w:webHidden/>
              </w:rPr>
              <w:fldChar w:fldCharType="end"/>
            </w:r>
          </w:hyperlink>
        </w:p>
        <w:p w14:paraId="58964B28" w14:textId="77777777" w:rsidR="00EE281B" w:rsidRDefault="00EE281B" w:rsidP="00EE281B">
          <w:pPr>
            <w:pStyle w:val="TOC1"/>
            <w:tabs>
              <w:tab w:val="right" w:leader="dot" w:pos="9016"/>
            </w:tabs>
            <w:rPr>
              <w:rFonts w:asciiTheme="minorHAnsi" w:eastAsiaTheme="minorEastAsia" w:hAnsiTheme="minorHAnsi" w:cstheme="minorBidi"/>
              <w:noProof/>
              <w:kern w:val="2"/>
              <w14:ligatures w14:val="standardContextual"/>
            </w:rPr>
          </w:pPr>
          <w:hyperlink w:anchor="_Toc236078381" w:history="1">
            <w:r w:rsidRPr="00682501">
              <w:rPr>
                <w:rStyle w:val="Hyperlink"/>
                <w:bCs/>
                <w:noProof/>
              </w:rPr>
              <w:t>Project Description</w:t>
            </w:r>
            <w:r>
              <w:rPr>
                <w:noProof/>
                <w:webHidden/>
              </w:rPr>
              <w:tab/>
            </w:r>
            <w:r>
              <w:rPr>
                <w:noProof/>
                <w:webHidden/>
              </w:rPr>
              <w:fldChar w:fldCharType="begin"/>
            </w:r>
            <w:r>
              <w:rPr>
                <w:noProof/>
                <w:webHidden/>
              </w:rPr>
              <w:instrText xml:space="preserve"> PAGEREF _Toc236078381 \h </w:instrText>
            </w:r>
            <w:r>
              <w:rPr>
                <w:noProof/>
                <w:webHidden/>
              </w:rPr>
            </w:r>
            <w:r>
              <w:rPr>
                <w:noProof/>
                <w:webHidden/>
              </w:rPr>
              <w:fldChar w:fldCharType="separate"/>
            </w:r>
            <w:r>
              <w:rPr>
                <w:noProof/>
                <w:webHidden/>
              </w:rPr>
              <w:t>3</w:t>
            </w:r>
            <w:r>
              <w:rPr>
                <w:noProof/>
                <w:webHidden/>
              </w:rPr>
              <w:fldChar w:fldCharType="end"/>
            </w:r>
          </w:hyperlink>
        </w:p>
        <w:p w14:paraId="18CE31AC" w14:textId="77777777" w:rsidR="00EE281B" w:rsidRDefault="00EE281B" w:rsidP="00EE281B">
          <w:pPr>
            <w:pStyle w:val="TOC1"/>
            <w:tabs>
              <w:tab w:val="right" w:leader="dot" w:pos="9016"/>
            </w:tabs>
            <w:rPr>
              <w:rFonts w:asciiTheme="minorHAnsi" w:eastAsiaTheme="minorEastAsia" w:hAnsiTheme="minorHAnsi" w:cstheme="minorBidi"/>
              <w:noProof/>
              <w:kern w:val="2"/>
              <w14:ligatures w14:val="standardContextual"/>
            </w:rPr>
          </w:pPr>
          <w:hyperlink w:anchor="_Toc236078382" w:history="1">
            <w:r w:rsidRPr="00682501">
              <w:rPr>
                <w:rStyle w:val="Hyperlink"/>
                <w:bCs/>
                <w:noProof/>
              </w:rPr>
              <w:t>Scope</w:t>
            </w:r>
            <w:r>
              <w:rPr>
                <w:noProof/>
                <w:webHidden/>
              </w:rPr>
              <w:tab/>
            </w:r>
            <w:r>
              <w:rPr>
                <w:noProof/>
                <w:webHidden/>
              </w:rPr>
              <w:fldChar w:fldCharType="begin"/>
            </w:r>
            <w:r>
              <w:rPr>
                <w:noProof/>
                <w:webHidden/>
              </w:rPr>
              <w:instrText xml:space="preserve"> PAGEREF _Toc236078382 \h </w:instrText>
            </w:r>
            <w:r>
              <w:rPr>
                <w:noProof/>
                <w:webHidden/>
              </w:rPr>
            </w:r>
            <w:r>
              <w:rPr>
                <w:noProof/>
                <w:webHidden/>
              </w:rPr>
              <w:fldChar w:fldCharType="separate"/>
            </w:r>
            <w:r>
              <w:rPr>
                <w:noProof/>
                <w:webHidden/>
              </w:rPr>
              <w:t>4</w:t>
            </w:r>
            <w:r>
              <w:rPr>
                <w:noProof/>
                <w:webHidden/>
              </w:rPr>
              <w:fldChar w:fldCharType="end"/>
            </w:r>
          </w:hyperlink>
        </w:p>
        <w:p w14:paraId="39545BCA" w14:textId="77777777" w:rsidR="00EE281B" w:rsidRDefault="00EE281B" w:rsidP="00EE281B">
          <w:pPr>
            <w:pStyle w:val="TOC1"/>
            <w:tabs>
              <w:tab w:val="right" w:leader="dot" w:pos="9016"/>
            </w:tabs>
            <w:rPr>
              <w:rFonts w:asciiTheme="minorHAnsi" w:eastAsiaTheme="minorEastAsia" w:hAnsiTheme="minorHAnsi" w:cstheme="minorBidi"/>
              <w:noProof/>
              <w:kern w:val="2"/>
              <w14:ligatures w14:val="standardContextual"/>
            </w:rPr>
          </w:pPr>
          <w:hyperlink w:anchor="_Toc236078383" w:history="1">
            <w:r w:rsidRPr="00682501">
              <w:rPr>
                <w:rStyle w:val="Hyperlink"/>
                <w:bCs/>
                <w:noProof/>
              </w:rPr>
              <w:t>Work Breakdown Structure</w:t>
            </w:r>
            <w:r>
              <w:rPr>
                <w:noProof/>
                <w:webHidden/>
              </w:rPr>
              <w:tab/>
            </w:r>
            <w:r>
              <w:rPr>
                <w:noProof/>
                <w:webHidden/>
              </w:rPr>
              <w:fldChar w:fldCharType="begin"/>
            </w:r>
            <w:r>
              <w:rPr>
                <w:noProof/>
                <w:webHidden/>
              </w:rPr>
              <w:instrText xml:space="preserve"> PAGEREF _Toc236078383 \h </w:instrText>
            </w:r>
            <w:r>
              <w:rPr>
                <w:noProof/>
                <w:webHidden/>
              </w:rPr>
            </w:r>
            <w:r>
              <w:rPr>
                <w:noProof/>
                <w:webHidden/>
              </w:rPr>
              <w:fldChar w:fldCharType="separate"/>
            </w:r>
            <w:r>
              <w:rPr>
                <w:noProof/>
                <w:webHidden/>
              </w:rPr>
              <w:t>5</w:t>
            </w:r>
            <w:r>
              <w:rPr>
                <w:noProof/>
                <w:webHidden/>
              </w:rPr>
              <w:fldChar w:fldCharType="end"/>
            </w:r>
          </w:hyperlink>
        </w:p>
        <w:p w14:paraId="74523915" w14:textId="77777777" w:rsidR="00EE281B" w:rsidRDefault="00EE281B" w:rsidP="00EE281B">
          <w:pPr>
            <w:pStyle w:val="TOC1"/>
            <w:tabs>
              <w:tab w:val="right" w:leader="dot" w:pos="9016"/>
            </w:tabs>
            <w:rPr>
              <w:rFonts w:asciiTheme="minorHAnsi" w:eastAsiaTheme="minorEastAsia" w:hAnsiTheme="minorHAnsi" w:cstheme="minorBidi"/>
              <w:noProof/>
              <w:kern w:val="2"/>
              <w14:ligatures w14:val="standardContextual"/>
            </w:rPr>
          </w:pPr>
          <w:hyperlink w:anchor="_Toc236078384" w:history="1">
            <w:r w:rsidRPr="00682501">
              <w:rPr>
                <w:rStyle w:val="Hyperlink"/>
                <w:bCs/>
                <w:noProof/>
              </w:rPr>
              <w:t>Quad Chart</w:t>
            </w:r>
            <w:r>
              <w:rPr>
                <w:noProof/>
                <w:webHidden/>
              </w:rPr>
              <w:tab/>
            </w:r>
            <w:r>
              <w:rPr>
                <w:noProof/>
                <w:webHidden/>
              </w:rPr>
              <w:fldChar w:fldCharType="begin"/>
            </w:r>
            <w:r>
              <w:rPr>
                <w:noProof/>
                <w:webHidden/>
              </w:rPr>
              <w:instrText xml:space="preserve"> PAGEREF _Toc236078384 \h </w:instrText>
            </w:r>
            <w:r>
              <w:rPr>
                <w:noProof/>
                <w:webHidden/>
              </w:rPr>
            </w:r>
            <w:r>
              <w:rPr>
                <w:noProof/>
                <w:webHidden/>
              </w:rPr>
              <w:fldChar w:fldCharType="separate"/>
            </w:r>
            <w:r>
              <w:rPr>
                <w:noProof/>
                <w:webHidden/>
              </w:rPr>
              <w:t>6</w:t>
            </w:r>
            <w:r>
              <w:rPr>
                <w:noProof/>
                <w:webHidden/>
              </w:rPr>
              <w:fldChar w:fldCharType="end"/>
            </w:r>
          </w:hyperlink>
        </w:p>
        <w:p w14:paraId="1164DFA1" w14:textId="77777777" w:rsidR="00EE281B" w:rsidRDefault="00EE281B" w:rsidP="00EE281B">
          <w:pPr>
            <w:pStyle w:val="TOC1"/>
            <w:tabs>
              <w:tab w:val="right" w:leader="dot" w:pos="9016"/>
            </w:tabs>
            <w:rPr>
              <w:rFonts w:asciiTheme="minorHAnsi" w:eastAsiaTheme="minorEastAsia" w:hAnsiTheme="minorHAnsi" w:cstheme="minorBidi"/>
              <w:noProof/>
              <w:kern w:val="2"/>
              <w14:ligatures w14:val="standardContextual"/>
            </w:rPr>
          </w:pPr>
          <w:hyperlink w:anchor="_Toc236078385" w:history="1">
            <w:r w:rsidRPr="00682501">
              <w:rPr>
                <w:rStyle w:val="Hyperlink"/>
                <w:bCs/>
                <w:noProof/>
              </w:rPr>
              <w:t>Gantt Chart</w:t>
            </w:r>
            <w:r>
              <w:rPr>
                <w:noProof/>
                <w:webHidden/>
              </w:rPr>
              <w:tab/>
            </w:r>
            <w:r>
              <w:rPr>
                <w:noProof/>
                <w:webHidden/>
              </w:rPr>
              <w:fldChar w:fldCharType="begin"/>
            </w:r>
            <w:r>
              <w:rPr>
                <w:noProof/>
                <w:webHidden/>
              </w:rPr>
              <w:instrText xml:space="preserve"> PAGEREF _Toc236078385 \h </w:instrText>
            </w:r>
            <w:r>
              <w:rPr>
                <w:noProof/>
                <w:webHidden/>
              </w:rPr>
            </w:r>
            <w:r>
              <w:rPr>
                <w:noProof/>
                <w:webHidden/>
              </w:rPr>
              <w:fldChar w:fldCharType="separate"/>
            </w:r>
            <w:r>
              <w:rPr>
                <w:noProof/>
                <w:webHidden/>
              </w:rPr>
              <w:t>7</w:t>
            </w:r>
            <w:r>
              <w:rPr>
                <w:noProof/>
                <w:webHidden/>
              </w:rPr>
              <w:fldChar w:fldCharType="end"/>
            </w:r>
          </w:hyperlink>
        </w:p>
        <w:p w14:paraId="65E3E6D9" w14:textId="77777777" w:rsidR="00EE281B" w:rsidRDefault="00EE281B" w:rsidP="00EE281B">
          <w:pPr>
            <w:pStyle w:val="TOC1"/>
            <w:tabs>
              <w:tab w:val="right" w:leader="dot" w:pos="9016"/>
            </w:tabs>
            <w:rPr>
              <w:rFonts w:asciiTheme="minorHAnsi" w:eastAsiaTheme="minorEastAsia" w:hAnsiTheme="minorHAnsi" w:cstheme="minorBidi"/>
              <w:noProof/>
              <w:kern w:val="2"/>
              <w14:ligatures w14:val="standardContextual"/>
            </w:rPr>
          </w:pPr>
          <w:hyperlink w:anchor="_Toc236078386" w:history="1">
            <w:r w:rsidRPr="00682501">
              <w:rPr>
                <w:rStyle w:val="Hyperlink"/>
                <w:bCs/>
                <w:noProof/>
              </w:rPr>
              <w:t>Stakeholders' Involvement</w:t>
            </w:r>
            <w:r>
              <w:rPr>
                <w:noProof/>
                <w:webHidden/>
              </w:rPr>
              <w:tab/>
            </w:r>
            <w:r>
              <w:rPr>
                <w:noProof/>
                <w:webHidden/>
              </w:rPr>
              <w:fldChar w:fldCharType="begin"/>
            </w:r>
            <w:r>
              <w:rPr>
                <w:noProof/>
                <w:webHidden/>
              </w:rPr>
              <w:instrText xml:space="preserve"> PAGEREF _Toc236078386 \h </w:instrText>
            </w:r>
            <w:r>
              <w:rPr>
                <w:noProof/>
                <w:webHidden/>
              </w:rPr>
            </w:r>
            <w:r>
              <w:rPr>
                <w:noProof/>
                <w:webHidden/>
              </w:rPr>
              <w:fldChar w:fldCharType="separate"/>
            </w:r>
            <w:r>
              <w:rPr>
                <w:noProof/>
                <w:webHidden/>
              </w:rPr>
              <w:t>8</w:t>
            </w:r>
            <w:r>
              <w:rPr>
                <w:noProof/>
                <w:webHidden/>
              </w:rPr>
              <w:fldChar w:fldCharType="end"/>
            </w:r>
          </w:hyperlink>
        </w:p>
        <w:p w14:paraId="731BF7FC" w14:textId="77777777" w:rsidR="00EE281B" w:rsidRDefault="00EE281B" w:rsidP="00EE281B">
          <w:pPr>
            <w:pStyle w:val="TOC1"/>
            <w:tabs>
              <w:tab w:val="right" w:leader="dot" w:pos="9016"/>
            </w:tabs>
            <w:rPr>
              <w:rFonts w:asciiTheme="minorHAnsi" w:eastAsiaTheme="minorEastAsia" w:hAnsiTheme="minorHAnsi" w:cstheme="minorBidi"/>
              <w:noProof/>
              <w:kern w:val="2"/>
              <w14:ligatures w14:val="standardContextual"/>
            </w:rPr>
          </w:pPr>
          <w:hyperlink w:anchor="_Toc236078387" w:history="1">
            <w:r w:rsidRPr="00682501">
              <w:rPr>
                <w:rStyle w:val="Hyperlink"/>
                <w:bCs/>
                <w:noProof/>
              </w:rPr>
              <w:t>Allocation of Resources</w:t>
            </w:r>
            <w:r>
              <w:rPr>
                <w:noProof/>
                <w:webHidden/>
              </w:rPr>
              <w:tab/>
            </w:r>
            <w:r>
              <w:rPr>
                <w:noProof/>
                <w:webHidden/>
              </w:rPr>
              <w:fldChar w:fldCharType="begin"/>
            </w:r>
            <w:r>
              <w:rPr>
                <w:noProof/>
                <w:webHidden/>
              </w:rPr>
              <w:instrText xml:space="preserve"> PAGEREF _Toc236078387 \h </w:instrText>
            </w:r>
            <w:r>
              <w:rPr>
                <w:noProof/>
                <w:webHidden/>
              </w:rPr>
            </w:r>
            <w:r>
              <w:rPr>
                <w:noProof/>
                <w:webHidden/>
              </w:rPr>
              <w:fldChar w:fldCharType="separate"/>
            </w:r>
            <w:r>
              <w:rPr>
                <w:noProof/>
                <w:webHidden/>
              </w:rPr>
              <w:t>9</w:t>
            </w:r>
            <w:r>
              <w:rPr>
                <w:noProof/>
                <w:webHidden/>
              </w:rPr>
              <w:fldChar w:fldCharType="end"/>
            </w:r>
          </w:hyperlink>
        </w:p>
        <w:p w14:paraId="130560A2" w14:textId="77777777" w:rsidR="00EE281B" w:rsidRDefault="00EE281B" w:rsidP="00EE281B">
          <w:pPr>
            <w:pStyle w:val="TOC1"/>
            <w:tabs>
              <w:tab w:val="right" w:leader="dot" w:pos="9016"/>
            </w:tabs>
            <w:rPr>
              <w:rFonts w:asciiTheme="minorHAnsi" w:eastAsiaTheme="minorEastAsia" w:hAnsiTheme="minorHAnsi" w:cstheme="minorBidi"/>
              <w:noProof/>
              <w:kern w:val="2"/>
              <w14:ligatures w14:val="standardContextual"/>
            </w:rPr>
          </w:pPr>
          <w:hyperlink w:anchor="_Toc236078388" w:history="1">
            <w:r w:rsidRPr="00682501">
              <w:rPr>
                <w:rStyle w:val="Hyperlink"/>
                <w:bCs/>
                <w:noProof/>
              </w:rPr>
              <w:t>Risk Analysis</w:t>
            </w:r>
            <w:r>
              <w:rPr>
                <w:noProof/>
                <w:webHidden/>
              </w:rPr>
              <w:tab/>
            </w:r>
            <w:r>
              <w:rPr>
                <w:noProof/>
                <w:webHidden/>
              </w:rPr>
              <w:fldChar w:fldCharType="begin"/>
            </w:r>
            <w:r>
              <w:rPr>
                <w:noProof/>
                <w:webHidden/>
              </w:rPr>
              <w:instrText xml:space="preserve"> PAGEREF _Toc236078388 \h </w:instrText>
            </w:r>
            <w:r>
              <w:rPr>
                <w:noProof/>
                <w:webHidden/>
              </w:rPr>
            </w:r>
            <w:r>
              <w:rPr>
                <w:noProof/>
                <w:webHidden/>
              </w:rPr>
              <w:fldChar w:fldCharType="separate"/>
            </w:r>
            <w:r>
              <w:rPr>
                <w:noProof/>
                <w:webHidden/>
              </w:rPr>
              <w:t>10</w:t>
            </w:r>
            <w:r>
              <w:rPr>
                <w:noProof/>
                <w:webHidden/>
              </w:rPr>
              <w:fldChar w:fldCharType="end"/>
            </w:r>
          </w:hyperlink>
        </w:p>
        <w:p w14:paraId="5058D17C" w14:textId="77777777" w:rsidR="00EE281B" w:rsidRDefault="00EE281B" w:rsidP="00EE281B">
          <w:pPr>
            <w:pStyle w:val="TOC1"/>
            <w:tabs>
              <w:tab w:val="right" w:leader="dot" w:pos="9016"/>
            </w:tabs>
            <w:rPr>
              <w:rFonts w:asciiTheme="minorHAnsi" w:eastAsiaTheme="minorEastAsia" w:hAnsiTheme="minorHAnsi" w:cstheme="minorBidi"/>
              <w:noProof/>
              <w:kern w:val="2"/>
              <w14:ligatures w14:val="standardContextual"/>
            </w:rPr>
          </w:pPr>
          <w:hyperlink w:anchor="_Toc236078389" w:history="1">
            <w:r w:rsidRPr="00682501">
              <w:rPr>
                <w:rStyle w:val="Hyperlink"/>
                <w:bCs/>
                <w:noProof/>
              </w:rPr>
              <w:t>Conclusion</w:t>
            </w:r>
            <w:r>
              <w:rPr>
                <w:noProof/>
                <w:webHidden/>
              </w:rPr>
              <w:tab/>
            </w:r>
            <w:r>
              <w:rPr>
                <w:noProof/>
                <w:webHidden/>
              </w:rPr>
              <w:fldChar w:fldCharType="begin"/>
            </w:r>
            <w:r>
              <w:rPr>
                <w:noProof/>
                <w:webHidden/>
              </w:rPr>
              <w:instrText xml:space="preserve"> PAGEREF _Toc236078389 \h </w:instrText>
            </w:r>
            <w:r>
              <w:rPr>
                <w:noProof/>
                <w:webHidden/>
              </w:rPr>
            </w:r>
            <w:r>
              <w:rPr>
                <w:noProof/>
                <w:webHidden/>
              </w:rPr>
              <w:fldChar w:fldCharType="separate"/>
            </w:r>
            <w:r>
              <w:rPr>
                <w:noProof/>
                <w:webHidden/>
              </w:rPr>
              <w:t>12</w:t>
            </w:r>
            <w:r>
              <w:rPr>
                <w:noProof/>
                <w:webHidden/>
              </w:rPr>
              <w:fldChar w:fldCharType="end"/>
            </w:r>
          </w:hyperlink>
        </w:p>
        <w:p w14:paraId="7A696972" w14:textId="77777777" w:rsidR="00EE281B" w:rsidRDefault="00EE281B" w:rsidP="00EE281B">
          <w:pPr>
            <w:pStyle w:val="TOC1"/>
            <w:tabs>
              <w:tab w:val="right" w:leader="dot" w:pos="9016"/>
            </w:tabs>
            <w:rPr>
              <w:rFonts w:asciiTheme="minorHAnsi" w:eastAsiaTheme="minorEastAsia" w:hAnsiTheme="minorHAnsi" w:cstheme="minorBidi"/>
              <w:noProof/>
              <w:kern w:val="2"/>
              <w14:ligatures w14:val="standardContextual"/>
            </w:rPr>
          </w:pPr>
          <w:hyperlink w:anchor="_Toc236078390" w:history="1">
            <w:r w:rsidRPr="00682501">
              <w:rPr>
                <w:rStyle w:val="Hyperlink"/>
                <w:bCs/>
                <w:noProof/>
              </w:rPr>
              <w:t>References</w:t>
            </w:r>
            <w:r>
              <w:rPr>
                <w:noProof/>
                <w:webHidden/>
              </w:rPr>
              <w:tab/>
            </w:r>
            <w:r>
              <w:rPr>
                <w:noProof/>
                <w:webHidden/>
              </w:rPr>
              <w:fldChar w:fldCharType="begin"/>
            </w:r>
            <w:r>
              <w:rPr>
                <w:noProof/>
                <w:webHidden/>
              </w:rPr>
              <w:instrText xml:space="preserve"> PAGEREF _Toc236078390 \h </w:instrText>
            </w:r>
            <w:r>
              <w:rPr>
                <w:noProof/>
                <w:webHidden/>
              </w:rPr>
            </w:r>
            <w:r>
              <w:rPr>
                <w:noProof/>
                <w:webHidden/>
              </w:rPr>
              <w:fldChar w:fldCharType="separate"/>
            </w:r>
            <w:r>
              <w:rPr>
                <w:noProof/>
                <w:webHidden/>
              </w:rPr>
              <w:t>13</w:t>
            </w:r>
            <w:r>
              <w:rPr>
                <w:noProof/>
                <w:webHidden/>
              </w:rPr>
              <w:fldChar w:fldCharType="end"/>
            </w:r>
          </w:hyperlink>
        </w:p>
        <w:p w14:paraId="38FF2DBB" w14:textId="77777777" w:rsidR="00EE281B" w:rsidRDefault="00EE281B" w:rsidP="00EE281B">
          <w:r>
            <w:rPr>
              <w:b/>
              <w:bCs/>
              <w:noProof/>
            </w:rPr>
            <w:fldChar w:fldCharType="end"/>
          </w:r>
        </w:p>
      </w:sdtContent>
    </w:sdt>
    <w:p w14:paraId="308A2764" w14:textId="77777777" w:rsidR="00EE281B" w:rsidRDefault="00EE281B" w:rsidP="00EE281B">
      <w:r>
        <w:br w:type="page"/>
      </w:r>
    </w:p>
    <w:p w14:paraId="3F15F39B" w14:textId="77777777" w:rsidR="00EE281B" w:rsidRDefault="00EE281B" w:rsidP="00EE281B">
      <w:pPr>
        <w:pStyle w:val="Heading1"/>
        <w:spacing w:before="320" w:after="160" w:line="360" w:lineRule="auto"/>
      </w:pPr>
      <w:bookmarkStart w:id="0" w:name="_Toc236077858"/>
      <w:bookmarkStart w:id="1" w:name="_Toc236078380"/>
      <w:r>
        <w:rPr>
          <w:bCs/>
          <w:color w:val="1F4E2C"/>
          <w:sz w:val="28"/>
          <w:szCs w:val="28"/>
        </w:rPr>
        <w:lastRenderedPageBreak/>
        <w:t>Introduction</w:t>
      </w:r>
      <w:bookmarkEnd w:id="0"/>
      <w:bookmarkEnd w:id="1"/>
    </w:p>
    <w:p w14:paraId="482F57B3" w14:textId="77777777" w:rsidR="00EE281B" w:rsidRDefault="00EE281B" w:rsidP="00EE281B">
      <w:pPr>
        <w:spacing w:after="200" w:line="360" w:lineRule="auto"/>
      </w:pPr>
      <w:r>
        <w:t xml:space="preserve">The Central Transport Hub Regeneration </w:t>
      </w:r>
      <w:proofErr w:type="spellStart"/>
      <w:r>
        <w:t>programme</w:t>
      </w:r>
      <w:proofErr w:type="spellEnd"/>
      <w:r>
        <w:t xml:space="preserve"> Project Management Plan (PMP) outlines the </w:t>
      </w:r>
      <w:proofErr w:type="spellStart"/>
      <w:r>
        <w:t>programme</w:t>
      </w:r>
      <w:proofErr w:type="spellEnd"/>
      <w:r>
        <w:t xml:space="preserve"> to be delivered after the closure of a major city in the UK's central transport hub in November 2025. The undertaking is governed like a single </w:t>
      </w:r>
      <w:proofErr w:type="spellStart"/>
      <w:r>
        <w:t>programme</w:t>
      </w:r>
      <w:proofErr w:type="spellEnd"/>
      <w:r>
        <w:t xml:space="preserve">, rather than separate projects, because the design, construction and digital work packages all have common objectives and stakeholders and they </w:t>
      </w:r>
      <w:proofErr w:type="gramStart"/>
      <w:r>
        <w:t>are able to</w:t>
      </w:r>
      <w:proofErr w:type="gramEnd"/>
      <w:r>
        <w:t xml:space="preserve"> be governed with coordinated governance and not separate governance (Association for Project Management, 2022). The hub is 40 years </w:t>
      </w:r>
      <w:proofErr w:type="gramStart"/>
      <w:r>
        <w:t>old</w:t>
      </w:r>
      <w:proofErr w:type="gramEnd"/>
      <w:r>
        <w:t xml:space="preserve"> and a structural inspection has identified that it does not meet with modern safety and accessibility standards, affecting the lives of commuters, freight movements and local businesses (Department for Transport, 2021). Permanent redevelopment of the central hub is chosen over a temporary multimodal solution as a single, well-governed regeneration </w:t>
      </w:r>
      <w:proofErr w:type="spellStart"/>
      <w:r>
        <w:t>programme</w:t>
      </w:r>
      <w:proofErr w:type="spellEnd"/>
      <w:r>
        <w:t xml:space="preserve"> provides greater long term strategic value than a multiple multimodal solution, which requires a series of stages and phases (Association for Project Management, 2019).</w:t>
      </w:r>
    </w:p>
    <w:p w14:paraId="5B44586D" w14:textId="77777777" w:rsidR="00EE281B" w:rsidRDefault="00EE281B" w:rsidP="00EE281B">
      <w:pPr>
        <w:spacing w:after="200" w:line="360" w:lineRule="auto"/>
      </w:pPr>
      <w:r>
        <w:t xml:space="preserve">This plan is in direct feedback from the tutor and peers as displayed in part B of the Project Proposal Poster (Part A), including the separation of aims from measurable objectives, the explanation of any technical terminology, the level 3 work breakdown structure (WBS) with named ownership, and the risk register disaggregated into specific, scored risks (Larson and Gray, 2021; Project Management Institute, 2021). The plan uses industry accepted project management techniques such as a work breakdown structure, quad chart, Gantt chart, stakeholder power/interest matrix and risk heat map to illustrate how the </w:t>
      </w:r>
      <w:proofErr w:type="spellStart"/>
      <w:r>
        <w:t>programme</w:t>
      </w:r>
      <w:proofErr w:type="spellEnd"/>
      <w:r>
        <w:t xml:space="preserve"> will be planned, resourced and controlled to handover.</w:t>
      </w:r>
    </w:p>
    <w:p w14:paraId="680124BD" w14:textId="77777777" w:rsidR="00EE281B" w:rsidRDefault="00EE281B" w:rsidP="00EE281B">
      <w:pPr>
        <w:rPr>
          <w:b/>
          <w:bCs/>
          <w:color w:val="1F4E2C"/>
          <w:sz w:val="28"/>
          <w:szCs w:val="28"/>
        </w:rPr>
      </w:pPr>
      <w:bookmarkStart w:id="2" w:name="_Toc236077859"/>
      <w:bookmarkStart w:id="3" w:name="_Toc236078381"/>
      <w:r>
        <w:rPr>
          <w:bCs/>
          <w:color w:val="1F4E2C"/>
          <w:sz w:val="28"/>
          <w:szCs w:val="28"/>
        </w:rPr>
        <w:br w:type="page"/>
      </w:r>
    </w:p>
    <w:p w14:paraId="0EEB4A05" w14:textId="77777777" w:rsidR="00EE281B" w:rsidRDefault="00EE281B" w:rsidP="00EE281B">
      <w:pPr>
        <w:pStyle w:val="Heading1"/>
        <w:spacing w:before="320" w:after="160" w:line="360" w:lineRule="auto"/>
      </w:pPr>
      <w:r>
        <w:rPr>
          <w:bCs/>
          <w:color w:val="1F4E2C"/>
          <w:sz w:val="28"/>
          <w:szCs w:val="28"/>
        </w:rPr>
        <w:lastRenderedPageBreak/>
        <w:t>Project Description</w:t>
      </w:r>
      <w:bookmarkEnd w:id="2"/>
      <w:bookmarkEnd w:id="3"/>
    </w:p>
    <w:p w14:paraId="73834FBF" w14:textId="77777777" w:rsidR="00EE281B" w:rsidRDefault="00EE281B" w:rsidP="00EE281B">
      <w:pPr>
        <w:spacing w:after="200" w:line="360" w:lineRule="auto"/>
      </w:pPr>
      <w:r>
        <w:t xml:space="preserve">The </w:t>
      </w:r>
      <w:proofErr w:type="spellStart"/>
      <w:r>
        <w:t>programme</w:t>
      </w:r>
      <w:proofErr w:type="spellEnd"/>
      <w:r>
        <w:t xml:space="preserve"> is a direct contribution to national level policy commitments: transport approximately accounts for 30% of UK greenhouse gas emissions and will be made net zero by 2050 (DFT, 2021). A permanent, </w:t>
      </w:r>
      <w:proofErr w:type="gramStart"/>
      <w:r>
        <w:t>digitally-enabled</w:t>
      </w:r>
      <w:proofErr w:type="gramEnd"/>
      <w:r>
        <w:t xml:space="preserve"> hub will therefore help achieve this goal and safeguard an estimated £120 million of regional economic activity, dependent on the interchange, each year. It is funded by capital and uses a consortium of the council, prime contractor, architectural design team and specialist digital systems integrator led by the project manager appointed by the council as the project's sponsor.</w:t>
      </w:r>
    </w:p>
    <w:p w14:paraId="0F97397E" w14:textId="77777777" w:rsidR="00EE281B" w:rsidRDefault="00EE281B" w:rsidP="00EE281B">
      <w:pPr>
        <w:spacing w:after="200" w:line="360" w:lineRule="auto"/>
      </w:pPr>
      <w:r>
        <w:t xml:space="preserve">The choice for permanent redevelopment, as opposed to a temporary multimodal solution, is based on the fact that a temporary structure would result in the need for two complete capital </w:t>
      </w:r>
      <w:proofErr w:type="spellStart"/>
      <w:r>
        <w:t>programmes</w:t>
      </w:r>
      <w:proofErr w:type="spellEnd"/>
      <w:r>
        <w:t xml:space="preserve"> - a initial capital </w:t>
      </w:r>
      <w:proofErr w:type="spellStart"/>
      <w:r>
        <w:t>programme</w:t>
      </w:r>
      <w:proofErr w:type="spellEnd"/>
      <w:r>
        <w:t xml:space="preserve"> leading to a temporary structure and a subsequent capital </w:t>
      </w:r>
      <w:proofErr w:type="spellStart"/>
      <w:r>
        <w:t>programme</w:t>
      </w:r>
      <w:proofErr w:type="spellEnd"/>
      <w:r>
        <w:t xml:space="preserve"> for a permanent structure, which would enable double mobilization </w:t>
      </w:r>
      <w:proofErr w:type="spellStart"/>
      <w:r>
        <w:t>REfor</w:t>
      </w:r>
      <w:proofErr w:type="spellEnd"/>
      <w:r>
        <w:t xml:space="preserve"> design, procurement and construction and would also duplicate the overall period of disruption for commuters and local businesses (Winch, 2010). Single-</w:t>
      </w:r>
      <w:proofErr w:type="spellStart"/>
      <w:r>
        <w:t>programme</w:t>
      </w:r>
      <w:proofErr w:type="spellEnd"/>
      <w:r>
        <w:t xml:space="preserve"> delivery also ensures that net-zero and digital infrastructure can be ‘baked' in from the beginning, rather than being retrofitted onto the structure, which aligns with the principle of the sustainability appraisal that whole-life value is generally greater if environmental performance is considered in design rather than added on (HM Treasury, 2023; Sanchez, 2015).</w:t>
      </w:r>
    </w:p>
    <w:p w14:paraId="378547DA" w14:textId="77777777" w:rsidR="00EE281B" w:rsidRDefault="00EE281B" w:rsidP="00EE281B">
      <w:pPr>
        <w:spacing w:after="200" w:line="360" w:lineRule="auto"/>
      </w:pPr>
      <w:r>
        <w:t xml:space="preserve">Four SMART objectives break down the overarching aim of the </w:t>
      </w:r>
      <w:proofErr w:type="spellStart"/>
      <w:r>
        <w:t>programme</w:t>
      </w:r>
      <w:proofErr w:type="spellEnd"/>
      <w:r>
        <w:t xml:space="preserve"> – to restore full multimodal transport capacity within 24 months – into measurable deliverables; the original aims and objectives were not sufficiently differentiated (Kerzner, 2022). Firstly, full multimodal capacity is restored and active within the 24 </w:t>
      </w:r>
      <w:proofErr w:type="gramStart"/>
      <w:r>
        <w:t>month</w:t>
      </w:r>
      <w:proofErr w:type="gramEnd"/>
      <w:r>
        <w:t xml:space="preserve"> after start of the </w:t>
      </w:r>
      <w:proofErr w:type="spellStart"/>
      <w:r>
        <w:t>programme</w:t>
      </w:r>
      <w:proofErr w:type="spellEnd"/>
      <w:r>
        <w:t xml:space="preserve">. Secondly, the new hub will be rebuilt to BREEAM “Excellent” rating, an independent assessment of sustainability from the Department of Transport (2021) with a focus on four sustainability issues: Energy, Water, Materials and Ecology. Third, by Month 20, real time, digital systems to monitor and measure passenger flows and ticketing are in place and tested. Fourth, at the end of each stage of the </w:t>
      </w:r>
      <w:proofErr w:type="spellStart"/>
      <w:r>
        <w:t>programme</w:t>
      </w:r>
      <w:proofErr w:type="spellEnd"/>
      <w:r>
        <w:t xml:space="preserve">, the Council and Funders sign off the results obtained, providing for accountable, staged governance, instead of a “one size fits all” sign-off at the end of the </w:t>
      </w:r>
      <w:proofErr w:type="spellStart"/>
      <w:r>
        <w:t>programme</w:t>
      </w:r>
      <w:proofErr w:type="spellEnd"/>
      <w:r>
        <w:t>.</w:t>
      </w:r>
    </w:p>
    <w:p w14:paraId="0F224F10" w14:textId="77777777" w:rsidR="00EE281B" w:rsidRDefault="00EE281B" w:rsidP="00EE281B">
      <w:pPr>
        <w:spacing w:after="200" w:line="360" w:lineRule="auto"/>
      </w:pPr>
    </w:p>
    <w:p w14:paraId="323FDCA0" w14:textId="77777777" w:rsidR="00EE281B" w:rsidRDefault="00EE281B" w:rsidP="00EE281B">
      <w:pPr>
        <w:spacing w:after="200" w:line="360" w:lineRule="auto"/>
      </w:pPr>
    </w:p>
    <w:p w14:paraId="56FFA85C" w14:textId="77777777" w:rsidR="00EE281B" w:rsidRDefault="00EE281B" w:rsidP="00EE281B">
      <w:pPr>
        <w:pStyle w:val="Heading1"/>
        <w:spacing w:before="320" w:after="160" w:line="360" w:lineRule="auto"/>
      </w:pPr>
      <w:bookmarkStart w:id="4" w:name="_Toc236077860"/>
      <w:bookmarkStart w:id="5" w:name="_Toc236078382"/>
      <w:r>
        <w:rPr>
          <w:bCs/>
          <w:color w:val="1F4E2C"/>
          <w:sz w:val="28"/>
          <w:szCs w:val="28"/>
        </w:rPr>
        <w:t>Scope</w:t>
      </w:r>
      <w:bookmarkEnd w:id="4"/>
      <w:bookmarkEnd w:id="5"/>
    </w:p>
    <w:p w14:paraId="28EAC124" w14:textId="77777777" w:rsidR="00EE281B" w:rsidRDefault="00EE281B" w:rsidP="00EE281B">
      <w:pPr>
        <w:spacing w:after="200" w:line="360" w:lineRule="auto"/>
      </w:pPr>
      <w:r w:rsidRPr="006413B5">
        <w:t xml:space="preserve">Scope definition is based on the principle that the boundaries of a project should be clearly defined to manage stakeholders' expectations and keep scope growth in check, which is known as scope creep (Project Management Institute, 2021). A clearly defined scope also enables the project manager to assess a change request against an agreed baseline versus assessment on an ad hoc basis, which can be especially crucial on a </w:t>
      </w:r>
      <w:proofErr w:type="gramStart"/>
      <w:r w:rsidRPr="006413B5">
        <w:t>publicly-funded</w:t>
      </w:r>
      <w:proofErr w:type="gramEnd"/>
      <w:r w:rsidRPr="006413B5">
        <w:t xml:space="preserve"> </w:t>
      </w:r>
      <w:proofErr w:type="spellStart"/>
      <w:r w:rsidRPr="006413B5">
        <w:t>programme</w:t>
      </w:r>
      <w:proofErr w:type="spellEnd"/>
      <w:r w:rsidRPr="006413B5">
        <w:t xml:space="preserve"> where the political and community pressures for expansion of scope are likely (Turner, 2014).</w:t>
      </w:r>
    </w:p>
    <w:p w14:paraId="5100553F" w14:textId="77777777" w:rsidR="00EE281B" w:rsidRDefault="00EE281B" w:rsidP="00EE281B">
      <w:pPr>
        <w:spacing w:before="160" w:after="80" w:line="360" w:lineRule="auto"/>
      </w:pPr>
      <w:r>
        <w:rPr>
          <w:b/>
          <w:bCs/>
        </w:rPr>
        <w:t>Table 1: Project Scope Boundaries</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700"/>
        <w:gridCol w:w="4700"/>
      </w:tblGrid>
      <w:tr w:rsidR="00EE281B" w14:paraId="5427BD25" w14:textId="77777777" w:rsidTr="004E5F5E">
        <w:trPr>
          <w:tblHeader/>
        </w:trPr>
        <w:tc>
          <w:tcPr>
            <w:tcW w:w="4700" w:type="dxa"/>
            <w:shd w:val="clear" w:color="auto" w:fill="1F4E2C"/>
            <w:tcMar>
              <w:top w:w="80" w:type="dxa"/>
              <w:left w:w="100" w:type="dxa"/>
              <w:bottom w:w="80" w:type="dxa"/>
              <w:right w:w="100" w:type="dxa"/>
            </w:tcMar>
            <w:vAlign w:val="center"/>
          </w:tcPr>
          <w:p w14:paraId="14D3438E" w14:textId="77777777" w:rsidR="00EE281B" w:rsidRDefault="00EE281B" w:rsidP="004E5F5E">
            <w:r>
              <w:rPr>
                <w:b/>
                <w:bCs/>
                <w:color w:val="FFFFFF"/>
                <w:sz w:val="20"/>
                <w:szCs w:val="20"/>
              </w:rPr>
              <w:t>In Scope</w:t>
            </w:r>
          </w:p>
        </w:tc>
        <w:tc>
          <w:tcPr>
            <w:tcW w:w="4700" w:type="dxa"/>
            <w:shd w:val="clear" w:color="auto" w:fill="1F4E2C"/>
            <w:tcMar>
              <w:top w:w="80" w:type="dxa"/>
              <w:left w:w="100" w:type="dxa"/>
              <w:bottom w:w="80" w:type="dxa"/>
              <w:right w:w="100" w:type="dxa"/>
            </w:tcMar>
            <w:vAlign w:val="center"/>
          </w:tcPr>
          <w:p w14:paraId="07D3671F" w14:textId="77777777" w:rsidR="00EE281B" w:rsidRDefault="00EE281B" w:rsidP="004E5F5E">
            <w:r>
              <w:rPr>
                <w:b/>
                <w:bCs/>
                <w:color w:val="FFFFFF"/>
                <w:sz w:val="20"/>
                <w:szCs w:val="20"/>
              </w:rPr>
              <w:t>Out of Scope</w:t>
            </w:r>
          </w:p>
        </w:tc>
      </w:tr>
      <w:tr w:rsidR="00EE281B" w14:paraId="1A6B2473" w14:textId="77777777" w:rsidTr="004E5F5E">
        <w:tc>
          <w:tcPr>
            <w:tcW w:w="4700" w:type="dxa"/>
            <w:shd w:val="clear" w:color="auto" w:fill="F2F4EC"/>
            <w:tcMar>
              <w:top w:w="80" w:type="dxa"/>
              <w:left w:w="100" w:type="dxa"/>
              <w:bottom w:w="80" w:type="dxa"/>
              <w:right w:w="100" w:type="dxa"/>
            </w:tcMar>
            <w:vAlign w:val="center"/>
          </w:tcPr>
          <w:p w14:paraId="139006B7" w14:textId="77777777" w:rsidR="00EE281B" w:rsidRDefault="00EE281B" w:rsidP="004E5F5E">
            <w:pPr>
              <w:spacing w:line="264" w:lineRule="auto"/>
            </w:pPr>
            <w:r>
              <w:rPr>
                <w:b/>
                <w:bCs/>
                <w:sz w:val="20"/>
                <w:szCs w:val="20"/>
              </w:rPr>
              <w:t>Central transport hub structural rebuild</w:t>
            </w:r>
          </w:p>
        </w:tc>
        <w:tc>
          <w:tcPr>
            <w:tcW w:w="4700" w:type="dxa"/>
            <w:shd w:val="clear" w:color="auto" w:fill="F2F4EC"/>
            <w:tcMar>
              <w:top w:w="80" w:type="dxa"/>
              <w:left w:w="100" w:type="dxa"/>
              <w:bottom w:w="80" w:type="dxa"/>
              <w:right w:w="100" w:type="dxa"/>
            </w:tcMar>
            <w:vAlign w:val="center"/>
          </w:tcPr>
          <w:p w14:paraId="175E5EE5" w14:textId="77777777" w:rsidR="00EE281B" w:rsidRDefault="00EE281B" w:rsidP="004E5F5E">
            <w:pPr>
              <w:spacing w:line="264" w:lineRule="auto"/>
            </w:pPr>
            <w:r>
              <w:rPr>
                <w:sz w:val="20"/>
                <w:szCs w:val="20"/>
              </w:rPr>
              <w:t>Wider city road network</w:t>
            </w:r>
          </w:p>
        </w:tc>
      </w:tr>
      <w:tr w:rsidR="00EE281B" w14:paraId="30CDA81D" w14:textId="77777777" w:rsidTr="004E5F5E">
        <w:tc>
          <w:tcPr>
            <w:tcW w:w="4700" w:type="dxa"/>
            <w:shd w:val="clear" w:color="auto" w:fill="FFFFFF"/>
            <w:tcMar>
              <w:top w:w="80" w:type="dxa"/>
              <w:left w:w="100" w:type="dxa"/>
              <w:bottom w:w="80" w:type="dxa"/>
              <w:right w:w="100" w:type="dxa"/>
            </w:tcMar>
            <w:vAlign w:val="center"/>
          </w:tcPr>
          <w:p w14:paraId="1B621E88" w14:textId="77777777" w:rsidR="00EE281B" w:rsidRDefault="00EE281B" w:rsidP="004E5F5E">
            <w:pPr>
              <w:spacing w:line="264" w:lineRule="auto"/>
            </w:pPr>
            <w:r>
              <w:rPr>
                <w:b/>
                <w:bCs/>
                <w:sz w:val="20"/>
                <w:szCs w:val="20"/>
              </w:rPr>
              <w:t>Rail, bus and freight interchange restoration</w:t>
            </w:r>
          </w:p>
        </w:tc>
        <w:tc>
          <w:tcPr>
            <w:tcW w:w="4700" w:type="dxa"/>
            <w:shd w:val="clear" w:color="auto" w:fill="FFFFFF"/>
            <w:tcMar>
              <w:top w:w="80" w:type="dxa"/>
              <w:left w:w="100" w:type="dxa"/>
              <w:bottom w:w="80" w:type="dxa"/>
              <w:right w:w="100" w:type="dxa"/>
            </w:tcMar>
            <w:vAlign w:val="center"/>
          </w:tcPr>
          <w:p w14:paraId="1E39F737" w14:textId="77777777" w:rsidR="00EE281B" w:rsidRDefault="00EE281B" w:rsidP="004E5F5E">
            <w:pPr>
              <w:spacing w:line="264" w:lineRule="auto"/>
            </w:pPr>
            <w:r>
              <w:rPr>
                <w:sz w:val="20"/>
                <w:szCs w:val="20"/>
              </w:rPr>
              <w:t>Adjacent retail development</w:t>
            </w:r>
          </w:p>
        </w:tc>
      </w:tr>
      <w:tr w:rsidR="00EE281B" w14:paraId="5A11D620" w14:textId="77777777" w:rsidTr="004E5F5E">
        <w:tc>
          <w:tcPr>
            <w:tcW w:w="4700" w:type="dxa"/>
            <w:shd w:val="clear" w:color="auto" w:fill="F2F4EC"/>
            <w:tcMar>
              <w:top w:w="80" w:type="dxa"/>
              <w:left w:w="100" w:type="dxa"/>
              <w:bottom w:w="80" w:type="dxa"/>
              <w:right w:w="100" w:type="dxa"/>
            </w:tcMar>
            <w:vAlign w:val="center"/>
          </w:tcPr>
          <w:p w14:paraId="5CB71DAD" w14:textId="77777777" w:rsidR="00EE281B" w:rsidRDefault="00EE281B" w:rsidP="004E5F5E">
            <w:pPr>
              <w:spacing w:line="264" w:lineRule="auto"/>
            </w:pPr>
            <w:r>
              <w:rPr>
                <w:b/>
                <w:bCs/>
                <w:sz w:val="20"/>
                <w:szCs w:val="20"/>
              </w:rPr>
              <w:t>Digital systems: real-time passenger information and ticketing</w:t>
            </w:r>
          </w:p>
        </w:tc>
        <w:tc>
          <w:tcPr>
            <w:tcW w:w="4700" w:type="dxa"/>
            <w:shd w:val="clear" w:color="auto" w:fill="F2F4EC"/>
            <w:tcMar>
              <w:top w:w="80" w:type="dxa"/>
              <w:left w:w="100" w:type="dxa"/>
              <w:bottom w:w="80" w:type="dxa"/>
              <w:right w:w="100" w:type="dxa"/>
            </w:tcMar>
            <w:vAlign w:val="center"/>
          </w:tcPr>
          <w:p w14:paraId="77FA5813" w14:textId="77777777" w:rsidR="00EE281B" w:rsidRDefault="00EE281B" w:rsidP="004E5F5E">
            <w:pPr>
              <w:spacing w:line="264" w:lineRule="auto"/>
            </w:pPr>
            <w:r>
              <w:rPr>
                <w:sz w:val="20"/>
                <w:szCs w:val="20"/>
              </w:rPr>
              <w:t>Long-term operations contract</w:t>
            </w:r>
          </w:p>
        </w:tc>
      </w:tr>
      <w:tr w:rsidR="00EE281B" w14:paraId="5AAA3AA5" w14:textId="77777777" w:rsidTr="004E5F5E">
        <w:tc>
          <w:tcPr>
            <w:tcW w:w="4700" w:type="dxa"/>
            <w:shd w:val="clear" w:color="auto" w:fill="FFFFFF"/>
            <w:tcMar>
              <w:top w:w="80" w:type="dxa"/>
              <w:left w:w="100" w:type="dxa"/>
              <w:bottom w:w="80" w:type="dxa"/>
              <w:right w:w="100" w:type="dxa"/>
            </w:tcMar>
            <w:vAlign w:val="center"/>
          </w:tcPr>
          <w:p w14:paraId="795061F6" w14:textId="77777777" w:rsidR="00EE281B" w:rsidRDefault="00EE281B" w:rsidP="004E5F5E">
            <w:pPr>
              <w:spacing w:line="264" w:lineRule="auto"/>
            </w:pPr>
            <w:r>
              <w:rPr>
                <w:b/>
                <w:bCs/>
                <w:sz w:val="20"/>
                <w:szCs w:val="20"/>
              </w:rPr>
              <w:t>Net-zero infrastructure: solar PV, EV charging, low-carbon materials</w:t>
            </w:r>
          </w:p>
        </w:tc>
        <w:tc>
          <w:tcPr>
            <w:tcW w:w="4700" w:type="dxa"/>
            <w:shd w:val="clear" w:color="auto" w:fill="FFFFFF"/>
            <w:tcMar>
              <w:top w:w="80" w:type="dxa"/>
              <w:left w:w="100" w:type="dxa"/>
              <w:bottom w:w="80" w:type="dxa"/>
              <w:right w:w="100" w:type="dxa"/>
            </w:tcMar>
            <w:vAlign w:val="center"/>
          </w:tcPr>
          <w:p w14:paraId="1BCB207E" w14:textId="77777777" w:rsidR="00EE281B" w:rsidRDefault="00EE281B" w:rsidP="004E5F5E">
            <w:pPr>
              <w:spacing w:line="264" w:lineRule="auto"/>
            </w:pPr>
            <w:r>
              <w:rPr>
                <w:sz w:val="20"/>
                <w:szCs w:val="20"/>
              </w:rPr>
              <w:t>–</w:t>
            </w:r>
          </w:p>
        </w:tc>
      </w:tr>
    </w:tbl>
    <w:p w14:paraId="4F98A09C" w14:textId="77777777" w:rsidR="00EE281B" w:rsidRDefault="00EE281B" w:rsidP="00EE281B">
      <w:pPr>
        <w:spacing w:before="80" w:after="240"/>
        <w:jc w:val="center"/>
      </w:pPr>
      <w:r>
        <w:rPr>
          <w:i/>
          <w:iCs/>
          <w:color w:val="555555"/>
          <w:sz w:val="21"/>
          <w:szCs w:val="21"/>
        </w:rPr>
        <w:t>Table 1: Project Scope Boundaries</w:t>
      </w:r>
    </w:p>
    <w:p w14:paraId="2D566441" w14:textId="77777777" w:rsidR="00EE281B" w:rsidRDefault="00EE281B" w:rsidP="00EE281B">
      <w:pPr>
        <w:spacing w:after="200" w:line="360" w:lineRule="auto"/>
      </w:pPr>
      <w:r>
        <w:t xml:space="preserve">Excluding </w:t>
      </w:r>
      <w:r w:rsidRPr="006413B5">
        <w:t xml:space="preserve">the </w:t>
      </w:r>
      <w:proofErr w:type="spellStart"/>
      <w:r w:rsidRPr="006413B5">
        <w:t>programme</w:t>
      </w:r>
      <w:proofErr w:type="spellEnd"/>
      <w:r w:rsidRPr="006413B5">
        <w:t xml:space="preserve"> separate from the wider city road network and surrounding commercial development means it is maintained on the interchange itself, helping to keep the </w:t>
      </w:r>
      <w:proofErr w:type="spellStart"/>
      <w:r w:rsidRPr="006413B5">
        <w:t>programme</w:t>
      </w:r>
      <w:proofErr w:type="spellEnd"/>
      <w:r w:rsidRPr="006413B5">
        <w:t xml:space="preserve"> delivery timescales tight and short, and preventing the separate procurement of a long-term operations contract which would also impact significantly on </w:t>
      </w:r>
      <w:proofErr w:type="spellStart"/>
      <w:r w:rsidRPr="006413B5">
        <w:t>programme</w:t>
      </w:r>
      <w:proofErr w:type="spellEnd"/>
      <w:r w:rsidRPr="006413B5">
        <w:t xml:space="preserve"> delivery and delay the restoration of network capacity much needed by communities and businesses (Winch, 2010).</w:t>
      </w:r>
    </w:p>
    <w:p w14:paraId="6650D473" w14:textId="77777777" w:rsidR="00EE281B" w:rsidRDefault="00EE281B" w:rsidP="00EE281B">
      <w:pPr>
        <w:pStyle w:val="Heading1"/>
        <w:spacing w:before="320" w:after="160" w:line="360" w:lineRule="auto"/>
      </w:pPr>
      <w:bookmarkStart w:id="6" w:name="_Toc236077861"/>
      <w:bookmarkStart w:id="7" w:name="_Toc236078383"/>
      <w:r>
        <w:rPr>
          <w:bCs/>
          <w:color w:val="1F4E2C"/>
          <w:sz w:val="28"/>
          <w:szCs w:val="28"/>
        </w:rPr>
        <w:t>Work Breakdown Structure</w:t>
      </w:r>
      <w:bookmarkEnd w:id="6"/>
      <w:bookmarkEnd w:id="7"/>
    </w:p>
    <w:p w14:paraId="45F31A84" w14:textId="77777777" w:rsidR="00EE281B" w:rsidRDefault="00EE281B" w:rsidP="00EE281B">
      <w:pPr>
        <w:spacing w:after="200" w:line="360" w:lineRule="auto"/>
      </w:pPr>
      <w:r w:rsidRPr="006413B5">
        <w:t xml:space="preserve">A key technique used in a </w:t>
      </w:r>
      <w:proofErr w:type="spellStart"/>
      <w:r w:rsidRPr="006413B5">
        <w:t>programme</w:t>
      </w:r>
      <w:proofErr w:type="spellEnd"/>
      <w:r w:rsidRPr="006413B5">
        <w:t xml:space="preserve"> is the work breakdown structure (WBS), which breaks down the </w:t>
      </w:r>
      <w:proofErr w:type="spellStart"/>
      <w:r w:rsidRPr="006413B5">
        <w:t>programme</w:t>
      </w:r>
      <w:proofErr w:type="spellEnd"/>
      <w:r w:rsidRPr="006413B5">
        <w:t xml:space="preserve"> into manageable work packages, with the aim of estimating </w:t>
      </w:r>
      <w:proofErr w:type="spellStart"/>
      <w:r w:rsidRPr="006413B5">
        <w:t>programme</w:t>
      </w:r>
      <w:proofErr w:type="spellEnd"/>
      <w:r w:rsidRPr="006413B5">
        <w:t xml:space="preserve"> cost, duration and ownership to the right level of granularity (Larson and Gray, 2021). A well-made WBS should be exhaustive at each level—that is, the work in the child elements of the WBS should fully describe the work in their parent elements—and mutually exclusive—</w:t>
      </w:r>
      <w:r w:rsidRPr="006413B5">
        <w:lastRenderedPageBreak/>
        <w:t>that is, no single unit of work should appear in more than one branch of the WBS—both attributes are important to reliable cost and schedule estimates (Project Management Institute, 2021).</w:t>
      </w:r>
    </w:p>
    <w:p w14:paraId="1A4D1285" w14:textId="77777777" w:rsidR="00EE281B" w:rsidRDefault="00EE281B" w:rsidP="00EE281B">
      <w:pPr>
        <w:spacing w:before="160" w:after="80" w:line="360" w:lineRule="auto"/>
      </w:pPr>
      <w:r>
        <w:rPr>
          <w:b/>
          <w:bCs/>
        </w:rPr>
        <w:t>Table 2: Work Breakdown Structure (Level 3), 1.0 Hub Regeneration</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5600"/>
        <w:gridCol w:w="2400"/>
      </w:tblGrid>
      <w:tr w:rsidR="00EE281B" w14:paraId="1269D729" w14:textId="77777777" w:rsidTr="004E5F5E">
        <w:trPr>
          <w:tblHeader/>
        </w:trPr>
        <w:tc>
          <w:tcPr>
            <w:tcW w:w="1400" w:type="dxa"/>
            <w:shd w:val="clear" w:color="auto" w:fill="1F4E2C"/>
            <w:tcMar>
              <w:top w:w="80" w:type="dxa"/>
              <w:left w:w="100" w:type="dxa"/>
              <w:bottom w:w="80" w:type="dxa"/>
              <w:right w:w="100" w:type="dxa"/>
            </w:tcMar>
            <w:vAlign w:val="center"/>
          </w:tcPr>
          <w:p w14:paraId="19CC469E" w14:textId="77777777" w:rsidR="00EE281B" w:rsidRDefault="00EE281B" w:rsidP="004E5F5E">
            <w:r>
              <w:rPr>
                <w:b/>
                <w:bCs/>
                <w:color w:val="FFFFFF"/>
                <w:sz w:val="20"/>
                <w:szCs w:val="20"/>
              </w:rPr>
              <w:t>WBS Ref.</w:t>
            </w:r>
          </w:p>
        </w:tc>
        <w:tc>
          <w:tcPr>
            <w:tcW w:w="5600" w:type="dxa"/>
            <w:shd w:val="clear" w:color="auto" w:fill="1F4E2C"/>
            <w:tcMar>
              <w:top w:w="80" w:type="dxa"/>
              <w:left w:w="100" w:type="dxa"/>
              <w:bottom w:w="80" w:type="dxa"/>
              <w:right w:w="100" w:type="dxa"/>
            </w:tcMar>
            <w:vAlign w:val="center"/>
          </w:tcPr>
          <w:p w14:paraId="4CBDEE1E" w14:textId="77777777" w:rsidR="00EE281B" w:rsidRDefault="00EE281B" w:rsidP="004E5F5E">
            <w:r>
              <w:rPr>
                <w:b/>
                <w:bCs/>
                <w:color w:val="FFFFFF"/>
                <w:sz w:val="20"/>
                <w:szCs w:val="20"/>
              </w:rPr>
              <w:t>Work Package</w:t>
            </w:r>
          </w:p>
        </w:tc>
        <w:tc>
          <w:tcPr>
            <w:tcW w:w="2400" w:type="dxa"/>
            <w:shd w:val="clear" w:color="auto" w:fill="1F4E2C"/>
            <w:tcMar>
              <w:top w:w="80" w:type="dxa"/>
              <w:left w:w="100" w:type="dxa"/>
              <w:bottom w:w="80" w:type="dxa"/>
              <w:right w:w="100" w:type="dxa"/>
            </w:tcMar>
            <w:vAlign w:val="center"/>
          </w:tcPr>
          <w:p w14:paraId="2D64E31F" w14:textId="77777777" w:rsidR="00EE281B" w:rsidRDefault="00EE281B" w:rsidP="004E5F5E">
            <w:r>
              <w:rPr>
                <w:b/>
                <w:bCs/>
                <w:color w:val="FFFFFF"/>
                <w:sz w:val="20"/>
                <w:szCs w:val="20"/>
              </w:rPr>
              <w:t>Owner</w:t>
            </w:r>
          </w:p>
        </w:tc>
      </w:tr>
      <w:tr w:rsidR="00EE281B" w14:paraId="599F47FE" w14:textId="77777777" w:rsidTr="004E5F5E">
        <w:tc>
          <w:tcPr>
            <w:tcW w:w="1400" w:type="dxa"/>
            <w:shd w:val="clear" w:color="auto" w:fill="F2F4EC"/>
            <w:tcMar>
              <w:top w:w="80" w:type="dxa"/>
              <w:left w:w="100" w:type="dxa"/>
              <w:bottom w:w="80" w:type="dxa"/>
              <w:right w:w="100" w:type="dxa"/>
            </w:tcMar>
            <w:vAlign w:val="center"/>
          </w:tcPr>
          <w:p w14:paraId="016FEA88" w14:textId="77777777" w:rsidR="00EE281B" w:rsidRDefault="00EE281B" w:rsidP="004E5F5E">
            <w:pPr>
              <w:spacing w:line="264" w:lineRule="auto"/>
            </w:pPr>
            <w:r>
              <w:rPr>
                <w:b/>
                <w:bCs/>
                <w:sz w:val="20"/>
                <w:szCs w:val="20"/>
              </w:rPr>
              <w:t>1.1</w:t>
            </w:r>
          </w:p>
        </w:tc>
        <w:tc>
          <w:tcPr>
            <w:tcW w:w="5600" w:type="dxa"/>
            <w:shd w:val="clear" w:color="auto" w:fill="F2F4EC"/>
            <w:tcMar>
              <w:top w:w="80" w:type="dxa"/>
              <w:left w:w="100" w:type="dxa"/>
              <w:bottom w:w="80" w:type="dxa"/>
              <w:right w:w="100" w:type="dxa"/>
            </w:tcMar>
            <w:vAlign w:val="center"/>
          </w:tcPr>
          <w:p w14:paraId="3D852472" w14:textId="77777777" w:rsidR="00EE281B" w:rsidRDefault="00EE281B" w:rsidP="004E5F5E">
            <w:pPr>
              <w:spacing w:line="264" w:lineRule="auto"/>
            </w:pPr>
            <w:r>
              <w:rPr>
                <w:sz w:val="20"/>
                <w:szCs w:val="20"/>
              </w:rPr>
              <w:t>Design &amp; Planning</w:t>
            </w:r>
          </w:p>
        </w:tc>
        <w:tc>
          <w:tcPr>
            <w:tcW w:w="2400" w:type="dxa"/>
            <w:shd w:val="clear" w:color="auto" w:fill="F2F4EC"/>
            <w:tcMar>
              <w:top w:w="80" w:type="dxa"/>
              <w:left w:w="100" w:type="dxa"/>
              <w:bottom w:w="80" w:type="dxa"/>
              <w:right w:w="100" w:type="dxa"/>
            </w:tcMar>
            <w:vAlign w:val="center"/>
          </w:tcPr>
          <w:p w14:paraId="37D3F65E" w14:textId="77777777" w:rsidR="00EE281B" w:rsidRDefault="00EE281B" w:rsidP="004E5F5E">
            <w:pPr>
              <w:spacing w:line="264" w:lineRule="auto"/>
            </w:pPr>
            <w:r>
              <w:rPr>
                <w:sz w:val="20"/>
                <w:szCs w:val="20"/>
              </w:rPr>
              <w:t>Architect</w:t>
            </w:r>
          </w:p>
        </w:tc>
      </w:tr>
      <w:tr w:rsidR="00EE281B" w14:paraId="47A077BB" w14:textId="77777777" w:rsidTr="004E5F5E">
        <w:tc>
          <w:tcPr>
            <w:tcW w:w="1400" w:type="dxa"/>
            <w:shd w:val="clear" w:color="auto" w:fill="FFFFFF"/>
            <w:tcMar>
              <w:top w:w="80" w:type="dxa"/>
              <w:left w:w="100" w:type="dxa"/>
              <w:bottom w:w="80" w:type="dxa"/>
              <w:right w:w="100" w:type="dxa"/>
            </w:tcMar>
            <w:vAlign w:val="center"/>
          </w:tcPr>
          <w:p w14:paraId="4E99BEED" w14:textId="77777777" w:rsidR="00EE281B" w:rsidRDefault="00EE281B" w:rsidP="004E5F5E">
            <w:pPr>
              <w:spacing w:line="264" w:lineRule="auto"/>
            </w:pPr>
            <w:r>
              <w:rPr>
                <w:b/>
                <w:bCs/>
                <w:sz w:val="20"/>
                <w:szCs w:val="20"/>
              </w:rPr>
              <w:t>1.1.1</w:t>
            </w:r>
          </w:p>
        </w:tc>
        <w:tc>
          <w:tcPr>
            <w:tcW w:w="5600" w:type="dxa"/>
            <w:shd w:val="clear" w:color="auto" w:fill="FFFFFF"/>
            <w:tcMar>
              <w:top w:w="80" w:type="dxa"/>
              <w:left w:w="100" w:type="dxa"/>
              <w:bottom w:w="80" w:type="dxa"/>
              <w:right w:w="100" w:type="dxa"/>
            </w:tcMar>
            <w:vAlign w:val="center"/>
          </w:tcPr>
          <w:p w14:paraId="7B3E7A43" w14:textId="77777777" w:rsidR="00EE281B" w:rsidRDefault="00EE281B" w:rsidP="004E5F5E">
            <w:pPr>
              <w:spacing w:line="264" w:lineRule="auto"/>
            </w:pPr>
            <w:r>
              <w:rPr>
                <w:sz w:val="20"/>
                <w:szCs w:val="20"/>
              </w:rPr>
              <w:t>Structural design &amp; BREEAM assessment</w:t>
            </w:r>
          </w:p>
        </w:tc>
        <w:tc>
          <w:tcPr>
            <w:tcW w:w="2400" w:type="dxa"/>
            <w:shd w:val="clear" w:color="auto" w:fill="FFFFFF"/>
            <w:tcMar>
              <w:top w:w="80" w:type="dxa"/>
              <w:left w:w="100" w:type="dxa"/>
              <w:bottom w:w="80" w:type="dxa"/>
              <w:right w:w="100" w:type="dxa"/>
            </w:tcMar>
            <w:vAlign w:val="center"/>
          </w:tcPr>
          <w:p w14:paraId="26E55952" w14:textId="77777777" w:rsidR="00EE281B" w:rsidRDefault="00EE281B" w:rsidP="004E5F5E">
            <w:pPr>
              <w:spacing w:line="264" w:lineRule="auto"/>
            </w:pPr>
            <w:r>
              <w:rPr>
                <w:sz w:val="20"/>
                <w:szCs w:val="20"/>
              </w:rPr>
              <w:t>Architect</w:t>
            </w:r>
          </w:p>
        </w:tc>
      </w:tr>
      <w:tr w:rsidR="00EE281B" w14:paraId="57F85895" w14:textId="77777777" w:rsidTr="004E5F5E">
        <w:tc>
          <w:tcPr>
            <w:tcW w:w="1400" w:type="dxa"/>
            <w:shd w:val="clear" w:color="auto" w:fill="F2F4EC"/>
            <w:tcMar>
              <w:top w:w="80" w:type="dxa"/>
              <w:left w:w="100" w:type="dxa"/>
              <w:bottom w:w="80" w:type="dxa"/>
              <w:right w:w="100" w:type="dxa"/>
            </w:tcMar>
            <w:vAlign w:val="center"/>
          </w:tcPr>
          <w:p w14:paraId="721E0BB6" w14:textId="77777777" w:rsidR="00EE281B" w:rsidRDefault="00EE281B" w:rsidP="004E5F5E">
            <w:pPr>
              <w:spacing w:line="264" w:lineRule="auto"/>
            </w:pPr>
            <w:r>
              <w:rPr>
                <w:b/>
                <w:bCs/>
                <w:sz w:val="20"/>
                <w:szCs w:val="20"/>
              </w:rPr>
              <w:t>1.1.2</w:t>
            </w:r>
          </w:p>
        </w:tc>
        <w:tc>
          <w:tcPr>
            <w:tcW w:w="5600" w:type="dxa"/>
            <w:shd w:val="clear" w:color="auto" w:fill="F2F4EC"/>
            <w:tcMar>
              <w:top w:w="80" w:type="dxa"/>
              <w:left w:w="100" w:type="dxa"/>
              <w:bottom w:w="80" w:type="dxa"/>
              <w:right w:w="100" w:type="dxa"/>
            </w:tcMar>
            <w:vAlign w:val="center"/>
          </w:tcPr>
          <w:p w14:paraId="05B4299A" w14:textId="77777777" w:rsidR="00EE281B" w:rsidRDefault="00EE281B" w:rsidP="004E5F5E">
            <w:pPr>
              <w:spacing w:line="264" w:lineRule="auto"/>
            </w:pPr>
            <w:r>
              <w:rPr>
                <w:sz w:val="20"/>
                <w:szCs w:val="20"/>
              </w:rPr>
              <w:t>Planning permission &amp; regulatory approval</w:t>
            </w:r>
          </w:p>
        </w:tc>
        <w:tc>
          <w:tcPr>
            <w:tcW w:w="2400" w:type="dxa"/>
            <w:shd w:val="clear" w:color="auto" w:fill="F2F4EC"/>
            <w:tcMar>
              <w:top w:w="80" w:type="dxa"/>
              <w:left w:w="100" w:type="dxa"/>
              <w:bottom w:w="80" w:type="dxa"/>
              <w:right w:w="100" w:type="dxa"/>
            </w:tcMar>
            <w:vAlign w:val="center"/>
          </w:tcPr>
          <w:p w14:paraId="6BAC9C62" w14:textId="77777777" w:rsidR="00EE281B" w:rsidRDefault="00EE281B" w:rsidP="004E5F5E">
            <w:pPr>
              <w:spacing w:line="264" w:lineRule="auto"/>
            </w:pPr>
            <w:r>
              <w:rPr>
                <w:sz w:val="20"/>
                <w:szCs w:val="20"/>
              </w:rPr>
              <w:t>Architect</w:t>
            </w:r>
          </w:p>
        </w:tc>
      </w:tr>
      <w:tr w:rsidR="00EE281B" w14:paraId="72C8B6C0" w14:textId="77777777" w:rsidTr="004E5F5E">
        <w:tc>
          <w:tcPr>
            <w:tcW w:w="1400" w:type="dxa"/>
            <w:shd w:val="clear" w:color="auto" w:fill="FFFFFF"/>
            <w:tcMar>
              <w:top w:w="80" w:type="dxa"/>
              <w:left w:w="100" w:type="dxa"/>
              <w:bottom w:w="80" w:type="dxa"/>
              <w:right w:w="100" w:type="dxa"/>
            </w:tcMar>
            <w:vAlign w:val="center"/>
          </w:tcPr>
          <w:p w14:paraId="6D6B2511" w14:textId="77777777" w:rsidR="00EE281B" w:rsidRDefault="00EE281B" w:rsidP="004E5F5E">
            <w:pPr>
              <w:spacing w:line="264" w:lineRule="auto"/>
            </w:pPr>
            <w:r>
              <w:rPr>
                <w:b/>
                <w:bCs/>
                <w:sz w:val="20"/>
                <w:szCs w:val="20"/>
              </w:rPr>
              <w:t>1.1.3</w:t>
            </w:r>
          </w:p>
        </w:tc>
        <w:tc>
          <w:tcPr>
            <w:tcW w:w="5600" w:type="dxa"/>
            <w:shd w:val="clear" w:color="auto" w:fill="FFFFFF"/>
            <w:tcMar>
              <w:top w:w="80" w:type="dxa"/>
              <w:left w:w="100" w:type="dxa"/>
              <w:bottom w:w="80" w:type="dxa"/>
              <w:right w:w="100" w:type="dxa"/>
            </w:tcMar>
            <w:vAlign w:val="center"/>
          </w:tcPr>
          <w:p w14:paraId="4279EE51" w14:textId="77777777" w:rsidR="00EE281B" w:rsidRDefault="00EE281B" w:rsidP="004E5F5E">
            <w:pPr>
              <w:spacing w:line="264" w:lineRule="auto"/>
            </w:pPr>
            <w:r>
              <w:rPr>
                <w:sz w:val="20"/>
                <w:szCs w:val="20"/>
              </w:rPr>
              <w:t>Utility diversion design</w:t>
            </w:r>
          </w:p>
        </w:tc>
        <w:tc>
          <w:tcPr>
            <w:tcW w:w="2400" w:type="dxa"/>
            <w:shd w:val="clear" w:color="auto" w:fill="FFFFFF"/>
            <w:tcMar>
              <w:top w:w="80" w:type="dxa"/>
              <w:left w:w="100" w:type="dxa"/>
              <w:bottom w:w="80" w:type="dxa"/>
              <w:right w:w="100" w:type="dxa"/>
            </w:tcMar>
            <w:vAlign w:val="center"/>
          </w:tcPr>
          <w:p w14:paraId="5AB87E0E" w14:textId="77777777" w:rsidR="00EE281B" w:rsidRDefault="00EE281B" w:rsidP="004E5F5E">
            <w:pPr>
              <w:spacing w:line="264" w:lineRule="auto"/>
            </w:pPr>
            <w:r>
              <w:rPr>
                <w:sz w:val="20"/>
                <w:szCs w:val="20"/>
              </w:rPr>
              <w:t>Architect</w:t>
            </w:r>
          </w:p>
        </w:tc>
      </w:tr>
      <w:tr w:rsidR="00EE281B" w14:paraId="12C8A761" w14:textId="77777777" w:rsidTr="004E5F5E">
        <w:tc>
          <w:tcPr>
            <w:tcW w:w="1400" w:type="dxa"/>
            <w:shd w:val="clear" w:color="auto" w:fill="F2F4EC"/>
            <w:tcMar>
              <w:top w:w="80" w:type="dxa"/>
              <w:left w:w="100" w:type="dxa"/>
              <w:bottom w:w="80" w:type="dxa"/>
              <w:right w:w="100" w:type="dxa"/>
            </w:tcMar>
            <w:vAlign w:val="center"/>
          </w:tcPr>
          <w:p w14:paraId="1917D186" w14:textId="77777777" w:rsidR="00EE281B" w:rsidRDefault="00EE281B" w:rsidP="004E5F5E">
            <w:pPr>
              <w:spacing w:line="264" w:lineRule="auto"/>
            </w:pPr>
            <w:r>
              <w:rPr>
                <w:b/>
                <w:bCs/>
                <w:sz w:val="20"/>
                <w:szCs w:val="20"/>
              </w:rPr>
              <w:t>1.2</w:t>
            </w:r>
          </w:p>
        </w:tc>
        <w:tc>
          <w:tcPr>
            <w:tcW w:w="5600" w:type="dxa"/>
            <w:shd w:val="clear" w:color="auto" w:fill="F2F4EC"/>
            <w:tcMar>
              <w:top w:w="80" w:type="dxa"/>
              <w:left w:w="100" w:type="dxa"/>
              <w:bottom w:w="80" w:type="dxa"/>
              <w:right w:w="100" w:type="dxa"/>
            </w:tcMar>
            <w:vAlign w:val="center"/>
          </w:tcPr>
          <w:p w14:paraId="41CDB934" w14:textId="77777777" w:rsidR="00EE281B" w:rsidRDefault="00EE281B" w:rsidP="004E5F5E">
            <w:pPr>
              <w:spacing w:line="264" w:lineRule="auto"/>
            </w:pPr>
            <w:r>
              <w:rPr>
                <w:sz w:val="20"/>
                <w:szCs w:val="20"/>
              </w:rPr>
              <w:t>Construction &amp; Structure</w:t>
            </w:r>
          </w:p>
        </w:tc>
        <w:tc>
          <w:tcPr>
            <w:tcW w:w="2400" w:type="dxa"/>
            <w:shd w:val="clear" w:color="auto" w:fill="F2F4EC"/>
            <w:tcMar>
              <w:top w:w="80" w:type="dxa"/>
              <w:left w:w="100" w:type="dxa"/>
              <w:bottom w:w="80" w:type="dxa"/>
              <w:right w:w="100" w:type="dxa"/>
            </w:tcMar>
            <w:vAlign w:val="center"/>
          </w:tcPr>
          <w:p w14:paraId="0C46CA39" w14:textId="77777777" w:rsidR="00EE281B" w:rsidRDefault="00EE281B" w:rsidP="004E5F5E">
            <w:pPr>
              <w:spacing w:line="264" w:lineRule="auto"/>
            </w:pPr>
            <w:r>
              <w:rPr>
                <w:sz w:val="20"/>
                <w:szCs w:val="20"/>
              </w:rPr>
              <w:t>Main Contractor</w:t>
            </w:r>
          </w:p>
        </w:tc>
      </w:tr>
      <w:tr w:rsidR="00EE281B" w14:paraId="3042C17E" w14:textId="77777777" w:rsidTr="004E5F5E">
        <w:tc>
          <w:tcPr>
            <w:tcW w:w="1400" w:type="dxa"/>
            <w:shd w:val="clear" w:color="auto" w:fill="FFFFFF"/>
            <w:tcMar>
              <w:top w:w="80" w:type="dxa"/>
              <w:left w:w="100" w:type="dxa"/>
              <w:bottom w:w="80" w:type="dxa"/>
              <w:right w:w="100" w:type="dxa"/>
            </w:tcMar>
            <w:vAlign w:val="center"/>
          </w:tcPr>
          <w:p w14:paraId="36C9F055" w14:textId="77777777" w:rsidR="00EE281B" w:rsidRDefault="00EE281B" w:rsidP="004E5F5E">
            <w:pPr>
              <w:spacing w:line="264" w:lineRule="auto"/>
            </w:pPr>
            <w:r>
              <w:rPr>
                <w:b/>
                <w:bCs/>
                <w:sz w:val="20"/>
                <w:szCs w:val="20"/>
              </w:rPr>
              <w:t>1.2.1</w:t>
            </w:r>
          </w:p>
        </w:tc>
        <w:tc>
          <w:tcPr>
            <w:tcW w:w="5600" w:type="dxa"/>
            <w:shd w:val="clear" w:color="auto" w:fill="FFFFFF"/>
            <w:tcMar>
              <w:top w:w="80" w:type="dxa"/>
              <w:left w:w="100" w:type="dxa"/>
              <w:bottom w:w="80" w:type="dxa"/>
              <w:right w:w="100" w:type="dxa"/>
            </w:tcMar>
            <w:vAlign w:val="center"/>
          </w:tcPr>
          <w:p w14:paraId="7C15BA47" w14:textId="77777777" w:rsidR="00EE281B" w:rsidRDefault="00EE281B" w:rsidP="004E5F5E">
            <w:pPr>
              <w:spacing w:line="264" w:lineRule="auto"/>
            </w:pPr>
            <w:r>
              <w:rPr>
                <w:sz w:val="20"/>
                <w:szCs w:val="20"/>
              </w:rPr>
              <w:t xml:space="preserve">Site </w:t>
            </w:r>
            <w:proofErr w:type="spellStart"/>
            <w:r>
              <w:rPr>
                <w:sz w:val="20"/>
                <w:szCs w:val="20"/>
              </w:rPr>
              <w:t>mobilisation</w:t>
            </w:r>
            <w:proofErr w:type="spellEnd"/>
            <w:r>
              <w:rPr>
                <w:sz w:val="20"/>
                <w:szCs w:val="20"/>
              </w:rPr>
              <w:t xml:space="preserve"> &amp; enabling works</w:t>
            </w:r>
          </w:p>
        </w:tc>
        <w:tc>
          <w:tcPr>
            <w:tcW w:w="2400" w:type="dxa"/>
            <w:shd w:val="clear" w:color="auto" w:fill="FFFFFF"/>
            <w:tcMar>
              <w:top w:w="80" w:type="dxa"/>
              <w:left w:w="100" w:type="dxa"/>
              <w:bottom w:w="80" w:type="dxa"/>
              <w:right w:w="100" w:type="dxa"/>
            </w:tcMar>
            <w:vAlign w:val="center"/>
          </w:tcPr>
          <w:p w14:paraId="689827FB" w14:textId="77777777" w:rsidR="00EE281B" w:rsidRDefault="00EE281B" w:rsidP="004E5F5E">
            <w:pPr>
              <w:spacing w:line="264" w:lineRule="auto"/>
            </w:pPr>
            <w:r>
              <w:rPr>
                <w:sz w:val="20"/>
                <w:szCs w:val="20"/>
              </w:rPr>
              <w:t>Main Contractor</w:t>
            </w:r>
          </w:p>
        </w:tc>
      </w:tr>
      <w:tr w:rsidR="00EE281B" w14:paraId="098C5694" w14:textId="77777777" w:rsidTr="004E5F5E">
        <w:tc>
          <w:tcPr>
            <w:tcW w:w="1400" w:type="dxa"/>
            <w:shd w:val="clear" w:color="auto" w:fill="F2F4EC"/>
            <w:tcMar>
              <w:top w:w="80" w:type="dxa"/>
              <w:left w:w="100" w:type="dxa"/>
              <w:bottom w:w="80" w:type="dxa"/>
              <w:right w:w="100" w:type="dxa"/>
            </w:tcMar>
            <w:vAlign w:val="center"/>
          </w:tcPr>
          <w:p w14:paraId="0C05DB8A" w14:textId="77777777" w:rsidR="00EE281B" w:rsidRDefault="00EE281B" w:rsidP="004E5F5E">
            <w:pPr>
              <w:spacing w:line="264" w:lineRule="auto"/>
            </w:pPr>
            <w:r>
              <w:rPr>
                <w:b/>
                <w:bCs/>
                <w:sz w:val="20"/>
                <w:szCs w:val="20"/>
              </w:rPr>
              <w:t>1.2.2</w:t>
            </w:r>
          </w:p>
        </w:tc>
        <w:tc>
          <w:tcPr>
            <w:tcW w:w="5600" w:type="dxa"/>
            <w:shd w:val="clear" w:color="auto" w:fill="F2F4EC"/>
            <w:tcMar>
              <w:top w:w="80" w:type="dxa"/>
              <w:left w:w="100" w:type="dxa"/>
              <w:bottom w:w="80" w:type="dxa"/>
              <w:right w:w="100" w:type="dxa"/>
            </w:tcMar>
            <w:vAlign w:val="center"/>
          </w:tcPr>
          <w:p w14:paraId="57C3EBAA" w14:textId="77777777" w:rsidR="00EE281B" w:rsidRDefault="00EE281B" w:rsidP="004E5F5E">
            <w:pPr>
              <w:spacing w:line="264" w:lineRule="auto"/>
            </w:pPr>
            <w:r>
              <w:rPr>
                <w:sz w:val="20"/>
                <w:szCs w:val="20"/>
              </w:rPr>
              <w:t>Structural rebuild (concourse, platforms)</w:t>
            </w:r>
          </w:p>
        </w:tc>
        <w:tc>
          <w:tcPr>
            <w:tcW w:w="2400" w:type="dxa"/>
            <w:shd w:val="clear" w:color="auto" w:fill="F2F4EC"/>
            <w:tcMar>
              <w:top w:w="80" w:type="dxa"/>
              <w:left w:w="100" w:type="dxa"/>
              <w:bottom w:w="80" w:type="dxa"/>
              <w:right w:w="100" w:type="dxa"/>
            </w:tcMar>
            <w:vAlign w:val="center"/>
          </w:tcPr>
          <w:p w14:paraId="1234AAE2" w14:textId="77777777" w:rsidR="00EE281B" w:rsidRDefault="00EE281B" w:rsidP="004E5F5E">
            <w:pPr>
              <w:spacing w:line="264" w:lineRule="auto"/>
            </w:pPr>
            <w:r>
              <w:rPr>
                <w:sz w:val="20"/>
                <w:szCs w:val="20"/>
              </w:rPr>
              <w:t>Main Contractor</w:t>
            </w:r>
          </w:p>
        </w:tc>
      </w:tr>
      <w:tr w:rsidR="00EE281B" w14:paraId="0726BD4A" w14:textId="77777777" w:rsidTr="004E5F5E">
        <w:tc>
          <w:tcPr>
            <w:tcW w:w="1400" w:type="dxa"/>
            <w:shd w:val="clear" w:color="auto" w:fill="FFFFFF"/>
            <w:tcMar>
              <w:top w:w="80" w:type="dxa"/>
              <w:left w:w="100" w:type="dxa"/>
              <w:bottom w:w="80" w:type="dxa"/>
              <w:right w:w="100" w:type="dxa"/>
            </w:tcMar>
            <w:vAlign w:val="center"/>
          </w:tcPr>
          <w:p w14:paraId="67E22143" w14:textId="77777777" w:rsidR="00EE281B" w:rsidRDefault="00EE281B" w:rsidP="004E5F5E">
            <w:pPr>
              <w:spacing w:line="264" w:lineRule="auto"/>
            </w:pPr>
            <w:r>
              <w:rPr>
                <w:b/>
                <w:bCs/>
                <w:sz w:val="20"/>
                <w:szCs w:val="20"/>
              </w:rPr>
              <w:t>1.2.3</w:t>
            </w:r>
          </w:p>
        </w:tc>
        <w:tc>
          <w:tcPr>
            <w:tcW w:w="5600" w:type="dxa"/>
            <w:shd w:val="clear" w:color="auto" w:fill="FFFFFF"/>
            <w:tcMar>
              <w:top w:w="80" w:type="dxa"/>
              <w:left w:w="100" w:type="dxa"/>
              <w:bottom w:w="80" w:type="dxa"/>
              <w:right w:w="100" w:type="dxa"/>
            </w:tcMar>
            <w:vAlign w:val="center"/>
          </w:tcPr>
          <w:p w14:paraId="6922FBB4" w14:textId="77777777" w:rsidR="00EE281B" w:rsidRDefault="00EE281B" w:rsidP="004E5F5E">
            <w:pPr>
              <w:spacing w:line="264" w:lineRule="auto"/>
            </w:pPr>
            <w:r>
              <w:rPr>
                <w:sz w:val="20"/>
                <w:szCs w:val="20"/>
              </w:rPr>
              <w:t>Net-zero infrastructure installation</w:t>
            </w:r>
          </w:p>
        </w:tc>
        <w:tc>
          <w:tcPr>
            <w:tcW w:w="2400" w:type="dxa"/>
            <w:shd w:val="clear" w:color="auto" w:fill="FFFFFF"/>
            <w:tcMar>
              <w:top w:w="80" w:type="dxa"/>
              <w:left w:w="100" w:type="dxa"/>
              <w:bottom w:w="80" w:type="dxa"/>
              <w:right w:w="100" w:type="dxa"/>
            </w:tcMar>
            <w:vAlign w:val="center"/>
          </w:tcPr>
          <w:p w14:paraId="7E1F0599" w14:textId="77777777" w:rsidR="00EE281B" w:rsidRDefault="00EE281B" w:rsidP="004E5F5E">
            <w:pPr>
              <w:spacing w:line="264" w:lineRule="auto"/>
            </w:pPr>
            <w:r>
              <w:rPr>
                <w:sz w:val="20"/>
                <w:szCs w:val="20"/>
              </w:rPr>
              <w:t>Main Contractor</w:t>
            </w:r>
          </w:p>
        </w:tc>
      </w:tr>
      <w:tr w:rsidR="00EE281B" w14:paraId="221A2C5D" w14:textId="77777777" w:rsidTr="004E5F5E">
        <w:tc>
          <w:tcPr>
            <w:tcW w:w="1400" w:type="dxa"/>
            <w:shd w:val="clear" w:color="auto" w:fill="F2F4EC"/>
            <w:tcMar>
              <w:top w:w="80" w:type="dxa"/>
              <w:left w:w="100" w:type="dxa"/>
              <w:bottom w:w="80" w:type="dxa"/>
              <w:right w:w="100" w:type="dxa"/>
            </w:tcMar>
            <w:vAlign w:val="center"/>
          </w:tcPr>
          <w:p w14:paraId="7438795A" w14:textId="77777777" w:rsidR="00EE281B" w:rsidRDefault="00EE281B" w:rsidP="004E5F5E">
            <w:pPr>
              <w:spacing w:line="264" w:lineRule="auto"/>
            </w:pPr>
            <w:r>
              <w:rPr>
                <w:b/>
                <w:bCs/>
                <w:sz w:val="20"/>
                <w:szCs w:val="20"/>
              </w:rPr>
              <w:t>1.3</w:t>
            </w:r>
          </w:p>
        </w:tc>
        <w:tc>
          <w:tcPr>
            <w:tcW w:w="5600" w:type="dxa"/>
            <w:shd w:val="clear" w:color="auto" w:fill="F2F4EC"/>
            <w:tcMar>
              <w:top w:w="80" w:type="dxa"/>
              <w:left w:w="100" w:type="dxa"/>
              <w:bottom w:w="80" w:type="dxa"/>
              <w:right w:w="100" w:type="dxa"/>
            </w:tcMar>
            <w:vAlign w:val="center"/>
          </w:tcPr>
          <w:p w14:paraId="359457C0" w14:textId="77777777" w:rsidR="00EE281B" w:rsidRDefault="00EE281B" w:rsidP="004E5F5E">
            <w:pPr>
              <w:spacing w:line="264" w:lineRule="auto"/>
            </w:pPr>
            <w:r>
              <w:rPr>
                <w:sz w:val="20"/>
                <w:szCs w:val="20"/>
              </w:rPr>
              <w:t>Systems &amp; Digital</w:t>
            </w:r>
          </w:p>
        </w:tc>
        <w:tc>
          <w:tcPr>
            <w:tcW w:w="2400" w:type="dxa"/>
            <w:shd w:val="clear" w:color="auto" w:fill="F2F4EC"/>
            <w:tcMar>
              <w:top w:w="80" w:type="dxa"/>
              <w:left w:w="100" w:type="dxa"/>
              <w:bottom w:w="80" w:type="dxa"/>
              <w:right w:w="100" w:type="dxa"/>
            </w:tcMar>
            <w:vAlign w:val="center"/>
          </w:tcPr>
          <w:p w14:paraId="16F72384" w14:textId="77777777" w:rsidR="00EE281B" w:rsidRDefault="00EE281B" w:rsidP="004E5F5E">
            <w:pPr>
              <w:spacing w:line="264" w:lineRule="auto"/>
            </w:pPr>
            <w:r>
              <w:rPr>
                <w:sz w:val="20"/>
                <w:szCs w:val="20"/>
              </w:rPr>
              <w:t>IT Integrator</w:t>
            </w:r>
          </w:p>
        </w:tc>
      </w:tr>
      <w:tr w:rsidR="00EE281B" w14:paraId="3DDD979D" w14:textId="77777777" w:rsidTr="004E5F5E">
        <w:tc>
          <w:tcPr>
            <w:tcW w:w="1400" w:type="dxa"/>
            <w:shd w:val="clear" w:color="auto" w:fill="FFFFFF"/>
            <w:tcMar>
              <w:top w:w="80" w:type="dxa"/>
              <w:left w:w="100" w:type="dxa"/>
              <w:bottom w:w="80" w:type="dxa"/>
              <w:right w:w="100" w:type="dxa"/>
            </w:tcMar>
            <w:vAlign w:val="center"/>
          </w:tcPr>
          <w:p w14:paraId="6124A21B" w14:textId="77777777" w:rsidR="00EE281B" w:rsidRDefault="00EE281B" w:rsidP="004E5F5E">
            <w:pPr>
              <w:spacing w:line="264" w:lineRule="auto"/>
            </w:pPr>
            <w:r>
              <w:rPr>
                <w:b/>
                <w:bCs/>
                <w:sz w:val="20"/>
                <w:szCs w:val="20"/>
              </w:rPr>
              <w:t>1.3.1</w:t>
            </w:r>
          </w:p>
        </w:tc>
        <w:tc>
          <w:tcPr>
            <w:tcW w:w="5600" w:type="dxa"/>
            <w:shd w:val="clear" w:color="auto" w:fill="FFFFFF"/>
            <w:tcMar>
              <w:top w:w="80" w:type="dxa"/>
              <w:left w:w="100" w:type="dxa"/>
              <w:bottom w:w="80" w:type="dxa"/>
              <w:right w:w="100" w:type="dxa"/>
            </w:tcMar>
            <w:vAlign w:val="center"/>
          </w:tcPr>
          <w:p w14:paraId="556BDA19" w14:textId="77777777" w:rsidR="00EE281B" w:rsidRDefault="00EE281B" w:rsidP="004E5F5E">
            <w:pPr>
              <w:spacing w:line="264" w:lineRule="auto"/>
            </w:pPr>
            <w:r>
              <w:rPr>
                <w:sz w:val="20"/>
                <w:szCs w:val="20"/>
              </w:rPr>
              <w:t>Real-time passenger information system</w:t>
            </w:r>
          </w:p>
        </w:tc>
        <w:tc>
          <w:tcPr>
            <w:tcW w:w="2400" w:type="dxa"/>
            <w:shd w:val="clear" w:color="auto" w:fill="FFFFFF"/>
            <w:tcMar>
              <w:top w:w="80" w:type="dxa"/>
              <w:left w:w="100" w:type="dxa"/>
              <w:bottom w:w="80" w:type="dxa"/>
              <w:right w:w="100" w:type="dxa"/>
            </w:tcMar>
            <w:vAlign w:val="center"/>
          </w:tcPr>
          <w:p w14:paraId="259AC754" w14:textId="77777777" w:rsidR="00EE281B" w:rsidRDefault="00EE281B" w:rsidP="004E5F5E">
            <w:pPr>
              <w:spacing w:line="264" w:lineRule="auto"/>
            </w:pPr>
            <w:r>
              <w:rPr>
                <w:sz w:val="20"/>
                <w:szCs w:val="20"/>
              </w:rPr>
              <w:t>IT Integrator</w:t>
            </w:r>
          </w:p>
        </w:tc>
      </w:tr>
      <w:tr w:rsidR="00EE281B" w14:paraId="1FEA95FB" w14:textId="77777777" w:rsidTr="004E5F5E">
        <w:tc>
          <w:tcPr>
            <w:tcW w:w="1400" w:type="dxa"/>
            <w:shd w:val="clear" w:color="auto" w:fill="F2F4EC"/>
            <w:tcMar>
              <w:top w:w="80" w:type="dxa"/>
              <w:left w:w="100" w:type="dxa"/>
              <w:bottom w:w="80" w:type="dxa"/>
              <w:right w:w="100" w:type="dxa"/>
            </w:tcMar>
            <w:vAlign w:val="center"/>
          </w:tcPr>
          <w:p w14:paraId="790E416A" w14:textId="77777777" w:rsidR="00EE281B" w:rsidRDefault="00EE281B" w:rsidP="004E5F5E">
            <w:pPr>
              <w:spacing w:line="264" w:lineRule="auto"/>
            </w:pPr>
            <w:r>
              <w:rPr>
                <w:b/>
                <w:bCs/>
                <w:sz w:val="20"/>
                <w:szCs w:val="20"/>
              </w:rPr>
              <w:t>1.3.2</w:t>
            </w:r>
          </w:p>
        </w:tc>
        <w:tc>
          <w:tcPr>
            <w:tcW w:w="5600" w:type="dxa"/>
            <w:shd w:val="clear" w:color="auto" w:fill="F2F4EC"/>
            <w:tcMar>
              <w:top w:w="80" w:type="dxa"/>
              <w:left w:w="100" w:type="dxa"/>
              <w:bottom w:w="80" w:type="dxa"/>
              <w:right w:w="100" w:type="dxa"/>
            </w:tcMar>
            <w:vAlign w:val="center"/>
          </w:tcPr>
          <w:p w14:paraId="32F0887A" w14:textId="77777777" w:rsidR="00EE281B" w:rsidRDefault="00EE281B" w:rsidP="004E5F5E">
            <w:pPr>
              <w:spacing w:line="264" w:lineRule="auto"/>
            </w:pPr>
            <w:r>
              <w:rPr>
                <w:sz w:val="20"/>
                <w:szCs w:val="20"/>
              </w:rPr>
              <w:t>Digital ticketing platform</w:t>
            </w:r>
          </w:p>
        </w:tc>
        <w:tc>
          <w:tcPr>
            <w:tcW w:w="2400" w:type="dxa"/>
            <w:shd w:val="clear" w:color="auto" w:fill="F2F4EC"/>
            <w:tcMar>
              <w:top w:w="80" w:type="dxa"/>
              <w:left w:w="100" w:type="dxa"/>
              <w:bottom w:w="80" w:type="dxa"/>
              <w:right w:w="100" w:type="dxa"/>
            </w:tcMar>
            <w:vAlign w:val="center"/>
          </w:tcPr>
          <w:p w14:paraId="50B08BA8" w14:textId="77777777" w:rsidR="00EE281B" w:rsidRDefault="00EE281B" w:rsidP="004E5F5E">
            <w:pPr>
              <w:spacing w:line="264" w:lineRule="auto"/>
            </w:pPr>
            <w:r>
              <w:rPr>
                <w:sz w:val="20"/>
                <w:szCs w:val="20"/>
              </w:rPr>
              <w:t>IT Integrator</w:t>
            </w:r>
          </w:p>
        </w:tc>
      </w:tr>
      <w:tr w:rsidR="00EE281B" w14:paraId="2F1D3318" w14:textId="77777777" w:rsidTr="004E5F5E">
        <w:tc>
          <w:tcPr>
            <w:tcW w:w="1400" w:type="dxa"/>
            <w:shd w:val="clear" w:color="auto" w:fill="FFFFFF"/>
            <w:tcMar>
              <w:top w:w="80" w:type="dxa"/>
              <w:left w:w="100" w:type="dxa"/>
              <w:bottom w:w="80" w:type="dxa"/>
              <w:right w:w="100" w:type="dxa"/>
            </w:tcMar>
            <w:vAlign w:val="center"/>
          </w:tcPr>
          <w:p w14:paraId="058891E2" w14:textId="77777777" w:rsidR="00EE281B" w:rsidRDefault="00EE281B" w:rsidP="004E5F5E">
            <w:pPr>
              <w:spacing w:line="264" w:lineRule="auto"/>
            </w:pPr>
            <w:r>
              <w:rPr>
                <w:b/>
                <w:bCs/>
                <w:sz w:val="20"/>
                <w:szCs w:val="20"/>
              </w:rPr>
              <w:t>1.3.3</w:t>
            </w:r>
          </w:p>
        </w:tc>
        <w:tc>
          <w:tcPr>
            <w:tcW w:w="5600" w:type="dxa"/>
            <w:shd w:val="clear" w:color="auto" w:fill="FFFFFF"/>
            <w:tcMar>
              <w:top w:w="80" w:type="dxa"/>
              <w:left w:w="100" w:type="dxa"/>
              <w:bottom w:w="80" w:type="dxa"/>
              <w:right w:w="100" w:type="dxa"/>
            </w:tcMar>
            <w:vAlign w:val="center"/>
          </w:tcPr>
          <w:p w14:paraId="63513A74" w14:textId="77777777" w:rsidR="00EE281B" w:rsidRDefault="00EE281B" w:rsidP="004E5F5E">
            <w:pPr>
              <w:spacing w:line="264" w:lineRule="auto"/>
            </w:pPr>
            <w:r>
              <w:rPr>
                <w:sz w:val="20"/>
                <w:szCs w:val="20"/>
              </w:rPr>
              <w:t>Systems integration &amp; testing</w:t>
            </w:r>
          </w:p>
        </w:tc>
        <w:tc>
          <w:tcPr>
            <w:tcW w:w="2400" w:type="dxa"/>
            <w:shd w:val="clear" w:color="auto" w:fill="FFFFFF"/>
            <w:tcMar>
              <w:top w:w="80" w:type="dxa"/>
              <w:left w:w="100" w:type="dxa"/>
              <w:bottom w:w="80" w:type="dxa"/>
              <w:right w:w="100" w:type="dxa"/>
            </w:tcMar>
            <w:vAlign w:val="center"/>
          </w:tcPr>
          <w:p w14:paraId="3E3C6C8D" w14:textId="77777777" w:rsidR="00EE281B" w:rsidRDefault="00EE281B" w:rsidP="004E5F5E">
            <w:pPr>
              <w:spacing w:line="264" w:lineRule="auto"/>
            </w:pPr>
            <w:r>
              <w:rPr>
                <w:sz w:val="20"/>
                <w:szCs w:val="20"/>
              </w:rPr>
              <w:t>IT Integrator</w:t>
            </w:r>
          </w:p>
        </w:tc>
      </w:tr>
      <w:tr w:rsidR="00EE281B" w14:paraId="63091C47" w14:textId="77777777" w:rsidTr="004E5F5E">
        <w:tc>
          <w:tcPr>
            <w:tcW w:w="1400" w:type="dxa"/>
            <w:shd w:val="clear" w:color="auto" w:fill="F2F4EC"/>
            <w:tcMar>
              <w:top w:w="80" w:type="dxa"/>
              <w:left w:w="100" w:type="dxa"/>
              <w:bottom w:w="80" w:type="dxa"/>
              <w:right w:w="100" w:type="dxa"/>
            </w:tcMar>
            <w:vAlign w:val="center"/>
          </w:tcPr>
          <w:p w14:paraId="0E3DD958" w14:textId="77777777" w:rsidR="00EE281B" w:rsidRDefault="00EE281B" w:rsidP="004E5F5E">
            <w:pPr>
              <w:spacing w:line="264" w:lineRule="auto"/>
            </w:pPr>
            <w:r>
              <w:rPr>
                <w:b/>
                <w:bCs/>
                <w:sz w:val="20"/>
                <w:szCs w:val="20"/>
              </w:rPr>
              <w:t>1.4</w:t>
            </w:r>
          </w:p>
        </w:tc>
        <w:tc>
          <w:tcPr>
            <w:tcW w:w="5600" w:type="dxa"/>
            <w:shd w:val="clear" w:color="auto" w:fill="F2F4EC"/>
            <w:tcMar>
              <w:top w:w="80" w:type="dxa"/>
              <w:left w:w="100" w:type="dxa"/>
              <w:bottom w:w="80" w:type="dxa"/>
              <w:right w:w="100" w:type="dxa"/>
            </w:tcMar>
            <w:vAlign w:val="center"/>
          </w:tcPr>
          <w:p w14:paraId="75C7AC3A" w14:textId="77777777" w:rsidR="00EE281B" w:rsidRDefault="00EE281B" w:rsidP="004E5F5E">
            <w:pPr>
              <w:spacing w:line="264" w:lineRule="auto"/>
            </w:pPr>
            <w:r>
              <w:rPr>
                <w:sz w:val="20"/>
                <w:szCs w:val="20"/>
              </w:rPr>
              <w:t>Testing &amp; Handover</w:t>
            </w:r>
          </w:p>
        </w:tc>
        <w:tc>
          <w:tcPr>
            <w:tcW w:w="2400" w:type="dxa"/>
            <w:shd w:val="clear" w:color="auto" w:fill="F2F4EC"/>
            <w:tcMar>
              <w:top w:w="80" w:type="dxa"/>
              <w:left w:w="100" w:type="dxa"/>
              <w:bottom w:w="80" w:type="dxa"/>
              <w:right w:w="100" w:type="dxa"/>
            </w:tcMar>
            <w:vAlign w:val="center"/>
          </w:tcPr>
          <w:p w14:paraId="0827342B" w14:textId="77777777" w:rsidR="00EE281B" w:rsidRDefault="00EE281B" w:rsidP="004E5F5E">
            <w:pPr>
              <w:spacing w:line="264" w:lineRule="auto"/>
            </w:pPr>
            <w:r>
              <w:rPr>
                <w:sz w:val="20"/>
                <w:szCs w:val="20"/>
              </w:rPr>
              <w:t>PM / Operations</w:t>
            </w:r>
          </w:p>
        </w:tc>
      </w:tr>
      <w:tr w:rsidR="00EE281B" w14:paraId="45D80971" w14:textId="77777777" w:rsidTr="004E5F5E">
        <w:tc>
          <w:tcPr>
            <w:tcW w:w="1400" w:type="dxa"/>
            <w:shd w:val="clear" w:color="auto" w:fill="FFFFFF"/>
            <w:tcMar>
              <w:top w:w="80" w:type="dxa"/>
              <w:left w:w="100" w:type="dxa"/>
              <w:bottom w:w="80" w:type="dxa"/>
              <w:right w:w="100" w:type="dxa"/>
            </w:tcMar>
            <w:vAlign w:val="center"/>
          </w:tcPr>
          <w:p w14:paraId="6F8EB4A5" w14:textId="77777777" w:rsidR="00EE281B" w:rsidRDefault="00EE281B" w:rsidP="004E5F5E">
            <w:pPr>
              <w:spacing w:line="264" w:lineRule="auto"/>
            </w:pPr>
            <w:r>
              <w:rPr>
                <w:b/>
                <w:bCs/>
                <w:sz w:val="20"/>
                <w:szCs w:val="20"/>
              </w:rPr>
              <w:t>1.4.1</w:t>
            </w:r>
          </w:p>
        </w:tc>
        <w:tc>
          <w:tcPr>
            <w:tcW w:w="5600" w:type="dxa"/>
            <w:shd w:val="clear" w:color="auto" w:fill="FFFFFF"/>
            <w:tcMar>
              <w:top w:w="80" w:type="dxa"/>
              <w:left w:w="100" w:type="dxa"/>
              <w:bottom w:w="80" w:type="dxa"/>
              <w:right w:w="100" w:type="dxa"/>
            </w:tcMar>
            <w:vAlign w:val="center"/>
          </w:tcPr>
          <w:p w14:paraId="50B50A83" w14:textId="77777777" w:rsidR="00EE281B" w:rsidRDefault="00EE281B" w:rsidP="004E5F5E">
            <w:pPr>
              <w:spacing w:line="264" w:lineRule="auto"/>
            </w:pPr>
            <w:r>
              <w:rPr>
                <w:sz w:val="20"/>
                <w:szCs w:val="20"/>
              </w:rPr>
              <w:t>Commissioning &amp; safety certification</w:t>
            </w:r>
          </w:p>
        </w:tc>
        <w:tc>
          <w:tcPr>
            <w:tcW w:w="2400" w:type="dxa"/>
            <w:shd w:val="clear" w:color="auto" w:fill="FFFFFF"/>
            <w:tcMar>
              <w:top w:w="80" w:type="dxa"/>
              <w:left w:w="100" w:type="dxa"/>
              <w:bottom w:w="80" w:type="dxa"/>
              <w:right w:w="100" w:type="dxa"/>
            </w:tcMar>
            <w:vAlign w:val="center"/>
          </w:tcPr>
          <w:p w14:paraId="4C612512" w14:textId="77777777" w:rsidR="00EE281B" w:rsidRDefault="00EE281B" w:rsidP="004E5F5E">
            <w:pPr>
              <w:spacing w:line="264" w:lineRule="auto"/>
            </w:pPr>
            <w:r>
              <w:rPr>
                <w:sz w:val="20"/>
                <w:szCs w:val="20"/>
              </w:rPr>
              <w:t>PM / Operations</w:t>
            </w:r>
          </w:p>
        </w:tc>
      </w:tr>
      <w:tr w:rsidR="00EE281B" w14:paraId="2C63A460" w14:textId="77777777" w:rsidTr="004E5F5E">
        <w:tc>
          <w:tcPr>
            <w:tcW w:w="1400" w:type="dxa"/>
            <w:shd w:val="clear" w:color="auto" w:fill="F2F4EC"/>
            <w:tcMar>
              <w:top w:w="80" w:type="dxa"/>
              <w:left w:w="100" w:type="dxa"/>
              <w:bottom w:w="80" w:type="dxa"/>
              <w:right w:w="100" w:type="dxa"/>
            </w:tcMar>
            <w:vAlign w:val="center"/>
          </w:tcPr>
          <w:p w14:paraId="0BEF0F18" w14:textId="77777777" w:rsidR="00EE281B" w:rsidRDefault="00EE281B" w:rsidP="004E5F5E">
            <w:pPr>
              <w:spacing w:line="264" w:lineRule="auto"/>
            </w:pPr>
            <w:r>
              <w:rPr>
                <w:b/>
                <w:bCs/>
                <w:sz w:val="20"/>
                <w:szCs w:val="20"/>
              </w:rPr>
              <w:t>1.4.2</w:t>
            </w:r>
          </w:p>
        </w:tc>
        <w:tc>
          <w:tcPr>
            <w:tcW w:w="5600" w:type="dxa"/>
            <w:shd w:val="clear" w:color="auto" w:fill="F2F4EC"/>
            <w:tcMar>
              <w:top w:w="80" w:type="dxa"/>
              <w:left w:w="100" w:type="dxa"/>
              <w:bottom w:w="80" w:type="dxa"/>
              <w:right w:w="100" w:type="dxa"/>
            </w:tcMar>
            <w:vAlign w:val="center"/>
          </w:tcPr>
          <w:p w14:paraId="6D22B36E" w14:textId="77777777" w:rsidR="00EE281B" w:rsidRDefault="00EE281B" w:rsidP="004E5F5E">
            <w:pPr>
              <w:spacing w:line="264" w:lineRule="auto"/>
            </w:pPr>
            <w:r>
              <w:rPr>
                <w:sz w:val="20"/>
                <w:szCs w:val="20"/>
              </w:rPr>
              <w:t>Staff training &amp; operational readiness</w:t>
            </w:r>
          </w:p>
        </w:tc>
        <w:tc>
          <w:tcPr>
            <w:tcW w:w="2400" w:type="dxa"/>
            <w:shd w:val="clear" w:color="auto" w:fill="F2F4EC"/>
            <w:tcMar>
              <w:top w:w="80" w:type="dxa"/>
              <w:left w:w="100" w:type="dxa"/>
              <w:bottom w:w="80" w:type="dxa"/>
              <w:right w:w="100" w:type="dxa"/>
            </w:tcMar>
            <w:vAlign w:val="center"/>
          </w:tcPr>
          <w:p w14:paraId="674A6723" w14:textId="77777777" w:rsidR="00EE281B" w:rsidRDefault="00EE281B" w:rsidP="004E5F5E">
            <w:pPr>
              <w:spacing w:line="264" w:lineRule="auto"/>
            </w:pPr>
            <w:r>
              <w:rPr>
                <w:sz w:val="20"/>
                <w:szCs w:val="20"/>
              </w:rPr>
              <w:t>PM / Operations</w:t>
            </w:r>
          </w:p>
        </w:tc>
      </w:tr>
      <w:tr w:rsidR="00EE281B" w14:paraId="4771533F" w14:textId="77777777" w:rsidTr="004E5F5E">
        <w:tc>
          <w:tcPr>
            <w:tcW w:w="1400" w:type="dxa"/>
            <w:shd w:val="clear" w:color="auto" w:fill="FFFFFF"/>
            <w:tcMar>
              <w:top w:w="80" w:type="dxa"/>
              <w:left w:w="100" w:type="dxa"/>
              <w:bottom w:w="80" w:type="dxa"/>
              <w:right w:w="100" w:type="dxa"/>
            </w:tcMar>
            <w:vAlign w:val="center"/>
          </w:tcPr>
          <w:p w14:paraId="05A5B79E" w14:textId="77777777" w:rsidR="00EE281B" w:rsidRDefault="00EE281B" w:rsidP="004E5F5E">
            <w:pPr>
              <w:spacing w:line="264" w:lineRule="auto"/>
            </w:pPr>
            <w:r>
              <w:rPr>
                <w:b/>
                <w:bCs/>
                <w:sz w:val="20"/>
                <w:szCs w:val="20"/>
              </w:rPr>
              <w:t>1.4.3</w:t>
            </w:r>
          </w:p>
        </w:tc>
        <w:tc>
          <w:tcPr>
            <w:tcW w:w="5600" w:type="dxa"/>
            <w:shd w:val="clear" w:color="auto" w:fill="FFFFFF"/>
            <w:tcMar>
              <w:top w:w="80" w:type="dxa"/>
              <w:left w:w="100" w:type="dxa"/>
              <w:bottom w:w="80" w:type="dxa"/>
              <w:right w:w="100" w:type="dxa"/>
            </w:tcMar>
            <w:vAlign w:val="center"/>
          </w:tcPr>
          <w:p w14:paraId="4181D97A" w14:textId="77777777" w:rsidR="00EE281B" w:rsidRDefault="00EE281B" w:rsidP="004E5F5E">
            <w:pPr>
              <w:spacing w:line="264" w:lineRule="auto"/>
            </w:pPr>
            <w:r>
              <w:rPr>
                <w:sz w:val="20"/>
                <w:szCs w:val="20"/>
              </w:rPr>
              <w:t>Handover to operator &amp; council sign-off</w:t>
            </w:r>
          </w:p>
        </w:tc>
        <w:tc>
          <w:tcPr>
            <w:tcW w:w="2400" w:type="dxa"/>
            <w:shd w:val="clear" w:color="auto" w:fill="FFFFFF"/>
            <w:tcMar>
              <w:top w:w="80" w:type="dxa"/>
              <w:left w:w="100" w:type="dxa"/>
              <w:bottom w:w="80" w:type="dxa"/>
              <w:right w:w="100" w:type="dxa"/>
            </w:tcMar>
            <w:vAlign w:val="center"/>
          </w:tcPr>
          <w:p w14:paraId="2D80F630" w14:textId="77777777" w:rsidR="00EE281B" w:rsidRDefault="00EE281B" w:rsidP="004E5F5E">
            <w:pPr>
              <w:spacing w:line="264" w:lineRule="auto"/>
            </w:pPr>
            <w:r>
              <w:rPr>
                <w:sz w:val="20"/>
                <w:szCs w:val="20"/>
              </w:rPr>
              <w:t>PM / Operations</w:t>
            </w:r>
          </w:p>
        </w:tc>
      </w:tr>
    </w:tbl>
    <w:p w14:paraId="6193807C" w14:textId="77777777" w:rsidR="00EE281B" w:rsidRDefault="00EE281B" w:rsidP="00EE281B">
      <w:pPr>
        <w:spacing w:before="80" w:after="240"/>
        <w:jc w:val="center"/>
      </w:pPr>
      <w:r>
        <w:rPr>
          <w:i/>
          <w:iCs/>
          <w:color w:val="555555"/>
          <w:sz w:val="21"/>
          <w:szCs w:val="21"/>
        </w:rPr>
        <w:t>Table 2: Work Breakdown Structure (Level 3), 1.0 Hub Regeneration</w:t>
      </w:r>
    </w:p>
    <w:p w14:paraId="72B504C3" w14:textId="77777777" w:rsidR="00EE281B" w:rsidRDefault="00EE281B" w:rsidP="00EE281B">
      <w:pPr>
        <w:spacing w:after="200" w:line="360" w:lineRule="auto"/>
      </w:pPr>
      <w:r w:rsidRPr="00181485">
        <w:t xml:space="preserve">Decomposition to Level 3 enables the work packages to be scheduled, costed and allocated to a single responsible person as per the principle that WBS should be decomposed to an appropriate level where the work packages are small enough to estimate and control, but not so small as to generate excessive management overhead (Project Management Institute, 2021). The four Level 2 branches correspond directly to the four key delivery partners of the </w:t>
      </w:r>
      <w:proofErr w:type="spellStart"/>
      <w:r w:rsidRPr="00181485">
        <w:t>Programme</w:t>
      </w:r>
      <w:proofErr w:type="spellEnd"/>
      <w:r w:rsidRPr="00181485">
        <w:t xml:space="preserve"> – the architect, the main contractor, the digital systems integrator and the project manager's own operations team – ensuring a clear level of resource allocation and Gantt scheduling that ensues.</w:t>
      </w:r>
    </w:p>
    <w:p w14:paraId="2584A660" w14:textId="77777777" w:rsidR="00EE281B" w:rsidRDefault="00EE281B" w:rsidP="00EE281B">
      <w:pPr>
        <w:pStyle w:val="Heading1"/>
        <w:spacing w:before="320" w:after="160" w:line="360" w:lineRule="auto"/>
      </w:pPr>
      <w:bookmarkStart w:id="8" w:name="_Toc236077862"/>
      <w:bookmarkStart w:id="9" w:name="_Toc236078384"/>
      <w:r>
        <w:rPr>
          <w:bCs/>
          <w:color w:val="1F4E2C"/>
          <w:sz w:val="28"/>
          <w:szCs w:val="28"/>
        </w:rPr>
        <w:lastRenderedPageBreak/>
        <w:t>Quad Chart</w:t>
      </w:r>
      <w:bookmarkEnd w:id="8"/>
      <w:bookmarkEnd w:id="9"/>
    </w:p>
    <w:p w14:paraId="6CEF7C53" w14:textId="77777777" w:rsidR="00EE281B" w:rsidRDefault="00EE281B" w:rsidP="00EE281B">
      <w:pPr>
        <w:spacing w:after="200" w:line="360" w:lineRule="auto"/>
      </w:pPr>
      <w:r>
        <w:t xml:space="preserve">A quad chart </w:t>
      </w:r>
      <w:proofErr w:type="spellStart"/>
      <w:r>
        <w:t>summarises</w:t>
      </w:r>
      <w:proofErr w:type="spellEnd"/>
      <w:r>
        <w:t xml:space="preserve"> the </w:t>
      </w:r>
      <w:proofErr w:type="spellStart"/>
      <w:r>
        <w:t>programme's</w:t>
      </w:r>
      <w:proofErr w:type="spellEnd"/>
      <w:r>
        <w:t xml:space="preserve"> purpose, </w:t>
      </w:r>
      <w:proofErr w:type="spellStart"/>
      <w:r>
        <w:t>programme</w:t>
      </w:r>
      <w:proofErr w:type="spellEnd"/>
      <w:r>
        <w:t xml:space="preserve"> schedule, cost and risk status and can be presented to the stakeholders for a quick review during governance phase gates (Kerzner, 2022). The quad chart for the Central Transport Hub Regeneration </w:t>
      </w:r>
      <w:proofErr w:type="spellStart"/>
      <w:r>
        <w:t>programme</w:t>
      </w:r>
      <w:proofErr w:type="spellEnd"/>
      <w:r>
        <w:t xml:space="preserve"> is provided in Table 3, </w:t>
      </w:r>
      <w:proofErr w:type="gramStart"/>
      <w:r>
        <w:t>taking into account</w:t>
      </w:r>
      <w:proofErr w:type="gramEnd"/>
      <w:r>
        <w:t xml:space="preserve"> the feedback given on the original quad chart for Part A that the diagram was incomplete.</w:t>
      </w:r>
    </w:p>
    <w:p w14:paraId="3A8178FC" w14:textId="77777777" w:rsidR="00EE281B" w:rsidRDefault="00EE281B" w:rsidP="00EE281B">
      <w:pPr>
        <w:spacing w:after="200" w:line="360" w:lineRule="auto"/>
      </w:pPr>
      <w:r>
        <w:t>The purpose of the quad chart format is to be concise – it is not intended to replace the resourcing, risk analysis, and schedule provided in greater detail later in this plan sheet, but rather a one-page document through which the Council and the Funders ensure that costs, schedule, and risk are acceptable at each phase gate before moving on to the next stage (Association for Project Management, 2019). By consistently applying the same four categories to each phase-gate review, the steering board can also see the trend (not just the status), e.g. the risk has shifted from ‘green' to ‘amber' between phase-gates, which is a more useful governance signal than simply a single review at a point in time (</w:t>
      </w:r>
      <w:proofErr w:type="spellStart"/>
      <w:r>
        <w:t>Zwikael</w:t>
      </w:r>
      <w:proofErr w:type="spellEnd"/>
      <w:r>
        <w:t xml:space="preserve"> and </w:t>
      </w:r>
      <w:proofErr w:type="spellStart"/>
      <w:r>
        <w:t>Smyrk</w:t>
      </w:r>
      <w:proofErr w:type="spellEnd"/>
      <w:r>
        <w:t>, 2012).</w:t>
      </w:r>
    </w:p>
    <w:p w14:paraId="140B26B4" w14:textId="77777777" w:rsidR="00EE281B" w:rsidRDefault="00EE281B" w:rsidP="00EE281B">
      <w:pPr>
        <w:spacing w:before="160" w:after="80" w:line="360" w:lineRule="auto"/>
      </w:pPr>
      <w:r>
        <w:rPr>
          <w:b/>
          <w:bCs/>
        </w:rPr>
        <w:t xml:space="preserve">Table 3: </w:t>
      </w:r>
      <w:proofErr w:type="spellStart"/>
      <w:r>
        <w:rPr>
          <w:b/>
          <w:bCs/>
        </w:rPr>
        <w:t>Programme</w:t>
      </w:r>
      <w:proofErr w:type="spellEnd"/>
      <w:r>
        <w:rPr>
          <w:b/>
          <w:bCs/>
        </w:rPr>
        <w:t xml:space="preserve"> Quad Chart</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700"/>
        <w:gridCol w:w="4700"/>
      </w:tblGrid>
      <w:tr w:rsidR="00EE281B" w14:paraId="1A4636CB" w14:textId="77777777" w:rsidTr="004E5F5E">
        <w:tc>
          <w:tcPr>
            <w:tcW w:w="4700" w:type="dxa"/>
            <w:shd w:val="clear" w:color="auto" w:fill="1F4E2C"/>
            <w:tcMar>
              <w:top w:w="80" w:type="dxa"/>
              <w:left w:w="100" w:type="dxa"/>
              <w:bottom w:w="80" w:type="dxa"/>
              <w:right w:w="100" w:type="dxa"/>
            </w:tcMar>
            <w:vAlign w:val="center"/>
          </w:tcPr>
          <w:p w14:paraId="0AD881FD" w14:textId="77777777" w:rsidR="00EE281B" w:rsidRDefault="00EE281B" w:rsidP="004E5F5E">
            <w:r>
              <w:rPr>
                <w:b/>
                <w:bCs/>
                <w:color w:val="FFFFFF"/>
                <w:sz w:val="20"/>
                <w:szCs w:val="20"/>
              </w:rPr>
              <w:t>PURPOSE</w:t>
            </w:r>
          </w:p>
        </w:tc>
        <w:tc>
          <w:tcPr>
            <w:tcW w:w="4700" w:type="dxa"/>
            <w:shd w:val="clear" w:color="auto" w:fill="1F4E2C"/>
            <w:tcMar>
              <w:top w:w="80" w:type="dxa"/>
              <w:left w:w="100" w:type="dxa"/>
              <w:bottom w:w="80" w:type="dxa"/>
              <w:right w:w="100" w:type="dxa"/>
            </w:tcMar>
            <w:vAlign w:val="center"/>
          </w:tcPr>
          <w:p w14:paraId="2EFF7C09" w14:textId="77777777" w:rsidR="00EE281B" w:rsidRDefault="00EE281B" w:rsidP="004E5F5E">
            <w:r>
              <w:rPr>
                <w:b/>
                <w:bCs/>
                <w:color w:val="FFFFFF"/>
                <w:sz w:val="20"/>
                <w:szCs w:val="20"/>
              </w:rPr>
              <w:t>SCHEDULE</w:t>
            </w:r>
          </w:p>
        </w:tc>
      </w:tr>
      <w:tr w:rsidR="00EE281B" w14:paraId="20D790A4" w14:textId="77777777" w:rsidTr="004E5F5E">
        <w:tc>
          <w:tcPr>
            <w:tcW w:w="4700" w:type="dxa"/>
            <w:shd w:val="clear" w:color="auto" w:fill="FFFFFF"/>
            <w:tcMar>
              <w:top w:w="80" w:type="dxa"/>
              <w:left w:w="100" w:type="dxa"/>
              <w:bottom w:w="80" w:type="dxa"/>
              <w:right w:w="100" w:type="dxa"/>
            </w:tcMar>
            <w:vAlign w:val="center"/>
          </w:tcPr>
          <w:p w14:paraId="12B0D534" w14:textId="77777777" w:rsidR="00EE281B" w:rsidRDefault="00EE281B" w:rsidP="004E5F5E">
            <w:pPr>
              <w:spacing w:line="264" w:lineRule="auto"/>
            </w:pPr>
            <w:r>
              <w:rPr>
                <w:sz w:val="20"/>
                <w:szCs w:val="20"/>
              </w:rPr>
              <w:t>Restore transport capacity; enable a net-zero, digitally enabled hub.</w:t>
            </w:r>
          </w:p>
        </w:tc>
        <w:tc>
          <w:tcPr>
            <w:tcW w:w="4700" w:type="dxa"/>
            <w:shd w:val="clear" w:color="auto" w:fill="FFFFFF"/>
            <w:tcMar>
              <w:top w:w="80" w:type="dxa"/>
              <w:left w:w="100" w:type="dxa"/>
              <w:bottom w:w="80" w:type="dxa"/>
              <w:right w:w="100" w:type="dxa"/>
            </w:tcMar>
            <w:vAlign w:val="center"/>
          </w:tcPr>
          <w:p w14:paraId="24EFDBFF" w14:textId="77777777" w:rsidR="00EE281B" w:rsidRDefault="00EE281B" w:rsidP="004E5F5E">
            <w:pPr>
              <w:spacing w:line="264" w:lineRule="auto"/>
            </w:pPr>
            <w:r>
              <w:rPr>
                <w:sz w:val="20"/>
                <w:szCs w:val="20"/>
              </w:rPr>
              <w:t xml:space="preserve">24-month </w:t>
            </w:r>
            <w:proofErr w:type="spellStart"/>
            <w:r>
              <w:rPr>
                <w:sz w:val="20"/>
                <w:szCs w:val="20"/>
              </w:rPr>
              <w:t>programme</w:t>
            </w:r>
            <w:proofErr w:type="spellEnd"/>
            <w:r>
              <w:rPr>
                <w:sz w:val="20"/>
                <w:szCs w:val="20"/>
              </w:rPr>
              <w:t>: initiation → design → construction → testing → handover.</w:t>
            </w:r>
          </w:p>
        </w:tc>
      </w:tr>
      <w:tr w:rsidR="00EE281B" w14:paraId="0B82A0D7" w14:textId="77777777" w:rsidTr="004E5F5E">
        <w:tc>
          <w:tcPr>
            <w:tcW w:w="4700" w:type="dxa"/>
            <w:shd w:val="clear" w:color="auto" w:fill="1F4E2C"/>
            <w:tcMar>
              <w:top w:w="80" w:type="dxa"/>
              <w:left w:w="100" w:type="dxa"/>
              <w:bottom w:w="80" w:type="dxa"/>
              <w:right w:w="100" w:type="dxa"/>
            </w:tcMar>
            <w:vAlign w:val="center"/>
          </w:tcPr>
          <w:p w14:paraId="08D4B69A" w14:textId="77777777" w:rsidR="00EE281B" w:rsidRDefault="00EE281B" w:rsidP="004E5F5E">
            <w:r>
              <w:rPr>
                <w:b/>
                <w:bCs/>
                <w:color w:val="FFFFFF"/>
                <w:sz w:val="20"/>
                <w:szCs w:val="20"/>
              </w:rPr>
              <w:t>COST &amp; RESOURCES</w:t>
            </w:r>
          </w:p>
        </w:tc>
        <w:tc>
          <w:tcPr>
            <w:tcW w:w="4700" w:type="dxa"/>
            <w:shd w:val="clear" w:color="auto" w:fill="1F4E2C"/>
            <w:tcMar>
              <w:top w:w="80" w:type="dxa"/>
              <w:left w:w="100" w:type="dxa"/>
              <w:bottom w:w="80" w:type="dxa"/>
              <w:right w:w="100" w:type="dxa"/>
            </w:tcMar>
            <w:vAlign w:val="center"/>
          </w:tcPr>
          <w:p w14:paraId="636DEF4F" w14:textId="77777777" w:rsidR="00EE281B" w:rsidRDefault="00EE281B" w:rsidP="004E5F5E">
            <w:r>
              <w:rPr>
                <w:b/>
                <w:bCs/>
                <w:color w:val="FFFFFF"/>
                <w:sz w:val="20"/>
                <w:szCs w:val="20"/>
              </w:rPr>
              <w:t>RISK &amp; STATUS</w:t>
            </w:r>
          </w:p>
        </w:tc>
      </w:tr>
      <w:tr w:rsidR="00EE281B" w14:paraId="72CA1C93" w14:textId="77777777" w:rsidTr="004E5F5E">
        <w:tc>
          <w:tcPr>
            <w:tcW w:w="4700" w:type="dxa"/>
            <w:shd w:val="clear" w:color="auto" w:fill="FFFFFF"/>
            <w:tcMar>
              <w:top w:w="80" w:type="dxa"/>
              <w:left w:w="100" w:type="dxa"/>
              <w:bottom w:w="80" w:type="dxa"/>
              <w:right w:w="100" w:type="dxa"/>
            </w:tcMar>
            <w:vAlign w:val="center"/>
          </w:tcPr>
          <w:p w14:paraId="2D61043D" w14:textId="77777777" w:rsidR="00EE281B" w:rsidRDefault="00EE281B" w:rsidP="004E5F5E">
            <w:pPr>
              <w:spacing w:line="264" w:lineRule="auto"/>
            </w:pPr>
            <w:r>
              <w:rPr>
                <w:sz w:val="20"/>
                <w:szCs w:val="20"/>
              </w:rPr>
              <w:t xml:space="preserve">Capital-funded </w:t>
            </w:r>
            <w:proofErr w:type="spellStart"/>
            <w:r>
              <w:rPr>
                <w:sz w:val="20"/>
                <w:szCs w:val="20"/>
              </w:rPr>
              <w:t>programme</w:t>
            </w:r>
            <w:proofErr w:type="spellEnd"/>
            <w:r>
              <w:rPr>
                <w:sz w:val="20"/>
                <w:szCs w:val="20"/>
              </w:rPr>
              <w:t>; delivered by council, main contractor and specialist design/digital teams.</w:t>
            </w:r>
          </w:p>
        </w:tc>
        <w:tc>
          <w:tcPr>
            <w:tcW w:w="4700" w:type="dxa"/>
            <w:shd w:val="clear" w:color="auto" w:fill="FFFFFF"/>
            <w:tcMar>
              <w:top w:w="80" w:type="dxa"/>
              <w:left w:w="100" w:type="dxa"/>
              <w:bottom w:w="80" w:type="dxa"/>
              <w:right w:w="100" w:type="dxa"/>
            </w:tcMar>
            <w:vAlign w:val="center"/>
          </w:tcPr>
          <w:p w14:paraId="7DEC7179" w14:textId="77777777" w:rsidR="00EE281B" w:rsidRDefault="00EE281B" w:rsidP="004E5F5E">
            <w:pPr>
              <w:spacing w:line="264" w:lineRule="auto"/>
            </w:pPr>
            <w:r>
              <w:rPr>
                <w:sz w:val="20"/>
                <w:szCs w:val="20"/>
              </w:rPr>
              <w:t>Amber: funding confirmation and utility diversions are the principal open risks (see Section 9).</w:t>
            </w:r>
          </w:p>
        </w:tc>
      </w:tr>
    </w:tbl>
    <w:p w14:paraId="4EB729B7" w14:textId="77777777" w:rsidR="00EE281B" w:rsidRDefault="00EE281B" w:rsidP="00EE281B">
      <w:pPr>
        <w:spacing w:before="80" w:after="240"/>
        <w:jc w:val="center"/>
      </w:pPr>
      <w:r>
        <w:rPr>
          <w:i/>
          <w:iCs/>
          <w:color w:val="555555"/>
          <w:sz w:val="21"/>
          <w:szCs w:val="21"/>
        </w:rPr>
        <w:t xml:space="preserve">Table 3: </w:t>
      </w:r>
      <w:proofErr w:type="spellStart"/>
      <w:r>
        <w:rPr>
          <w:i/>
          <w:iCs/>
          <w:color w:val="555555"/>
          <w:sz w:val="21"/>
          <w:szCs w:val="21"/>
        </w:rPr>
        <w:t>Programme</w:t>
      </w:r>
      <w:proofErr w:type="spellEnd"/>
      <w:r>
        <w:rPr>
          <w:i/>
          <w:iCs/>
          <w:color w:val="555555"/>
          <w:sz w:val="21"/>
          <w:szCs w:val="21"/>
        </w:rPr>
        <w:t xml:space="preserve"> Quad Chart</w:t>
      </w:r>
    </w:p>
    <w:p w14:paraId="63C82420" w14:textId="77777777" w:rsidR="00EE281B" w:rsidRDefault="00EE281B" w:rsidP="00EE281B">
      <w:pPr>
        <w:pStyle w:val="Heading1"/>
        <w:spacing w:before="320" w:after="160" w:line="360" w:lineRule="auto"/>
      </w:pPr>
      <w:bookmarkStart w:id="10" w:name="_Toc236077863"/>
      <w:bookmarkStart w:id="11" w:name="_Toc236078385"/>
      <w:r>
        <w:rPr>
          <w:bCs/>
          <w:color w:val="1F4E2C"/>
          <w:sz w:val="28"/>
          <w:szCs w:val="28"/>
        </w:rPr>
        <w:t>Gantt Chart</w:t>
      </w:r>
      <w:bookmarkEnd w:id="10"/>
      <w:bookmarkEnd w:id="11"/>
    </w:p>
    <w:p w14:paraId="101EC6E1" w14:textId="77777777" w:rsidR="00EE281B" w:rsidRDefault="00EE281B" w:rsidP="00EE281B">
      <w:pPr>
        <w:spacing w:after="200" w:line="360" w:lineRule="auto"/>
      </w:pPr>
      <w:r w:rsidRPr="00181485">
        <w:t xml:space="preserve">The </w:t>
      </w:r>
      <w:proofErr w:type="spellStart"/>
      <w:r w:rsidRPr="00181485">
        <w:t>programme</w:t>
      </w:r>
      <w:proofErr w:type="spellEnd"/>
      <w:r w:rsidRPr="00181485">
        <w:t xml:space="preserve"> schedule is divided into five phases of initiation, design, construction, testing and handover, and lasts for twenty-four months. Figure 3 shows the Gantt chart at level 3 detail of the work packages, instead of having only the high-level schedule with only stages, which has been </w:t>
      </w:r>
      <w:proofErr w:type="spellStart"/>
      <w:r w:rsidRPr="00181485">
        <w:t>criticised</w:t>
      </w:r>
      <w:proofErr w:type="spellEnd"/>
      <w:r w:rsidRPr="00181485">
        <w:t xml:space="preserve"> for not representing real task times (Larson and Gray, 2021). Giving durations (in Months) is more useful than just providing a sequence of stages and can help the steering board to recognize float and overlap between work packages, both of which are relevant to the risk analysis later in this plan.</w:t>
      </w:r>
    </w:p>
    <w:p w14:paraId="07C064C2" w14:textId="77777777" w:rsidR="00EE281B" w:rsidRDefault="00EE281B" w:rsidP="00EE281B">
      <w:pPr>
        <w:spacing w:before="160" w:after="40"/>
        <w:jc w:val="center"/>
      </w:pPr>
      <w:r>
        <w:rPr>
          <w:noProof/>
        </w:rPr>
        <w:lastRenderedPageBreak/>
        <w:drawing>
          <wp:inline distT="0" distB="0" distL="0" distR="0" wp14:anchorId="00A1CB07" wp14:editId="59F6755A">
            <wp:extent cx="5760720" cy="33832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
                    <a:srcRect/>
                    <a:stretch>
                      <a:fillRect/>
                    </a:stretch>
                  </pic:blipFill>
                  <pic:spPr bwMode="auto">
                    <a:xfrm>
                      <a:off x="0" y="0"/>
                      <a:ext cx="5760720" cy="3383280"/>
                    </a:xfrm>
                    <a:prstGeom prst="rect">
                      <a:avLst/>
                    </a:prstGeom>
                  </pic:spPr>
                </pic:pic>
              </a:graphicData>
            </a:graphic>
          </wp:inline>
        </w:drawing>
      </w:r>
    </w:p>
    <w:p w14:paraId="7AE610BC" w14:textId="77777777" w:rsidR="00EE281B" w:rsidRDefault="00EE281B" w:rsidP="00EE281B">
      <w:pPr>
        <w:spacing w:before="80" w:after="240"/>
        <w:jc w:val="center"/>
      </w:pPr>
      <w:r>
        <w:rPr>
          <w:i/>
          <w:iCs/>
          <w:color w:val="555555"/>
          <w:sz w:val="21"/>
          <w:szCs w:val="21"/>
        </w:rPr>
        <w:t>Figure 3: Project Gantt Chart, Months 0-24</w:t>
      </w:r>
    </w:p>
    <w:p w14:paraId="671CE738" w14:textId="77777777" w:rsidR="00EE281B" w:rsidRDefault="00EE281B" w:rsidP="00EE281B">
      <w:pPr>
        <w:spacing w:after="200" w:line="360" w:lineRule="auto"/>
      </w:pPr>
      <w:r>
        <w:t xml:space="preserve">Design </w:t>
      </w:r>
      <w:r w:rsidRPr="00181485">
        <w:t xml:space="preserve">activities occur mainly in parallel (Months 0-6) because it is necessary to share the same survey data to progress both structural design and planning permission and utility diversion </w:t>
      </w:r>
      <w:proofErr w:type="gramStart"/>
      <w:r w:rsidRPr="00181485">
        <w:t>design</w:t>
      </w:r>
      <w:proofErr w:type="gramEnd"/>
      <w:r w:rsidRPr="00181485">
        <w:t xml:space="preserve"> but these are being worked on by different specialist teams. Net Zero installation of infrastructure (solar and electric vehicle charging) is intentionally planned for the end of the construction phase (Months 6-18), the most critical and longest phase, to ensure the solar and charging systems are installed once the structural envelope is weather tight. Passenger information and ticketing systems (Months 15-22) have been deliberately programmed to correspond with the final months of construction as well as the early testing phase, so that they can be commissioned against a </w:t>
      </w:r>
      <w:proofErr w:type="gramStart"/>
      <w:r w:rsidRPr="00181485">
        <w:t>mostly-built</w:t>
      </w:r>
      <w:proofErr w:type="gramEnd"/>
      <w:r w:rsidRPr="00181485">
        <w:t xml:space="preserve"> physical structure, as </w:t>
      </w:r>
      <w:proofErr w:type="gramStart"/>
      <w:r w:rsidRPr="00181485">
        <w:t>a later</w:t>
      </w:r>
      <w:proofErr w:type="gramEnd"/>
      <w:r w:rsidRPr="00181485">
        <w:t xml:space="preserve"> commissioning would overly compress the testing phase. Testing and handover (Months 18-24) are deliberately designed to overlap with the final systems work package, as is the typical way that projects of this scale are tested and handed over - testing is done in parallel and in stages.</w:t>
      </w:r>
    </w:p>
    <w:p w14:paraId="5ADF30F9" w14:textId="77777777" w:rsidR="00EE281B" w:rsidRDefault="00EE281B" w:rsidP="00EE281B">
      <w:pPr>
        <w:pStyle w:val="Heading1"/>
        <w:spacing w:before="320" w:after="160" w:line="360" w:lineRule="auto"/>
      </w:pPr>
      <w:bookmarkStart w:id="12" w:name="_Toc236077864"/>
      <w:bookmarkStart w:id="13" w:name="_Toc236078386"/>
      <w:r>
        <w:rPr>
          <w:bCs/>
          <w:color w:val="1F4E2C"/>
          <w:sz w:val="28"/>
          <w:szCs w:val="28"/>
        </w:rPr>
        <w:t>Stakeholders' Involvement</w:t>
      </w:r>
      <w:bookmarkEnd w:id="12"/>
      <w:bookmarkEnd w:id="13"/>
    </w:p>
    <w:p w14:paraId="3F66B44C" w14:textId="77777777" w:rsidR="00EE281B" w:rsidRDefault="00EE281B" w:rsidP="00EE281B">
      <w:pPr>
        <w:spacing w:after="200" w:line="360" w:lineRule="auto"/>
      </w:pPr>
      <w:r w:rsidRPr="00181485">
        <w:t xml:space="preserve">The matrix represents the varying levels of power that people or organizations have over the </w:t>
      </w:r>
      <w:proofErr w:type="spellStart"/>
      <w:r w:rsidRPr="00181485">
        <w:t>programme's</w:t>
      </w:r>
      <w:proofErr w:type="spellEnd"/>
      <w:r w:rsidRPr="00181485">
        <w:t xml:space="preserve"> outcome, and their varying levels of interest in the </w:t>
      </w:r>
      <w:proofErr w:type="spellStart"/>
      <w:r w:rsidRPr="00181485">
        <w:t>programme's</w:t>
      </w:r>
      <w:proofErr w:type="spellEnd"/>
      <w:r w:rsidRPr="00181485">
        <w:t xml:space="preserve"> progress, and the resulting 4 combinations of these levels – high power, high interest; high power, low interest; low power, high interest; and low power, low interest – are identified as four </w:t>
      </w:r>
      <w:r w:rsidRPr="00181485">
        <w:lastRenderedPageBreak/>
        <w:t xml:space="preserve">engagement strategies that enable a project manager to allocate limited engagement resource proportionately, not uniformly, among these four stakeholder groups (Freeman, 1984). The matrix is shown in Figure </w:t>
      </w:r>
      <w:proofErr w:type="gramStart"/>
      <w:r w:rsidRPr="00181485">
        <w:t>4</w:t>
      </w:r>
      <w:proofErr w:type="gramEnd"/>
      <w:r w:rsidRPr="00181485">
        <w:t xml:space="preserve"> and the engagement strategy is shown in Table 4.</w:t>
      </w:r>
    </w:p>
    <w:p w14:paraId="621F9A67" w14:textId="77777777" w:rsidR="00EE281B" w:rsidRDefault="00EE281B" w:rsidP="00EE281B">
      <w:pPr>
        <w:spacing w:before="160" w:after="40"/>
        <w:jc w:val="center"/>
      </w:pPr>
      <w:r>
        <w:rPr>
          <w:noProof/>
        </w:rPr>
        <w:drawing>
          <wp:inline distT="0" distB="0" distL="0" distR="0" wp14:anchorId="5F00E52C" wp14:editId="4064A85E">
            <wp:extent cx="5120640" cy="4389120"/>
            <wp:effectExtent l="0" t="0" r="0" b="0"/>
            <wp:docPr id="223381666" name="Picture 2233816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120640" cy="4389120"/>
                    </a:xfrm>
                    <a:prstGeom prst="rect">
                      <a:avLst/>
                    </a:prstGeom>
                  </pic:spPr>
                </pic:pic>
              </a:graphicData>
            </a:graphic>
          </wp:inline>
        </w:drawing>
      </w:r>
    </w:p>
    <w:p w14:paraId="7173569A" w14:textId="77777777" w:rsidR="00EE281B" w:rsidRDefault="00EE281B" w:rsidP="00EE281B">
      <w:pPr>
        <w:spacing w:before="80" w:after="240"/>
        <w:jc w:val="center"/>
      </w:pPr>
      <w:r>
        <w:rPr>
          <w:i/>
          <w:iCs/>
          <w:color w:val="555555"/>
          <w:sz w:val="21"/>
          <w:szCs w:val="21"/>
        </w:rPr>
        <w:t>Figure 4: Stakeholder Power/Interest Matrix (Mendelow, 1991)</w:t>
      </w:r>
    </w:p>
    <w:p w14:paraId="70CE5571" w14:textId="77777777" w:rsidR="00EE281B" w:rsidRDefault="00EE281B" w:rsidP="00EE281B">
      <w:pPr>
        <w:spacing w:before="160" w:after="80" w:line="360" w:lineRule="auto"/>
      </w:pPr>
      <w:r>
        <w:rPr>
          <w:b/>
          <w:bCs/>
        </w:rPr>
        <w:t>Table 4: Stakeholder Engagement Strategy</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3200"/>
        <w:gridCol w:w="4400"/>
      </w:tblGrid>
      <w:tr w:rsidR="00EE281B" w14:paraId="38CA680D" w14:textId="77777777" w:rsidTr="004E5F5E">
        <w:trPr>
          <w:tblHeader/>
        </w:trPr>
        <w:tc>
          <w:tcPr>
            <w:tcW w:w="1800" w:type="dxa"/>
            <w:shd w:val="clear" w:color="auto" w:fill="1F4E2C"/>
            <w:tcMar>
              <w:top w:w="80" w:type="dxa"/>
              <w:left w:w="100" w:type="dxa"/>
              <w:bottom w:w="80" w:type="dxa"/>
              <w:right w:w="100" w:type="dxa"/>
            </w:tcMar>
            <w:vAlign w:val="center"/>
          </w:tcPr>
          <w:p w14:paraId="36B0C7DD" w14:textId="77777777" w:rsidR="00EE281B" w:rsidRDefault="00EE281B" w:rsidP="004E5F5E">
            <w:r>
              <w:rPr>
                <w:b/>
                <w:bCs/>
                <w:color w:val="FFFFFF"/>
                <w:sz w:val="20"/>
                <w:szCs w:val="20"/>
              </w:rPr>
              <w:t>Quadrant</w:t>
            </w:r>
          </w:p>
        </w:tc>
        <w:tc>
          <w:tcPr>
            <w:tcW w:w="3200" w:type="dxa"/>
            <w:shd w:val="clear" w:color="auto" w:fill="1F4E2C"/>
            <w:tcMar>
              <w:top w:w="80" w:type="dxa"/>
              <w:left w:w="100" w:type="dxa"/>
              <w:bottom w:w="80" w:type="dxa"/>
              <w:right w:w="100" w:type="dxa"/>
            </w:tcMar>
            <w:vAlign w:val="center"/>
          </w:tcPr>
          <w:p w14:paraId="36F02DD8" w14:textId="77777777" w:rsidR="00EE281B" w:rsidRDefault="00EE281B" w:rsidP="004E5F5E">
            <w:r>
              <w:rPr>
                <w:b/>
                <w:bCs/>
                <w:color w:val="FFFFFF"/>
                <w:sz w:val="20"/>
                <w:szCs w:val="20"/>
              </w:rPr>
              <w:t>Stakeholders</w:t>
            </w:r>
          </w:p>
        </w:tc>
        <w:tc>
          <w:tcPr>
            <w:tcW w:w="4400" w:type="dxa"/>
            <w:shd w:val="clear" w:color="auto" w:fill="1F4E2C"/>
            <w:tcMar>
              <w:top w:w="80" w:type="dxa"/>
              <w:left w:w="100" w:type="dxa"/>
              <w:bottom w:w="80" w:type="dxa"/>
              <w:right w:w="100" w:type="dxa"/>
            </w:tcMar>
            <w:vAlign w:val="center"/>
          </w:tcPr>
          <w:p w14:paraId="371B9907" w14:textId="77777777" w:rsidR="00EE281B" w:rsidRDefault="00EE281B" w:rsidP="004E5F5E">
            <w:r>
              <w:rPr>
                <w:b/>
                <w:bCs/>
                <w:color w:val="FFFFFF"/>
                <w:sz w:val="20"/>
                <w:szCs w:val="20"/>
              </w:rPr>
              <w:t>Engagement Strategy</w:t>
            </w:r>
          </w:p>
        </w:tc>
      </w:tr>
      <w:tr w:rsidR="00EE281B" w14:paraId="146E6A82" w14:textId="77777777" w:rsidTr="004E5F5E">
        <w:tc>
          <w:tcPr>
            <w:tcW w:w="1800" w:type="dxa"/>
            <w:shd w:val="clear" w:color="auto" w:fill="F2F4EC"/>
            <w:tcMar>
              <w:top w:w="80" w:type="dxa"/>
              <w:left w:w="100" w:type="dxa"/>
              <w:bottom w:w="80" w:type="dxa"/>
              <w:right w:w="100" w:type="dxa"/>
            </w:tcMar>
            <w:vAlign w:val="center"/>
          </w:tcPr>
          <w:p w14:paraId="480691A4" w14:textId="77777777" w:rsidR="00EE281B" w:rsidRDefault="00EE281B" w:rsidP="004E5F5E">
            <w:pPr>
              <w:spacing w:line="264" w:lineRule="auto"/>
            </w:pPr>
            <w:r>
              <w:rPr>
                <w:b/>
                <w:bCs/>
                <w:sz w:val="20"/>
                <w:szCs w:val="20"/>
              </w:rPr>
              <w:t>Manage Closely</w:t>
            </w:r>
          </w:p>
        </w:tc>
        <w:tc>
          <w:tcPr>
            <w:tcW w:w="3200" w:type="dxa"/>
            <w:shd w:val="clear" w:color="auto" w:fill="F2F4EC"/>
            <w:tcMar>
              <w:top w:w="80" w:type="dxa"/>
              <w:left w:w="100" w:type="dxa"/>
              <w:bottom w:w="80" w:type="dxa"/>
              <w:right w:w="100" w:type="dxa"/>
            </w:tcMar>
            <w:vAlign w:val="center"/>
          </w:tcPr>
          <w:p w14:paraId="3F0E0F07" w14:textId="77777777" w:rsidR="00EE281B" w:rsidRDefault="00EE281B" w:rsidP="004E5F5E">
            <w:pPr>
              <w:spacing w:line="264" w:lineRule="auto"/>
            </w:pPr>
            <w:r>
              <w:rPr>
                <w:sz w:val="20"/>
                <w:szCs w:val="20"/>
              </w:rPr>
              <w:t>Council; Funders; Regulators; Main Contractor</w:t>
            </w:r>
          </w:p>
        </w:tc>
        <w:tc>
          <w:tcPr>
            <w:tcW w:w="4400" w:type="dxa"/>
            <w:shd w:val="clear" w:color="auto" w:fill="F2F4EC"/>
            <w:tcMar>
              <w:top w:w="80" w:type="dxa"/>
              <w:left w:w="100" w:type="dxa"/>
              <w:bottom w:w="80" w:type="dxa"/>
              <w:right w:w="100" w:type="dxa"/>
            </w:tcMar>
            <w:vAlign w:val="center"/>
          </w:tcPr>
          <w:p w14:paraId="19636034" w14:textId="77777777" w:rsidR="00EE281B" w:rsidRDefault="00EE281B" w:rsidP="004E5F5E">
            <w:pPr>
              <w:spacing w:line="264" w:lineRule="auto"/>
            </w:pPr>
            <w:r>
              <w:rPr>
                <w:sz w:val="20"/>
                <w:szCs w:val="20"/>
              </w:rPr>
              <w:t>Monthly steering board; phase-gate sign-off; direct escalation route</w:t>
            </w:r>
          </w:p>
        </w:tc>
      </w:tr>
      <w:tr w:rsidR="00EE281B" w14:paraId="32F25517" w14:textId="77777777" w:rsidTr="004E5F5E">
        <w:tc>
          <w:tcPr>
            <w:tcW w:w="1800" w:type="dxa"/>
            <w:shd w:val="clear" w:color="auto" w:fill="FFFFFF"/>
            <w:tcMar>
              <w:top w:w="80" w:type="dxa"/>
              <w:left w:w="100" w:type="dxa"/>
              <w:bottom w:w="80" w:type="dxa"/>
              <w:right w:w="100" w:type="dxa"/>
            </w:tcMar>
            <w:vAlign w:val="center"/>
          </w:tcPr>
          <w:p w14:paraId="6AF8B8DE" w14:textId="77777777" w:rsidR="00EE281B" w:rsidRDefault="00EE281B" w:rsidP="004E5F5E">
            <w:pPr>
              <w:spacing w:line="264" w:lineRule="auto"/>
            </w:pPr>
            <w:r>
              <w:rPr>
                <w:b/>
                <w:bCs/>
                <w:sz w:val="20"/>
                <w:szCs w:val="20"/>
              </w:rPr>
              <w:t>Keep Satisfied</w:t>
            </w:r>
          </w:p>
        </w:tc>
        <w:tc>
          <w:tcPr>
            <w:tcW w:w="3200" w:type="dxa"/>
            <w:shd w:val="clear" w:color="auto" w:fill="FFFFFF"/>
            <w:tcMar>
              <w:top w:w="80" w:type="dxa"/>
              <w:left w:w="100" w:type="dxa"/>
              <w:bottom w:w="80" w:type="dxa"/>
              <w:right w:w="100" w:type="dxa"/>
            </w:tcMar>
            <w:vAlign w:val="center"/>
          </w:tcPr>
          <w:p w14:paraId="62D90CF7" w14:textId="77777777" w:rsidR="00EE281B" w:rsidRDefault="00EE281B" w:rsidP="004E5F5E">
            <w:pPr>
              <w:spacing w:line="264" w:lineRule="auto"/>
            </w:pPr>
            <w:r>
              <w:rPr>
                <w:sz w:val="20"/>
                <w:szCs w:val="20"/>
              </w:rPr>
              <w:t>Rail/Bus Operators; Utility Companies</w:t>
            </w:r>
          </w:p>
        </w:tc>
        <w:tc>
          <w:tcPr>
            <w:tcW w:w="4400" w:type="dxa"/>
            <w:shd w:val="clear" w:color="auto" w:fill="FFFFFF"/>
            <w:tcMar>
              <w:top w:w="80" w:type="dxa"/>
              <w:left w:w="100" w:type="dxa"/>
              <w:bottom w:w="80" w:type="dxa"/>
              <w:right w:w="100" w:type="dxa"/>
            </w:tcMar>
            <w:vAlign w:val="center"/>
          </w:tcPr>
          <w:p w14:paraId="3BD3445C" w14:textId="77777777" w:rsidR="00EE281B" w:rsidRDefault="00EE281B" w:rsidP="004E5F5E">
            <w:pPr>
              <w:spacing w:line="264" w:lineRule="auto"/>
            </w:pPr>
            <w:r>
              <w:rPr>
                <w:sz w:val="20"/>
                <w:szCs w:val="20"/>
              </w:rPr>
              <w:t>Scheduled technical liaison meetings</w:t>
            </w:r>
          </w:p>
        </w:tc>
      </w:tr>
      <w:tr w:rsidR="00EE281B" w14:paraId="4AF11BB2" w14:textId="77777777" w:rsidTr="004E5F5E">
        <w:tc>
          <w:tcPr>
            <w:tcW w:w="1800" w:type="dxa"/>
            <w:shd w:val="clear" w:color="auto" w:fill="F2F4EC"/>
            <w:tcMar>
              <w:top w:w="80" w:type="dxa"/>
              <w:left w:w="100" w:type="dxa"/>
              <w:bottom w:w="80" w:type="dxa"/>
              <w:right w:w="100" w:type="dxa"/>
            </w:tcMar>
            <w:vAlign w:val="center"/>
          </w:tcPr>
          <w:p w14:paraId="15B71AC4" w14:textId="77777777" w:rsidR="00EE281B" w:rsidRDefault="00EE281B" w:rsidP="004E5F5E">
            <w:pPr>
              <w:spacing w:line="264" w:lineRule="auto"/>
            </w:pPr>
            <w:r>
              <w:rPr>
                <w:b/>
                <w:bCs/>
                <w:sz w:val="20"/>
                <w:szCs w:val="20"/>
              </w:rPr>
              <w:t>Keep Informed</w:t>
            </w:r>
          </w:p>
        </w:tc>
        <w:tc>
          <w:tcPr>
            <w:tcW w:w="3200" w:type="dxa"/>
            <w:shd w:val="clear" w:color="auto" w:fill="F2F4EC"/>
            <w:tcMar>
              <w:top w:w="80" w:type="dxa"/>
              <w:left w:w="100" w:type="dxa"/>
              <w:bottom w:w="80" w:type="dxa"/>
              <w:right w:w="100" w:type="dxa"/>
            </w:tcMar>
            <w:vAlign w:val="center"/>
          </w:tcPr>
          <w:p w14:paraId="2C8A88A7" w14:textId="77777777" w:rsidR="00EE281B" w:rsidRDefault="00EE281B" w:rsidP="004E5F5E">
            <w:pPr>
              <w:spacing w:line="264" w:lineRule="auto"/>
            </w:pPr>
            <w:r>
              <w:rPr>
                <w:sz w:val="20"/>
                <w:szCs w:val="20"/>
              </w:rPr>
              <w:t>Commuters; Local Business</w:t>
            </w:r>
          </w:p>
        </w:tc>
        <w:tc>
          <w:tcPr>
            <w:tcW w:w="4400" w:type="dxa"/>
            <w:shd w:val="clear" w:color="auto" w:fill="F2F4EC"/>
            <w:tcMar>
              <w:top w:w="80" w:type="dxa"/>
              <w:left w:w="100" w:type="dxa"/>
              <w:bottom w:w="80" w:type="dxa"/>
              <w:right w:w="100" w:type="dxa"/>
            </w:tcMar>
            <w:vAlign w:val="center"/>
          </w:tcPr>
          <w:p w14:paraId="59A93207" w14:textId="77777777" w:rsidR="00EE281B" w:rsidRDefault="00EE281B" w:rsidP="004E5F5E">
            <w:pPr>
              <w:spacing w:line="264" w:lineRule="auto"/>
            </w:pPr>
            <w:r>
              <w:rPr>
                <w:sz w:val="20"/>
                <w:szCs w:val="20"/>
              </w:rPr>
              <w:t>Public communications; project webpage; community liaison contact</w:t>
            </w:r>
          </w:p>
        </w:tc>
      </w:tr>
      <w:tr w:rsidR="00EE281B" w14:paraId="22D9256D" w14:textId="77777777" w:rsidTr="004E5F5E">
        <w:tc>
          <w:tcPr>
            <w:tcW w:w="1800" w:type="dxa"/>
            <w:shd w:val="clear" w:color="auto" w:fill="FFFFFF"/>
            <w:tcMar>
              <w:top w:w="80" w:type="dxa"/>
              <w:left w:w="100" w:type="dxa"/>
              <w:bottom w:w="80" w:type="dxa"/>
              <w:right w:w="100" w:type="dxa"/>
            </w:tcMar>
            <w:vAlign w:val="center"/>
          </w:tcPr>
          <w:p w14:paraId="1EC05DBF" w14:textId="77777777" w:rsidR="00EE281B" w:rsidRDefault="00EE281B" w:rsidP="004E5F5E">
            <w:pPr>
              <w:spacing w:line="264" w:lineRule="auto"/>
            </w:pPr>
            <w:r>
              <w:rPr>
                <w:b/>
                <w:bCs/>
                <w:sz w:val="20"/>
                <w:szCs w:val="20"/>
              </w:rPr>
              <w:t>Monitor</w:t>
            </w:r>
          </w:p>
        </w:tc>
        <w:tc>
          <w:tcPr>
            <w:tcW w:w="3200" w:type="dxa"/>
            <w:shd w:val="clear" w:color="auto" w:fill="FFFFFF"/>
            <w:tcMar>
              <w:top w:w="80" w:type="dxa"/>
              <w:left w:w="100" w:type="dxa"/>
              <w:bottom w:w="80" w:type="dxa"/>
              <w:right w:w="100" w:type="dxa"/>
            </w:tcMar>
            <w:vAlign w:val="center"/>
          </w:tcPr>
          <w:p w14:paraId="54D9394F" w14:textId="77777777" w:rsidR="00EE281B" w:rsidRDefault="00EE281B" w:rsidP="004E5F5E">
            <w:pPr>
              <w:spacing w:line="264" w:lineRule="auto"/>
            </w:pPr>
            <w:r>
              <w:rPr>
                <w:sz w:val="20"/>
                <w:szCs w:val="20"/>
              </w:rPr>
              <w:t>Media; General Public</w:t>
            </w:r>
          </w:p>
        </w:tc>
        <w:tc>
          <w:tcPr>
            <w:tcW w:w="4400" w:type="dxa"/>
            <w:shd w:val="clear" w:color="auto" w:fill="FFFFFF"/>
            <w:tcMar>
              <w:top w:w="80" w:type="dxa"/>
              <w:left w:w="100" w:type="dxa"/>
              <w:bottom w:w="80" w:type="dxa"/>
              <w:right w:w="100" w:type="dxa"/>
            </w:tcMar>
            <w:vAlign w:val="center"/>
          </w:tcPr>
          <w:p w14:paraId="2C786C22" w14:textId="77777777" w:rsidR="00EE281B" w:rsidRDefault="00EE281B" w:rsidP="004E5F5E">
            <w:pPr>
              <w:spacing w:line="264" w:lineRule="auto"/>
            </w:pPr>
            <w:r>
              <w:rPr>
                <w:sz w:val="20"/>
                <w:szCs w:val="20"/>
              </w:rPr>
              <w:t>Reactive press statements at major milestones</w:t>
            </w:r>
          </w:p>
        </w:tc>
      </w:tr>
    </w:tbl>
    <w:p w14:paraId="7F7D8E9A" w14:textId="77777777" w:rsidR="00EE281B" w:rsidRDefault="00EE281B" w:rsidP="00EE281B">
      <w:pPr>
        <w:spacing w:before="80" w:after="240"/>
        <w:jc w:val="center"/>
      </w:pPr>
      <w:r>
        <w:rPr>
          <w:i/>
          <w:iCs/>
          <w:color w:val="555555"/>
          <w:sz w:val="21"/>
          <w:szCs w:val="21"/>
        </w:rPr>
        <w:t>Table 4: Stakeholder Engagement Strategy</w:t>
      </w:r>
    </w:p>
    <w:p w14:paraId="0ED49924" w14:textId="77777777" w:rsidR="00EE281B" w:rsidRDefault="00EE281B" w:rsidP="00EE281B">
      <w:pPr>
        <w:spacing w:after="200" w:line="360" w:lineRule="auto"/>
      </w:pPr>
      <w:r w:rsidRPr="00181485">
        <w:t xml:space="preserve">Stakeholders identified in the "Manage Closely" quadrant, namely those of the Council, the Funders and the Regulators as well as the Main Contractor, have high power and high interest and there is the most intensive approach to their engagement such as regular monthly steering </w:t>
      </w:r>
      <w:r w:rsidRPr="00181485">
        <w:lastRenderedPageBreak/>
        <w:t xml:space="preserve">committee meetings, sign-off at specific phases and escalation paths for emerging risks (Freeman, 1984). Other stakeholder groups in "Keep Satisfied", with similarly high levels of power over </w:t>
      </w:r>
      <w:proofErr w:type="spellStart"/>
      <w:r w:rsidRPr="00181485">
        <w:t>programme</w:t>
      </w:r>
      <w:proofErr w:type="spellEnd"/>
      <w:r w:rsidRPr="00181485">
        <w:t xml:space="preserve">-critical interest areas of service continuity and utility diversions, are generally less interested in </w:t>
      </w:r>
      <w:proofErr w:type="spellStart"/>
      <w:r w:rsidRPr="00181485">
        <w:t>programme</w:t>
      </w:r>
      <w:proofErr w:type="spellEnd"/>
      <w:r w:rsidRPr="00181485">
        <w:t xml:space="preserve"> </w:t>
      </w:r>
      <w:proofErr w:type="gramStart"/>
      <w:r w:rsidRPr="00181485">
        <w:t>detail</w:t>
      </w:r>
      <w:proofErr w:type="gramEnd"/>
      <w:r w:rsidRPr="00181485">
        <w:t xml:space="preserve"> on a day-to-day basis and are not included </w:t>
      </w:r>
      <w:proofErr w:type="gramStart"/>
      <w:r w:rsidRPr="00181485">
        <w:t>in</w:t>
      </w:r>
      <w:proofErr w:type="gramEnd"/>
      <w:r w:rsidRPr="00181485">
        <w:t xml:space="preserve"> the steering </w:t>
      </w:r>
      <w:proofErr w:type="gramStart"/>
      <w:r w:rsidRPr="00181485">
        <w:t>board, but</w:t>
      </w:r>
      <w:proofErr w:type="gramEnd"/>
      <w:r w:rsidRPr="00181485">
        <w:t xml:space="preserve"> are instead provided with technical liaison meetings at scheduled intervals. In "Keep Informed", the high-interest, however lower-power stakeholders such as commuters and local industries are involved, with regular communication with the public, a dedicated project webpage, and a community liaison point of contact.</w:t>
      </w:r>
    </w:p>
    <w:p w14:paraId="0D03C2D6" w14:textId="77777777" w:rsidR="00EE281B" w:rsidRDefault="00EE281B" w:rsidP="00EE281B">
      <w:pPr>
        <w:pStyle w:val="Heading1"/>
        <w:spacing w:before="320" w:after="160" w:line="360" w:lineRule="auto"/>
      </w:pPr>
      <w:bookmarkStart w:id="14" w:name="_Toc236077865"/>
      <w:bookmarkStart w:id="15" w:name="_Toc236078387"/>
      <w:r>
        <w:rPr>
          <w:bCs/>
          <w:color w:val="1F4E2C"/>
          <w:sz w:val="28"/>
          <w:szCs w:val="28"/>
        </w:rPr>
        <w:t>Allocation of Resources</w:t>
      </w:r>
      <w:bookmarkEnd w:id="14"/>
      <w:bookmarkEnd w:id="15"/>
    </w:p>
    <w:p w14:paraId="64564D87" w14:textId="77777777" w:rsidR="00EE281B" w:rsidRDefault="00EE281B" w:rsidP="00EE281B">
      <w:pPr>
        <w:spacing w:after="200" w:line="360" w:lineRule="auto"/>
      </w:pPr>
      <w:r>
        <w:t>Figure 6 presents the indicative capital budget allocation across the four work packages, together with a contingency reserve.</w:t>
      </w:r>
    </w:p>
    <w:p w14:paraId="5DE92050" w14:textId="77777777" w:rsidR="00EE281B" w:rsidRDefault="00EE281B" w:rsidP="00EE281B">
      <w:pPr>
        <w:spacing w:before="160" w:after="40"/>
        <w:jc w:val="center"/>
      </w:pPr>
      <w:r>
        <w:rPr>
          <w:noProof/>
        </w:rPr>
        <w:drawing>
          <wp:inline distT="0" distB="0" distL="0" distR="0" wp14:anchorId="709C00C0" wp14:editId="2BD5C774">
            <wp:extent cx="5120640" cy="3931920"/>
            <wp:effectExtent l="0" t="0" r="0" b="0"/>
            <wp:docPr id="1805167953" name="Picture 1805167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120640" cy="3931920"/>
                    </a:xfrm>
                    <a:prstGeom prst="rect">
                      <a:avLst/>
                    </a:prstGeom>
                  </pic:spPr>
                </pic:pic>
              </a:graphicData>
            </a:graphic>
          </wp:inline>
        </w:drawing>
      </w:r>
    </w:p>
    <w:p w14:paraId="538988F5" w14:textId="77777777" w:rsidR="00EE281B" w:rsidRDefault="00EE281B" w:rsidP="00EE281B">
      <w:pPr>
        <w:spacing w:before="80" w:after="240"/>
        <w:jc w:val="center"/>
      </w:pPr>
      <w:r>
        <w:rPr>
          <w:i/>
          <w:iCs/>
          <w:color w:val="555555"/>
          <w:sz w:val="21"/>
          <w:szCs w:val="21"/>
        </w:rPr>
        <w:t>Figure 6: Indicative Capital Budget Allocation by Work Package</w:t>
      </w:r>
    </w:p>
    <w:p w14:paraId="5E580E6C" w14:textId="77777777" w:rsidR="00EE281B" w:rsidRDefault="00EE281B" w:rsidP="00EE281B">
      <w:pPr>
        <w:spacing w:after="200" w:line="360" w:lineRule="auto"/>
      </w:pPr>
      <w:r w:rsidRPr="00181485">
        <w:t xml:space="preserve">Construction and structure work are the most capital-intensive, highest risk, and longest lasting work package, representing the highest proportion of the capital budget, and the project manager can adjust budget allocation to each work package quickly, if there is a real risk that the capital budget is over-expending, instead of needing to formally reallocate the </w:t>
      </w:r>
      <w:r w:rsidRPr="00181485">
        <w:lastRenderedPageBreak/>
        <w:t xml:space="preserve">budget as part of the phase-gate review (Hillson and Simon, 2020). Staffing reflects this financial commitment too: the primary contractor brings the highest number of people onto site during </w:t>
      </w:r>
      <w:proofErr w:type="gramStart"/>
      <w:r w:rsidRPr="00181485">
        <w:t>build,</w:t>
      </w:r>
      <w:proofErr w:type="gramEnd"/>
      <w:r w:rsidRPr="00181485">
        <w:t xml:space="preserve"> the architect and digital systems integrator work in comparatively small specialist teams and have been intensively involved during their design and systems phases and then as consultants afterwards.</w:t>
      </w:r>
    </w:p>
    <w:p w14:paraId="732E22E4" w14:textId="77777777" w:rsidR="00EE281B" w:rsidRDefault="00EE281B" w:rsidP="00EE281B">
      <w:pPr>
        <w:pStyle w:val="Heading1"/>
        <w:spacing w:before="320" w:after="160" w:line="360" w:lineRule="auto"/>
      </w:pPr>
      <w:bookmarkStart w:id="16" w:name="_Toc236077866"/>
      <w:bookmarkStart w:id="17" w:name="_Toc236078388"/>
      <w:r>
        <w:rPr>
          <w:bCs/>
          <w:color w:val="1F4E2C"/>
          <w:sz w:val="28"/>
          <w:szCs w:val="28"/>
        </w:rPr>
        <w:t>Risk Analysis</w:t>
      </w:r>
      <w:bookmarkEnd w:id="16"/>
      <w:bookmarkEnd w:id="17"/>
    </w:p>
    <w:p w14:paraId="4BFD86FA" w14:textId="77777777" w:rsidR="00EE281B" w:rsidRDefault="00EE281B" w:rsidP="00EE281B">
      <w:pPr>
        <w:spacing w:after="200" w:line="360" w:lineRule="auto"/>
      </w:pPr>
      <w:r>
        <w:t xml:space="preserve">Figure 5 presents a risk heat map disaggregating the original three high-level risk statements into eight </w:t>
      </w:r>
      <w:proofErr w:type="gramStart"/>
      <w:r>
        <w:t>specific</w:t>
      </w:r>
      <w:proofErr w:type="gramEnd"/>
      <w:r>
        <w:t>, scored risks, and Table 5 sets out the corresponding mitigation actions and owners.</w:t>
      </w:r>
    </w:p>
    <w:p w14:paraId="5830124A" w14:textId="77777777" w:rsidR="00EE281B" w:rsidRDefault="00EE281B" w:rsidP="00EE281B">
      <w:pPr>
        <w:spacing w:before="160" w:after="40"/>
        <w:jc w:val="center"/>
      </w:pPr>
      <w:r>
        <w:rPr>
          <w:noProof/>
        </w:rPr>
        <w:drawing>
          <wp:inline distT="0" distB="0" distL="0" distR="0" wp14:anchorId="435170CD" wp14:editId="26614323">
            <wp:extent cx="5303520" cy="4297680"/>
            <wp:effectExtent l="0" t="0" r="0" b="0"/>
            <wp:docPr id="1300532749" name="Picture 13005327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303520" cy="4297680"/>
                    </a:xfrm>
                    <a:prstGeom prst="rect">
                      <a:avLst/>
                    </a:prstGeom>
                  </pic:spPr>
                </pic:pic>
              </a:graphicData>
            </a:graphic>
          </wp:inline>
        </w:drawing>
      </w:r>
    </w:p>
    <w:p w14:paraId="473A892F" w14:textId="77777777" w:rsidR="00EE281B" w:rsidRDefault="00EE281B" w:rsidP="00EE281B">
      <w:pPr>
        <w:spacing w:before="80" w:after="240"/>
        <w:jc w:val="center"/>
      </w:pPr>
      <w:r>
        <w:rPr>
          <w:i/>
          <w:iCs/>
          <w:color w:val="555555"/>
          <w:sz w:val="21"/>
          <w:szCs w:val="21"/>
        </w:rPr>
        <w:t>Figure 5: Risk Heat Map</w:t>
      </w:r>
    </w:p>
    <w:p w14:paraId="2BADA3EC" w14:textId="77777777" w:rsidR="00EE281B" w:rsidRDefault="00EE281B" w:rsidP="00EE281B">
      <w:pPr>
        <w:spacing w:before="160" w:after="80" w:line="360" w:lineRule="auto"/>
      </w:pPr>
      <w:r>
        <w:rPr>
          <w:b/>
          <w:bCs/>
        </w:rPr>
        <w:t>Table 5: Risk Register (L = Likelihood, I = Impact, both scored 1-5)</w:t>
      </w:r>
    </w:p>
    <w:tbl>
      <w:tblPr>
        <w:tblW w:w="10400" w:type="dxa"/>
        <w:tblInd w:w="-6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0"/>
        <w:gridCol w:w="2600"/>
        <w:gridCol w:w="500"/>
        <w:gridCol w:w="500"/>
        <w:gridCol w:w="700"/>
        <w:gridCol w:w="3300"/>
        <w:gridCol w:w="1900"/>
      </w:tblGrid>
      <w:tr w:rsidR="00EE281B" w14:paraId="38F240C3" w14:textId="77777777" w:rsidTr="004E5F5E">
        <w:trPr>
          <w:tblHeader/>
        </w:trPr>
        <w:tc>
          <w:tcPr>
            <w:tcW w:w="900" w:type="dxa"/>
            <w:shd w:val="clear" w:color="auto" w:fill="1F4E2C"/>
            <w:tcMar>
              <w:top w:w="80" w:type="dxa"/>
              <w:left w:w="100" w:type="dxa"/>
              <w:bottom w:w="80" w:type="dxa"/>
              <w:right w:w="100" w:type="dxa"/>
            </w:tcMar>
            <w:vAlign w:val="center"/>
          </w:tcPr>
          <w:p w14:paraId="3F765207" w14:textId="77777777" w:rsidR="00EE281B" w:rsidRDefault="00EE281B" w:rsidP="004E5F5E">
            <w:r>
              <w:rPr>
                <w:b/>
                <w:bCs/>
                <w:color w:val="FFFFFF"/>
                <w:sz w:val="20"/>
                <w:szCs w:val="20"/>
              </w:rPr>
              <w:t>Ref.</w:t>
            </w:r>
          </w:p>
        </w:tc>
        <w:tc>
          <w:tcPr>
            <w:tcW w:w="2600" w:type="dxa"/>
            <w:shd w:val="clear" w:color="auto" w:fill="1F4E2C"/>
            <w:tcMar>
              <w:top w:w="80" w:type="dxa"/>
              <w:left w:w="100" w:type="dxa"/>
              <w:bottom w:w="80" w:type="dxa"/>
              <w:right w:w="100" w:type="dxa"/>
            </w:tcMar>
            <w:vAlign w:val="center"/>
          </w:tcPr>
          <w:p w14:paraId="3935A059" w14:textId="77777777" w:rsidR="00EE281B" w:rsidRDefault="00EE281B" w:rsidP="004E5F5E">
            <w:r>
              <w:rPr>
                <w:b/>
                <w:bCs/>
                <w:color w:val="FFFFFF"/>
                <w:sz w:val="20"/>
                <w:szCs w:val="20"/>
              </w:rPr>
              <w:t>Risk</w:t>
            </w:r>
          </w:p>
        </w:tc>
        <w:tc>
          <w:tcPr>
            <w:tcW w:w="500" w:type="dxa"/>
            <w:shd w:val="clear" w:color="auto" w:fill="1F4E2C"/>
            <w:tcMar>
              <w:top w:w="80" w:type="dxa"/>
              <w:left w:w="100" w:type="dxa"/>
              <w:bottom w:w="80" w:type="dxa"/>
              <w:right w:w="100" w:type="dxa"/>
            </w:tcMar>
            <w:vAlign w:val="center"/>
          </w:tcPr>
          <w:p w14:paraId="59554CF3" w14:textId="77777777" w:rsidR="00EE281B" w:rsidRDefault="00EE281B" w:rsidP="004E5F5E">
            <w:r>
              <w:rPr>
                <w:b/>
                <w:bCs/>
                <w:color w:val="FFFFFF"/>
                <w:sz w:val="20"/>
                <w:szCs w:val="20"/>
              </w:rPr>
              <w:t>L</w:t>
            </w:r>
          </w:p>
        </w:tc>
        <w:tc>
          <w:tcPr>
            <w:tcW w:w="500" w:type="dxa"/>
            <w:shd w:val="clear" w:color="auto" w:fill="1F4E2C"/>
            <w:tcMar>
              <w:top w:w="80" w:type="dxa"/>
              <w:left w:w="100" w:type="dxa"/>
              <w:bottom w:w="80" w:type="dxa"/>
              <w:right w:w="100" w:type="dxa"/>
            </w:tcMar>
            <w:vAlign w:val="center"/>
          </w:tcPr>
          <w:p w14:paraId="3875DF38" w14:textId="77777777" w:rsidR="00EE281B" w:rsidRDefault="00EE281B" w:rsidP="004E5F5E">
            <w:r>
              <w:rPr>
                <w:b/>
                <w:bCs/>
                <w:color w:val="FFFFFF"/>
                <w:sz w:val="20"/>
                <w:szCs w:val="20"/>
              </w:rPr>
              <w:t>I</w:t>
            </w:r>
          </w:p>
        </w:tc>
        <w:tc>
          <w:tcPr>
            <w:tcW w:w="700" w:type="dxa"/>
            <w:shd w:val="clear" w:color="auto" w:fill="1F4E2C"/>
            <w:tcMar>
              <w:top w:w="80" w:type="dxa"/>
              <w:left w:w="100" w:type="dxa"/>
              <w:bottom w:w="80" w:type="dxa"/>
              <w:right w:w="100" w:type="dxa"/>
            </w:tcMar>
            <w:vAlign w:val="center"/>
          </w:tcPr>
          <w:p w14:paraId="1D013220" w14:textId="77777777" w:rsidR="00EE281B" w:rsidRDefault="00EE281B" w:rsidP="004E5F5E">
            <w:r>
              <w:rPr>
                <w:b/>
                <w:bCs/>
                <w:color w:val="FFFFFF"/>
                <w:sz w:val="20"/>
                <w:szCs w:val="20"/>
              </w:rPr>
              <w:t>Score</w:t>
            </w:r>
          </w:p>
        </w:tc>
        <w:tc>
          <w:tcPr>
            <w:tcW w:w="3300" w:type="dxa"/>
            <w:shd w:val="clear" w:color="auto" w:fill="1F4E2C"/>
            <w:tcMar>
              <w:top w:w="80" w:type="dxa"/>
              <w:left w:w="100" w:type="dxa"/>
              <w:bottom w:w="80" w:type="dxa"/>
              <w:right w:w="100" w:type="dxa"/>
            </w:tcMar>
            <w:vAlign w:val="center"/>
          </w:tcPr>
          <w:p w14:paraId="51ECB3BD" w14:textId="77777777" w:rsidR="00EE281B" w:rsidRDefault="00EE281B" w:rsidP="004E5F5E">
            <w:r>
              <w:rPr>
                <w:b/>
                <w:bCs/>
                <w:color w:val="FFFFFF"/>
                <w:sz w:val="20"/>
                <w:szCs w:val="20"/>
              </w:rPr>
              <w:t>Mitigation</w:t>
            </w:r>
          </w:p>
        </w:tc>
        <w:tc>
          <w:tcPr>
            <w:tcW w:w="1900" w:type="dxa"/>
            <w:shd w:val="clear" w:color="auto" w:fill="1F4E2C"/>
            <w:tcMar>
              <w:top w:w="80" w:type="dxa"/>
              <w:left w:w="100" w:type="dxa"/>
              <w:bottom w:w="80" w:type="dxa"/>
              <w:right w:w="100" w:type="dxa"/>
            </w:tcMar>
            <w:vAlign w:val="center"/>
          </w:tcPr>
          <w:p w14:paraId="00B849C2" w14:textId="77777777" w:rsidR="00EE281B" w:rsidRDefault="00EE281B" w:rsidP="004E5F5E">
            <w:r>
              <w:rPr>
                <w:b/>
                <w:bCs/>
                <w:color w:val="FFFFFF"/>
                <w:sz w:val="20"/>
                <w:szCs w:val="20"/>
              </w:rPr>
              <w:t>Owner</w:t>
            </w:r>
          </w:p>
        </w:tc>
      </w:tr>
      <w:tr w:rsidR="00EE281B" w14:paraId="66904ABE" w14:textId="77777777" w:rsidTr="004E5F5E">
        <w:tc>
          <w:tcPr>
            <w:tcW w:w="900" w:type="dxa"/>
            <w:shd w:val="clear" w:color="auto" w:fill="F2F4EC"/>
            <w:tcMar>
              <w:top w:w="80" w:type="dxa"/>
              <w:left w:w="100" w:type="dxa"/>
              <w:bottom w:w="80" w:type="dxa"/>
              <w:right w:w="100" w:type="dxa"/>
            </w:tcMar>
            <w:vAlign w:val="center"/>
          </w:tcPr>
          <w:p w14:paraId="40AB55E7" w14:textId="77777777" w:rsidR="00EE281B" w:rsidRDefault="00EE281B" w:rsidP="004E5F5E">
            <w:pPr>
              <w:spacing w:line="264" w:lineRule="auto"/>
            </w:pPr>
            <w:r>
              <w:rPr>
                <w:b/>
                <w:bCs/>
                <w:sz w:val="20"/>
                <w:szCs w:val="20"/>
              </w:rPr>
              <w:t>R1</w:t>
            </w:r>
          </w:p>
        </w:tc>
        <w:tc>
          <w:tcPr>
            <w:tcW w:w="2600" w:type="dxa"/>
            <w:shd w:val="clear" w:color="auto" w:fill="F2F4EC"/>
            <w:tcMar>
              <w:top w:w="80" w:type="dxa"/>
              <w:left w:w="100" w:type="dxa"/>
              <w:bottom w:w="80" w:type="dxa"/>
              <w:right w:w="100" w:type="dxa"/>
            </w:tcMar>
            <w:vAlign w:val="center"/>
          </w:tcPr>
          <w:p w14:paraId="080B54CA" w14:textId="77777777" w:rsidR="00EE281B" w:rsidRDefault="00EE281B" w:rsidP="004E5F5E">
            <w:pPr>
              <w:spacing w:line="264" w:lineRule="auto"/>
            </w:pPr>
            <w:r>
              <w:rPr>
                <w:sz w:val="20"/>
                <w:szCs w:val="20"/>
              </w:rPr>
              <w:t>Utility diversion delays</w:t>
            </w:r>
          </w:p>
        </w:tc>
        <w:tc>
          <w:tcPr>
            <w:tcW w:w="500" w:type="dxa"/>
            <w:shd w:val="clear" w:color="auto" w:fill="F2F4EC"/>
            <w:tcMar>
              <w:top w:w="80" w:type="dxa"/>
              <w:left w:w="100" w:type="dxa"/>
              <w:bottom w:w="80" w:type="dxa"/>
              <w:right w:w="100" w:type="dxa"/>
            </w:tcMar>
            <w:vAlign w:val="center"/>
          </w:tcPr>
          <w:p w14:paraId="35C08301" w14:textId="77777777" w:rsidR="00EE281B" w:rsidRDefault="00EE281B" w:rsidP="004E5F5E">
            <w:pPr>
              <w:spacing w:line="264" w:lineRule="auto"/>
            </w:pPr>
            <w:r>
              <w:rPr>
                <w:sz w:val="20"/>
                <w:szCs w:val="20"/>
              </w:rPr>
              <w:t>4</w:t>
            </w:r>
          </w:p>
        </w:tc>
        <w:tc>
          <w:tcPr>
            <w:tcW w:w="500" w:type="dxa"/>
            <w:shd w:val="clear" w:color="auto" w:fill="F2F4EC"/>
            <w:tcMar>
              <w:top w:w="80" w:type="dxa"/>
              <w:left w:w="100" w:type="dxa"/>
              <w:bottom w:w="80" w:type="dxa"/>
              <w:right w:w="100" w:type="dxa"/>
            </w:tcMar>
            <w:vAlign w:val="center"/>
          </w:tcPr>
          <w:p w14:paraId="356E8AFD" w14:textId="77777777" w:rsidR="00EE281B" w:rsidRDefault="00EE281B" w:rsidP="004E5F5E">
            <w:pPr>
              <w:spacing w:line="264" w:lineRule="auto"/>
            </w:pPr>
            <w:r>
              <w:rPr>
                <w:sz w:val="20"/>
                <w:szCs w:val="20"/>
              </w:rPr>
              <w:t>4</w:t>
            </w:r>
          </w:p>
        </w:tc>
        <w:tc>
          <w:tcPr>
            <w:tcW w:w="700" w:type="dxa"/>
            <w:shd w:val="clear" w:color="auto" w:fill="F2F4EC"/>
            <w:tcMar>
              <w:top w:w="80" w:type="dxa"/>
              <w:left w:w="100" w:type="dxa"/>
              <w:bottom w:w="80" w:type="dxa"/>
              <w:right w:w="100" w:type="dxa"/>
            </w:tcMar>
            <w:vAlign w:val="center"/>
          </w:tcPr>
          <w:p w14:paraId="6CD6ECA4" w14:textId="77777777" w:rsidR="00EE281B" w:rsidRDefault="00EE281B" w:rsidP="004E5F5E">
            <w:pPr>
              <w:spacing w:line="264" w:lineRule="auto"/>
            </w:pPr>
            <w:r>
              <w:rPr>
                <w:sz w:val="20"/>
                <w:szCs w:val="20"/>
              </w:rPr>
              <w:t>16</w:t>
            </w:r>
          </w:p>
        </w:tc>
        <w:tc>
          <w:tcPr>
            <w:tcW w:w="3300" w:type="dxa"/>
            <w:shd w:val="clear" w:color="auto" w:fill="F2F4EC"/>
            <w:tcMar>
              <w:top w:w="80" w:type="dxa"/>
              <w:left w:w="100" w:type="dxa"/>
              <w:bottom w:w="80" w:type="dxa"/>
              <w:right w:w="100" w:type="dxa"/>
            </w:tcMar>
            <w:vAlign w:val="center"/>
          </w:tcPr>
          <w:p w14:paraId="0C413C87" w14:textId="77777777" w:rsidR="00EE281B" w:rsidRDefault="00EE281B" w:rsidP="004E5F5E">
            <w:pPr>
              <w:spacing w:line="264" w:lineRule="auto"/>
            </w:pPr>
            <w:r>
              <w:rPr>
                <w:sz w:val="20"/>
                <w:szCs w:val="20"/>
              </w:rPr>
              <w:t xml:space="preserve">Early joint survey with utility </w:t>
            </w:r>
            <w:proofErr w:type="gramStart"/>
            <w:r>
              <w:rPr>
                <w:sz w:val="20"/>
                <w:szCs w:val="20"/>
              </w:rPr>
              <w:t>companies</w:t>
            </w:r>
            <w:proofErr w:type="gramEnd"/>
            <w:r>
              <w:rPr>
                <w:sz w:val="20"/>
                <w:szCs w:val="20"/>
              </w:rPr>
              <w:t xml:space="preserve"> pre-</w:t>
            </w:r>
            <w:proofErr w:type="spellStart"/>
            <w:r>
              <w:rPr>
                <w:sz w:val="20"/>
                <w:szCs w:val="20"/>
              </w:rPr>
              <w:t>mobilisation</w:t>
            </w:r>
            <w:proofErr w:type="spellEnd"/>
          </w:p>
        </w:tc>
        <w:tc>
          <w:tcPr>
            <w:tcW w:w="1900" w:type="dxa"/>
            <w:shd w:val="clear" w:color="auto" w:fill="F2F4EC"/>
            <w:tcMar>
              <w:top w:w="80" w:type="dxa"/>
              <w:left w:w="100" w:type="dxa"/>
              <w:bottom w:w="80" w:type="dxa"/>
              <w:right w:w="100" w:type="dxa"/>
            </w:tcMar>
            <w:vAlign w:val="center"/>
          </w:tcPr>
          <w:p w14:paraId="3DBBBEB7" w14:textId="77777777" w:rsidR="00EE281B" w:rsidRDefault="00EE281B" w:rsidP="004E5F5E">
            <w:pPr>
              <w:spacing w:line="264" w:lineRule="auto"/>
            </w:pPr>
            <w:r>
              <w:rPr>
                <w:sz w:val="20"/>
                <w:szCs w:val="20"/>
              </w:rPr>
              <w:t>Main Contractor</w:t>
            </w:r>
          </w:p>
        </w:tc>
      </w:tr>
      <w:tr w:rsidR="00EE281B" w14:paraId="26131A3E" w14:textId="77777777" w:rsidTr="004E5F5E">
        <w:tc>
          <w:tcPr>
            <w:tcW w:w="900" w:type="dxa"/>
            <w:shd w:val="clear" w:color="auto" w:fill="FFFFFF"/>
            <w:tcMar>
              <w:top w:w="80" w:type="dxa"/>
              <w:left w:w="100" w:type="dxa"/>
              <w:bottom w:w="80" w:type="dxa"/>
              <w:right w:w="100" w:type="dxa"/>
            </w:tcMar>
            <w:vAlign w:val="center"/>
          </w:tcPr>
          <w:p w14:paraId="48905A2D" w14:textId="77777777" w:rsidR="00EE281B" w:rsidRDefault="00EE281B" w:rsidP="004E5F5E">
            <w:pPr>
              <w:spacing w:line="264" w:lineRule="auto"/>
            </w:pPr>
            <w:r>
              <w:rPr>
                <w:b/>
                <w:bCs/>
                <w:sz w:val="20"/>
                <w:szCs w:val="20"/>
              </w:rPr>
              <w:lastRenderedPageBreak/>
              <w:t>R2</w:t>
            </w:r>
          </w:p>
        </w:tc>
        <w:tc>
          <w:tcPr>
            <w:tcW w:w="2600" w:type="dxa"/>
            <w:shd w:val="clear" w:color="auto" w:fill="FFFFFF"/>
            <w:tcMar>
              <w:top w:w="80" w:type="dxa"/>
              <w:left w:w="100" w:type="dxa"/>
              <w:bottom w:w="80" w:type="dxa"/>
              <w:right w:w="100" w:type="dxa"/>
            </w:tcMar>
            <w:vAlign w:val="center"/>
          </w:tcPr>
          <w:p w14:paraId="64E0538D" w14:textId="77777777" w:rsidR="00EE281B" w:rsidRDefault="00EE281B" w:rsidP="004E5F5E">
            <w:pPr>
              <w:spacing w:line="264" w:lineRule="auto"/>
            </w:pPr>
            <w:r>
              <w:rPr>
                <w:sz w:val="20"/>
                <w:szCs w:val="20"/>
              </w:rPr>
              <w:t>Budget overrun (structure)</w:t>
            </w:r>
          </w:p>
        </w:tc>
        <w:tc>
          <w:tcPr>
            <w:tcW w:w="500" w:type="dxa"/>
            <w:shd w:val="clear" w:color="auto" w:fill="FFFFFF"/>
            <w:tcMar>
              <w:top w:w="80" w:type="dxa"/>
              <w:left w:w="100" w:type="dxa"/>
              <w:bottom w:w="80" w:type="dxa"/>
              <w:right w:w="100" w:type="dxa"/>
            </w:tcMar>
            <w:vAlign w:val="center"/>
          </w:tcPr>
          <w:p w14:paraId="0CF234F2" w14:textId="77777777" w:rsidR="00EE281B" w:rsidRDefault="00EE281B" w:rsidP="004E5F5E">
            <w:pPr>
              <w:spacing w:line="264" w:lineRule="auto"/>
            </w:pPr>
            <w:r>
              <w:rPr>
                <w:sz w:val="20"/>
                <w:szCs w:val="20"/>
              </w:rPr>
              <w:t>3</w:t>
            </w:r>
          </w:p>
        </w:tc>
        <w:tc>
          <w:tcPr>
            <w:tcW w:w="500" w:type="dxa"/>
            <w:shd w:val="clear" w:color="auto" w:fill="FFFFFF"/>
            <w:tcMar>
              <w:top w:w="80" w:type="dxa"/>
              <w:left w:w="100" w:type="dxa"/>
              <w:bottom w:w="80" w:type="dxa"/>
              <w:right w:w="100" w:type="dxa"/>
            </w:tcMar>
            <w:vAlign w:val="center"/>
          </w:tcPr>
          <w:p w14:paraId="42E5F0E5" w14:textId="77777777" w:rsidR="00EE281B" w:rsidRDefault="00EE281B" w:rsidP="004E5F5E">
            <w:pPr>
              <w:spacing w:line="264" w:lineRule="auto"/>
            </w:pPr>
            <w:r>
              <w:rPr>
                <w:sz w:val="20"/>
                <w:szCs w:val="20"/>
              </w:rPr>
              <w:t>4</w:t>
            </w:r>
          </w:p>
        </w:tc>
        <w:tc>
          <w:tcPr>
            <w:tcW w:w="700" w:type="dxa"/>
            <w:shd w:val="clear" w:color="auto" w:fill="FFFFFF"/>
            <w:tcMar>
              <w:top w:w="80" w:type="dxa"/>
              <w:left w:w="100" w:type="dxa"/>
              <w:bottom w:w="80" w:type="dxa"/>
              <w:right w:w="100" w:type="dxa"/>
            </w:tcMar>
            <w:vAlign w:val="center"/>
          </w:tcPr>
          <w:p w14:paraId="0A5757E3" w14:textId="77777777" w:rsidR="00EE281B" w:rsidRDefault="00EE281B" w:rsidP="004E5F5E">
            <w:pPr>
              <w:spacing w:line="264" w:lineRule="auto"/>
            </w:pPr>
            <w:r>
              <w:rPr>
                <w:sz w:val="20"/>
                <w:szCs w:val="20"/>
              </w:rPr>
              <w:t>12</w:t>
            </w:r>
          </w:p>
        </w:tc>
        <w:tc>
          <w:tcPr>
            <w:tcW w:w="3300" w:type="dxa"/>
            <w:shd w:val="clear" w:color="auto" w:fill="FFFFFF"/>
            <w:tcMar>
              <w:top w:w="80" w:type="dxa"/>
              <w:left w:w="100" w:type="dxa"/>
              <w:bottom w:w="80" w:type="dxa"/>
              <w:right w:w="100" w:type="dxa"/>
            </w:tcMar>
            <w:vAlign w:val="center"/>
          </w:tcPr>
          <w:p w14:paraId="53D35902" w14:textId="77777777" w:rsidR="00EE281B" w:rsidRDefault="00EE281B" w:rsidP="004E5F5E">
            <w:pPr>
              <w:spacing w:line="264" w:lineRule="auto"/>
            </w:pPr>
            <w:r>
              <w:rPr>
                <w:sz w:val="20"/>
                <w:szCs w:val="20"/>
              </w:rPr>
              <w:t>Ring-fenced 7% contingency; delegated release authority</w:t>
            </w:r>
          </w:p>
        </w:tc>
        <w:tc>
          <w:tcPr>
            <w:tcW w:w="1900" w:type="dxa"/>
            <w:shd w:val="clear" w:color="auto" w:fill="FFFFFF"/>
            <w:tcMar>
              <w:top w:w="80" w:type="dxa"/>
              <w:left w:w="100" w:type="dxa"/>
              <w:bottom w:w="80" w:type="dxa"/>
              <w:right w:w="100" w:type="dxa"/>
            </w:tcMar>
            <w:vAlign w:val="center"/>
          </w:tcPr>
          <w:p w14:paraId="6E0A8EBF" w14:textId="77777777" w:rsidR="00EE281B" w:rsidRDefault="00EE281B" w:rsidP="004E5F5E">
            <w:pPr>
              <w:spacing w:line="264" w:lineRule="auto"/>
            </w:pPr>
            <w:r>
              <w:rPr>
                <w:sz w:val="20"/>
                <w:szCs w:val="20"/>
              </w:rPr>
              <w:t>PM</w:t>
            </w:r>
          </w:p>
        </w:tc>
      </w:tr>
      <w:tr w:rsidR="00EE281B" w14:paraId="59819607" w14:textId="77777777" w:rsidTr="004E5F5E">
        <w:tc>
          <w:tcPr>
            <w:tcW w:w="900" w:type="dxa"/>
            <w:shd w:val="clear" w:color="auto" w:fill="F2F4EC"/>
            <w:tcMar>
              <w:top w:w="80" w:type="dxa"/>
              <w:left w:w="100" w:type="dxa"/>
              <w:bottom w:w="80" w:type="dxa"/>
              <w:right w:w="100" w:type="dxa"/>
            </w:tcMar>
            <w:vAlign w:val="center"/>
          </w:tcPr>
          <w:p w14:paraId="45E282E2" w14:textId="77777777" w:rsidR="00EE281B" w:rsidRDefault="00EE281B" w:rsidP="004E5F5E">
            <w:pPr>
              <w:spacing w:line="264" w:lineRule="auto"/>
            </w:pPr>
            <w:r>
              <w:rPr>
                <w:b/>
                <w:bCs/>
                <w:sz w:val="20"/>
                <w:szCs w:val="20"/>
              </w:rPr>
              <w:t>R3</w:t>
            </w:r>
          </w:p>
        </w:tc>
        <w:tc>
          <w:tcPr>
            <w:tcW w:w="2600" w:type="dxa"/>
            <w:shd w:val="clear" w:color="auto" w:fill="F2F4EC"/>
            <w:tcMar>
              <w:top w:w="80" w:type="dxa"/>
              <w:left w:w="100" w:type="dxa"/>
              <w:bottom w:w="80" w:type="dxa"/>
              <w:right w:w="100" w:type="dxa"/>
            </w:tcMar>
            <w:vAlign w:val="center"/>
          </w:tcPr>
          <w:p w14:paraId="1DC3E116" w14:textId="77777777" w:rsidR="00EE281B" w:rsidRDefault="00EE281B" w:rsidP="004E5F5E">
            <w:pPr>
              <w:spacing w:line="264" w:lineRule="auto"/>
            </w:pPr>
            <w:r>
              <w:rPr>
                <w:sz w:val="20"/>
                <w:szCs w:val="20"/>
              </w:rPr>
              <w:t>Regulatory/planning objection</w:t>
            </w:r>
          </w:p>
        </w:tc>
        <w:tc>
          <w:tcPr>
            <w:tcW w:w="500" w:type="dxa"/>
            <w:shd w:val="clear" w:color="auto" w:fill="F2F4EC"/>
            <w:tcMar>
              <w:top w:w="80" w:type="dxa"/>
              <w:left w:w="100" w:type="dxa"/>
              <w:bottom w:w="80" w:type="dxa"/>
              <w:right w:w="100" w:type="dxa"/>
            </w:tcMar>
            <w:vAlign w:val="center"/>
          </w:tcPr>
          <w:p w14:paraId="7E9EB951" w14:textId="77777777" w:rsidR="00EE281B" w:rsidRDefault="00EE281B" w:rsidP="004E5F5E">
            <w:pPr>
              <w:spacing w:line="264" w:lineRule="auto"/>
            </w:pPr>
            <w:r>
              <w:rPr>
                <w:sz w:val="20"/>
                <w:szCs w:val="20"/>
              </w:rPr>
              <w:t>2</w:t>
            </w:r>
          </w:p>
        </w:tc>
        <w:tc>
          <w:tcPr>
            <w:tcW w:w="500" w:type="dxa"/>
            <w:shd w:val="clear" w:color="auto" w:fill="F2F4EC"/>
            <w:tcMar>
              <w:top w:w="80" w:type="dxa"/>
              <w:left w:w="100" w:type="dxa"/>
              <w:bottom w:w="80" w:type="dxa"/>
              <w:right w:w="100" w:type="dxa"/>
            </w:tcMar>
            <w:vAlign w:val="center"/>
          </w:tcPr>
          <w:p w14:paraId="2A385EB3" w14:textId="77777777" w:rsidR="00EE281B" w:rsidRDefault="00EE281B" w:rsidP="004E5F5E">
            <w:pPr>
              <w:spacing w:line="264" w:lineRule="auto"/>
            </w:pPr>
            <w:r>
              <w:rPr>
                <w:sz w:val="20"/>
                <w:szCs w:val="20"/>
              </w:rPr>
              <w:t>3</w:t>
            </w:r>
          </w:p>
        </w:tc>
        <w:tc>
          <w:tcPr>
            <w:tcW w:w="700" w:type="dxa"/>
            <w:shd w:val="clear" w:color="auto" w:fill="F2F4EC"/>
            <w:tcMar>
              <w:top w:w="80" w:type="dxa"/>
              <w:left w:w="100" w:type="dxa"/>
              <w:bottom w:w="80" w:type="dxa"/>
              <w:right w:w="100" w:type="dxa"/>
            </w:tcMar>
            <w:vAlign w:val="center"/>
          </w:tcPr>
          <w:p w14:paraId="4F95BFAF" w14:textId="77777777" w:rsidR="00EE281B" w:rsidRDefault="00EE281B" w:rsidP="004E5F5E">
            <w:pPr>
              <w:spacing w:line="264" w:lineRule="auto"/>
            </w:pPr>
            <w:r>
              <w:rPr>
                <w:sz w:val="20"/>
                <w:szCs w:val="20"/>
              </w:rPr>
              <w:t>6</w:t>
            </w:r>
          </w:p>
        </w:tc>
        <w:tc>
          <w:tcPr>
            <w:tcW w:w="3300" w:type="dxa"/>
            <w:shd w:val="clear" w:color="auto" w:fill="F2F4EC"/>
            <w:tcMar>
              <w:top w:w="80" w:type="dxa"/>
              <w:left w:w="100" w:type="dxa"/>
              <w:bottom w:w="80" w:type="dxa"/>
              <w:right w:w="100" w:type="dxa"/>
            </w:tcMar>
            <w:vAlign w:val="center"/>
          </w:tcPr>
          <w:p w14:paraId="3EE7816E" w14:textId="77777777" w:rsidR="00EE281B" w:rsidRDefault="00EE281B" w:rsidP="004E5F5E">
            <w:pPr>
              <w:spacing w:line="264" w:lineRule="auto"/>
            </w:pPr>
            <w:r>
              <w:rPr>
                <w:sz w:val="20"/>
                <w:szCs w:val="20"/>
              </w:rPr>
              <w:t>Early regulator engagement (Manage Closely)</w:t>
            </w:r>
          </w:p>
        </w:tc>
        <w:tc>
          <w:tcPr>
            <w:tcW w:w="1900" w:type="dxa"/>
            <w:shd w:val="clear" w:color="auto" w:fill="F2F4EC"/>
            <w:tcMar>
              <w:top w:w="80" w:type="dxa"/>
              <w:left w:w="100" w:type="dxa"/>
              <w:bottom w:w="80" w:type="dxa"/>
              <w:right w:w="100" w:type="dxa"/>
            </w:tcMar>
            <w:vAlign w:val="center"/>
          </w:tcPr>
          <w:p w14:paraId="525D1F2B" w14:textId="77777777" w:rsidR="00EE281B" w:rsidRDefault="00EE281B" w:rsidP="004E5F5E">
            <w:pPr>
              <w:spacing w:line="264" w:lineRule="auto"/>
            </w:pPr>
            <w:r>
              <w:rPr>
                <w:sz w:val="20"/>
                <w:szCs w:val="20"/>
              </w:rPr>
              <w:t>PM</w:t>
            </w:r>
          </w:p>
        </w:tc>
      </w:tr>
      <w:tr w:rsidR="00EE281B" w14:paraId="76659637" w14:textId="77777777" w:rsidTr="004E5F5E">
        <w:tc>
          <w:tcPr>
            <w:tcW w:w="900" w:type="dxa"/>
            <w:shd w:val="clear" w:color="auto" w:fill="FFFFFF"/>
            <w:tcMar>
              <w:top w:w="80" w:type="dxa"/>
              <w:left w:w="100" w:type="dxa"/>
              <w:bottom w:w="80" w:type="dxa"/>
              <w:right w:w="100" w:type="dxa"/>
            </w:tcMar>
            <w:vAlign w:val="center"/>
          </w:tcPr>
          <w:p w14:paraId="5B65697A" w14:textId="77777777" w:rsidR="00EE281B" w:rsidRDefault="00EE281B" w:rsidP="004E5F5E">
            <w:pPr>
              <w:spacing w:line="264" w:lineRule="auto"/>
            </w:pPr>
            <w:r>
              <w:rPr>
                <w:b/>
                <w:bCs/>
                <w:sz w:val="20"/>
                <w:szCs w:val="20"/>
              </w:rPr>
              <w:t>R4</w:t>
            </w:r>
          </w:p>
        </w:tc>
        <w:tc>
          <w:tcPr>
            <w:tcW w:w="2600" w:type="dxa"/>
            <w:shd w:val="clear" w:color="auto" w:fill="FFFFFF"/>
            <w:tcMar>
              <w:top w:w="80" w:type="dxa"/>
              <w:left w:w="100" w:type="dxa"/>
              <w:bottom w:w="80" w:type="dxa"/>
              <w:right w:w="100" w:type="dxa"/>
            </w:tcMar>
            <w:vAlign w:val="center"/>
          </w:tcPr>
          <w:p w14:paraId="5C8C4C7A" w14:textId="77777777" w:rsidR="00EE281B" w:rsidRDefault="00EE281B" w:rsidP="004E5F5E">
            <w:pPr>
              <w:spacing w:line="264" w:lineRule="auto"/>
            </w:pPr>
            <w:r>
              <w:rPr>
                <w:sz w:val="20"/>
                <w:szCs w:val="20"/>
              </w:rPr>
              <w:t>BREEAM rating shortfall</w:t>
            </w:r>
          </w:p>
        </w:tc>
        <w:tc>
          <w:tcPr>
            <w:tcW w:w="500" w:type="dxa"/>
            <w:shd w:val="clear" w:color="auto" w:fill="FFFFFF"/>
            <w:tcMar>
              <w:top w:w="80" w:type="dxa"/>
              <w:left w:w="100" w:type="dxa"/>
              <w:bottom w:w="80" w:type="dxa"/>
              <w:right w:w="100" w:type="dxa"/>
            </w:tcMar>
            <w:vAlign w:val="center"/>
          </w:tcPr>
          <w:p w14:paraId="0D5ED863" w14:textId="77777777" w:rsidR="00EE281B" w:rsidRDefault="00EE281B" w:rsidP="004E5F5E">
            <w:pPr>
              <w:spacing w:line="264" w:lineRule="auto"/>
            </w:pPr>
            <w:r>
              <w:rPr>
                <w:sz w:val="20"/>
                <w:szCs w:val="20"/>
              </w:rPr>
              <w:t>2</w:t>
            </w:r>
          </w:p>
        </w:tc>
        <w:tc>
          <w:tcPr>
            <w:tcW w:w="500" w:type="dxa"/>
            <w:shd w:val="clear" w:color="auto" w:fill="FFFFFF"/>
            <w:tcMar>
              <w:top w:w="80" w:type="dxa"/>
              <w:left w:w="100" w:type="dxa"/>
              <w:bottom w:w="80" w:type="dxa"/>
              <w:right w:w="100" w:type="dxa"/>
            </w:tcMar>
            <w:vAlign w:val="center"/>
          </w:tcPr>
          <w:p w14:paraId="0AA00F4E" w14:textId="77777777" w:rsidR="00EE281B" w:rsidRDefault="00EE281B" w:rsidP="004E5F5E">
            <w:pPr>
              <w:spacing w:line="264" w:lineRule="auto"/>
            </w:pPr>
            <w:r>
              <w:rPr>
                <w:sz w:val="20"/>
                <w:szCs w:val="20"/>
              </w:rPr>
              <w:t>3</w:t>
            </w:r>
          </w:p>
        </w:tc>
        <w:tc>
          <w:tcPr>
            <w:tcW w:w="700" w:type="dxa"/>
            <w:shd w:val="clear" w:color="auto" w:fill="FFFFFF"/>
            <w:tcMar>
              <w:top w:w="80" w:type="dxa"/>
              <w:left w:w="100" w:type="dxa"/>
              <w:bottom w:w="80" w:type="dxa"/>
              <w:right w:w="100" w:type="dxa"/>
            </w:tcMar>
            <w:vAlign w:val="center"/>
          </w:tcPr>
          <w:p w14:paraId="3977E5CC" w14:textId="77777777" w:rsidR="00EE281B" w:rsidRDefault="00EE281B" w:rsidP="004E5F5E">
            <w:pPr>
              <w:spacing w:line="264" w:lineRule="auto"/>
            </w:pPr>
            <w:r>
              <w:rPr>
                <w:sz w:val="20"/>
                <w:szCs w:val="20"/>
              </w:rPr>
              <w:t>6</w:t>
            </w:r>
          </w:p>
        </w:tc>
        <w:tc>
          <w:tcPr>
            <w:tcW w:w="3300" w:type="dxa"/>
            <w:shd w:val="clear" w:color="auto" w:fill="FFFFFF"/>
            <w:tcMar>
              <w:top w:w="80" w:type="dxa"/>
              <w:left w:w="100" w:type="dxa"/>
              <w:bottom w:w="80" w:type="dxa"/>
              <w:right w:w="100" w:type="dxa"/>
            </w:tcMar>
            <w:vAlign w:val="center"/>
          </w:tcPr>
          <w:p w14:paraId="47B7A15E" w14:textId="77777777" w:rsidR="00EE281B" w:rsidRDefault="00EE281B" w:rsidP="004E5F5E">
            <w:pPr>
              <w:spacing w:line="264" w:lineRule="auto"/>
            </w:pPr>
            <w:r>
              <w:rPr>
                <w:sz w:val="20"/>
                <w:szCs w:val="20"/>
              </w:rPr>
              <w:t>Independent BREEAM assessor engaged from design stage</w:t>
            </w:r>
          </w:p>
        </w:tc>
        <w:tc>
          <w:tcPr>
            <w:tcW w:w="1900" w:type="dxa"/>
            <w:shd w:val="clear" w:color="auto" w:fill="FFFFFF"/>
            <w:tcMar>
              <w:top w:w="80" w:type="dxa"/>
              <w:left w:w="100" w:type="dxa"/>
              <w:bottom w:w="80" w:type="dxa"/>
              <w:right w:w="100" w:type="dxa"/>
            </w:tcMar>
            <w:vAlign w:val="center"/>
          </w:tcPr>
          <w:p w14:paraId="6AB68051" w14:textId="77777777" w:rsidR="00EE281B" w:rsidRDefault="00EE281B" w:rsidP="004E5F5E">
            <w:pPr>
              <w:spacing w:line="264" w:lineRule="auto"/>
            </w:pPr>
            <w:r>
              <w:rPr>
                <w:sz w:val="20"/>
                <w:szCs w:val="20"/>
              </w:rPr>
              <w:t>Architect</w:t>
            </w:r>
          </w:p>
        </w:tc>
      </w:tr>
      <w:tr w:rsidR="00EE281B" w14:paraId="076145C3" w14:textId="77777777" w:rsidTr="004E5F5E">
        <w:tc>
          <w:tcPr>
            <w:tcW w:w="900" w:type="dxa"/>
            <w:shd w:val="clear" w:color="auto" w:fill="F2F4EC"/>
            <w:tcMar>
              <w:top w:w="80" w:type="dxa"/>
              <w:left w:w="100" w:type="dxa"/>
              <w:bottom w:w="80" w:type="dxa"/>
              <w:right w:w="100" w:type="dxa"/>
            </w:tcMar>
            <w:vAlign w:val="center"/>
          </w:tcPr>
          <w:p w14:paraId="3240A050" w14:textId="77777777" w:rsidR="00EE281B" w:rsidRDefault="00EE281B" w:rsidP="004E5F5E">
            <w:pPr>
              <w:spacing w:line="264" w:lineRule="auto"/>
            </w:pPr>
            <w:r>
              <w:rPr>
                <w:b/>
                <w:bCs/>
                <w:sz w:val="20"/>
                <w:szCs w:val="20"/>
              </w:rPr>
              <w:t>R5</w:t>
            </w:r>
          </w:p>
        </w:tc>
        <w:tc>
          <w:tcPr>
            <w:tcW w:w="2600" w:type="dxa"/>
            <w:shd w:val="clear" w:color="auto" w:fill="F2F4EC"/>
            <w:tcMar>
              <w:top w:w="80" w:type="dxa"/>
              <w:left w:w="100" w:type="dxa"/>
              <w:bottom w:w="80" w:type="dxa"/>
              <w:right w:w="100" w:type="dxa"/>
            </w:tcMar>
            <w:vAlign w:val="center"/>
          </w:tcPr>
          <w:p w14:paraId="7452D8ED" w14:textId="77777777" w:rsidR="00EE281B" w:rsidRDefault="00EE281B" w:rsidP="004E5F5E">
            <w:pPr>
              <w:spacing w:line="264" w:lineRule="auto"/>
            </w:pPr>
            <w:r>
              <w:rPr>
                <w:sz w:val="20"/>
                <w:szCs w:val="20"/>
              </w:rPr>
              <w:t>Digital integration failure</w:t>
            </w:r>
          </w:p>
        </w:tc>
        <w:tc>
          <w:tcPr>
            <w:tcW w:w="500" w:type="dxa"/>
            <w:shd w:val="clear" w:color="auto" w:fill="F2F4EC"/>
            <w:tcMar>
              <w:top w:w="80" w:type="dxa"/>
              <w:left w:w="100" w:type="dxa"/>
              <w:bottom w:w="80" w:type="dxa"/>
              <w:right w:w="100" w:type="dxa"/>
            </w:tcMar>
            <w:vAlign w:val="center"/>
          </w:tcPr>
          <w:p w14:paraId="29590152" w14:textId="77777777" w:rsidR="00EE281B" w:rsidRDefault="00EE281B" w:rsidP="004E5F5E">
            <w:pPr>
              <w:spacing w:line="264" w:lineRule="auto"/>
            </w:pPr>
            <w:r>
              <w:rPr>
                <w:sz w:val="20"/>
                <w:szCs w:val="20"/>
              </w:rPr>
              <w:t>3</w:t>
            </w:r>
          </w:p>
        </w:tc>
        <w:tc>
          <w:tcPr>
            <w:tcW w:w="500" w:type="dxa"/>
            <w:shd w:val="clear" w:color="auto" w:fill="F2F4EC"/>
            <w:tcMar>
              <w:top w:w="80" w:type="dxa"/>
              <w:left w:w="100" w:type="dxa"/>
              <w:bottom w:w="80" w:type="dxa"/>
              <w:right w:w="100" w:type="dxa"/>
            </w:tcMar>
            <w:vAlign w:val="center"/>
          </w:tcPr>
          <w:p w14:paraId="56947F21" w14:textId="77777777" w:rsidR="00EE281B" w:rsidRDefault="00EE281B" w:rsidP="004E5F5E">
            <w:pPr>
              <w:spacing w:line="264" w:lineRule="auto"/>
            </w:pPr>
            <w:r>
              <w:rPr>
                <w:sz w:val="20"/>
                <w:szCs w:val="20"/>
              </w:rPr>
              <w:t>3</w:t>
            </w:r>
          </w:p>
        </w:tc>
        <w:tc>
          <w:tcPr>
            <w:tcW w:w="700" w:type="dxa"/>
            <w:shd w:val="clear" w:color="auto" w:fill="F2F4EC"/>
            <w:tcMar>
              <w:top w:w="80" w:type="dxa"/>
              <w:left w:w="100" w:type="dxa"/>
              <w:bottom w:w="80" w:type="dxa"/>
              <w:right w:w="100" w:type="dxa"/>
            </w:tcMar>
            <w:vAlign w:val="center"/>
          </w:tcPr>
          <w:p w14:paraId="19DDF4C0" w14:textId="77777777" w:rsidR="00EE281B" w:rsidRDefault="00EE281B" w:rsidP="004E5F5E">
            <w:pPr>
              <w:spacing w:line="264" w:lineRule="auto"/>
            </w:pPr>
            <w:r>
              <w:rPr>
                <w:sz w:val="20"/>
                <w:szCs w:val="20"/>
              </w:rPr>
              <w:t>9</w:t>
            </w:r>
          </w:p>
        </w:tc>
        <w:tc>
          <w:tcPr>
            <w:tcW w:w="3300" w:type="dxa"/>
            <w:shd w:val="clear" w:color="auto" w:fill="F2F4EC"/>
            <w:tcMar>
              <w:top w:w="80" w:type="dxa"/>
              <w:left w:w="100" w:type="dxa"/>
              <w:bottom w:w="80" w:type="dxa"/>
              <w:right w:w="100" w:type="dxa"/>
            </w:tcMar>
            <w:vAlign w:val="center"/>
          </w:tcPr>
          <w:p w14:paraId="73032278" w14:textId="77777777" w:rsidR="00EE281B" w:rsidRDefault="00EE281B" w:rsidP="004E5F5E">
            <w:pPr>
              <w:spacing w:line="264" w:lineRule="auto"/>
            </w:pPr>
            <w:r>
              <w:rPr>
                <w:sz w:val="20"/>
                <w:szCs w:val="20"/>
              </w:rPr>
              <w:t>Overlapping systems/testing schedule (Fig. 3)</w:t>
            </w:r>
          </w:p>
        </w:tc>
        <w:tc>
          <w:tcPr>
            <w:tcW w:w="1900" w:type="dxa"/>
            <w:shd w:val="clear" w:color="auto" w:fill="F2F4EC"/>
            <w:tcMar>
              <w:top w:w="80" w:type="dxa"/>
              <w:left w:w="100" w:type="dxa"/>
              <w:bottom w:w="80" w:type="dxa"/>
              <w:right w:w="100" w:type="dxa"/>
            </w:tcMar>
            <w:vAlign w:val="center"/>
          </w:tcPr>
          <w:p w14:paraId="5A4E42B0" w14:textId="77777777" w:rsidR="00EE281B" w:rsidRDefault="00EE281B" w:rsidP="004E5F5E">
            <w:pPr>
              <w:spacing w:line="264" w:lineRule="auto"/>
            </w:pPr>
            <w:r>
              <w:rPr>
                <w:sz w:val="20"/>
                <w:szCs w:val="20"/>
              </w:rPr>
              <w:t>IT Integrator</w:t>
            </w:r>
          </w:p>
        </w:tc>
      </w:tr>
      <w:tr w:rsidR="00EE281B" w14:paraId="62AF7FD6" w14:textId="77777777" w:rsidTr="004E5F5E">
        <w:tc>
          <w:tcPr>
            <w:tcW w:w="900" w:type="dxa"/>
            <w:shd w:val="clear" w:color="auto" w:fill="FFFFFF"/>
            <w:tcMar>
              <w:top w:w="80" w:type="dxa"/>
              <w:left w:w="100" w:type="dxa"/>
              <w:bottom w:w="80" w:type="dxa"/>
              <w:right w:w="100" w:type="dxa"/>
            </w:tcMar>
            <w:vAlign w:val="center"/>
          </w:tcPr>
          <w:p w14:paraId="39BE0BED" w14:textId="77777777" w:rsidR="00EE281B" w:rsidRDefault="00EE281B" w:rsidP="004E5F5E">
            <w:pPr>
              <w:spacing w:line="264" w:lineRule="auto"/>
            </w:pPr>
            <w:r>
              <w:rPr>
                <w:b/>
                <w:bCs/>
                <w:sz w:val="20"/>
                <w:szCs w:val="20"/>
              </w:rPr>
              <w:t>R6</w:t>
            </w:r>
          </w:p>
        </w:tc>
        <w:tc>
          <w:tcPr>
            <w:tcW w:w="2600" w:type="dxa"/>
            <w:shd w:val="clear" w:color="auto" w:fill="FFFFFF"/>
            <w:tcMar>
              <w:top w:w="80" w:type="dxa"/>
              <w:left w:w="100" w:type="dxa"/>
              <w:bottom w:w="80" w:type="dxa"/>
              <w:right w:w="100" w:type="dxa"/>
            </w:tcMar>
            <w:vAlign w:val="center"/>
          </w:tcPr>
          <w:p w14:paraId="4ADC64E1" w14:textId="77777777" w:rsidR="00EE281B" w:rsidRDefault="00EE281B" w:rsidP="004E5F5E">
            <w:pPr>
              <w:spacing w:line="264" w:lineRule="auto"/>
            </w:pPr>
            <w:r>
              <w:rPr>
                <w:sz w:val="20"/>
                <w:szCs w:val="20"/>
              </w:rPr>
              <w:t xml:space="preserve">Skilled </w:t>
            </w:r>
            <w:proofErr w:type="spellStart"/>
            <w:r>
              <w:rPr>
                <w:sz w:val="20"/>
                <w:szCs w:val="20"/>
              </w:rPr>
              <w:t>labour</w:t>
            </w:r>
            <w:proofErr w:type="spellEnd"/>
            <w:r>
              <w:rPr>
                <w:sz w:val="20"/>
                <w:szCs w:val="20"/>
              </w:rPr>
              <w:t xml:space="preserve"> shortage</w:t>
            </w:r>
          </w:p>
        </w:tc>
        <w:tc>
          <w:tcPr>
            <w:tcW w:w="500" w:type="dxa"/>
            <w:shd w:val="clear" w:color="auto" w:fill="FFFFFF"/>
            <w:tcMar>
              <w:top w:w="80" w:type="dxa"/>
              <w:left w:w="100" w:type="dxa"/>
              <w:bottom w:w="80" w:type="dxa"/>
              <w:right w:w="100" w:type="dxa"/>
            </w:tcMar>
            <w:vAlign w:val="center"/>
          </w:tcPr>
          <w:p w14:paraId="0416E728" w14:textId="77777777" w:rsidR="00EE281B" w:rsidRDefault="00EE281B" w:rsidP="004E5F5E">
            <w:pPr>
              <w:spacing w:line="264" w:lineRule="auto"/>
            </w:pPr>
            <w:r>
              <w:rPr>
                <w:sz w:val="20"/>
                <w:szCs w:val="20"/>
              </w:rPr>
              <w:t>3</w:t>
            </w:r>
          </w:p>
        </w:tc>
        <w:tc>
          <w:tcPr>
            <w:tcW w:w="500" w:type="dxa"/>
            <w:shd w:val="clear" w:color="auto" w:fill="FFFFFF"/>
            <w:tcMar>
              <w:top w:w="80" w:type="dxa"/>
              <w:left w:w="100" w:type="dxa"/>
              <w:bottom w:w="80" w:type="dxa"/>
              <w:right w:w="100" w:type="dxa"/>
            </w:tcMar>
            <w:vAlign w:val="center"/>
          </w:tcPr>
          <w:p w14:paraId="7DAE8DB8" w14:textId="77777777" w:rsidR="00EE281B" w:rsidRDefault="00EE281B" w:rsidP="004E5F5E">
            <w:pPr>
              <w:spacing w:line="264" w:lineRule="auto"/>
            </w:pPr>
            <w:r>
              <w:rPr>
                <w:sz w:val="20"/>
                <w:szCs w:val="20"/>
              </w:rPr>
              <w:t>2</w:t>
            </w:r>
          </w:p>
        </w:tc>
        <w:tc>
          <w:tcPr>
            <w:tcW w:w="700" w:type="dxa"/>
            <w:shd w:val="clear" w:color="auto" w:fill="FFFFFF"/>
            <w:tcMar>
              <w:top w:w="80" w:type="dxa"/>
              <w:left w:w="100" w:type="dxa"/>
              <w:bottom w:w="80" w:type="dxa"/>
              <w:right w:w="100" w:type="dxa"/>
            </w:tcMar>
            <w:vAlign w:val="center"/>
          </w:tcPr>
          <w:p w14:paraId="2C7FC1C8" w14:textId="77777777" w:rsidR="00EE281B" w:rsidRDefault="00EE281B" w:rsidP="004E5F5E">
            <w:pPr>
              <w:spacing w:line="264" w:lineRule="auto"/>
            </w:pPr>
            <w:r>
              <w:rPr>
                <w:sz w:val="20"/>
                <w:szCs w:val="20"/>
              </w:rPr>
              <w:t>6</w:t>
            </w:r>
          </w:p>
        </w:tc>
        <w:tc>
          <w:tcPr>
            <w:tcW w:w="3300" w:type="dxa"/>
            <w:shd w:val="clear" w:color="auto" w:fill="FFFFFF"/>
            <w:tcMar>
              <w:top w:w="80" w:type="dxa"/>
              <w:left w:w="100" w:type="dxa"/>
              <w:bottom w:w="80" w:type="dxa"/>
              <w:right w:w="100" w:type="dxa"/>
            </w:tcMar>
            <w:vAlign w:val="center"/>
          </w:tcPr>
          <w:p w14:paraId="3C39EBE6" w14:textId="77777777" w:rsidR="00EE281B" w:rsidRDefault="00EE281B" w:rsidP="004E5F5E">
            <w:pPr>
              <w:spacing w:line="264" w:lineRule="auto"/>
            </w:pPr>
            <w:r>
              <w:rPr>
                <w:sz w:val="20"/>
                <w:szCs w:val="20"/>
              </w:rPr>
              <w:t xml:space="preserve">Early contractor </w:t>
            </w:r>
            <w:proofErr w:type="spellStart"/>
            <w:r>
              <w:rPr>
                <w:sz w:val="20"/>
                <w:szCs w:val="20"/>
              </w:rPr>
              <w:t>labour</w:t>
            </w:r>
            <w:proofErr w:type="spellEnd"/>
            <w:r>
              <w:rPr>
                <w:sz w:val="20"/>
                <w:szCs w:val="20"/>
              </w:rPr>
              <w:t xml:space="preserve"> planning</w:t>
            </w:r>
          </w:p>
        </w:tc>
        <w:tc>
          <w:tcPr>
            <w:tcW w:w="1900" w:type="dxa"/>
            <w:shd w:val="clear" w:color="auto" w:fill="FFFFFF"/>
            <w:tcMar>
              <w:top w:w="80" w:type="dxa"/>
              <w:left w:w="100" w:type="dxa"/>
              <w:bottom w:w="80" w:type="dxa"/>
              <w:right w:w="100" w:type="dxa"/>
            </w:tcMar>
            <w:vAlign w:val="center"/>
          </w:tcPr>
          <w:p w14:paraId="151BB305" w14:textId="77777777" w:rsidR="00EE281B" w:rsidRDefault="00EE281B" w:rsidP="004E5F5E">
            <w:pPr>
              <w:spacing w:line="264" w:lineRule="auto"/>
            </w:pPr>
            <w:r>
              <w:rPr>
                <w:sz w:val="20"/>
                <w:szCs w:val="20"/>
              </w:rPr>
              <w:t>Main Contractor</w:t>
            </w:r>
          </w:p>
        </w:tc>
      </w:tr>
      <w:tr w:rsidR="00EE281B" w14:paraId="2B06806F" w14:textId="77777777" w:rsidTr="004E5F5E">
        <w:tc>
          <w:tcPr>
            <w:tcW w:w="900" w:type="dxa"/>
            <w:shd w:val="clear" w:color="auto" w:fill="F2F4EC"/>
            <w:tcMar>
              <w:top w:w="80" w:type="dxa"/>
              <w:left w:w="100" w:type="dxa"/>
              <w:bottom w:w="80" w:type="dxa"/>
              <w:right w:w="100" w:type="dxa"/>
            </w:tcMar>
            <w:vAlign w:val="center"/>
          </w:tcPr>
          <w:p w14:paraId="01C8175A" w14:textId="77777777" w:rsidR="00EE281B" w:rsidRDefault="00EE281B" w:rsidP="004E5F5E">
            <w:pPr>
              <w:spacing w:line="264" w:lineRule="auto"/>
            </w:pPr>
            <w:r>
              <w:rPr>
                <w:b/>
                <w:bCs/>
                <w:sz w:val="20"/>
                <w:szCs w:val="20"/>
              </w:rPr>
              <w:t>R7</w:t>
            </w:r>
          </w:p>
        </w:tc>
        <w:tc>
          <w:tcPr>
            <w:tcW w:w="2600" w:type="dxa"/>
            <w:shd w:val="clear" w:color="auto" w:fill="F2F4EC"/>
            <w:tcMar>
              <w:top w:w="80" w:type="dxa"/>
              <w:left w:w="100" w:type="dxa"/>
              <w:bottom w:w="80" w:type="dxa"/>
              <w:right w:w="100" w:type="dxa"/>
            </w:tcMar>
            <w:vAlign w:val="center"/>
          </w:tcPr>
          <w:p w14:paraId="74348CAB" w14:textId="77777777" w:rsidR="00EE281B" w:rsidRDefault="00EE281B" w:rsidP="004E5F5E">
            <w:pPr>
              <w:spacing w:line="264" w:lineRule="auto"/>
            </w:pPr>
            <w:r>
              <w:rPr>
                <w:sz w:val="20"/>
                <w:szCs w:val="20"/>
              </w:rPr>
              <w:t>Adverse weather delay</w:t>
            </w:r>
          </w:p>
        </w:tc>
        <w:tc>
          <w:tcPr>
            <w:tcW w:w="500" w:type="dxa"/>
            <w:shd w:val="clear" w:color="auto" w:fill="F2F4EC"/>
            <w:tcMar>
              <w:top w:w="80" w:type="dxa"/>
              <w:left w:w="100" w:type="dxa"/>
              <w:bottom w:w="80" w:type="dxa"/>
              <w:right w:w="100" w:type="dxa"/>
            </w:tcMar>
            <w:vAlign w:val="center"/>
          </w:tcPr>
          <w:p w14:paraId="1F056613" w14:textId="77777777" w:rsidR="00EE281B" w:rsidRDefault="00EE281B" w:rsidP="004E5F5E">
            <w:pPr>
              <w:spacing w:line="264" w:lineRule="auto"/>
            </w:pPr>
            <w:r>
              <w:rPr>
                <w:sz w:val="20"/>
                <w:szCs w:val="20"/>
              </w:rPr>
              <w:t>4</w:t>
            </w:r>
          </w:p>
        </w:tc>
        <w:tc>
          <w:tcPr>
            <w:tcW w:w="500" w:type="dxa"/>
            <w:shd w:val="clear" w:color="auto" w:fill="F2F4EC"/>
            <w:tcMar>
              <w:top w:w="80" w:type="dxa"/>
              <w:left w:w="100" w:type="dxa"/>
              <w:bottom w:w="80" w:type="dxa"/>
              <w:right w:w="100" w:type="dxa"/>
            </w:tcMar>
            <w:vAlign w:val="center"/>
          </w:tcPr>
          <w:p w14:paraId="2D29AB50" w14:textId="77777777" w:rsidR="00EE281B" w:rsidRDefault="00EE281B" w:rsidP="004E5F5E">
            <w:pPr>
              <w:spacing w:line="264" w:lineRule="auto"/>
            </w:pPr>
            <w:r>
              <w:rPr>
                <w:sz w:val="20"/>
                <w:szCs w:val="20"/>
              </w:rPr>
              <w:t>2</w:t>
            </w:r>
          </w:p>
        </w:tc>
        <w:tc>
          <w:tcPr>
            <w:tcW w:w="700" w:type="dxa"/>
            <w:shd w:val="clear" w:color="auto" w:fill="F2F4EC"/>
            <w:tcMar>
              <w:top w:w="80" w:type="dxa"/>
              <w:left w:w="100" w:type="dxa"/>
              <w:bottom w:w="80" w:type="dxa"/>
              <w:right w:w="100" w:type="dxa"/>
            </w:tcMar>
            <w:vAlign w:val="center"/>
          </w:tcPr>
          <w:p w14:paraId="329DEFAF" w14:textId="77777777" w:rsidR="00EE281B" w:rsidRDefault="00EE281B" w:rsidP="004E5F5E">
            <w:pPr>
              <w:spacing w:line="264" w:lineRule="auto"/>
            </w:pPr>
            <w:r>
              <w:rPr>
                <w:sz w:val="20"/>
                <w:szCs w:val="20"/>
              </w:rPr>
              <w:t>8</w:t>
            </w:r>
          </w:p>
        </w:tc>
        <w:tc>
          <w:tcPr>
            <w:tcW w:w="3300" w:type="dxa"/>
            <w:shd w:val="clear" w:color="auto" w:fill="F2F4EC"/>
            <w:tcMar>
              <w:top w:w="80" w:type="dxa"/>
              <w:left w:w="100" w:type="dxa"/>
              <w:bottom w:w="80" w:type="dxa"/>
              <w:right w:w="100" w:type="dxa"/>
            </w:tcMar>
            <w:vAlign w:val="center"/>
          </w:tcPr>
          <w:p w14:paraId="7000DB52" w14:textId="77777777" w:rsidR="00EE281B" w:rsidRDefault="00EE281B" w:rsidP="004E5F5E">
            <w:pPr>
              <w:spacing w:line="264" w:lineRule="auto"/>
            </w:pPr>
            <w:r>
              <w:rPr>
                <w:sz w:val="20"/>
                <w:szCs w:val="20"/>
              </w:rPr>
              <w:t>Schedule float built into construction stage</w:t>
            </w:r>
          </w:p>
        </w:tc>
        <w:tc>
          <w:tcPr>
            <w:tcW w:w="1900" w:type="dxa"/>
            <w:shd w:val="clear" w:color="auto" w:fill="F2F4EC"/>
            <w:tcMar>
              <w:top w:w="80" w:type="dxa"/>
              <w:left w:w="100" w:type="dxa"/>
              <w:bottom w:w="80" w:type="dxa"/>
              <w:right w:w="100" w:type="dxa"/>
            </w:tcMar>
            <w:vAlign w:val="center"/>
          </w:tcPr>
          <w:p w14:paraId="6BEAD551" w14:textId="77777777" w:rsidR="00EE281B" w:rsidRDefault="00EE281B" w:rsidP="004E5F5E">
            <w:pPr>
              <w:spacing w:line="264" w:lineRule="auto"/>
            </w:pPr>
            <w:r>
              <w:rPr>
                <w:sz w:val="20"/>
                <w:szCs w:val="20"/>
              </w:rPr>
              <w:t>Main Contractor</w:t>
            </w:r>
          </w:p>
        </w:tc>
      </w:tr>
      <w:tr w:rsidR="00EE281B" w14:paraId="7D08D7CF" w14:textId="77777777" w:rsidTr="004E5F5E">
        <w:tc>
          <w:tcPr>
            <w:tcW w:w="900" w:type="dxa"/>
            <w:shd w:val="clear" w:color="auto" w:fill="FFFFFF"/>
            <w:tcMar>
              <w:top w:w="80" w:type="dxa"/>
              <w:left w:w="100" w:type="dxa"/>
              <w:bottom w:w="80" w:type="dxa"/>
              <w:right w:w="100" w:type="dxa"/>
            </w:tcMar>
            <w:vAlign w:val="center"/>
          </w:tcPr>
          <w:p w14:paraId="3379ED7A" w14:textId="77777777" w:rsidR="00EE281B" w:rsidRDefault="00EE281B" w:rsidP="004E5F5E">
            <w:pPr>
              <w:spacing w:line="264" w:lineRule="auto"/>
            </w:pPr>
            <w:r>
              <w:rPr>
                <w:b/>
                <w:bCs/>
                <w:sz w:val="20"/>
                <w:szCs w:val="20"/>
              </w:rPr>
              <w:t>R8</w:t>
            </w:r>
          </w:p>
        </w:tc>
        <w:tc>
          <w:tcPr>
            <w:tcW w:w="2600" w:type="dxa"/>
            <w:shd w:val="clear" w:color="auto" w:fill="FFFFFF"/>
            <w:tcMar>
              <w:top w:w="80" w:type="dxa"/>
              <w:left w:w="100" w:type="dxa"/>
              <w:bottom w:w="80" w:type="dxa"/>
              <w:right w:w="100" w:type="dxa"/>
            </w:tcMar>
            <w:vAlign w:val="center"/>
          </w:tcPr>
          <w:p w14:paraId="67984247" w14:textId="77777777" w:rsidR="00EE281B" w:rsidRDefault="00EE281B" w:rsidP="004E5F5E">
            <w:pPr>
              <w:spacing w:line="264" w:lineRule="auto"/>
            </w:pPr>
            <w:r>
              <w:rPr>
                <w:sz w:val="20"/>
                <w:szCs w:val="20"/>
              </w:rPr>
              <w:t>Community/stakeholder objection</w:t>
            </w:r>
          </w:p>
        </w:tc>
        <w:tc>
          <w:tcPr>
            <w:tcW w:w="500" w:type="dxa"/>
            <w:shd w:val="clear" w:color="auto" w:fill="FFFFFF"/>
            <w:tcMar>
              <w:top w:w="80" w:type="dxa"/>
              <w:left w:w="100" w:type="dxa"/>
              <w:bottom w:w="80" w:type="dxa"/>
              <w:right w:w="100" w:type="dxa"/>
            </w:tcMar>
            <w:vAlign w:val="center"/>
          </w:tcPr>
          <w:p w14:paraId="57337948" w14:textId="77777777" w:rsidR="00EE281B" w:rsidRDefault="00EE281B" w:rsidP="004E5F5E">
            <w:pPr>
              <w:spacing w:line="264" w:lineRule="auto"/>
            </w:pPr>
            <w:r>
              <w:rPr>
                <w:sz w:val="20"/>
                <w:szCs w:val="20"/>
              </w:rPr>
              <w:t>2</w:t>
            </w:r>
          </w:p>
        </w:tc>
        <w:tc>
          <w:tcPr>
            <w:tcW w:w="500" w:type="dxa"/>
            <w:shd w:val="clear" w:color="auto" w:fill="FFFFFF"/>
            <w:tcMar>
              <w:top w:w="80" w:type="dxa"/>
              <w:left w:w="100" w:type="dxa"/>
              <w:bottom w:w="80" w:type="dxa"/>
              <w:right w:w="100" w:type="dxa"/>
            </w:tcMar>
            <w:vAlign w:val="center"/>
          </w:tcPr>
          <w:p w14:paraId="6CC090AD" w14:textId="77777777" w:rsidR="00EE281B" w:rsidRDefault="00EE281B" w:rsidP="004E5F5E">
            <w:pPr>
              <w:spacing w:line="264" w:lineRule="auto"/>
            </w:pPr>
            <w:r>
              <w:rPr>
                <w:sz w:val="20"/>
                <w:szCs w:val="20"/>
              </w:rPr>
              <w:t>2</w:t>
            </w:r>
          </w:p>
        </w:tc>
        <w:tc>
          <w:tcPr>
            <w:tcW w:w="700" w:type="dxa"/>
            <w:shd w:val="clear" w:color="auto" w:fill="FFFFFF"/>
            <w:tcMar>
              <w:top w:w="80" w:type="dxa"/>
              <w:left w:w="100" w:type="dxa"/>
              <w:bottom w:w="80" w:type="dxa"/>
              <w:right w:w="100" w:type="dxa"/>
            </w:tcMar>
            <w:vAlign w:val="center"/>
          </w:tcPr>
          <w:p w14:paraId="327B2EAA" w14:textId="77777777" w:rsidR="00EE281B" w:rsidRDefault="00EE281B" w:rsidP="004E5F5E">
            <w:pPr>
              <w:spacing w:line="264" w:lineRule="auto"/>
            </w:pPr>
            <w:r>
              <w:rPr>
                <w:sz w:val="20"/>
                <w:szCs w:val="20"/>
              </w:rPr>
              <w:t>4</w:t>
            </w:r>
          </w:p>
        </w:tc>
        <w:tc>
          <w:tcPr>
            <w:tcW w:w="3300" w:type="dxa"/>
            <w:shd w:val="clear" w:color="auto" w:fill="FFFFFF"/>
            <w:tcMar>
              <w:top w:w="80" w:type="dxa"/>
              <w:left w:w="100" w:type="dxa"/>
              <w:bottom w:w="80" w:type="dxa"/>
              <w:right w:w="100" w:type="dxa"/>
            </w:tcMar>
            <w:vAlign w:val="center"/>
          </w:tcPr>
          <w:p w14:paraId="3ABA064D" w14:textId="77777777" w:rsidR="00EE281B" w:rsidRDefault="00EE281B" w:rsidP="004E5F5E">
            <w:pPr>
              <w:spacing w:line="264" w:lineRule="auto"/>
            </w:pPr>
            <w:r>
              <w:rPr>
                <w:sz w:val="20"/>
                <w:szCs w:val="20"/>
              </w:rPr>
              <w:t xml:space="preserve">Keep </w:t>
            </w:r>
            <w:proofErr w:type="gramStart"/>
            <w:r>
              <w:rPr>
                <w:sz w:val="20"/>
                <w:szCs w:val="20"/>
              </w:rPr>
              <w:t>Informed</w:t>
            </w:r>
            <w:proofErr w:type="gramEnd"/>
            <w:r>
              <w:rPr>
                <w:sz w:val="20"/>
                <w:szCs w:val="20"/>
              </w:rPr>
              <w:t xml:space="preserve"> engagement strategy (Section 7)</w:t>
            </w:r>
          </w:p>
        </w:tc>
        <w:tc>
          <w:tcPr>
            <w:tcW w:w="1900" w:type="dxa"/>
            <w:shd w:val="clear" w:color="auto" w:fill="FFFFFF"/>
            <w:tcMar>
              <w:top w:w="80" w:type="dxa"/>
              <w:left w:w="100" w:type="dxa"/>
              <w:bottom w:w="80" w:type="dxa"/>
              <w:right w:w="100" w:type="dxa"/>
            </w:tcMar>
            <w:vAlign w:val="center"/>
          </w:tcPr>
          <w:p w14:paraId="0D9089F3" w14:textId="77777777" w:rsidR="00EE281B" w:rsidRDefault="00EE281B" w:rsidP="004E5F5E">
            <w:pPr>
              <w:spacing w:line="264" w:lineRule="auto"/>
            </w:pPr>
            <w:r>
              <w:rPr>
                <w:sz w:val="20"/>
                <w:szCs w:val="20"/>
              </w:rPr>
              <w:t>PM</w:t>
            </w:r>
          </w:p>
        </w:tc>
      </w:tr>
    </w:tbl>
    <w:p w14:paraId="574C2AAA" w14:textId="77777777" w:rsidR="00EE281B" w:rsidRDefault="00EE281B" w:rsidP="00EE281B">
      <w:pPr>
        <w:spacing w:before="80" w:after="240"/>
        <w:jc w:val="center"/>
      </w:pPr>
      <w:r>
        <w:rPr>
          <w:i/>
          <w:iCs/>
          <w:color w:val="555555"/>
          <w:sz w:val="21"/>
          <w:szCs w:val="21"/>
        </w:rPr>
        <w:t>Table 5: Risk Register (L = Likelihood, I = Impact, both scored 1-5)</w:t>
      </w:r>
    </w:p>
    <w:p w14:paraId="200DAF60" w14:textId="77777777" w:rsidR="00EE281B" w:rsidRDefault="00EE281B" w:rsidP="00EE281B">
      <w:pPr>
        <w:spacing w:after="200" w:line="360" w:lineRule="auto"/>
      </w:pPr>
      <w:r w:rsidRPr="00181485">
        <w:t xml:space="preserve">The highest-scoring risks are around utility diversion delays and construction budget overrun; both are linked to the construction phase as the longest and most resources-consuming phase of the </w:t>
      </w:r>
      <w:proofErr w:type="spellStart"/>
      <w:r w:rsidRPr="00181485">
        <w:t>programme</w:t>
      </w:r>
      <w:proofErr w:type="spellEnd"/>
      <w:r w:rsidRPr="00181485">
        <w:t xml:space="preserve"> shown in the Gantt chart and are addressed in the former case by doing utility diversion survey work in advance, and in the case of the construction budget overrun by the ring fenced contingency reserve discussed above and released on delegated authority (Hillson and Simon, 2020). Digital systems integration failure scores as a moderate to high risk due to the technical aspects of the systems integration that takes place within the context of a live construction </w:t>
      </w:r>
      <w:proofErr w:type="spellStart"/>
      <w:r w:rsidRPr="00181485">
        <w:t>programme</w:t>
      </w:r>
      <w:proofErr w:type="spellEnd"/>
      <w:r w:rsidRPr="00181485">
        <w:t xml:space="preserve">, but this is compensated for by the intentionally overlapping systems and testing schedule illustrated in Figure 3, which will allow for any integration issues to be identified and addressed prior to the end of </w:t>
      </w:r>
      <w:proofErr w:type="spellStart"/>
      <w:r w:rsidRPr="00181485">
        <w:t>programme</w:t>
      </w:r>
      <w:proofErr w:type="spellEnd"/>
      <w:r w:rsidRPr="00181485">
        <w:t xml:space="preserve"> testing window. States and territories have adopted a dynamic stakeholder engagement approach, set out above, as a mechanism to actively monitor lower-scored risks, such as regulatory objection and community objection since the "Manage Closely" and "Keep Informed" engagement activities described for regulators and local communities are themselves the primary controls mitigating such risks rather than a separate technical response (Freeman, 1984).</w:t>
      </w:r>
    </w:p>
    <w:p w14:paraId="480DB3C4" w14:textId="77777777" w:rsidR="00EE281B" w:rsidRDefault="00EE281B" w:rsidP="00EE281B">
      <w:pPr>
        <w:rPr>
          <w:b/>
          <w:bCs/>
          <w:color w:val="1F4E2C"/>
          <w:sz w:val="28"/>
          <w:szCs w:val="28"/>
        </w:rPr>
      </w:pPr>
      <w:bookmarkStart w:id="18" w:name="_Toc236077867"/>
      <w:bookmarkStart w:id="19" w:name="_Toc236078389"/>
      <w:r>
        <w:rPr>
          <w:bCs/>
          <w:color w:val="1F4E2C"/>
          <w:sz w:val="28"/>
          <w:szCs w:val="28"/>
        </w:rPr>
        <w:br w:type="page"/>
      </w:r>
    </w:p>
    <w:p w14:paraId="50B64164" w14:textId="77777777" w:rsidR="00EE281B" w:rsidRDefault="00EE281B" w:rsidP="00EE281B">
      <w:pPr>
        <w:pStyle w:val="Heading1"/>
        <w:spacing w:before="320" w:after="160" w:line="360" w:lineRule="auto"/>
      </w:pPr>
      <w:r>
        <w:rPr>
          <w:bCs/>
          <w:color w:val="1F4E2C"/>
          <w:sz w:val="28"/>
          <w:szCs w:val="28"/>
        </w:rPr>
        <w:lastRenderedPageBreak/>
        <w:t>Conclusion</w:t>
      </w:r>
      <w:bookmarkEnd w:id="18"/>
      <w:bookmarkEnd w:id="19"/>
    </w:p>
    <w:p w14:paraId="7AF77556" w14:textId="77777777" w:rsidR="00EE281B" w:rsidRDefault="00EE281B" w:rsidP="00EE281B">
      <w:pPr>
        <w:spacing w:after="200" w:line="360" w:lineRule="auto"/>
      </w:pPr>
      <w:r>
        <w:t xml:space="preserve">The Project Management Plan sets out the planning, timing, resourcing and risk management for the Central Transport Hub Regeneration </w:t>
      </w:r>
      <w:proofErr w:type="spellStart"/>
      <w:r>
        <w:t>programme</w:t>
      </w:r>
      <w:proofErr w:type="spellEnd"/>
      <w:r>
        <w:t xml:space="preserve"> to rebuild key transport infrastructure in a </w:t>
      </w:r>
      <w:proofErr w:type="gramStart"/>
      <w:r>
        <w:t>24 month</w:t>
      </w:r>
      <w:proofErr w:type="gramEnd"/>
      <w:r>
        <w:t xml:space="preserve"> period and achieve net-zero and digital </w:t>
      </w:r>
      <w:proofErr w:type="spellStart"/>
      <w:r>
        <w:t>modernisation</w:t>
      </w:r>
      <w:proofErr w:type="spellEnd"/>
      <w:r>
        <w:t xml:space="preserve"> goals. The high-level proposal is broken down into a delivery plan using a Level 3 work breakdown structure along with a detailed Gantt chart, Mendelow's stakeholder matrix and a disaggregated risk heat map, which directly addresses the specific limitations identified from the tutor and peer feedback on the original poster to create a delivery plan that is actionable and governable.</w:t>
      </w:r>
    </w:p>
    <w:p w14:paraId="025D668C" w14:textId="77777777" w:rsidR="00EE281B" w:rsidRDefault="00EE281B" w:rsidP="00EE281B">
      <w:pPr>
        <w:spacing w:after="200" w:line="360" w:lineRule="auto"/>
      </w:pPr>
      <w:r>
        <w:t xml:space="preserve">The most powerful aspect of the plan is the phased, gate-checked governance approach that provides the Council and Funders with multiple, data-informed opportunities to determine </w:t>
      </w:r>
      <w:proofErr w:type="gramStart"/>
      <w:r>
        <w:t>whether or not</w:t>
      </w:r>
      <w:proofErr w:type="gramEnd"/>
      <w:r>
        <w:t xml:space="preserve"> cost, schedule and risk are tolerable before additional capital is spent. Its main weaknesses are that the construction phase relies on the timely diversion of utilities and cost control, which are the two biggest risks in the above identified analysis. In subsequent development of this plan, it could be helpful to commit to utility survey work earlier in the development of the </w:t>
      </w:r>
      <w:proofErr w:type="spellStart"/>
      <w:r>
        <w:t>programme</w:t>
      </w:r>
      <w:proofErr w:type="spellEnd"/>
      <w:r>
        <w:t xml:space="preserve">, rather than waiting until the </w:t>
      </w:r>
      <w:proofErr w:type="spellStart"/>
      <w:r>
        <w:t>programme</w:t>
      </w:r>
      <w:proofErr w:type="spellEnd"/>
      <w:r>
        <w:t xml:space="preserve"> has formally commenced, as this was the largest source of schedule risk.</w:t>
      </w:r>
    </w:p>
    <w:p w14:paraId="5433B78A" w14:textId="77777777" w:rsidR="00EE281B" w:rsidRDefault="00EE281B" w:rsidP="00EE281B">
      <w:pPr>
        <w:rPr>
          <w:b/>
          <w:bCs/>
          <w:color w:val="1F4E2C"/>
          <w:sz w:val="28"/>
          <w:szCs w:val="28"/>
        </w:rPr>
      </w:pPr>
      <w:bookmarkStart w:id="20" w:name="_Toc236077868"/>
      <w:bookmarkStart w:id="21" w:name="_Toc236078390"/>
      <w:r>
        <w:rPr>
          <w:bCs/>
          <w:color w:val="1F4E2C"/>
          <w:sz w:val="28"/>
          <w:szCs w:val="28"/>
        </w:rPr>
        <w:br w:type="page"/>
      </w:r>
    </w:p>
    <w:p w14:paraId="5F150931" w14:textId="77777777" w:rsidR="00EE281B" w:rsidRDefault="00EE281B" w:rsidP="00EE281B">
      <w:pPr>
        <w:pStyle w:val="Heading1"/>
        <w:spacing w:before="320" w:after="160" w:line="360" w:lineRule="auto"/>
      </w:pPr>
      <w:r>
        <w:rPr>
          <w:bCs/>
          <w:color w:val="1F4E2C"/>
          <w:sz w:val="28"/>
          <w:szCs w:val="28"/>
        </w:rPr>
        <w:lastRenderedPageBreak/>
        <w:t>References</w:t>
      </w:r>
      <w:bookmarkEnd w:id="20"/>
      <w:bookmarkEnd w:id="21"/>
    </w:p>
    <w:p w14:paraId="450E8866" w14:textId="77777777" w:rsidR="00EE281B" w:rsidRDefault="00EE281B" w:rsidP="00EE281B">
      <w:pPr>
        <w:spacing w:after="200" w:line="360" w:lineRule="auto"/>
        <w:ind w:left="720" w:hanging="720"/>
      </w:pPr>
      <w:r>
        <w:t xml:space="preserve">Association for Project Management (2019) APM Body of Knowledge. 7th </w:t>
      </w:r>
      <w:proofErr w:type="spellStart"/>
      <w:r>
        <w:t>edn</w:t>
      </w:r>
      <w:proofErr w:type="spellEnd"/>
      <w:r>
        <w:t>. Princes Risborough: APM.</w:t>
      </w:r>
    </w:p>
    <w:p w14:paraId="59938499" w14:textId="77777777" w:rsidR="00EE281B" w:rsidRDefault="00EE281B" w:rsidP="00EE281B">
      <w:pPr>
        <w:spacing w:after="200" w:line="360" w:lineRule="auto"/>
        <w:ind w:left="720" w:hanging="720"/>
      </w:pPr>
      <w:r>
        <w:t xml:space="preserve">Association for Project Management (2022) APM Introduction to </w:t>
      </w:r>
      <w:proofErr w:type="spellStart"/>
      <w:r>
        <w:t>Programme</w:t>
      </w:r>
      <w:proofErr w:type="spellEnd"/>
      <w:r>
        <w:t xml:space="preserve"> Management. 3rd </w:t>
      </w:r>
      <w:proofErr w:type="spellStart"/>
      <w:r>
        <w:t>edn</w:t>
      </w:r>
      <w:proofErr w:type="spellEnd"/>
      <w:r>
        <w:t>. Princes Risborough: APM.</w:t>
      </w:r>
    </w:p>
    <w:p w14:paraId="0B52CFBB" w14:textId="77777777" w:rsidR="00EE281B" w:rsidRDefault="00EE281B" w:rsidP="00EE281B">
      <w:pPr>
        <w:spacing w:after="200" w:line="360" w:lineRule="auto"/>
        <w:ind w:left="720" w:hanging="720"/>
      </w:pPr>
      <w:r>
        <w:t>Atkinson, R. (1999) 'Project management: cost, time and quality, two best guesses and a phenomenon, it's time to accept other success criteria', International Journal of Project Management, 17(6), pp. 337-342. https://doi.org/10.1016/S0263-7863(98)00069-6</w:t>
      </w:r>
    </w:p>
    <w:p w14:paraId="02F7ECDD" w14:textId="77777777" w:rsidR="00EE281B" w:rsidRDefault="00EE281B" w:rsidP="00EE281B">
      <w:pPr>
        <w:spacing w:after="200" w:line="360" w:lineRule="auto"/>
        <w:ind w:left="720" w:hanging="720"/>
      </w:pPr>
      <w:r>
        <w:t xml:space="preserve">Department for Transport (2021) Transport </w:t>
      </w:r>
      <w:proofErr w:type="spellStart"/>
      <w:r>
        <w:t>Decarbonisation</w:t>
      </w:r>
      <w:proofErr w:type="spellEnd"/>
      <w:r>
        <w:t xml:space="preserve"> Plan. London: HMSO. Available at: https://www.gov.uk/government/publications/transport-decarbonisation-plan (Accessed: 10 August 2026).</w:t>
      </w:r>
    </w:p>
    <w:p w14:paraId="7C468909" w14:textId="77777777" w:rsidR="00EE281B" w:rsidRDefault="00EE281B" w:rsidP="00EE281B">
      <w:pPr>
        <w:spacing w:after="200" w:line="360" w:lineRule="auto"/>
        <w:ind w:left="720" w:hanging="720"/>
      </w:pPr>
      <w:r>
        <w:t>Freeman, R.E. (1984) Strategic Management: A Stakeholder Approach. Boston: Pitman.</w:t>
      </w:r>
    </w:p>
    <w:p w14:paraId="39042BAA" w14:textId="77777777" w:rsidR="00EE281B" w:rsidRDefault="00EE281B" w:rsidP="00EE281B">
      <w:pPr>
        <w:spacing w:after="200" w:line="360" w:lineRule="auto"/>
        <w:ind w:left="720" w:hanging="720"/>
      </w:pPr>
      <w:r>
        <w:t xml:space="preserve">Hillson, D. and Simon, P. (2020) Practical Project Risk Management: The ATOM Methodology. 3rd </w:t>
      </w:r>
      <w:proofErr w:type="spellStart"/>
      <w:r>
        <w:t>edn</w:t>
      </w:r>
      <w:proofErr w:type="spellEnd"/>
      <w:r>
        <w:t>. Oakton, VA: Berrett-Koehler.</w:t>
      </w:r>
    </w:p>
    <w:p w14:paraId="700BD9DE" w14:textId="77777777" w:rsidR="00EE281B" w:rsidRDefault="00EE281B" w:rsidP="00EE281B">
      <w:pPr>
        <w:spacing w:after="200" w:line="360" w:lineRule="auto"/>
        <w:ind w:left="720" w:hanging="720"/>
      </w:pPr>
      <w:r>
        <w:t>HM Treasury (2023) The Green Book: Central Government Guidance on Appraisal and Evaluation. London: HMSO. Available at: https://www.gov.uk/government/publications/the-green-book-appraisal-and-evaluation-in-central-governent (Accessed: 10 August 2026).</w:t>
      </w:r>
    </w:p>
    <w:p w14:paraId="11B213EF" w14:textId="77777777" w:rsidR="00EE281B" w:rsidRDefault="00EE281B" w:rsidP="00EE281B">
      <w:pPr>
        <w:spacing w:after="200" w:line="360" w:lineRule="auto"/>
        <w:ind w:left="720" w:hanging="720"/>
      </w:pPr>
      <w:r>
        <w:t>Jugdev, K. and Müller, R. (2005) 'A retrospective look at our evolving understanding of project success', Project Management Journal, 36(4), pp. 19-31. https://doi.org/10.1177/875697280503600403</w:t>
      </w:r>
    </w:p>
    <w:p w14:paraId="77B37C15" w14:textId="77777777" w:rsidR="00EE281B" w:rsidRDefault="00EE281B" w:rsidP="00EE281B">
      <w:pPr>
        <w:spacing w:after="200" w:line="360" w:lineRule="auto"/>
        <w:ind w:left="720" w:hanging="720"/>
      </w:pPr>
      <w:r>
        <w:t xml:space="preserve">Kerzner, H. (2022) Project Management: A Systems Approach to Planning, Scheduling, and Controlling. 13th </w:t>
      </w:r>
      <w:proofErr w:type="spellStart"/>
      <w:r>
        <w:t>edn</w:t>
      </w:r>
      <w:proofErr w:type="spellEnd"/>
      <w:r>
        <w:t>. Hoboken, NJ: Wiley.</w:t>
      </w:r>
    </w:p>
    <w:p w14:paraId="3BAC1DAD" w14:textId="77777777" w:rsidR="00EE281B" w:rsidRDefault="00EE281B" w:rsidP="00EE281B">
      <w:pPr>
        <w:spacing w:after="200" w:line="360" w:lineRule="auto"/>
        <w:ind w:left="720" w:hanging="720"/>
      </w:pPr>
      <w:r>
        <w:t xml:space="preserve">Larson, E.W. and Gray, C.F. (2021) Project Management: The Managerial Process. 8th </w:t>
      </w:r>
      <w:proofErr w:type="spellStart"/>
      <w:r>
        <w:t>edn</w:t>
      </w:r>
      <w:proofErr w:type="spellEnd"/>
      <w:r>
        <w:t>. New York: McGraw-Hill.</w:t>
      </w:r>
    </w:p>
    <w:p w14:paraId="54FB4CFD" w14:textId="77777777" w:rsidR="00EE281B" w:rsidRDefault="00EE281B" w:rsidP="00EE281B">
      <w:pPr>
        <w:spacing w:after="200" w:line="360" w:lineRule="auto"/>
        <w:ind w:left="720" w:hanging="720"/>
      </w:pPr>
      <w:r>
        <w:t>Mendelow, A.L. (1991) 'Stakeholder mapping', Proceedings of the 2nd International Conference on Information Systems, Cambridge, MA.</w:t>
      </w:r>
    </w:p>
    <w:p w14:paraId="47C56944" w14:textId="77777777" w:rsidR="00EE281B" w:rsidRDefault="00EE281B" w:rsidP="00EE281B">
      <w:pPr>
        <w:spacing w:after="200" w:line="360" w:lineRule="auto"/>
        <w:ind w:left="720" w:hanging="720"/>
      </w:pPr>
      <w:r>
        <w:lastRenderedPageBreak/>
        <w:t xml:space="preserve">Project Management Institute (2021) A Guide to the Project Management Body of Knowledge (PMBOK Guide). 7th </w:t>
      </w:r>
      <w:proofErr w:type="spellStart"/>
      <w:r>
        <w:t>edn</w:t>
      </w:r>
      <w:proofErr w:type="spellEnd"/>
      <w:r>
        <w:t>. Newtown Square, PA: Project Management Institute.</w:t>
      </w:r>
    </w:p>
    <w:p w14:paraId="7B6429FF" w14:textId="77777777" w:rsidR="00EE281B" w:rsidRDefault="00EE281B" w:rsidP="00EE281B">
      <w:pPr>
        <w:spacing w:after="200" w:line="360" w:lineRule="auto"/>
        <w:ind w:left="720" w:hanging="720"/>
      </w:pPr>
      <w:r>
        <w:t>Sanchez, M.A. (2015) 'Integrating sustainability issues into project management', Journal of Cleaner Production, 96, pp. 319-330. https://doi.org/10.1016/j.jclepro.2013.12.087</w:t>
      </w:r>
    </w:p>
    <w:p w14:paraId="4CAC02BD" w14:textId="77777777" w:rsidR="00EE281B" w:rsidRDefault="00EE281B" w:rsidP="00EE281B">
      <w:pPr>
        <w:spacing w:after="200" w:line="360" w:lineRule="auto"/>
        <w:ind w:left="720" w:hanging="720"/>
      </w:pPr>
      <w:r>
        <w:t xml:space="preserve">Turner, J.R. (2014) The Handbook of Project-Based Management. 4th </w:t>
      </w:r>
      <w:proofErr w:type="spellStart"/>
      <w:r>
        <w:t>edn</w:t>
      </w:r>
      <w:proofErr w:type="spellEnd"/>
      <w:r>
        <w:t>. New York: McGraw-Hill.</w:t>
      </w:r>
    </w:p>
    <w:p w14:paraId="7DF1E419" w14:textId="77777777" w:rsidR="00EE281B" w:rsidRDefault="00EE281B" w:rsidP="00EE281B">
      <w:pPr>
        <w:spacing w:after="200" w:line="360" w:lineRule="auto"/>
        <w:ind w:left="720" w:hanging="720"/>
      </w:pPr>
      <w:r>
        <w:t xml:space="preserve">Winch, G.M. (2010) Managing Construction Projects. 2nd </w:t>
      </w:r>
      <w:proofErr w:type="spellStart"/>
      <w:r>
        <w:t>edn</w:t>
      </w:r>
      <w:proofErr w:type="spellEnd"/>
      <w:r>
        <w:t>. Chichester: Wiley-Blackwell.</w:t>
      </w:r>
    </w:p>
    <w:p w14:paraId="43C8924F" w14:textId="77777777" w:rsidR="00EE281B" w:rsidRDefault="00EE281B" w:rsidP="00EE281B">
      <w:pPr>
        <w:spacing w:after="200" w:line="360" w:lineRule="auto"/>
        <w:ind w:left="720" w:hanging="720"/>
      </w:pPr>
      <w:proofErr w:type="spellStart"/>
      <w:r>
        <w:t>Zwikael</w:t>
      </w:r>
      <w:proofErr w:type="spellEnd"/>
      <w:r>
        <w:t>, O. and Smyrk, J. (2012) 'A general framework for gauging the performance of initiatives to enhance organizational value', British Journal of Management, 23(S1), pp. S6-S22. https://doi.org/10.1111/j.1467-8551.2012.00823.x</w:t>
      </w:r>
    </w:p>
    <w:p w14:paraId="60D2F468" w14:textId="77777777" w:rsidR="00F00263" w:rsidRDefault="00F00263"/>
    <w:sectPr w:rsidR="00F002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E02E6D"/>
    <w:multiLevelType w:val="hybridMultilevel"/>
    <w:tmpl w:val="862A6826"/>
    <w:lvl w:ilvl="0" w:tplc="F66E5E08">
      <w:start w:val="1"/>
      <w:numFmt w:val="bullet"/>
      <w:lvlText w:val="✦"/>
      <w:lvlJc w:val="left"/>
      <w:pPr>
        <w:tabs>
          <w:tab w:val="num" w:pos="720"/>
        </w:tabs>
        <w:ind w:left="720" w:hanging="360"/>
      </w:pPr>
      <w:rPr>
        <w:rFonts w:ascii="Segoe UI Symbol" w:hAnsi="Segoe UI Symbol" w:hint="default"/>
      </w:rPr>
    </w:lvl>
    <w:lvl w:ilvl="1" w:tplc="E91432DE" w:tentative="1">
      <w:start w:val="1"/>
      <w:numFmt w:val="bullet"/>
      <w:lvlText w:val="✦"/>
      <w:lvlJc w:val="left"/>
      <w:pPr>
        <w:tabs>
          <w:tab w:val="num" w:pos="1440"/>
        </w:tabs>
        <w:ind w:left="1440" w:hanging="360"/>
      </w:pPr>
      <w:rPr>
        <w:rFonts w:ascii="Segoe UI Symbol" w:hAnsi="Segoe UI Symbol" w:hint="default"/>
      </w:rPr>
    </w:lvl>
    <w:lvl w:ilvl="2" w:tplc="FAD0B82E" w:tentative="1">
      <w:start w:val="1"/>
      <w:numFmt w:val="bullet"/>
      <w:lvlText w:val="✦"/>
      <w:lvlJc w:val="left"/>
      <w:pPr>
        <w:tabs>
          <w:tab w:val="num" w:pos="2160"/>
        </w:tabs>
        <w:ind w:left="2160" w:hanging="360"/>
      </w:pPr>
      <w:rPr>
        <w:rFonts w:ascii="Segoe UI Symbol" w:hAnsi="Segoe UI Symbol" w:hint="default"/>
      </w:rPr>
    </w:lvl>
    <w:lvl w:ilvl="3" w:tplc="44B2E860" w:tentative="1">
      <w:start w:val="1"/>
      <w:numFmt w:val="bullet"/>
      <w:lvlText w:val="✦"/>
      <w:lvlJc w:val="left"/>
      <w:pPr>
        <w:tabs>
          <w:tab w:val="num" w:pos="2880"/>
        </w:tabs>
        <w:ind w:left="2880" w:hanging="360"/>
      </w:pPr>
      <w:rPr>
        <w:rFonts w:ascii="Segoe UI Symbol" w:hAnsi="Segoe UI Symbol" w:hint="default"/>
      </w:rPr>
    </w:lvl>
    <w:lvl w:ilvl="4" w:tplc="36E69CCE" w:tentative="1">
      <w:start w:val="1"/>
      <w:numFmt w:val="bullet"/>
      <w:lvlText w:val="✦"/>
      <w:lvlJc w:val="left"/>
      <w:pPr>
        <w:tabs>
          <w:tab w:val="num" w:pos="3600"/>
        </w:tabs>
        <w:ind w:left="3600" w:hanging="360"/>
      </w:pPr>
      <w:rPr>
        <w:rFonts w:ascii="Segoe UI Symbol" w:hAnsi="Segoe UI Symbol" w:hint="default"/>
      </w:rPr>
    </w:lvl>
    <w:lvl w:ilvl="5" w:tplc="372AB8F4" w:tentative="1">
      <w:start w:val="1"/>
      <w:numFmt w:val="bullet"/>
      <w:lvlText w:val="✦"/>
      <w:lvlJc w:val="left"/>
      <w:pPr>
        <w:tabs>
          <w:tab w:val="num" w:pos="4320"/>
        </w:tabs>
        <w:ind w:left="4320" w:hanging="360"/>
      </w:pPr>
      <w:rPr>
        <w:rFonts w:ascii="Segoe UI Symbol" w:hAnsi="Segoe UI Symbol" w:hint="default"/>
      </w:rPr>
    </w:lvl>
    <w:lvl w:ilvl="6" w:tplc="F60246DC" w:tentative="1">
      <w:start w:val="1"/>
      <w:numFmt w:val="bullet"/>
      <w:lvlText w:val="✦"/>
      <w:lvlJc w:val="left"/>
      <w:pPr>
        <w:tabs>
          <w:tab w:val="num" w:pos="5040"/>
        </w:tabs>
        <w:ind w:left="5040" w:hanging="360"/>
      </w:pPr>
      <w:rPr>
        <w:rFonts w:ascii="Segoe UI Symbol" w:hAnsi="Segoe UI Symbol" w:hint="default"/>
      </w:rPr>
    </w:lvl>
    <w:lvl w:ilvl="7" w:tplc="EE7A6838" w:tentative="1">
      <w:start w:val="1"/>
      <w:numFmt w:val="bullet"/>
      <w:lvlText w:val="✦"/>
      <w:lvlJc w:val="left"/>
      <w:pPr>
        <w:tabs>
          <w:tab w:val="num" w:pos="5760"/>
        </w:tabs>
        <w:ind w:left="5760" w:hanging="360"/>
      </w:pPr>
      <w:rPr>
        <w:rFonts w:ascii="Segoe UI Symbol" w:hAnsi="Segoe UI Symbol" w:hint="default"/>
      </w:rPr>
    </w:lvl>
    <w:lvl w:ilvl="8" w:tplc="90BAC51C" w:tentative="1">
      <w:start w:val="1"/>
      <w:numFmt w:val="bullet"/>
      <w:lvlText w:val="✦"/>
      <w:lvlJc w:val="left"/>
      <w:pPr>
        <w:tabs>
          <w:tab w:val="num" w:pos="6480"/>
        </w:tabs>
        <w:ind w:left="6480" w:hanging="360"/>
      </w:pPr>
      <w:rPr>
        <w:rFonts w:ascii="Segoe UI Symbol" w:hAnsi="Segoe UI Symbol" w:hint="default"/>
      </w:rPr>
    </w:lvl>
  </w:abstractNum>
  <w:num w:numId="1" w16cid:durableId="696275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6E4"/>
    <w:rsid w:val="006D593A"/>
    <w:rsid w:val="008026E4"/>
    <w:rsid w:val="008E2551"/>
    <w:rsid w:val="00AA79A7"/>
    <w:rsid w:val="00EE281B"/>
    <w:rsid w:val="00F002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19016"/>
  <w15:chartTrackingRefBased/>
  <w15:docId w15:val="{B00040FC-F765-4D88-982F-A52E9D2C2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2551"/>
    <w:pPr>
      <w:spacing w:after="0" w:line="240" w:lineRule="auto"/>
    </w:pPr>
    <w:rPr>
      <w:rFonts w:ascii="Times New Roman" w:eastAsia="Times New Roman" w:hAnsi="Times New Roman" w:cs="Times New Roman"/>
      <w:kern w:val="0"/>
      <w:lang w:val="en-US"/>
      <w14:ligatures w14:val="none"/>
    </w:rPr>
  </w:style>
  <w:style w:type="paragraph" w:styleId="Heading1">
    <w:name w:val="heading 1"/>
    <w:basedOn w:val="Normal"/>
    <w:next w:val="Normal"/>
    <w:link w:val="Heading1Char"/>
    <w:uiPriority w:val="9"/>
    <w:qFormat/>
    <w:rsid w:val="008026E4"/>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8026E4"/>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8026E4"/>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8026E4"/>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8026E4"/>
    <w:pPr>
      <w:keepNext/>
      <w:keepLines/>
      <w:spacing w:before="80" w:after="40" w:line="278" w:lineRule="auto"/>
      <w:outlineLvl w:val="4"/>
    </w:pPr>
    <w:rPr>
      <w:rFonts w:asciiTheme="minorHAnsi" w:eastAsiaTheme="majorEastAsia" w:hAnsiTheme="minorHAnsi"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8026E4"/>
    <w:pPr>
      <w:keepNext/>
      <w:keepLines/>
      <w:spacing w:before="40" w:line="278" w:lineRule="auto"/>
      <w:outlineLvl w:val="5"/>
    </w:pPr>
    <w:rPr>
      <w:rFonts w:asciiTheme="minorHAnsi" w:eastAsiaTheme="majorEastAsia" w:hAnsiTheme="minorHAnsi"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8026E4"/>
    <w:pPr>
      <w:keepNext/>
      <w:keepLines/>
      <w:spacing w:before="40" w:line="278" w:lineRule="auto"/>
      <w:outlineLvl w:val="6"/>
    </w:pPr>
    <w:rPr>
      <w:rFonts w:asciiTheme="minorHAnsi" w:eastAsiaTheme="majorEastAsia" w:hAnsiTheme="minorHAnsi"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8026E4"/>
    <w:pPr>
      <w:keepNext/>
      <w:keepLines/>
      <w:spacing w:line="278" w:lineRule="auto"/>
      <w:outlineLvl w:val="7"/>
    </w:pPr>
    <w:rPr>
      <w:rFonts w:asciiTheme="minorHAnsi" w:eastAsiaTheme="majorEastAsia" w:hAnsiTheme="minorHAnsi"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8026E4"/>
    <w:pPr>
      <w:keepNext/>
      <w:keepLines/>
      <w:spacing w:line="278" w:lineRule="auto"/>
      <w:outlineLvl w:val="8"/>
    </w:pPr>
    <w:rPr>
      <w:rFonts w:asciiTheme="minorHAnsi" w:eastAsiaTheme="majorEastAsia" w:hAnsiTheme="minorHAnsi" w:cstheme="majorBidi"/>
      <w:color w:val="272727" w:themeColor="text1" w:themeTint="D8"/>
      <w:kern w:val="2"/>
      <w:lang w:val="en-GB"/>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26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26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26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26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26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26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26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26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26E4"/>
    <w:rPr>
      <w:rFonts w:eastAsiaTheme="majorEastAsia" w:cstheme="majorBidi"/>
      <w:color w:val="272727" w:themeColor="text1" w:themeTint="D8"/>
    </w:rPr>
  </w:style>
  <w:style w:type="paragraph" w:styleId="Title">
    <w:name w:val="Title"/>
    <w:basedOn w:val="Normal"/>
    <w:next w:val="Normal"/>
    <w:link w:val="TitleChar"/>
    <w:uiPriority w:val="10"/>
    <w:qFormat/>
    <w:rsid w:val="008026E4"/>
    <w:pPr>
      <w:spacing w:after="80"/>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8026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26E4"/>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8026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26E4"/>
    <w:pPr>
      <w:spacing w:before="160" w:after="160" w:line="278" w:lineRule="auto"/>
      <w:jc w:val="center"/>
    </w:pPr>
    <w:rPr>
      <w:rFonts w:asciiTheme="minorHAnsi" w:eastAsiaTheme="minorHAnsi" w:hAnsiTheme="minorHAnsi" w:cstheme="minorBid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8026E4"/>
    <w:rPr>
      <w:i/>
      <w:iCs/>
      <w:color w:val="404040" w:themeColor="text1" w:themeTint="BF"/>
    </w:rPr>
  </w:style>
  <w:style w:type="paragraph" w:styleId="ListParagraph">
    <w:name w:val="List Paragraph"/>
    <w:basedOn w:val="Normal"/>
    <w:uiPriority w:val="34"/>
    <w:qFormat/>
    <w:rsid w:val="008026E4"/>
    <w:pPr>
      <w:spacing w:after="160" w:line="278" w:lineRule="auto"/>
      <w:ind w:left="720"/>
      <w:contextualSpacing/>
    </w:pPr>
    <w:rPr>
      <w:rFonts w:asciiTheme="minorHAnsi" w:eastAsiaTheme="minorHAnsi" w:hAnsiTheme="minorHAnsi" w:cstheme="minorBidi"/>
      <w:kern w:val="2"/>
      <w:lang w:val="en-GB"/>
      <w14:ligatures w14:val="standardContextual"/>
    </w:rPr>
  </w:style>
  <w:style w:type="character" w:styleId="IntenseEmphasis">
    <w:name w:val="Intense Emphasis"/>
    <w:basedOn w:val="DefaultParagraphFont"/>
    <w:uiPriority w:val="21"/>
    <w:qFormat/>
    <w:rsid w:val="008026E4"/>
    <w:rPr>
      <w:i/>
      <w:iCs/>
      <w:color w:val="0F4761" w:themeColor="accent1" w:themeShade="BF"/>
    </w:rPr>
  </w:style>
  <w:style w:type="paragraph" w:styleId="IntenseQuote">
    <w:name w:val="Intense Quote"/>
    <w:basedOn w:val="Normal"/>
    <w:next w:val="Normal"/>
    <w:link w:val="IntenseQuoteChar"/>
    <w:uiPriority w:val="30"/>
    <w:qFormat/>
    <w:rsid w:val="008026E4"/>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8026E4"/>
    <w:rPr>
      <w:i/>
      <w:iCs/>
      <w:color w:val="0F4761" w:themeColor="accent1" w:themeShade="BF"/>
    </w:rPr>
  </w:style>
  <w:style w:type="character" w:styleId="IntenseReference">
    <w:name w:val="Intense Reference"/>
    <w:basedOn w:val="DefaultParagraphFont"/>
    <w:uiPriority w:val="32"/>
    <w:qFormat/>
    <w:rsid w:val="008026E4"/>
    <w:rPr>
      <w:b/>
      <w:bCs/>
      <w:smallCaps/>
      <w:color w:val="0F4761" w:themeColor="accent1" w:themeShade="BF"/>
      <w:spacing w:val="5"/>
    </w:rPr>
  </w:style>
  <w:style w:type="character" w:styleId="Hyperlink">
    <w:name w:val="Hyperlink"/>
    <w:uiPriority w:val="99"/>
    <w:unhideWhenUsed/>
    <w:rsid w:val="00EE281B"/>
    <w:rPr>
      <w:color w:val="0563C1"/>
      <w:u w:val="single"/>
    </w:rPr>
  </w:style>
  <w:style w:type="paragraph" w:styleId="TOC1">
    <w:name w:val="toc 1"/>
    <w:basedOn w:val="Normal"/>
    <w:next w:val="Normal"/>
    <w:autoRedefine/>
    <w:uiPriority w:val="39"/>
    <w:unhideWhenUsed/>
    <w:rsid w:val="00EE281B"/>
    <w:pPr>
      <w:spacing w:after="100"/>
      <w:jc w:val="both"/>
    </w:pPr>
  </w:style>
  <w:style w:type="paragraph" w:styleId="TOCHeading">
    <w:name w:val="TOC Heading"/>
    <w:basedOn w:val="Heading1"/>
    <w:next w:val="Normal"/>
    <w:uiPriority w:val="39"/>
    <w:unhideWhenUsed/>
    <w:qFormat/>
    <w:rsid w:val="00EE281B"/>
    <w:pPr>
      <w:spacing w:before="240" w:after="0" w:line="259"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18</Pages>
  <Words>3949</Words>
  <Characters>22510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Naydenov</dc:creator>
  <cp:keywords/>
  <dc:description/>
  <cp:lastModifiedBy>Georgi Naydenov</cp:lastModifiedBy>
  <cp:revision>2</cp:revision>
  <dcterms:created xsi:type="dcterms:W3CDTF">2026-08-09T22:43:00Z</dcterms:created>
  <dcterms:modified xsi:type="dcterms:W3CDTF">2026-08-09T22:43:00Z</dcterms:modified>
</cp:coreProperties>
</file>