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6"/>
          <w:szCs w:val="26"/>
          <w:u w:val="single"/>
        </w:rPr>
      </w:pPr>
      <w:r w:rsidDel="00000000" w:rsidR="00000000" w:rsidRPr="00000000">
        <w:rPr>
          <w:b w:val="1"/>
          <w:sz w:val="26"/>
          <w:szCs w:val="26"/>
          <w:u w:val="single"/>
          <w:rtl w:val="0"/>
        </w:rPr>
        <w:t xml:space="preserve">A Critical Evaluation of the Development of a Strategic Target in a School Development Plan: Actions, Impact, and Evidence-Based </w:t>
      </w:r>
    </w:p>
    <w:p w:rsidR="00000000" w:rsidDel="00000000" w:rsidP="00000000" w:rsidRDefault="00000000" w:rsidRPr="00000000" w14:paraId="00000002">
      <w:pPr>
        <w:rPr/>
      </w:pPr>
      <w:r w:rsidDel="00000000" w:rsidR="00000000" w:rsidRPr="00000000">
        <w:rPr>
          <w:b w:val="1"/>
          <w:sz w:val="26"/>
          <w:szCs w:val="26"/>
          <w:u w:val="single"/>
          <w:rtl w:val="0"/>
        </w:rPr>
        <w:t xml:space="preserve">Reflections</w:t>
      </w:r>
      <w:r w:rsidDel="00000000" w:rsidR="00000000" w:rsidRPr="00000000">
        <w:rPr>
          <w:rtl w:val="0"/>
        </w:rPr>
      </w:r>
    </w:p>
    <w:p w:rsidR="00000000" w:rsidDel="00000000" w:rsidP="00000000" w:rsidRDefault="00000000" w:rsidRPr="00000000" w14:paraId="00000003">
      <w:pPr>
        <w:spacing w:after="240" w:before="240" w:lineRule="auto"/>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04">
      <w:pPr>
        <w:spacing w:after="240" w:before="240" w:lineRule="auto"/>
        <w:rPr/>
      </w:pPr>
      <w:r w:rsidDel="00000000" w:rsidR="00000000" w:rsidRPr="00000000">
        <w:rPr>
          <w:rtl w:val="0"/>
        </w:rPr>
        <w:t xml:space="preserve">This assignment critically evaluates a key action point from ‘School A’s’ Development Plan: encouraging diversity within the school. This strategic target is particularly significant in the context of my school, which is located in a predominantly white and affluent area. The population of this area is 91.4% of white ethnic origin, and the majority of residents own their homes outright (Swansea Council, 2024). Consequently, the school is situated in a community with limited cultural diversity, which presents challenges in fostering an inclusive 1environment and broadening students' understanding of different cultures and perspectives.</w:t>
      </w:r>
    </w:p>
    <w:p w:rsidR="00000000" w:rsidDel="00000000" w:rsidP="00000000" w:rsidRDefault="00000000" w:rsidRPr="00000000" w14:paraId="00000005">
      <w:pPr>
        <w:spacing w:after="240" w:before="240" w:lineRule="auto"/>
        <w:rPr/>
      </w:pPr>
      <w:r w:rsidDel="00000000" w:rsidR="00000000" w:rsidRPr="00000000">
        <w:rPr>
          <w:rtl w:val="0"/>
        </w:rPr>
        <w:t xml:space="preserve">As a priority within the School Development Plan (SDP), this target aims to promote awareness and appreciation of diversity among students and staff, addressing the lack of exposure to different cultural backgrounds. The school seeks to enhance students' empathy, respect, and social understanding (School A Website, 2024).</w:t>
      </w:r>
    </w:p>
    <w:p w:rsidR="00000000" w:rsidDel="00000000" w:rsidP="00000000" w:rsidRDefault="00000000" w:rsidRPr="00000000" w14:paraId="00000006">
      <w:pPr>
        <w:spacing w:after="240" w:before="240" w:lineRule="auto"/>
        <w:rPr/>
      </w:pPr>
      <w:r w:rsidDel="00000000" w:rsidR="00000000" w:rsidRPr="00000000">
        <w:rPr>
          <w:rtl w:val="0"/>
        </w:rPr>
        <w:t xml:space="preserve">This assignment begins by analysing the chosen target, exploring its alignment with the school’s context and broader goals of inclusivity. It will then assess the effectiveness of the current strategies implemented to achieve the target, followed by recommendations for improvement based on research and best practices. The conclusion will reflect on the implications for future development, emphasising the importance of sustained efforts to embed diversity within the school’s culture.</w:t>
      </w:r>
    </w:p>
    <w:p w:rsidR="00000000" w:rsidDel="00000000" w:rsidP="00000000" w:rsidRDefault="00000000" w:rsidRPr="00000000" w14:paraId="00000007">
      <w:pPr>
        <w:spacing w:after="240" w:before="240" w:lineRule="auto"/>
        <w:rPr>
          <w:b w:val="1"/>
          <w:sz w:val="24"/>
          <w:szCs w:val="24"/>
          <w:u w:val="single"/>
        </w:rPr>
      </w:pPr>
      <w:r w:rsidDel="00000000" w:rsidR="00000000" w:rsidRPr="00000000">
        <w:rPr>
          <w:b w:val="1"/>
          <w:sz w:val="24"/>
          <w:szCs w:val="24"/>
          <w:u w:val="single"/>
          <w:rtl w:val="0"/>
        </w:rPr>
        <w:t xml:space="preserve">Literature Review</w:t>
      </w:r>
    </w:p>
    <w:p w:rsidR="00000000" w:rsidDel="00000000" w:rsidP="00000000" w:rsidRDefault="00000000" w:rsidRPr="00000000" w14:paraId="00000008">
      <w:pPr>
        <w:spacing w:after="240" w:before="240" w:lineRule="auto"/>
        <w:rPr/>
      </w:pPr>
      <w:r w:rsidDel="00000000" w:rsidR="00000000" w:rsidRPr="00000000">
        <w:rPr>
          <w:b w:val="1"/>
          <w:rtl w:val="0"/>
        </w:rPr>
        <w:t xml:space="preserve">SDP Process</w:t>
      </w:r>
      <w:r w:rsidDel="00000000" w:rsidR="00000000" w:rsidRPr="00000000">
        <w:rPr>
          <w:rtl w:val="0"/>
        </w:rPr>
      </w:r>
    </w:p>
    <w:p w:rsidR="00000000" w:rsidDel="00000000" w:rsidP="00000000" w:rsidRDefault="00000000" w:rsidRPr="00000000" w14:paraId="00000009">
      <w:pPr>
        <w:spacing w:after="240" w:before="240" w:lineRule="auto"/>
        <w:rPr/>
      </w:pPr>
      <w:r w:rsidDel="00000000" w:rsidR="00000000" w:rsidRPr="00000000">
        <w:rPr>
          <w:rtl w:val="0"/>
        </w:rPr>
        <w:t xml:space="preserve">The purpose of a School Development Plan (SDP) in Wales is to provide a clear, strategic framework for schools to drive continuous improvement and meet the educational needs of students. SDPs align with Welsh Government priorities, local authority guidance, and the needs of the school community (Welsh Government, 2022).</w:t>
      </w:r>
    </w:p>
    <w:p w:rsidR="00000000" w:rsidDel="00000000" w:rsidP="00000000" w:rsidRDefault="00000000" w:rsidRPr="00000000" w14:paraId="0000000A">
      <w:pPr>
        <w:spacing w:after="240" w:before="240" w:lineRule="auto"/>
        <w:rPr/>
      </w:pPr>
      <w:r w:rsidDel="00000000" w:rsidR="00000000" w:rsidRPr="00000000">
        <w:rPr>
          <w:rtl w:val="0"/>
        </w:rPr>
        <w:t xml:space="preserve">A School Development Plan is typically created through several stages. The first stage involves conducting a self-assessment, which may include analysing performance data, reviewing Estyn’s inspection feedback, and local authority reports, or assessing previous SDP targets to determine if they need to continue as part of the school’s objectives. These methods allow schools to identify areas for improvement (Welsh Government, 2022). The next stage is to define clear, focused goals aligned with the school's vision, ensuring that they also align with Welsh Government priorities, such as teaching quality or inclusion (Welsh Government, 2024). Lastly, a strategy is developed to work towards these goals throughout the school year.</w:t>
      </w:r>
    </w:p>
    <w:p w:rsidR="00000000" w:rsidDel="00000000" w:rsidP="00000000" w:rsidRDefault="00000000" w:rsidRPr="00000000" w14:paraId="0000000B">
      <w:pPr>
        <w:spacing w:after="240" w:before="240" w:lineRule="auto"/>
        <w:rPr>
          <w:b w:val="1"/>
        </w:rPr>
      </w:pPr>
      <w:r w:rsidDel="00000000" w:rsidR="00000000" w:rsidRPr="00000000">
        <w:rPr>
          <w:rtl w:val="0"/>
        </w:rPr>
      </w:r>
    </w:p>
    <w:p w:rsidR="00000000" w:rsidDel="00000000" w:rsidP="00000000" w:rsidRDefault="00000000" w:rsidRPr="00000000" w14:paraId="0000000C">
      <w:pPr>
        <w:spacing w:after="240" w:before="240" w:lineRule="auto"/>
        <w:rPr>
          <w:b w:val="1"/>
        </w:rPr>
      </w:pPr>
      <w:r w:rsidDel="00000000" w:rsidR="00000000" w:rsidRPr="00000000">
        <w:rPr>
          <w:rtl w:val="0"/>
        </w:rPr>
      </w:r>
    </w:p>
    <w:p w:rsidR="00000000" w:rsidDel="00000000" w:rsidP="00000000" w:rsidRDefault="00000000" w:rsidRPr="00000000" w14:paraId="0000000D">
      <w:pPr>
        <w:spacing w:after="240" w:before="240" w:lineRule="auto"/>
        <w:rPr>
          <w:b w:val="1"/>
        </w:rPr>
      </w:pPr>
      <w:r w:rsidDel="00000000" w:rsidR="00000000" w:rsidRPr="00000000">
        <w:rPr>
          <w:b w:val="1"/>
          <w:rtl w:val="0"/>
        </w:rPr>
        <w:t xml:space="preserve">Challenges of Diverse Hiring</w:t>
      </w:r>
    </w:p>
    <w:p w:rsidR="00000000" w:rsidDel="00000000" w:rsidP="00000000" w:rsidRDefault="00000000" w:rsidRPr="00000000" w14:paraId="0000000E">
      <w:pPr>
        <w:spacing w:after="240" w:before="240" w:lineRule="auto"/>
        <w:rPr/>
      </w:pPr>
      <w:r w:rsidDel="00000000" w:rsidR="00000000" w:rsidRPr="00000000">
        <w:rPr>
          <w:rtl w:val="0"/>
        </w:rPr>
        <w:t xml:space="preserve">Limited ethnic and cultural diversity among students and staff presents a challenge for schools located in predominantly white, affluent neighbourhoods. Since students may not have many opportunities to interact directly with individuals from diverse cultural backgrounds, this underrepresentation can hinder successful diversity initiatives. As a result, this may promote limited perspectives, foster cultural uniformity, and reduce students' capacity for cross-cultural understanding (Banks, 2009). In an increasingly globalised world, students may struggle to develop critical awareness regarding racial and cultural issues if they are not exposed to diverse perspectives (Ladson-Billings, 1995). According to Ladson-Billings (1995), children in homogeneous settings often lack awareness of systemic injustices, which hinders their ability to critically examine racial and cultural issues.</w:t>
      </w:r>
    </w:p>
    <w:p w:rsidR="00000000" w:rsidDel="00000000" w:rsidP="00000000" w:rsidRDefault="00000000" w:rsidRPr="00000000" w14:paraId="0000000F">
      <w:pPr>
        <w:spacing w:after="240" w:before="240" w:lineRule="auto"/>
        <w:rPr/>
      </w:pPr>
      <w:r w:rsidDel="00000000" w:rsidR="00000000" w:rsidRPr="00000000">
        <w:rPr>
          <w:rtl w:val="0"/>
        </w:rPr>
        <w:t xml:space="preserve">One of the most widely recognised strategies for overcoming these barriers is multicultural education. Banks (2009) argues that students in racially homogeneous environments are less likely to develop the critical thinking skills necessary to challenge stereotypes and engage in meaningful discussions about race and culture. Without intentional curriculum diversity and exposure to a variety of perspectives, students may internalise dominant cultural narratives, which can lead to unconscious bias and hinder their ability to communicate effectively in diverse social and professional contexts as they grow.</w:t>
      </w:r>
    </w:p>
    <w:p w:rsidR="00000000" w:rsidDel="00000000" w:rsidP="00000000" w:rsidRDefault="00000000" w:rsidRPr="00000000" w14:paraId="00000010">
      <w:pPr>
        <w:spacing w:after="240" w:before="240" w:lineRule="auto"/>
        <w:rPr/>
      </w:pPr>
      <w:r w:rsidDel="00000000" w:rsidR="00000000" w:rsidRPr="00000000">
        <w:rPr>
          <w:rtl w:val="0"/>
        </w:rPr>
        <w:t xml:space="preserve">Diversity in the classroom has also been shown to improve students' academic performance. According to Gordon and Nieto (1992), students' academic achievement and motivation are significantly impacted when they perceive that their teachers reflect their identities and cultural backgrounds. Similarly, Dee (2004) discovered that students taught by teachers from underrepresented backgrounds perform better academically. This improvement is attributed to increased awareness of students’ life experiences, culturally responsive teaching methods, and the presence of role models who can inspire students’ confidence and drive.</w:t>
      </w:r>
    </w:p>
    <w:p w:rsidR="00000000" w:rsidDel="00000000" w:rsidP="00000000" w:rsidRDefault="00000000" w:rsidRPr="00000000" w14:paraId="00000011">
      <w:pPr>
        <w:spacing w:after="240" w:before="240" w:lineRule="auto"/>
        <w:rPr/>
      </w:pPr>
      <w:r w:rsidDel="00000000" w:rsidR="00000000" w:rsidRPr="00000000">
        <w:rPr>
          <w:rtl w:val="0"/>
        </w:rPr>
        <w:t xml:space="preserve">Despite these benefits, hiring and retaining teachers from diverse backgrounds is often hindered by structural challenges. According to D’Amico et al. (2017), the main barriers to entering or staying in the teaching profession include hiring biases, workplace culture, and a lack of institutional support. To overcome these obstacles, schools should adopt proactive recruitment strategies targeting prospective educators from underrepresented groups and use diverse recruitment panels to ensure fair hiring processes. By moving beyond token diversity initiatives, schools can work towards creating truly inclusive learning environments. However, some argue that for meaningful change to occur, the entire curriculum must be transformed to reflect diverse perspectives.</w:t>
      </w:r>
    </w:p>
    <w:p w:rsidR="00000000" w:rsidDel="00000000" w:rsidP="00000000" w:rsidRDefault="00000000" w:rsidRPr="00000000" w14:paraId="00000012">
      <w:pPr>
        <w:spacing w:after="240" w:before="240" w:lineRule="auto"/>
        <w:rPr/>
      </w:pPr>
      <w:r w:rsidDel="00000000" w:rsidR="00000000" w:rsidRPr="00000000">
        <w:rPr>
          <w:rtl w:val="0"/>
        </w:rPr>
      </w:r>
    </w:p>
    <w:p w:rsidR="00000000" w:rsidDel="00000000" w:rsidP="00000000" w:rsidRDefault="00000000" w:rsidRPr="00000000" w14:paraId="00000013">
      <w:pPr>
        <w:spacing w:after="240" w:before="240" w:lineRule="auto"/>
        <w:rPr>
          <w:b w:val="1"/>
        </w:rPr>
      </w:pPr>
      <w:r w:rsidDel="00000000" w:rsidR="00000000" w:rsidRPr="00000000">
        <w:rPr>
          <w:b w:val="1"/>
          <w:rtl w:val="0"/>
        </w:rPr>
        <w:t xml:space="preserve">Decolonising the Curriculum</w:t>
      </w:r>
    </w:p>
    <w:p w:rsidR="00000000" w:rsidDel="00000000" w:rsidP="00000000" w:rsidRDefault="00000000" w:rsidRPr="00000000" w14:paraId="00000014">
      <w:pPr>
        <w:spacing w:after="240" w:before="240" w:lineRule="auto"/>
        <w:rPr/>
      </w:pPr>
      <w:r w:rsidDel="00000000" w:rsidR="00000000" w:rsidRPr="00000000">
        <w:rPr>
          <w:rtl w:val="0"/>
        </w:rPr>
        <w:t xml:space="preserve">The movement to decolonise the curriculum challenges Eurocentric narratives by integrating diverse voices and histories into subjects such as history, literature, and social studies. Traditional curricula have often prioritised Western perspectives, providing a narrow and exclusive view of historical and cultural evolution (Chaudry, 2020). This emphasis can reinforce racial and cultural hierarchies by marginalising the contributions of African, Asian, Middle Eastern, and Indigenous communities. Decolonisation seeks to broaden this narrative, ensuring that students receive a balanced and inclusive education.</w:t>
      </w:r>
    </w:p>
    <w:p w:rsidR="00000000" w:rsidDel="00000000" w:rsidP="00000000" w:rsidRDefault="00000000" w:rsidRPr="00000000" w14:paraId="00000015">
      <w:pPr>
        <w:spacing w:after="240" w:before="240" w:lineRule="auto"/>
        <w:rPr/>
      </w:pPr>
      <w:r w:rsidDel="00000000" w:rsidR="00000000" w:rsidRPr="00000000">
        <w:rPr>
          <w:rtl w:val="0"/>
        </w:rPr>
        <w:t xml:space="preserve">A key aspect of decolonisation is diversifying historical narratives. Conventional curricula often overlook non-European contributions, which fosters misconceptions about the origins of innovation and progress (Arday &amp; Mirza, 2018). By incorporating global perspectives, schools can promote a more accurate understanding of history. Similarly, rethinking the literary canon is crucial. The dominance of Western literary works limits students' exposure to marginalised voices. Including works by Black, Asian, Indigenous, and underrepresented authors allows students to engage with diverse perspectives and develop critical thinking skills (Said, 1978).</w:t>
      </w:r>
    </w:p>
    <w:p w:rsidR="00000000" w:rsidDel="00000000" w:rsidP="00000000" w:rsidRDefault="00000000" w:rsidRPr="00000000" w14:paraId="00000016">
      <w:pPr>
        <w:spacing w:after="240" w:before="240" w:lineRule="auto"/>
        <w:rPr/>
      </w:pPr>
      <w:r w:rsidDel="00000000" w:rsidR="00000000" w:rsidRPr="00000000">
        <w:rPr>
          <w:rtl w:val="0"/>
        </w:rPr>
        <w:t xml:space="preserve">Despite its advantages, decolonising the curriculum has faced opposition, particularly in affluent, predominantly white communities where some parents and teachers view these changes as politically driven or as a challenge to established educational norms (Ladson-Billings, 1995). One common misconception is that decolonisation involves eliminating Western history, rather than expanding historical views to include the contributions of marginalised communities.</w:t>
      </w:r>
    </w:p>
    <w:p w:rsidR="00000000" w:rsidDel="00000000" w:rsidP="00000000" w:rsidRDefault="00000000" w:rsidRPr="00000000" w14:paraId="00000017">
      <w:pPr>
        <w:spacing w:after="240" w:before="240" w:lineRule="auto"/>
        <w:rPr/>
      </w:pPr>
      <w:r w:rsidDel="00000000" w:rsidR="00000000" w:rsidRPr="00000000">
        <w:rPr>
          <w:rtl w:val="0"/>
        </w:rPr>
        <w:t xml:space="preserve">Furthermore, effective curriculum reform requires sufficient resources and training for teachers. Many educators find it difficult to teach decolonised content effectively because they were themselves educated within Eurocentric frameworks. Without adequate curricular guidance, professional development, and access to a variety of resources, efforts to incorporate inclusive and anti-racist teaching may remain sporadic or superficial.</w:t>
      </w:r>
    </w:p>
    <w:p w:rsidR="00000000" w:rsidDel="00000000" w:rsidP="00000000" w:rsidRDefault="00000000" w:rsidRPr="00000000" w14:paraId="00000018">
      <w:pPr>
        <w:spacing w:after="240" w:before="240" w:lineRule="auto"/>
        <w:rPr>
          <w:b w:val="1"/>
        </w:rPr>
      </w:pPr>
      <w:r w:rsidDel="00000000" w:rsidR="00000000" w:rsidRPr="00000000">
        <w:rPr>
          <w:b w:val="1"/>
          <w:rtl w:val="0"/>
        </w:rPr>
        <w:t xml:space="preserve">Contradictions</w:t>
      </w:r>
    </w:p>
    <w:p w:rsidR="00000000" w:rsidDel="00000000" w:rsidP="00000000" w:rsidRDefault="00000000" w:rsidRPr="00000000" w14:paraId="00000019">
      <w:pPr>
        <w:spacing w:after="240" w:before="240" w:lineRule="auto"/>
        <w:rPr/>
      </w:pPr>
      <w:r w:rsidDel="00000000" w:rsidR="00000000" w:rsidRPr="00000000">
        <w:rPr>
          <w:rtl w:val="0"/>
        </w:rPr>
        <w:t xml:space="preserve">The significance of decolonising the curriculum is increasingly acknowledged by governments and educational institutions. For example, teaching the histories and contributions of Black, Asian, and Minority Ethnic (BAME) communities is considered a fundamental component of the national curriculum, according to the Welsh Government's Curriculum for Wales (2021). This represents a substantial shift toward formalising inclusion in education. However, to ensure that curricular changes are meaningful rather than merely symbolic, such initiatives must be effectively implemented, supported by teachers, and continuously evaluated.</w:t>
      </w:r>
    </w:p>
    <w:p w:rsidR="00000000" w:rsidDel="00000000" w:rsidP="00000000" w:rsidRDefault="00000000" w:rsidRPr="00000000" w14:paraId="0000001A">
      <w:pPr>
        <w:spacing w:after="240" w:before="240" w:lineRule="auto"/>
        <w:rPr/>
      </w:pPr>
      <w:r w:rsidDel="00000000" w:rsidR="00000000" w:rsidRPr="00000000">
        <w:rPr>
          <w:rtl w:val="0"/>
        </w:rPr>
        <w:t xml:space="preserve">Diversity initiatives in schools have been widely debated, with scholars divided between those advocating for systemic change and those critiquing tokenistic approaches. Bell and Hartmann (2007) argue that diversity programs often focus on superficial inclusion efforts, such as demographic representation, rather than addressing deeper structural inequalities. They highlight that many institutions adopt diversity rhetoric without fundamentally altering their practices or policies.</w:t>
      </w:r>
    </w:p>
    <w:p w:rsidR="00000000" w:rsidDel="00000000" w:rsidP="00000000" w:rsidRDefault="00000000" w:rsidRPr="00000000" w14:paraId="0000001B">
      <w:pPr>
        <w:spacing w:after="240" w:before="240" w:lineRule="auto"/>
        <w:rPr/>
      </w:pPr>
      <w:r w:rsidDel="00000000" w:rsidR="00000000" w:rsidRPr="00000000">
        <w:rPr>
          <w:rtl w:val="0"/>
        </w:rPr>
        <w:t xml:space="preserve">Conversely, proponents of systemic change assert that diversity initiatives can be effective when integrated into organizational policies and culture. For instance, Dobbin &amp; Kalev (2016) suggest that long-term success requires leadership commitment, accountability measures, and structural reform. This perspective contrasts with Ahmed’s (2012) critique, which argues that diversity efforts often function as symbolic compliance mechanisms rather than tools for meaningful transformation.</w:t>
      </w:r>
    </w:p>
    <w:p w:rsidR="00000000" w:rsidDel="00000000" w:rsidP="00000000" w:rsidRDefault="00000000" w:rsidRPr="00000000" w14:paraId="0000001C">
      <w:pPr>
        <w:spacing w:after="240" w:before="240" w:lineRule="auto"/>
        <w:rPr>
          <w:b w:val="1"/>
        </w:rPr>
      </w:pPr>
      <w:r w:rsidDel="00000000" w:rsidR="00000000" w:rsidRPr="00000000">
        <w:rPr>
          <w:b w:val="1"/>
          <w:rtl w:val="0"/>
        </w:rPr>
        <w:t xml:space="preserve">Impact on White Students</w:t>
      </w:r>
    </w:p>
    <w:p w:rsidR="00000000" w:rsidDel="00000000" w:rsidP="00000000" w:rsidRDefault="00000000" w:rsidRPr="00000000" w14:paraId="0000001D">
      <w:pPr>
        <w:spacing w:after="240" w:before="240" w:lineRule="auto"/>
        <w:rPr/>
      </w:pPr>
      <w:r w:rsidDel="00000000" w:rsidR="00000000" w:rsidRPr="00000000">
        <w:rPr>
          <w:rtl w:val="0"/>
        </w:rPr>
        <w:t xml:space="preserve">Diversity programs can enhance critical thinking, empathy, and cross-cultural competency in white students—skills that are essential in an interconnected world. Gurin et al. (2002) found that white students in diverse learning environments demonstrated higher cognitive engagement, perspective-taking, and democratic values compared to their peers in homogeneous settings. Exposure to a variety of perspectives challenges preconceived assumptions, fosters a deeper understanding of social issues, and strengthens problem-solving skills.</w:t>
      </w:r>
    </w:p>
    <w:p w:rsidR="00000000" w:rsidDel="00000000" w:rsidP="00000000" w:rsidRDefault="00000000" w:rsidRPr="00000000" w14:paraId="0000001E">
      <w:pPr>
        <w:spacing w:after="240" w:before="240" w:lineRule="auto"/>
        <w:rPr/>
      </w:pPr>
      <w:r w:rsidDel="00000000" w:rsidR="00000000" w:rsidRPr="00000000">
        <w:rPr>
          <w:rtl w:val="0"/>
        </w:rPr>
        <w:t xml:space="preserve">However, some research points to negative reactions. Rasinski (2014) argues that diversity initiatives in predominantly white schools can sometimes be perceived as tokenistic, leading to disengagement or resentment. White students may struggle to relate diversity education to their own experiences, especially if they have had limited exposure to diverse groups.</w:t>
      </w:r>
    </w:p>
    <w:p w:rsidR="00000000" w:rsidDel="00000000" w:rsidP="00000000" w:rsidRDefault="00000000" w:rsidRPr="00000000" w14:paraId="0000001F">
      <w:pPr>
        <w:spacing w:after="240" w:before="240" w:lineRule="auto"/>
        <w:rPr>
          <w:b w:val="1"/>
          <w:sz w:val="24"/>
          <w:szCs w:val="24"/>
          <w:u w:val="single"/>
        </w:rPr>
      </w:pPr>
      <w:r w:rsidDel="00000000" w:rsidR="00000000" w:rsidRPr="00000000">
        <w:rPr>
          <w:b w:val="1"/>
          <w:sz w:val="24"/>
          <w:szCs w:val="24"/>
          <w:u w:val="single"/>
          <w:rtl w:val="0"/>
        </w:rPr>
        <w:t xml:space="preserve">Action Point</w:t>
      </w:r>
    </w:p>
    <w:p w:rsidR="00000000" w:rsidDel="00000000" w:rsidP="00000000" w:rsidRDefault="00000000" w:rsidRPr="00000000" w14:paraId="00000020">
      <w:pPr>
        <w:spacing w:after="240" w:before="240" w:lineRule="auto"/>
        <w:rPr/>
      </w:pPr>
      <w:r w:rsidDel="00000000" w:rsidR="00000000" w:rsidRPr="00000000">
        <w:rPr>
          <w:rtl w:val="0"/>
        </w:rPr>
        <w:t xml:space="preserve">The school's overarching objective of creating an inclusive and equitable learning environment aligns with its strategic target of promoting diversity within the school. This initiative reflects the growing national emphasis on diversity and addresses several key findings from monitoring reports. Professional development is crucial, as demonstrated by a 2024 staff survey, which revealed insufficient awareness of protected traits and a lack of confidence in handling racist incidents. Additionally, there is a need for improvement in representation, highlighted by a 2024 environmental audit that identified a deficiency of diversity in reading materials, learning resources, and displays. Actively integrating diversity into the school culture is especially important given the school's predominantly white catchment area.</w:t>
      </w:r>
    </w:p>
    <w:p w:rsidR="00000000" w:rsidDel="00000000" w:rsidP="00000000" w:rsidRDefault="00000000" w:rsidRPr="00000000" w14:paraId="00000021">
      <w:pPr>
        <w:spacing w:after="240" w:before="240" w:lineRule="auto"/>
        <w:rPr/>
      </w:pPr>
      <w:r w:rsidDel="00000000" w:rsidR="00000000" w:rsidRPr="00000000">
        <w:rPr>
          <w:rtl w:val="0"/>
        </w:rPr>
        <w:t xml:space="preserve">The effort is being led by the Deputy Head, who is responsible for a planned course of action aimed at incorporating diversity into the curriculum, staff development, and school climate. A curriculum review is a key component of this approach, ensuring that lesson plans incorporate diverse perspectives and historical viewpoints. To support staff, the school is offering training seminars on inclusive teaching and providing teachers with tools to effectively address discrimination. A resource audit is also being conducted to ensure that books, posters, and teaching materials reflect a wider range of cultures and identities. Additionally, the school is establishing a student diversity council to empower students and involve them in fostering an inclusive school culture. To further solidify the program, the school is inviting guest speakers to share firsthand cultural perspectives. However, Craig, Bergstrom, and Buschhorn (2020) argue that not all guest speakers are equally effective, and faculty should strategically select those invited to speak.</w:t>
      </w:r>
    </w:p>
    <w:p w:rsidR="00000000" w:rsidDel="00000000" w:rsidP="00000000" w:rsidRDefault="00000000" w:rsidRPr="00000000" w14:paraId="00000022">
      <w:pPr>
        <w:spacing w:after="240" w:before="240" w:lineRule="auto"/>
        <w:rPr/>
      </w:pPr>
      <w:r w:rsidDel="00000000" w:rsidR="00000000" w:rsidRPr="00000000">
        <w:rPr>
          <w:rtl w:val="0"/>
        </w:rPr>
        <w:t xml:space="preserve">The school assesses the success of its diversity initiative through learning walks, where classroom environments and lesson delivery are observed to ensure inclusivity. Pupil voice surveys collect student feedback on representation and belonging, while "book looks" are used to review teaching materials and assess the integration of diverse perspectives. Additionally, staff questionnaires measure teachers’ confidence and knowledge of diversity topics, helping to identify areas for further professional development. However, some argue that the validity of questionnaires is unreliable, and their results may not provide an accurate depiction of staff knowledge (Taherdoost, 2016). This combination of ongoing evaluation methods ensures that progress is monitored and informs future improvements to the initiative.</w:t>
      </w:r>
    </w:p>
    <w:p w:rsidR="00000000" w:rsidDel="00000000" w:rsidP="00000000" w:rsidRDefault="00000000" w:rsidRPr="00000000" w14:paraId="00000023">
      <w:pPr>
        <w:spacing w:after="240" w:before="240" w:lineRule="auto"/>
        <w:rPr/>
      </w:pPr>
      <w:r w:rsidDel="00000000" w:rsidR="00000000" w:rsidRPr="00000000">
        <w:rPr>
          <w:rtl w:val="0"/>
        </w:rPr>
        <w:t xml:space="preserve">The school’s approach to increasing diversity is multi-faceted, incorporating curriculum development, staff training, resource enhancement, and student engagement. Regular monitoring and evaluation ensure continuous reflection and adaptation, with leadership from the Deputy Head providing clear accountability. However, potential challenges include staff resistance and time constraints for training. To strengthen the initiative, the school could introduce peer mentoring for staff, implement long-term diversity training, and ensure that student voices play a central role in decision-making. These improvements would help sustain meaningful progress and more effectively embed diversity within the school culture.</w:t>
      </w:r>
    </w:p>
    <w:p w:rsidR="00000000" w:rsidDel="00000000" w:rsidP="00000000" w:rsidRDefault="00000000" w:rsidRPr="00000000" w14:paraId="00000024">
      <w:pPr>
        <w:spacing w:after="240" w:before="240" w:lineRule="auto"/>
        <w:rPr>
          <w:b w:val="1"/>
          <w:sz w:val="24"/>
          <w:szCs w:val="24"/>
          <w:u w:val="single"/>
        </w:rPr>
      </w:pPr>
      <w:r w:rsidDel="00000000" w:rsidR="00000000" w:rsidRPr="00000000">
        <w:rPr>
          <w:b w:val="1"/>
          <w:sz w:val="24"/>
          <w:szCs w:val="24"/>
          <w:u w:val="single"/>
          <w:rtl w:val="0"/>
        </w:rPr>
        <w:t xml:space="preserve">Reflection &amp; Evaluation</w:t>
      </w:r>
    </w:p>
    <w:p w:rsidR="00000000" w:rsidDel="00000000" w:rsidP="00000000" w:rsidRDefault="00000000" w:rsidRPr="00000000" w14:paraId="00000025">
      <w:pPr>
        <w:spacing w:after="240" w:before="240" w:lineRule="auto"/>
        <w:rPr/>
      </w:pPr>
      <w:r w:rsidDel="00000000" w:rsidR="00000000" w:rsidRPr="00000000">
        <w:rPr>
          <w:rtl w:val="0"/>
        </w:rPr>
        <w:t xml:space="preserve">Engaging with the School Development Plan (SDP) target of promoting diversity has been both insightful and rewarding, highlighting both the challenges and successes of fostering inclusivity within a predominantly white, affluent school setting. Through critically assessing the effectiveness of existing strategies, I have identified areas for improvement and contributed to meaningful actions that support diversity within the school culture.</w:t>
      </w:r>
    </w:p>
    <w:p w:rsidR="00000000" w:rsidDel="00000000" w:rsidP="00000000" w:rsidRDefault="00000000" w:rsidRPr="00000000" w14:paraId="00000026">
      <w:pPr>
        <w:spacing w:after="240" w:before="240" w:lineRule="auto"/>
        <w:rPr/>
      </w:pPr>
      <w:r w:rsidDel="00000000" w:rsidR="00000000" w:rsidRPr="00000000">
        <w:rPr>
          <w:rtl w:val="0"/>
        </w:rPr>
        <w:t xml:space="preserve">A key highlight of this experience was organising a visit from Welsh Black rapper Dom James to speak to students about diversity and representation. He was mentioned in the SDP as someone the school wished to engage with as part of its diversity efforts, and since I had a personal connection with him, I arranged for him to visit. This event had a significant impact, providing students with a real-life example of diversity within Welsh culture. It challenged preconceived notions and broadened their perspectives. The visit also reinforced the importance of representation in education, demonstrating how seeing role models from different backgrounds can inspire and engage students (Nieto, 2017; Dee, 2004).</w:t>
      </w:r>
    </w:p>
    <w:p w:rsidR="00000000" w:rsidDel="00000000" w:rsidP="00000000" w:rsidRDefault="00000000" w:rsidRPr="00000000" w14:paraId="00000027">
      <w:pPr>
        <w:spacing w:after="240" w:before="240" w:lineRule="auto"/>
        <w:rPr/>
      </w:pPr>
      <w:r w:rsidDel="00000000" w:rsidR="00000000" w:rsidRPr="00000000">
        <w:rPr>
          <w:rtl w:val="0"/>
        </w:rPr>
        <w:t xml:space="preserve">Beyond this event, my research into diversity in education has emphasised the importance of curriculum reform in fostering an inclusive school environment. Decolonising the curriculum is crucial in ensuring that students engage with diverse perspectives, though it can face resistance from parents and staff (Arday &amp; Mirza, 2018). This underscores the need for ongoing professional development to equip teachers with the confidence and skills to effectively integrate inclusive content into their lessons. Additionally, staff mentorship programs—where experienced educators support colleagues in implementing diversity-focused teaching—could enhance long-term engagement with this initiative.</w:t>
      </w:r>
    </w:p>
    <w:p w:rsidR="00000000" w:rsidDel="00000000" w:rsidP="00000000" w:rsidRDefault="00000000" w:rsidRPr="00000000" w14:paraId="00000028">
      <w:pPr>
        <w:spacing w:after="240" w:before="240" w:lineRule="auto"/>
        <w:rPr/>
      </w:pPr>
      <w:r w:rsidDel="00000000" w:rsidR="00000000" w:rsidRPr="00000000">
        <w:rPr>
          <w:rtl w:val="0"/>
        </w:rPr>
        <w:t xml:space="preserve">Another key takeaway has been the importance of student agency. Initiatives like the student diversity council empower young people to take an active role in shaping an inclusive school culture. The rapper’s visit sparked meaningful discussions among students, reinforcing how engagement with real-world role models can complement classroom learning. Encouraging student-led projects and discussions will be crucial in ensuring diversity efforts remain student-centred and impactful.</w:t>
      </w:r>
    </w:p>
    <w:p w:rsidR="00000000" w:rsidDel="00000000" w:rsidP="00000000" w:rsidRDefault="00000000" w:rsidRPr="00000000" w14:paraId="00000029">
      <w:pPr>
        <w:spacing w:after="240" w:before="240" w:lineRule="auto"/>
        <w:rPr/>
      </w:pPr>
      <w:r w:rsidDel="00000000" w:rsidR="00000000" w:rsidRPr="00000000">
        <w:rPr>
          <w:rtl w:val="0"/>
        </w:rPr>
        <w:t xml:space="preserve">While the school has made positive strides, diversity initiatives require continuous evaluation and adaptation to remain effective and meaningful. Gathering feedback from students and staff on events like the rapper’s visit, assessing representation within teaching materials, and refining professional development strategies will help embed inclusivity into the school’s ethos. By maintaining a long-term, evidence-based approach, the school can ensure that diversity is not treated as a one-off initiative, but as an integral part of its culture.</w:t>
      </w:r>
    </w:p>
    <w:p w:rsidR="00000000" w:rsidDel="00000000" w:rsidP="00000000" w:rsidRDefault="00000000" w:rsidRPr="00000000" w14:paraId="0000002A">
      <w:pPr>
        <w:spacing w:after="240" w:before="240" w:lineRule="auto"/>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2B">
      <w:pPr>
        <w:spacing w:after="240" w:before="240" w:lineRule="auto"/>
        <w:rPr/>
      </w:pPr>
      <w:r w:rsidDel="00000000" w:rsidR="00000000" w:rsidRPr="00000000">
        <w:rPr>
          <w:rtl w:val="0"/>
        </w:rPr>
        <w:t xml:space="preserve">This assignment has critically examined the role of diversity within School A’s Development Plan, exploring the significance of representation, curriculum reform, and student engagement in fostering an inclusive learning environment. The analysis highlighted both the challenges and opportunities associated with promoting diversity, particularly in a predominantly white school setting.</w:t>
      </w:r>
    </w:p>
    <w:p w:rsidR="00000000" w:rsidDel="00000000" w:rsidP="00000000" w:rsidRDefault="00000000" w:rsidRPr="00000000" w14:paraId="0000002C">
      <w:pPr>
        <w:spacing w:after="240" w:before="240" w:lineRule="auto"/>
        <w:rPr/>
      </w:pPr>
      <w:r w:rsidDel="00000000" w:rsidR="00000000" w:rsidRPr="00000000">
        <w:rPr>
          <w:rtl w:val="0"/>
        </w:rPr>
        <w:t xml:space="preserve">A key takeaway from this process is the importance of evidence-based decision-making in school development. Research demonstrates the positive impact of diversity on student outcomes, reinforcing the need for sustained efforts rather than short-term initiatives. Furthermore, the process has emphasised the value of continuous professional development, ensuring teachers are equipped with the skills and confidence necessary to facilitate meaningful discussions on race, culture, and inclusion.</w:t>
      </w:r>
    </w:p>
    <w:p w:rsidR="00000000" w:rsidDel="00000000" w:rsidP="00000000" w:rsidRDefault="00000000" w:rsidRPr="00000000" w14:paraId="0000002D">
      <w:pPr>
        <w:spacing w:after="240" w:before="240" w:lineRule="auto"/>
        <w:rPr/>
      </w:pPr>
      <w:r w:rsidDel="00000000" w:rsidR="00000000" w:rsidRPr="00000000">
        <w:rPr>
          <w:rtl w:val="0"/>
        </w:rPr>
        <w:t xml:space="preserve">Reflecting on this experience, I recognise the critical role educators play in shaping inclusive school cultures. Moving forward, I will prioritise embedding diverse perspectives into my teaching practice, advocating for inclusive resources, and fostering open discussions that allow students to engage with diverse cultural viewpoints. This approach aligns with professional teaching standards, particularly in promoting equity, respect, and inclusivity in education. Ultimately, a sustained commitment to diversity initiatives will help create a school environment where all students feel represented, valued, and empowered to engage with the world in a meaningful way.</w:t>
      </w:r>
    </w:p>
    <w:p w:rsidR="00000000" w:rsidDel="00000000" w:rsidP="00000000" w:rsidRDefault="00000000" w:rsidRPr="00000000" w14:paraId="0000002E">
      <w:pPr>
        <w:spacing w:after="240" w:before="240" w:lineRule="auto"/>
        <w:rPr/>
      </w:pPr>
      <w:r w:rsidDel="00000000" w:rsidR="00000000" w:rsidRPr="00000000">
        <w:rPr>
          <w:rtl w:val="0"/>
        </w:rPr>
      </w:r>
    </w:p>
    <w:p w:rsidR="00000000" w:rsidDel="00000000" w:rsidP="00000000" w:rsidRDefault="00000000" w:rsidRPr="00000000" w14:paraId="0000002F">
      <w:pPr>
        <w:spacing w:after="240" w:before="240" w:lineRule="auto"/>
        <w:rPr/>
      </w:pPr>
      <w:r w:rsidDel="00000000" w:rsidR="00000000" w:rsidRPr="00000000">
        <w:rPr>
          <w:rtl w:val="0"/>
        </w:rPr>
      </w:r>
    </w:p>
    <w:p w:rsidR="00000000" w:rsidDel="00000000" w:rsidP="00000000" w:rsidRDefault="00000000" w:rsidRPr="00000000" w14:paraId="00000030">
      <w:pPr>
        <w:spacing w:after="240" w:before="240" w:lineRule="auto"/>
        <w:rPr/>
      </w:pPr>
      <w:r w:rsidDel="00000000" w:rsidR="00000000" w:rsidRPr="00000000">
        <w:rPr>
          <w:rtl w:val="0"/>
        </w:rPr>
      </w:r>
    </w:p>
    <w:p w:rsidR="00000000" w:rsidDel="00000000" w:rsidP="00000000" w:rsidRDefault="00000000" w:rsidRPr="00000000" w14:paraId="00000031">
      <w:pPr>
        <w:spacing w:after="240" w:before="240" w:lineRule="auto"/>
        <w:rPr/>
      </w:pPr>
      <w:r w:rsidDel="00000000" w:rsidR="00000000" w:rsidRPr="00000000">
        <w:rPr>
          <w:rtl w:val="0"/>
        </w:rPr>
      </w:r>
    </w:p>
    <w:p w:rsidR="00000000" w:rsidDel="00000000" w:rsidP="00000000" w:rsidRDefault="00000000" w:rsidRPr="00000000" w14:paraId="00000032">
      <w:pPr>
        <w:spacing w:after="240" w:before="240" w:lineRule="auto"/>
        <w:rPr/>
      </w:pPr>
      <w:r w:rsidDel="00000000" w:rsidR="00000000" w:rsidRPr="00000000">
        <w:rPr>
          <w:rtl w:val="0"/>
        </w:rPr>
      </w:r>
    </w:p>
    <w:p w:rsidR="00000000" w:rsidDel="00000000" w:rsidP="00000000" w:rsidRDefault="00000000" w:rsidRPr="00000000" w14:paraId="00000033">
      <w:pPr>
        <w:spacing w:after="240" w:before="240" w:lineRule="auto"/>
        <w:rPr/>
      </w:pPr>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r>
    </w:p>
    <w:p w:rsidR="00000000" w:rsidDel="00000000" w:rsidP="00000000" w:rsidRDefault="00000000" w:rsidRPr="00000000" w14:paraId="00000035">
      <w:pPr>
        <w:spacing w:after="240" w:before="240" w:lineRule="auto"/>
        <w:rPr/>
      </w:pPr>
      <w:r w:rsidDel="00000000" w:rsidR="00000000" w:rsidRPr="00000000">
        <w:rPr>
          <w:rtl w:val="0"/>
        </w:rPr>
      </w:r>
    </w:p>
    <w:p w:rsidR="00000000" w:rsidDel="00000000" w:rsidP="00000000" w:rsidRDefault="00000000" w:rsidRPr="00000000" w14:paraId="00000036">
      <w:pPr>
        <w:spacing w:after="240" w:before="240" w:lineRule="auto"/>
        <w:rPr/>
      </w:pPr>
      <w:r w:rsidDel="00000000" w:rsidR="00000000" w:rsidRPr="00000000">
        <w:rPr>
          <w:rtl w:val="0"/>
        </w:rPr>
      </w:r>
    </w:p>
    <w:p w:rsidR="00000000" w:rsidDel="00000000" w:rsidP="00000000" w:rsidRDefault="00000000" w:rsidRPr="00000000" w14:paraId="00000037">
      <w:pPr>
        <w:spacing w:after="240" w:before="240" w:lineRule="auto"/>
        <w:rPr/>
      </w:pPr>
      <w:r w:rsidDel="00000000" w:rsidR="00000000" w:rsidRPr="00000000">
        <w:rPr>
          <w:rtl w:val="0"/>
        </w:rPr>
      </w:r>
    </w:p>
    <w:p w:rsidR="00000000" w:rsidDel="00000000" w:rsidP="00000000" w:rsidRDefault="00000000" w:rsidRPr="00000000" w14:paraId="00000038">
      <w:pPr>
        <w:spacing w:after="240" w:before="240" w:lineRule="auto"/>
        <w:rPr/>
      </w:pPr>
      <w:r w:rsidDel="00000000" w:rsidR="00000000" w:rsidRPr="00000000">
        <w:rPr>
          <w:rtl w:val="0"/>
        </w:rPr>
      </w:r>
    </w:p>
    <w:p w:rsidR="00000000" w:rsidDel="00000000" w:rsidP="00000000" w:rsidRDefault="00000000" w:rsidRPr="00000000" w14:paraId="00000039">
      <w:pPr>
        <w:spacing w:after="240" w:before="240" w:lineRule="auto"/>
        <w:rPr/>
      </w:pPr>
      <w:r w:rsidDel="00000000" w:rsidR="00000000" w:rsidRPr="00000000">
        <w:rPr>
          <w:rtl w:val="0"/>
        </w:rPr>
      </w:r>
    </w:p>
    <w:p w:rsidR="00000000" w:rsidDel="00000000" w:rsidP="00000000" w:rsidRDefault="00000000" w:rsidRPr="00000000" w14:paraId="0000003A">
      <w:pPr>
        <w:pStyle w:val="Heading1"/>
        <w:keepNext w:val="0"/>
        <w:keepLines w:val="0"/>
        <w:spacing w:after="360" w:before="0" w:line="360" w:lineRule="auto"/>
        <w:rPr>
          <w:rFonts w:ascii="Times New Roman" w:cs="Times New Roman" w:eastAsia="Times New Roman" w:hAnsi="Times New Roman"/>
          <w:b w:val="1"/>
          <w:sz w:val="36"/>
          <w:szCs w:val="36"/>
        </w:rPr>
      </w:pPr>
      <w:bookmarkStart w:colFirst="0" w:colLast="0" w:name="_2oqgcckownjl" w:id="0"/>
      <w:bookmarkEnd w:id="0"/>
      <w:r w:rsidDel="00000000" w:rsidR="00000000" w:rsidRPr="00000000">
        <w:rPr>
          <w:rFonts w:ascii="Times New Roman" w:cs="Times New Roman" w:eastAsia="Times New Roman" w:hAnsi="Times New Roman"/>
          <w:b w:val="1"/>
          <w:sz w:val="36"/>
          <w:szCs w:val="36"/>
          <w:rtl w:val="0"/>
        </w:rPr>
        <w:t xml:space="preserve">Reference list</w:t>
      </w:r>
    </w:p>
    <w:p w:rsidR="00000000" w:rsidDel="00000000" w:rsidP="00000000" w:rsidRDefault="00000000" w:rsidRPr="00000000" w14:paraId="0000003B">
      <w:pPr>
        <w:spacing w:after="240" w:line="360" w:lineRule="auto"/>
        <w:rPr>
          <w:rFonts w:ascii="Times New Roman" w:cs="Times New Roman" w:eastAsia="Times New Roman" w:hAnsi="Times New Roman"/>
          <w:sz w:val="24"/>
          <w:szCs w:val="24"/>
        </w:rPr>
      </w:pPr>
      <w:r w:rsidDel="00000000" w:rsidR="00000000" w:rsidRPr="00000000">
        <w:rPr>
          <w:rFonts w:ascii="Gungsuh" w:cs="Gungsuh" w:eastAsia="Gungsuh" w:hAnsi="Gungsuh"/>
          <w:sz w:val="24"/>
          <w:szCs w:val="24"/>
          <w:rtl w:val="0"/>
        </w:rPr>
        <w:t xml:space="preserve">Banks, J.A. (2009). Diversity and Citizenship Education in Multicultural Nations∗. </w:t>
      </w:r>
      <w:r w:rsidDel="00000000" w:rsidR="00000000" w:rsidRPr="00000000">
        <w:rPr>
          <w:rFonts w:ascii="Times New Roman" w:cs="Times New Roman" w:eastAsia="Times New Roman" w:hAnsi="Times New Roman"/>
          <w:i w:val="1"/>
          <w:sz w:val="24"/>
          <w:szCs w:val="24"/>
          <w:rtl w:val="0"/>
        </w:rPr>
        <w:t xml:space="preserve">Multicultural Education Review</w:t>
      </w:r>
      <w:r w:rsidDel="00000000" w:rsidR="00000000" w:rsidRPr="00000000">
        <w:rPr>
          <w:rFonts w:ascii="Times New Roman" w:cs="Times New Roman" w:eastAsia="Times New Roman" w:hAnsi="Times New Roman"/>
          <w:sz w:val="24"/>
          <w:szCs w:val="24"/>
          <w:rtl w:val="0"/>
        </w:rPr>
        <w:t xml:space="preserve">, 1(1), pp.1–28. doi:https://doi.org/10.1080/23770031.2009.11102861.</w:t>
      </w:r>
    </w:p>
    <w:p w:rsidR="00000000" w:rsidDel="00000000" w:rsidP="00000000" w:rsidRDefault="00000000" w:rsidRPr="00000000" w14:paraId="0000003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Bell, J.M. and Hartmann, D. (2007). Diversity in Everyday Discourse: The Cultural Ambiguities and Consequences of ‘Happy Talk’. </w:t>
      </w:r>
      <w:r w:rsidDel="00000000" w:rsidR="00000000" w:rsidRPr="00000000">
        <w:rPr>
          <w:rFonts w:ascii="Times New Roman" w:cs="Times New Roman" w:eastAsia="Times New Roman" w:hAnsi="Times New Roman"/>
          <w:i w:val="1"/>
          <w:sz w:val="24"/>
          <w:szCs w:val="24"/>
          <w:rtl w:val="0"/>
        </w:rPr>
        <w:t xml:space="preserve">American Sociological Review</w:t>
      </w:r>
      <w:r w:rsidDel="00000000" w:rsidR="00000000" w:rsidRPr="00000000">
        <w:rPr>
          <w:rFonts w:ascii="Times New Roman" w:cs="Times New Roman" w:eastAsia="Times New Roman" w:hAnsi="Times New Roman"/>
          <w:sz w:val="24"/>
          <w:szCs w:val="24"/>
          <w:rtl w:val="0"/>
        </w:rPr>
        <w:t xml:space="preserve">, 72(6), pp.895–914. doi:https://doi.org/10.1177/000312240707200603.</w:t>
      </w:r>
    </w:p>
    <w:p w:rsidR="00000000" w:rsidDel="00000000" w:rsidP="00000000" w:rsidRDefault="00000000" w:rsidRPr="00000000" w14:paraId="0000003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Chaudry, I. (2020). Dismantling Race In Higher Education: Racism, Whiteness and Decolonising the Academy (2018). </w:t>
      </w:r>
      <w:r w:rsidDel="00000000" w:rsidR="00000000" w:rsidRPr="00000000">
        <w:rPr>
          <w:rFonts w:ascii="Times New Roman" w:cs="Times New Roman" w:eastAsia="Times New Roman" w:hAnsi="Times New Roman"/>
          <w:i w:val="1"/>
          <w:sz w:val="24"/>
          <w:szCs w:val="24"/>
          <w:rtl w:val="0"/>
        </w:rPr>
        <w:t xml:space="preserve">Multicultural Education Review</w:t>
      </w:r>
      <w:r w:rsidDel="00000000" w:rsidR="00000000" w:rsidRPr="00000000">
        <w:rPr>
          <w:rFonts w:ascii="Times New Roman" w:cs="Times New Roman" w:eastAsia="Times New Roman" w:hAnsi="Times New Roman"/>
          <w:sz w:val="24"/>
          <w:szCs w:val="24"/>
          <w:rtl w:val="0"/>
        </w:rPr>
        <w:t xml:space="preserve">, pp.1–3. doi:https://doi.org/10.1080/2005615x.2020.1808930.</w:t>
      </w:r>
    </w:p>
    <w:p w:rsidR="00000000" w:rsidDel="00000000" w:rsidP="00000000" w:rsidRDefault="00000000" w:rsidRPr="00000000" w14:paraId="0000003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Craig, C.M., Bergstrom, A.M. and Buschhorn, J. (2020). All Guest Speakers Are Not Created Equal: Diverse Students Require Diverse Speakers. </w:t>
      </w:r>
      <w:r w:rsidDel="00000000" w:rsidR="00000000" w:rsidRPr="00000000">
        <w:rPr>
          <w:rFonts w:ascii="Times New Roman" w:cs="Times New Roman" w:eastAsia="Times New Roman" w:hAnsi="Times New Roman"/>
          <w:i w:val="1"/>
          <w:sz w:val="24"/>
          <w:szCs w:val="24"/>
          <w:rtl w:val="0"/>
        </w:rPr>
        <w:t xml:space="preserve">Journal of Advertising Education</w:t>
      </w:r>
      <w:r w:rsidDel="00000000" w:rsidR="00000000" w:rsidRPr="00000000">
        <w:rPr>
          <w:rFonts w:ascii="Times New Roman" w:cs="Times New Roman" w:eastAsia="Times New Roman" w:hAnsi="Times New Roman"/>
          <w:sz w:val="24"/>
          <w:szCs w:val="24"/>
          <w:rtl w:val="0"/>
        </w:rPr>
        <w:t xml:space="preserve">, 24(2), pp.150–167. doi:https://doi.org/10.1177/1098048220956939.</w:t>
      </w:r>
    </w:p>
    <w:p w:rsidR="00000000" w:rsidDel="00000000" w:rsidP="00000000" w:rsidRDefault="00000000" w:rsidRPr="00000000" w14:paraId="0000003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D’amico, D., Pawlewicz, R.J., Earley, P.M. and McGeehan, A.P. (2017). Where Are All the Black Teachers? Discrimination in the Teacher Labor Market. </w:t>
      </w:r>
      <w:r w:rsidDel="00000000" w:rsidR="00000000" w:rsidRPr="00000000">
        <w:rPr>
          <w:rFonts w:ascii="Times New Roman" w:cs="Times New Roman" w:eastAsia="Times New Roman" w:hAnsi="Times New Roman"/>
          <w:i w:val="1"/>
          <w:sz w:val="24"/>
          <w:szCs w:val="24"/>
          <w:rtl w:val="0"/>
        </w:rPr>
        <w:t xml:space="preserve">Harvard Educational Review</w:t>
      </w:r>
      <w:r w:rsidDel="00000000" w:rsidR="00000000" w:rsidRPr="00000000">
        <w:rPr>
          <w:rFonts w:ascii="Times New Roman" w:cs="Times New Roman" w:eastAsia="Times New Roman" w:hAnsi="Times New Roman"/>
          <w:sz w:val="24"/>
          <w:szCs w:val="24"/>
          <w:rtl w:val="0"/>
        </w:rPr>
        <w:t xml:space="preserve">, 87(1), pp.26–49. doi:https://doi.org/10.17763/1943-5045-87.1.26.</w:t>
      </w:r>
    </w:p>
    <w:p w:rsidR="00000000" w:rsidDel="00000000" w:rsidP="00000000" w:rsidRDefault="00000000" w:rsidRPr="00000000" w14:paraId="0000004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Dee, T.S. (2004). Teachers, Race, and Student Achievement in a Randomized Experiment. </w:t>
      </w:r>
      <w:r w:rsidDel="00000000" w:rsidR="00000000" w:rsidRPr="00000000">
        <w:rPr>
          <w:rFonts w:ascii="Times New Roman" w:cs="Times New Roman" w:eastAsia="Times New Roman" w:hAnsi="Times New Roman"/>
          <w:i w:val="1"/>
          <w:sz w:val="24"/>
          <w:szCs w:val="24"/>
          <w:rtl w:val="0"/>
        </w:rPr>
        <w:t xml:space="preserve">Review of Economics and Statistics</w:t>
      </w:r>
      <w:r w:rsidDel="00000000" w:rsidR="00000000" w:rsidRPr="00000000">
        <w:rPr>
          <w:rFonts w:ascii="Times New Roman" w:cs="Times New Roman" w:eastAsia="Times New Roman" w:hAnsi="Times New Roman"/>
          <w:sz w:val="24"/>
          <w:szCs w:val="24"/>
          <w:rtl w:val="0"/>
        </w:rPr>
        <w:t xml:space="preserve">, 86(1), pp.195–210. doi:</w:t>
      </w:r>
      <w:hyperlink r:id="rId6">
        <w:r w:rsidDel="00000000" w:rsidR="00000000" w:rsidRPr="00000000">
          <w:rPr>
            <w:rFonts w:ascii="Times New Roman" w:cs="Times New Roman" w:eastAsia="Times New Roman" w:hAnsi="Times New Roman"/>
            <w:color w:val="1155cc"/>
            <w:sz w:val="24"/>
            <w:szCs w:val="24"/>
            <w:u w:val="single"/>
            <w:rtl w:val="0"/>
          </w:rPr>
          <w:t xml:space="preserve">https://doi.org/10.1162/003465304323023750</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1">
      <w:pPr>
        <w:spacing w:after="24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Dobbin, F. and Kalev, A., 2016. Why diversity programs fail. </w:t>
      </w:r>
      <w:r w:rsidDel="00000000" w:rsidR="00000000" w:rsidRPr="00000000">
        <w:rPr>
          <w:rFonts w:ascii="Times New Roman" w:cs="Times New Roman" w:eastAsia="Times New Roman" w:hAnsi="Times New Roman"/>
          <w:i w:val="1"/>
          <w:sz w:val="24"/>
          <w:szCs w:val="24"/>
          <w:rtl w:val="0"/>
        </w:rPr>
        <w:t xml:space="preserve">Harvard Business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94</w:t>
      </w:r>
      <w:r w:rsidDel="00000000" w:rsidR="00000000" w:rsidRPr="00000000">
        <w:rPr>
          <w:rFonts w:ascii="Times New Roman" w:cs="Times New Roman" w:eastAsia="Times New Roman" w:hAnsi="Times New Roman"/>
          <w:sz w:val="24"/>
          <w:szCs w:val="24"/>
          <w:rtl w:val="0"/>
        </w:rPr>
        <w:t xml:space="preserve">(7), p.14.</w:t>
      </w:r>
      <w:r w:rsidDel="00000000" w:rsidR="00000000" w:rsidRPr="00000000">
        <w:rPr>
          <w:rtl w:val="0"/>
        </w:rPr>
      </w:r>
    </w:p>
    <w:p w:rsidR="00000000" w:rsidDel="00000000" w:rsidP="00000000" w:rsidRDefault="00000000" w:rsidRPr="00000000" w14:paraId="0000004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Gordon, B.M. and Nieto, S. (1992). Affirming Diversity: The Sociopolitical Context of Multicultural Education. </w:t>
      </w:r>
      <w:r w:rsidDel="00000000" w:rsidR="00000000" w:rsidRPr="00000000">
        <w:rPr>
          <w:rFonts w:ascii="Times New Roman" w:cs="Times New Roman" w:eastAsia="Times New Roman" w:hAnsi="Times New Roman"/>
          <w:i w:val="1"/>
          <w:sz w:val="24"/>
          <w:szCs w:val="24"/>
          <w:rtl w:val="0"/>
        </w:rPr>
        <w:t xml:space="preserve">The Journal of Negro Education</w:t>
      </w:r>
      <w:r w:rsidDel="00000000" w:rsidR="00000000" w:rsidRPr="00000000">
        <w:rPr>
          <w:rFonts w:ascii="Times New Roman" w:cs="Times New Roman" w:eastAsia="Times New Roman" w:hAnsi="Times New Roman"/>
          <w:sz w:val="24"/>
          <w:szCs w:val="24"/>
          <w:rtl w:val="0"/>
        </w:rPr>
        <w:t xml:space="preserve">, 61(3), p.440. doi:https://doi.org/10.2307/2295263.</w:t>
      </w:r>
    </w:p>
    <w:p w:rsidR="00000000" w:rsidDel="00000000" w:rsidP="00000000" w:rsidRDefault="00000000" w:rsidRPr="00000000" w14:paraId="0000004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Gurin, P., Dey, E., Hurtado, S. and Gurin, G. (2002). Diversity and Higher Education: Theory and Impact on Educational Outcomes. </w:t>
      </w:r>
      <w:r w:rsidDel="00000000" w:rsidR="00000000" w:rsidRPr="00000000">
        <w:rPr>
          <w:rFonts w:ascii="Times New Roman" w:cs="Times New Roman" w:eastAsia="Times New Roman" w:hAnsi="Times New Roman"/>
          <w:i w:val="1"/>
          <w:sz w:val="24"/>
          <w:szCs w:val="24"/>
          <w:rtl w:val="0"/>
        </w:rPr>
        <w:t xml:space="preserve">Harvard Educational Review</w:t>
      </w:r>
      <w:r w:rsidDel="00000000" w:rsidR="00000000" w:rsidRPr="00000000">
        <w:rPr>
          <w:rFonts w:ascii="Times New Roman" w:cs="Times New Roman" w:eastAsia="Times New Roman" w:hAnsi="Times New Roman"/>
          <w:sz w:val="24"/>
          <w:szCs w:val="24"/>
          <w:rtl w:val="0"/>
        </w:rPr>
        <w:t xml:space="preserve">, 72(3), pp.330–367. doi:https://doi.org/10.17763/haer.72.3.01151786u134n051.</w:t>
      </w:r>
    </w:p>
    <w:p w:rsidR="00000000" w:rsidDel="00000000" w:rsidP="00000000" w:rsidRDefault="00000000" w:rsidRPr="00000000" w14:paraId="0000004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Kidder, D.L., Lankau, M.J., Chrobot‐Mason, D., Mollica, K.A. and Friedman, R.A. (2004). BACKLASH TOWARD DIVERSITY INITIATIVES: EXAMINING THE IMPACT OF DIVERSITY PROGRAM JUSTIFICATION, PERSONAL AND GROUP OUTCOMES. </w:t>
      </w:r>
      <w:r w:rsidDel="00000000" w:rsidR="00000000" w:rsidRPr="00000000">
        <w:rPr>
          <w:rFonts w:ascii="Times New Roman" w:cs="Times New Roman" w:eastAsia="Times New Roman" w:hAnsi="Times New Roman"/>
          <w:i w:val="1"/>
          <w:sz w:val="24"/>
          <w:szCs w:val="24"/>
          <w:rtl w:val="0"/>
        </w:rPr>
        <w:t xml:space="preserve">International Journal of Conflict Management</w:t>
      </w:r>
      <w:r w:rsidDel="00000000" w:rsidR="00000000" w:rsidRPr="00000000">
        <w:rPr>
          <w:rFonts w:ascii="Times New Roman" w:cs="Times New Roman" w:eastAsia="Times New Roman" w:hAnsi="Times New Roman"/>
          <w:sz w:val="24"/>
          <w:szCs w:val="24"/>
          <w:rtl w:val="0"/>
        </w:rPr>
        <w:t xml:space="preserve">, 15(1), pp.77–102. doi:https://doi.org/10.1108/eb022908.</w:t>
      </w:r>
    </w:p>
    <w:p w:rsidR="00000000" w:rsidDel="00000000" w:rsidP="00000000" w:rsidRDefault="00000000" w:rsidRPr="00000000" w14:paraId="0000004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Ladson-Billings, G. (1995). Toward a Theory of Culturally Relevant Pedagogy. </w:t>
      </w:r>
      <w:r w:rsidDel="00000000" w:rsidR="00000000" w:rsidRPr="00000000">
        <w:rPr>
          <w:rFonts w:ascii="Times New Roman" w:cs="Times New Roman" w:eastAsia="Times New Roman" w:hAnsi="Times New Roman"/>
          <w:i w:val="1"/>
          <w:sz w:val="24"/>
          <w:szCs w:val="24"/>
          <w:rtl w:val="0"/>
        </w:rPr>
        <w:t xml:space="preserve">American Educational Research Journal</w:t>
      </w:r>
      <w:r w:rsidDel="00000000" w:rsidR="00000000" w:rsidRPr="00000000">
        <w:rPr>
          <w:rFonts w:ascii="Times New Roman" w:cs="Times New Roman" w:eastAsia="Times New Roman" w:hAnsi="Times New Roman"/>
          <w:sz w:val="24"/>
          <w:szCs w:val="24"/>
          <w:rtl w:val="0"/>
        </w:rPr>
        <w:t xml:space="preserve">, [online] 32(3), pp.465–491. doi:https://doi.org/10.2307/1163320.</w:t>
      </w:r>
    </w:p>
    <w:p w:rsidR="00000000" w:rsidDel="00000000" w:rsidP="00000000" w:rsidRDefault="00000000" w:rsidRPr="00000000" w14:paraId="0000004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Rasinski, T. (2014). Gorski, P. S. (2014). Reaching and Teaching Students in Poverty: Strategies for Erasing the Opportunity Gap. </w:t>
      </w:r>
      <w:r w:rsidDel="00000000" w:rsidR="00000000" w:rsidRPr="00000000">
        <w:rPr>
          <w:rFonts w:ascii="Times New Roman" w:cs="Times New Roman" w:eastAsia="Times New Roman" w:hAnsi="Times New Roman"/>
          <w:i w:val="1"/>
          <w:sz w:val="24"/>
          <w:szCs w:val="24"/>
          <w:rtl w:val="0"/>
        </w:rPr>
        <w:t xml:space="preserve">The Journal of Educational Research</w:t>
      </w:r>
      <w:r w:rsidDel="00000000" w:rsidR="00000000" w:rsidRPr="00000000">
        <w:rPr>
          <w:rFonts w:ascii="Times New Roman" w:cs="Times New Roman" w:eastAsia="Times New Roman" w:hAnsi="Times New Roman"/>
          <w:sz w:val="24"/>
          <w:szCs w:val="24"/>
          <w:rtl w:val="0"/>
        </w:rPr>
        <w:t xml:space="preserve">, 108(1), pp.78–79. doi:https://doi.org/10.1080/00220671.2014.981068.</w:t>
      </w:r>
    </w:p>
    <w:p w:rsidR="00000000" w:rsidDel="00000000" w:rsidP="00000000" w:rsidRDefault="00000000" w:rsidRPr="00000000" w14:paraId="0000004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Said, E. (1978). Orientalism. </w:t>
      </w:r>
      <w:r w:rsidDel="00000000" w:rsidR="00000000" w:rsidRPr="00000000">
        <w:rPr>
          <w:rFonts w:ascii="Times New Roman" w:cs="Times New Roman" w:eastAsia="Times New Roman" w:hAnsi="Times New Roman"/>
          <w:i w:val="1"/>
          <w:sz w:val="24"/>
          <w:szCs w:val="24"/>
          <w:rtl w:val="0"/>
        </w:rPr>
        <w:t xml:space="preserve">The Antioch Review</w:t>
      </w:r>
      <w:r w:rsidDel="00000000" w:rsidR="00000000" w:rsidRPr="00000000">
        <w:rPr>
          <w:rFonts w:ascii="Times New Roman" w:cs="Times New Roman" w:eastAsia="Times New Roman" w:hAnsi="Times New Roman"/>
          <w:sz w:val="24"/>
          <w:szCs w:val="24"/>
          <w:rtl w:val="0"/>
        </w:rPr>
        <w:t xml:space="preserve">, 40(1).</w:t>
      </w:r>
    </w:p>
    <w:p w:rsidR="00000000" w:rsidDel="00000000" w:rsidP="00000000" w:rsidRDefault="00000000" w:rsidRPr="00000000" w14:paraId="00000048">
      <w:pPr>
        <w:spacing w:after="24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Stonecipher, R., 2020. Sara Ahmed’s Critical Phenomenology of Communication. In </w:t>
      </w:r>
      <w:r w:rsidDel="00000000" w:rsidR="00000000" w:rsidRPr="00000000">
        <w:rPr>
          <w:rFonts w:ascii="Times New Roman" w:cs="Times New Roman" w:eastAsia="Times New Roman" w:hAnsi="Times New Roman"/>
          <w:i w:val="1"/>
          <w:sz w:val="24"/>
          <w:szCs w:val="24"/>
          <w:rtl w:val="0"/>
        </w:rPr>
        <w:t xml:space="preserve">Oxford Research Encyclopedia of Communication</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4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Swansea Council (2024). </w:t>
      </w:r>
      <w:r w:rsidDel="00000000" w:rsidR="00000000" w:rsidRPr="00000000">
        <w:rPr>
          <w:rFonts w:ascii="Times New Roman" w:cs="Times New Roman" w:eastAsia="Times New Roman" w:hAnsi="Times New Roman"/>
          <w:i w:val="1"/>
          <w:sz w:val="24"/>
          <w:szCs w:val="24"/>
          <w:rtl w:val="0"/>
        </w:rPr>
        <w:t xml:space="preserve">Ward profiles</w:t>
      </w:r>
      <w:r w:rsidDel="00000000" w:rsidR="00000000" w:rsidRPr="00000000">
        <w:rPr>
          <w:rFonts w:ascii="Times New Roman" w:cs="Times New Roman" w:eastAsia="Times New Roman" w:hAnsi="Times New Roman"/>
          <w:sz w:val="24"/>
          <w:szCs w:val="24"/>
          <w:rtl w:val="0"/>
        </w:rPr>
        <w:t xml:space="preserve">. [online] Swansea. Available at: http://www.swansea.gov.uk/wardprofiles.</w:t>
      </w:r>
    </w:p>
    <w:p w:rsidR="00000000" w:rsidDel="00000000" w:rsidP="00000000" w:rsidRDefault="00000000" w:rsidRPr="00000000" w14:paraId="0000004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Taherdoost, H. (2016). Validity and Reliability of the Research Instrument; How to Test the Validation of a Questionnaire/Survey in a Research. </w:t>
      </w:r>
      <w:r w:rsidDel="00000000" w:rsidR="00000000" w:rsidRPr="00000000">
        <w:rPr>
          <w:rFonts w:ascii="Times New Roman" w:cs="Times New Roman" w:eastAsia="Times New Roman" w:hAnsi="Times New Roman"/>
          <w:i w:val="1"/>
          <w:sz w:val="24"/>
          <w:szCs w:val="24"/>
          <w:rtl w:val="0"/>
        </w:rPr>
        <w:t xml:space="preserve">International Journal of Academic Research in Management</w:t>
      </w:r>
      <w:r w:rsidDel="00000000" w:rsidR="00000000" w:rsidRPr="00000000">
        <w:rPr>
          <w:rFonts w:ascii="Times New Roman" w:cs="Times New Roman" w:eastAsia="Times New Roman" w:hAnsi="Times New Roman"/>
          <w:sz w:val="24"/>
          <w:szCs w:val="24"/>
          <w:rtl w:val="0"/>
        </w:rPr>
        <w:t xml:space="preserve">, 5(3), pp.28–36. doi:https://doi.org/10.2139/ssrn.3205040.</w:t>
      </w:r>
    </w:p>
    <w:p w:rsidR="00000000" w:rsidDel="00000000" w:rsidP="00000000" w:rsidRDefault="00000000" w:rsidRPr="00000000" w14:paraId="0000004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(2022). </w:t>
      </w:r>
      <w:r w:rsidDel="00000000" w:rsidR="00000000" w:rsidRPr="00000000">
        <w:rPr>
          <w:rFonts w:ascii="Times New Roman" w:cs="Times New Roman" w:eastAsia="Times New Roman" w:hAnsi="Times New Roman"/>
          <w:i w:val="1"/>
          <w:sz w:val="24"/>
          <w:szCs w:val="24"/>
          <w:rtl w:val="0"/>
        </w:rPr>
        <w:t xml:space="preserve">School improvement guidance: framework for evaluation, improvement and accountability - Hwb</w:t>
      </w:r>
      <w:r w:rsidDel="00000000" w:rsidR="00000000" w:rsidRPr="00000000">
        <w:rPr>
          <w:rFonts w:ascii="Times New Roman" w:cs="Times New Roman" w:eastAsia="Times New Roman" w:hAnsi="Times New Roman"/>
          <w:sz w:val="24"/>
          <w:szCs w:val="24"/>
          <w:rtl w:val="0"/>
        </w:rPr>
        <w:t xml:space="preserve">. [online] hwb.gov.wales. Available at: https://hwb.gov.wales/evaluation-improvement-and-accountability/school-improvement-guidance-framework-for-evaluation-improvement-and-accountability.</w:t>
      </w:r>
    </w:p>
    <w:p w:rsidR="00000000" w:rsidDel="00000000" w:rsidP="00000000" w:rsidRDefault="00000000" w:rsidRPr="00000000" w14:paraId="0000004C">
      <w:pPr>
        <w:spacing w:after="240" w:before="240" w:lineRule="auto"/>
        <w:rPr/>
      </w:pPr>
      <w:r w:rsidDel="00000000" w:rsidR="00000000" w:rsidRPr="00000000">
        <w:rPr>
          <w:rtl w:val="0"/>
        </w:rPr>
      </w:r>
    </w:p>
    <w:p w:rsidR="00000000" w:rsidDel="00000000" w:rsidP="00000000" w:rsidRDefault="00000000" w:rsidRPr="00000000" w14:paraId="0000004D">
      <w:pPr>
        <w:spacing w:after="240" w:before="240" w:lineRule="auto"/>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ungsuh"/>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1162/0034653043230237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