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27299217"/>
        <w:docPartObj>
          <w:docPartGallery w:val="Cover Pages"/>
          <w:docPartUnique/>
        </w:docPartObj>
      </w:sdtPr>
      <w:sdtEndPr>
        <w:rPr>
          <w:lang w:val="en-US"/>
        </w:rPr>
      </w:sdtEndPr>
      <w:sdtContent>
        <w:p w14:paraId="15CBA81B" w14:textId="5920D3DD" w:rsidR="00581B0E" w:rsidRDefault="00581B0E">
          <w:r>
            <w:rPr>
              <w:noProof/>
            </w:rPr>
            <mc:AlternateContent>
              <mc:Choice Requires="wpg">
                <w:drawing>
                  <wp:anchor distT="0" distB="0" distL="114300" distR="114300" simplePos="0" relativeHeight="251662336" behindDoc="0" locked="0" layoutInCell="1" allowOverlap="1" wp14:anchorId="40FCD260" wp14:editId="3E1F7A0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D0EDFE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5"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89A2202" wp14:editId="2C17860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BE6A90E" w14:textId="27B34A43" w:rsidR="00581B0E" w:rsidRDefault="00581B0E" w:rsidP="00581B0E">
                                    <w:pPr>
                                      <w:pStyle w:val="NoSpacing"/>
                                      <w:jc w:val="center"/>
                                      <w:rPr>
                                        <w:color w:val="595959" w:themeColor="text1" w:themeTint="A6"/>
                                        <w:sz w:val="28"/>
                                        <w:szCs w:val="28"/>
                                      </w:rPr>
                                    </w:pPr>
                                    <w:r>
                                      <w:rPr>
                                        <w:color w:val="595959" w:themeColor="text1" w:themeTint="A6"/>
                                        <w:sz w:val="28"/>
                                        <w:szCs w:val="28"/>
                                      </w:rPr>
                                      <w:t xml:space="preserve">  </w:t>
                                    </w:r>
                                    <w:r w:rsidR="00B70950">
                                      <w:rPr>
                                        <w:color w:val="595959" w:themeColor="text1" w:themeTint="A6"/>
                                        <w:sz w:val="28"/>
                                        <w:szCs w:val="28"/>
                                      </w:rPr>
                                      <w:t xml:space="preserve">                                                              </w:t>
                                    </w:r>
                                    <w:r>
                                      <w:rPr>
                                        <w:color w:val="595959" w:themeColor="text1" w:themeTint="A6"/>
                                        <w:sz w:val="28"/>
                                        <w:szCs w:val="28"/>
                                      </w:rPr>
                                      <w:t xml:space="preserve">  COMPLETED BY NAZIM AMIN</w:t>
                                    </w:r>
                                  </w:p>
                                </w:sdtContent>
                              </w:sdt>
                              <w:p w14:paraId="2AF0348F" w14:textId="29286E21" w:rsidR="00581B0E" w:rsidRDefault="00581B0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B70950">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89A220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BE6A90E" w14:textId="27B34A43" w:rsidR="00581B0E" w:rsidRDefault="00581B0E" w:rsidP="00581B0E">
                              <w:pPr>
                                <w:pStyle w:val="NoSpacing"/>
                                <w:jc w:val="center"/>
                                <w:rPr>
                                  <w:color w:val="595959" w:themeColor="text1" w:themeTint="A6"/>
                                  <w:sz w:val="28"/>
                                  <w:szCs w:val="28"/>
                                </w:rPr>
                              </w:pPr>
                              <w:r>
                                <w:rPr>
                                  <w:color w:val="595959" w:themeColor="text1" w:themeTint="A6"/>
                                  <w:sz w:val="28"/>
                                  <w:szCs w:val="28"/>
                                </w:rPr>
                                <w:t xml:space="preserve">  </w:t>
                              </w:r>
                              <w:r w:rsidR="00B70950">
                                <w:rPr>
                                  <w:color w:val="595959" w:themeColor="text1" w:themeTint="A6"/>
                                  <w:sz w:val="28"/>
                                  <w:szCs w:val="28"/>
                                </w:rPr>
                                <w:t xml:space="preserve">                                                              </w:t>
                              </w:r>
                              <w:r>
                                <w:rPr>
                                  <w:color w:val="595959" w:themeColor="text1" w:themeTint="A6"/>
                                  <w:sz w:val="28"/>
                                  <w:szCs w:val="28"/>
                                </w:rPr>
                                <w:t xml:space="preserve">  COMPLETED BY NAZIM AMIN</w:t>
                              </w:r>
                            </w:p>
                          </w:sdtContent>
                        </w:sdt>
                        <w:p w14:paraId="2AF0348F" w14:textId="29286E21" w:rsidR="00581B0E" w:rsidRDefault="00581B0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B70950">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D7DE2E9" wp14:editId="02D18DD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1333B85" w14:textId="7494A904" w:rsidR="00581B0E" w:rsidRDefault="00581B0E" w:rsidP="00581B0E">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D7DE2E9"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1333B85" w14:textId="7494A904" w:rsidR="00581B0E" w:rsidRDefault="00581B0E" w:rsidP="00581B0E">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359E53C" wp14:editId="6ABC060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FA0BA7" w14:textId="320BC6A9" w:rsidR="00581B0E" w:rsidRDefault="00581B0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Evidence based policing &amp; applications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09DC55B" w14:textId="454E923B" w:rsidR="00581B0E" w:rsidRDefault="00581B0E" w:rsidP="00581B0E">
                                    <w:pPr>
                                      <w:jc w:val="center"/>
                                      <w:rPr>
                                        <w:smallCaps/>
                                        <w:color w:val="404040" w:themeColor="text1" w:themeTint="BF"/>
                                        <w:sz w:val="36"/>
                                        <w:szCs w:val="36"/>
                                      </w:rPr>
                                    </w:pPr>
                                    <w:r>
                                      <w:rPr>
                                        <w:color w:val="404040" w:themeColor="text1" w:themeTint="BF"/>
                                        <w:sz w:val="36"/>
                                        <w:szCs w:val="36"/>
                                      </w:rPr>
                                      <w:t xml:space="preserve">                                                                   BMPL4001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359E53C"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1FA0BA7" w14:textId="320BC6A9" w:rsidR="00581B0E" w:rsidRDefault="00581B0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Evidence based policing &amp; applications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09DC55B" w14:textId="454E923B" w:rsidR="00581B0E" w:rsidRDefault="00581B0E" w:rsidP="00581B0E">
                              <w:pPr>
                                <w:jc w:val="center"/>
                                <w:rPr>
                                  <w:smallCaps/>
                                  <w:color w:val="404040" w:themeColor="text1" w:themeTint="BF"/>
                                  <w:sz w:val="36"/>
                                  <w:szCs w:val="36"/>
                                </w:rPr>
                              </w:pPr>
                              <w:r>
                                <w:rPr>
                                  <w:color w:val="404040" w:themeColor="text1" w:themeTint="BF"/>
                                  <w:sz w:val="36"/>
                                  <w:szCs w:val="36"/>
                                </w:rPr>
                                <w:t xml:space="preserve">                                                                   BMPL4001</w:t>
                              </w:r>
                            </w:p>
                          </w:sdtContent>
                        </w:sdt>
                      </w:txbxContent>
                    </v:textbox>
                    <w10:wrap type="square" anchorx="page" anchory="page"/>
                  </v:shape>
                </w:pict>
              </mc:Fallback>
            </mc:AlternateContent>
          </w:r>
        </w:p>
        <w:p w14:paraId="4F2668DD" w14:textId="4A3F96E0" w:rsidR="00581B0E" w:rsidRDefault="00581B0E">
          <w:pPr>
            <w:rPr>
              <w:lang w:val="en-US"/>
            </w:rPr>
          </w:pPr>
          <w:r>
            <w:rPr>
              <w:lang w:val="en-US"/>
            </w:rPr>
            <w:br w:type="page"/>
          </w:r>
        </w:p>
      </w:sdtContent>
    </w:sdt>
    <w:p w14:paraId="0A576D84" w14:textId="571117F3" w:rsidR="00A166BE" w:rsidRPr="00A166BE" w:rsidRDefault="00A166BE">
      <w:pPr>
        <w:rPr>
          <w:rFonts w:ascii="Arial" w:hAnsi="Arial" w:cs="Arial"/>
          <w:lang w:val="en-US"/>
        </w:rPr>
      </w:pPr>
    </w:p>
    <w:p w14:paraId="578A2DAD" w14:textId="7B8740B1" w:rsidR="00A166BE" w:rsidRDefault="00A166BE" w:rsidP="00A166BE">
      <w:pPr>
        <w:spacing w:after="2526" w:line="265" w:lineRule="auto"/>
        <w:ind w:right="1"/>
        <w:rPr>
          <w:rFonts w:ascii="Arial" w:hAnsi="Arial" w:cs="Arial"/>
          <w:b/>
          <w:sz w:val="20"/>
          <w:szCs w:val="20"/>
        </w:rPr>
      </w:pPr>
      <w:r w:rsidRPr="00A166BE">
        <w:rPr>
          <w:rFonts w:ascii="Arial" w:hAnsi="Arial" w:cs="Arial"/>
          <w:b/>
          <w:sz w:val="20"/>
          <w:szCs w:val="20"/>
        </w:rPr>
        <w:t>2. Critically assess the application of Evidence Based Policing in a case study of your choice</w:t>
      </w:r>
      <w:r>
        <w:rPr>
          <w:rFonts w:ascii="Arial" w:hAnsi="Arial" w:cs="Arial"/>
          <w:b/>
          <w:sz w:val="20"/>
          <w:szCs w:val="20"/>
        </w:rPr>
        <w:t>.</w:t>
      </w:r>
    </w:p>
    <w:p w14:paraId="37BA88BD" w14:textId="3F590042" w:rsidR="00A166BE" w:rsidRDefault="00A166BE" w:rsidP="00A166BE">
      <w:pPr>
        <w:spacing w:after="396"/>
        <w:rPr>
          <w:rFonts w:ascii="Arial" w:hAnsi="Arial" w:cs="Arial"/>
          <w:b/>
          <w:sz w:val="18"/>
          <w:szCs w:val="18"/>
          <w:u w:val="single"/>
        </w:rPr>
      </w:pPr>
      <w:r w:rsidRPr="007262C1">
        <w:rPr>
          <w:rFonts w:ascii="Arial" w:hAnsi="Arial" w:cs="Arial"/>
          <w:b/>
          <w:sz w:val="18"/>
          <w:szCs w:val="18"/>
          <w:u w:val="single"/>
        </w:rPr>
        <w:t xml:space="preserve">Evidence-based policing used in reducing burglary in defined </w:t>
      </w:r>
      <w:r w:rsidR="007262C1" w:rsidRPr="007262C1">
        <w:rPr>
          <w:rFonts w:ascii="Arial" w:hAnsi="Arial" w:cs="Arial"/>
          <w:b/>
          <w:sz w:val="18"/>
          <w:szCs w:val="18"/>
          <w:u w:val="single"/>
        </w:rPr>
        <w:t>neighbourhoods.</w:t>
      </w:r>
    </w:p>
    <w:p w14:paraId="546BC455" w14:textId="77777777" w:rsidR="004A5011" w:rsidRPr="004A5011" w:rsidRDefault="004A5011" w:rsidP="00A166BE">
      <w:pPr>
        <w:spacing w:after="396"/>
        <w:rPr>
          <w:rFonts w:ascii="Arial" w:hAnsi="Arial" w:cs="Arial"/>
          <w:b/>
          <w:bCs/>
          <w:sz w:val="18"/>
          <w:szCs w:val="18"/>
          <w:u w:val="single"/>
        </w:rPr>
      </w:pPr>
    </w:p>
    <w:p w14:paraId="5B329A5E" w14:textId="67EB6BF2" w:rsidR="004A5011" w:rsidRDefault="004A5011" w:rsidP="004A5011">
      <w:pPr>
        <w:tabs>
          <w:tab w:val="left" w:pos="1431"/>
        </w:tabs>
        <w:spacing w:after="396"/>
        <w:ind w:right="8"/>
        <w:rPr>
          <w:rFonts w:ascii="Arial" w:hAnsi="Arial" w:cs="Arial"/>
          <w:b/>
          <w:bCs/>
          <w:sz w:val="18"/>
          <w:szCs w:val="18"/>
          <w:u w:val="single"/>
        </w:rPr>
      </w:pPr>
      <w:r w:rsidRPr="004A5011">
        <w:rPr>
          <w:rFonts w:ascii="Arial" w:hAnsi="Arial" w:cs="Arial"/>
          <w:b/>
          <w:bCs/>
          <w:sz w:val="18"/>
          <w:szCs w:val="18"/>
          <w:u w:val="single"/>
        </w:rPr>
        <w:t>Introduction</w:t>
      </w:r>
    </w:p>
    <w:p w14:paraId="3A7F071F" w14:textId="2466B361" w:rsidR="00655472" w:rsidRPr="00655472" w:rsidRDefault="00655472" w:rsidP="00655472">
      <w:pPr>
        <w:rPr>
          <w:rFonts w:ascii="Arial" w:hAnsi="Arial" w:cs="Arial"/>
          <w:sz w:val="18"/>
          <w:szCs w:val="18"/>
        </w:rPr>
      </w:pPr>
      <w:r w:rsidRPr="00655472">
        <w:rPr>
          <w:rFonts w:ascii="Arial" w:hAnsi="Arial" w:cs="Arial"/>
          <w:sz w:val="18"/>
          <w:szCs w:val="18"/>
        </w:rPr>
        <w:t xml:space="preserve">It is the responsibility of police officers and personnel to generate, examine, and use the most up-to-date information available to advise and question plans, processes, and actions in accordance with evidence-based policing principles. In the course of his study, Prof. Lawrence Sherman developed the concept that empirical studies might be used to advise and support the judgments made by police officers while doing their jobs on the streets of America. The use of the technique demonstrates the importance of employing such analysis to make judgments. It also demonstrates that implementing alternative, more straightforward principles in the workplace might be beneficial to the overall service. Such a strategy might be beneficial to police forces throughout the world, as it could teach them how to properly manage resources, conduct investigations, and make leadership choices </w:t>
      </w:r>
      <w:r w:rsidR="00AD5BE6" w:rsidRPr="00655472">
        <w:rPr>
          <w:rFonts w:ascii="Arial" w:hAnsi="Arial" w:cs="Arial"/>
          <w:sz w:val="18"/>
          <w:szCs w:val="18"/>
        </w:rPr>
        <w:t>to</w:t>
      </w:r>
      <w:r w:rsidRPr="00655472">
        <w:rPr>
          <w:rFonts w:ascii="Arial" w:hAnsi="Arial" w:cs="Arial"/>
          <w:sz w:val="18"/>
          <w:szCs w:val="18"/>
        </w:rPr>
        <w:t xml:space="preserve"> protect the safety of residential areas where theft is a common </w:t>
      </w:r>
      <w:r w:rsidR="00F1702B" w:rsidRPr="00655472">
        <w:rPr>
          <w:rFonts w:ascii="Arial" w:hAnsi="Arial" w:cs="Arial"/>
          <w:sz w:val="18"/>
          <w:szCs w:val="18"/>
        </w:rPr>
        <w:t>occurrence.</w:t>
      </w:r>
      <w:r w:rsidR="00F1702B">
        <w:rPr>
          <w:rFonts w:ascii="Arial" w:hAnsi="Arial" w:cs="Arial"/>
          <w:sz w:val="18"/>
          <w:szCs w:val="18"/>
        </w:rPr>
        <w:t xml:space="preserve"> The</w:t>
      </w:r>
      <w:r w:rsidRPr="00655472">
        <w:rPr>
          <w:rFonts w:ascii="Arial" w:hAnsi="Arial" w:cs="Arial"/>
          <w:sz w:val="18"/>
          <w:szCs w:val="18"/>
        </w:rPr>
        <w:t xml:space="preserve"> study </w:t>
      </w:r>
      <w:r w:rsidR="00F1702B">
        <w:rPr>
          <w:rFonts w:ascii="Arial" w:hAnsi="Arial" w:cs="Arial"/>
          <w:sz w:val="18"/>
          <w:szCs w:val="18"/>
        </w:rPr>
        <w:t xml:space="preserve">shows </w:t>
      </w:r>
      <w:r w:rsidRPr="00655472">
        <w:rPr>
          <w:rFonts w:ascii="Arial" w:hAnsi="Arial" w:cs="Arial"/>
          <w:sz w:val="18"/>
          <w:szCs w:val="18"/>
        </w:rPr>
        <w:t>the effectiveness of crime and disorder prevention programmes that place a greater emphasis on enforcement than on punishment. Investigating how these tactics are considered to have an influence on violence and other issues in greater depth. Robbery attacks in metropolitan areas can be prevented by employing evidence-based policing procedures. In order to attain crime reduction results, a detailed examination of the link between proactive policing and crime must be conducted, with a particular emphasis on the United Kingdom.</w:t>
      </w:r>
    </w:p>
    <w:p w14:paraId="3640F32C" w14:textId="12FC4B6F" w:rsidR="00655472" w:rsidRDefault="00655472" w:rsidP="00655472">
      <w:pPr>
        <w:rPr>
          <w:rFonts w:ascii="Arial" w:hAnsi="Arial" w:cs="Arial"/>
          <w:sz w:val="18"/>
          <w:szCs w:val="18"/>
        </w:rPr>
      </w:pPr>
      <w:r w:rsidRPr="00655472">
        <w:rPr>
          <w:rFonts w:ascii="Arial" w:hAnsi="Arial" w:cs="Arial"/>
          <w:sz w:val="18"/>
          <w:szCs w:val="18"/>
        </w:rPr>
        <w:t xml:space="preserve">The most crucial part of day-to-day policing is the establishment of mutual trust and collaboration between the police force and the </w:t>
      </w:r>
      <w:r w:rsidR="00F44E68" w:rsidRPr="00655472">
        <w:rPr>
          <w:rFonts w:ascii="Arial" w:hAnsi="Arial" w:cs="Arial"/>
          <w:sz w:val="18"/>
          <w:szCs w:val="18"/>
        </w:rPr>
        <w:t>public</w:t>
      </w:r>
      <w:r w:rsidRPr="00655472">
        <w:rPr>
          <w:rFonts w:ascii="Arial" w:hAnsi="Arial" w:cs="Arial"/>
          <w:sz w:val="18"/>
          <w:szCs w:val="18"/>
        </w:rPr>
        <w:t>, or community. Officers can accomplish success by employing the "art and craft" of police work, which is also referred to as the "art and science" of law enforcement in other instances. However, this does not eliminate the need of training and counselling our officers on the basis of contextual facts, technological advancements, and the most up-to-date scientific studies currently accessible. Scientists should be included in discussions on police activities wherever possible, and evidence-based policing is a means of making judgments that is supported by statistical analysis and rigorous empirical data. Criminals may target certain locations and people at specific times of day based on crime data, which allows authorities to identify crime hot spots, hot individuals, and times of day that are most likely to be targeted. It is possible for the police to exert significant impact if we combine strategic policing with the targeting of hot locations and the reduction of criminal opportunities through deterrence.</w:t>
      </w:r>
    </w:p>
    <w:p w14:paraId="73E6A7D4" w14:textId="72C16D4B" w:rsidR="00AD5BE6" w:rsidRDefault="00AD5BE6" w:rsidP="00655472">
      <w:pPr>
        <w:rPr>
          <w:rFonts w:ascii="Arial" w:hAnsi="Arial" w:cs="Arial"/>
          <w:sz w:val="18"/>
          <w:szCs w:val="18"/>
        </w:rPr>
      </w:pPr>
    </w:p>
    <w:p w14:paraId="512AD4A8" w14:textId="3FFF7758" w:rsidR="00AD5BE6" w:rsidRDefault="00AD5BE6" w:rsidP="00AD5BE6">
      <w:pPr>
        <w:spacing w:after="396"/>
        <w:ind w:right="8"/>
        <w:rPr>
          <w:rFonts w:ascii="Arial" w:hAnsi="Arial" w:cs="Arial"/>
          <w:b/>
          <w:bCs/>
          <w:sz w:val="20"/>
          <w:szCs w:val="20"/>
          <w:u w:val="single"/>
        </w:rPr>
      </w:pPr>
      <w:r w:rsidRPr="00AD5BE6">
        <w:rPr>
          <w:rFonts w:ascii="Arial" w:hAnsi="Arial" w:cs="Arial"/>
          <w:b/>
          <w:bCs/>
          <w:sz w:val="20"/>
          <w:szCs w:val="20"/>
          <w:u w:val="single"/>
        </w:rPr>
        <w:t>Burglary</w:t>
      </w:r>
    </w:p>
    <w:p w14:paraId="75BB91F9" w14:textId="30D5FCCD" w:rsidR="00AD5BE6" w:rsidRPr="00AD5BE6" w:rsidRDefault="00AD5BE6" w:rsidP="00AD5BE6">
      <w:pPr>
        <w:ind w:right="8"/>
        <w:rPr>
          <w:rFonts w:ascii="Arial" w:hAnsi="Arial" w:cs="Arial"/>
          <w:sz w:val="18"/>
          <w:szCs w:val="18"/>
        </w:rPr>
      </w:pPr>
      <w:r w:rsidRPr="00AD5BE6">
        <w:rPr>
          <w:rFonts w:ascii="Arial" w:hAnsi="Arial" w:cs="Arial"/>
          <w:sz w:val="18"/>
          <w:szCs w:val="18"/>
        </w:rPr>
        <w:t xml:space="preserve">Burglary is defined as the act of breaking into someone else's property with the intent of committing a criminal offence on the premises. In the United Kingdom, Section 9 of the Theft Act of 1968 addresses specific offences that come within the general category of robbery. </w:t>
      </w:r>
      <w:r w:rsidRPr="00AD5BE6">
        <w:rPr>
          <w:rFonts w:ascii="Arial" w:hAnsi="Arial" w:cs="Arial"/>
          <w:sz w:val="18"/>
          <w:szCs w:val="18"/>
        </w:rPr>
        <w:t>To</w:t>
      </w:r>
      <w:r w:rsidRPr="00AD5BE6">
        <w:rPr>
          <w:rFonts w:ascii="Arial" w:hAnsi="Arial" w:cs="Arial"/>
          <w:sz w:val="18"/>
          <w:szCs w:val="18"/>
        </w:rPr>
        <w:t xml:space="preserve"> gain entry into a dwelling, there must be an act of "breaking," which is defined as utilising physical force. </w:t>
      </w:r>
      <w:proofErr w:type="gramStart"/>
      <w:r w:rsidRPr="00AD5BE6">
        <w:rPr>
          <w:rFonts w:ascii="Arial" w:hAnsi="Arial" w:cs="Arial"/>
          <w:sz w:val="18"/>
          <w:szCs w:val="18"/>
        </w:rPr>
        <w:t>In order to</w:t>
      </w:r>
      <w:proofErr w:type="gramEnd"/>
      <w:r w:rsidRPr="00AD5BE6">
        <w:rPr>
          <w:rFonts w:ascii="Arial" w:hAnsi="Arial" w:cs="Arial"/>
          <w:sz w:val="18"/>
          <w:szCs w:val="18"/>
        </w:rPr>
        <w:t xml:space="preserve"> be called </w:t>
      </w:r>
      <w:r w:rsidR="00ED1C51" w:rsidRPr="00AD5BE6">
        <w:rPr>
          <w:rFonts w:ascii="Arial" w:hAnsi="Arial" w:cs="Arial"/>
          <w:sz w:val="18"/>
          <w:szCs w:val="18"/>
        </w:rPr>
        <w:t>an</w:t>
      </w:r>
      <w:r w:rsidRPr="00AD5BE6">
        <w:rPr>
          <w:rFonts w:ascii="Arial" w:hAnsi="Arial" w:cs="Arial"/>
          <w:sz w:val="18"/>
          <w:szCs w:val="18"/>
        </w:rPr>
        <w:t xml:space="preserve"> "entertainer," the robber must in some manner cross the threshold of the home in question. It used to be that the term "dwelling or house" referred only to one's actual domicile. Furthermore, it had to have occurred at a late hour of the night (daytime breaking was the lesser crime of trespass). Considering that a burglar cannot perform a break-in at his or her own house, </w:t>
      </w:r>
      <w:r w:rsidRPr="00AD5BE6">
        <w:rPr>
          <w:rFonts w:ascii="Arial" w:hAnsi="Arial" w:cs="Arial"/>
          <w:sz w:val="18"/>
          <w:szCs w:val="18"/>
        </w:rPr>
        <w:lastRenderedPageBreak/>
        <w:t xml:space="preserve">the phrase "of another" is used to refer to a burglary committed at the residence of a third party. Finally, the burglar must plan ahead of time to commit a crime once he or she has gained entry to the </w:t>
      </w:r>
      <w:r w:rsidRPr="00AD5BE6">
        <w:rPr>
          <w:rFonts w:ascii="Arial" w:hAnsi="Arial" w:cs="Arial"/>
          <w:sz w:val="18"/>
          <w:szCs w:val="18"/>
        </w:rPr>
        <w:t>premises.</w:t>
      </w:r>
    </w:p>
    <w:p w14:paraId="37DBF352" w14:textId="77777777" w:rsidR="00AD5BE6" w:rsidRPr="008A6B90" w:rsidRDefault="00AD5BE6" w:rsidP="00AD5BE6">
      <w:pPr>
        <w:ind w:right="8"/>
        <w:rPr>
          <w:rFonts w:ascii="Arial" w:hAnsi="Arial" w:cs="Arial"/>
          <w:b/>
          <w:bCs/>
          <w:sz w:val="18"/>
          <w:szCs w:val="18"/>
          <w:u w:val="single"/>
        </w:rPr>
      </w:pPr>
      <w:r w:rsidRPr="008A6B90">
        <w:rPr>
          <w:rFonts w:ascii="Arial" w:hAnsi="Arial" w:cs="Arial"/>
          <w:b/>
          <w:bCs/>
          <w:sz w:val="18"/>
          <w:szCs w:val="18"/>
          <w:u w:val="single"/>
        </w:rPr>
        <w:t>Prevention of Crime: Recurring Patterns in Preventative Action</w:t>
      </w:r>
    </w:p>
    <w:p w14:paraId="37F94686" w14:textId="20E659A7" w:rsidR="00AD5BE6" w:rsidRPr="00AD5BE6" w:rsidRDefault="00AD5BE6" w:rsidP="00AD5BE6">
      <w:pPr>
        <w:ind w:right="8"/>
        <w:rPr>
          <w:rFonts w:ascii="Arial" w:hAnsi="Arial" w:cs="Arial"/>
          <w:sz w:val="18"/>
          <w:szCs w:val="18"/>
        </w:rPr>
      </w:pPr>
      <w:r w:rsidRPr="00AD5BE6">
        <w:rPr>
          <w:rFonts w:ascii="Arial" w:hAnsi="Arial" w:cs="Arial"/>
          <w:sz w:val="18"/>
          <w:szCs w:val="18"/>
        </w:rPr>
        <w:t>When it comes to forecasting the location and time of an event, burglary crime reduction agents encounter a significant challenge. A new generation of police techniques is being developed to make sure that scarce resources are efficiently concentrated. This involves focusing on long-term goals for crime prevention rather than simply responding to events. The recurrence of crime has been identified as a reoccurring pattern by analysts, which is crucial to achieving this aim. His comparison was to the spread of an infectious disease, which has a high risk of spreading; he also noted that neighbouring residential burglaries occurred in close proximity to one another and occurred over a short period of time, indicating the need for a more thorough investigation into the phenomenon.</w:t>
      </w:r>
      <w:r w:rsidR="00ED1C51">
        <w:rPr>
          <w:rFonts w:ascii="Arial" w:hAnsi="Arial" w:cs="Arial"/>
          <w:sz w:val="18"/>
          <w:szCs w:val="18"/>
        </w:rPr>
        <w:t xml:space="preserve"> </w:t>
      </w:r>
      <w:r w:rsidRPr="00AD5BE6">
        <w:rPr>
          <w:rFonts w:ascii="Arial" w:hAnsi="Arial" w:cs="Arial"/>
          <w:sz w:val="18"/>
          <w:szCs w:val="18"/>
        </w:rPr>
        <w:t xml:space="preserve">An attempt is being undertaken to determine how effective a near-repeat burglary prevention programme is in deterring other crimes from occurring in the future. The implementation of the Burglary Reduction Program in Leeds City in 2011 resulted in a considerable increase in the number of burglaries committed in the city. One of the city's key objectives was to reduce violence in industrial and suburban regions, and this aim was achieved as a direct result of the city's efforts. </w:t>
      </w:r>
      <w:r w:rsidR="008A6B90" w:rsidRPr="00AD5BE6">
        <w:rPr>
          <w:rFonts w:ascii="Arial" w:hAnsi="Arial" w:cs="Arial"/>
          <w:sz w:val="18"/>
          <w:szCs w:val="18"/>
        </w:rPr>
        <w:t>Considering</w:t>
      </w:r>
      <w:r w:rsidRPr="00AD5BE6">
        <w:rPr>
          <w:rFonts w:ascii="Arial" w:hAnsi="Arial" w:cs="Arial"/>
          <w:sz w:val="18"/>
          <w:szCs w:val="18"/>
        </w:rPr>
        <w:t xml:space="preserve"> recent budget cuts and austerity measures, there is a greater emphasis on utilising resources efficiently and taking a data-driven approach to decision-making. The fundamental objectives of the crime reduction programme were to educate and include the general public in the process of enhancing public safety. Residents were shown to be more careful in safeguarding their houses after getting outreach from the crime reduction network, according to the findings of an advanced randomised clinical trial.</w:t>
      </w:r>
    </w:p>
    <w:p w14:paraId="10359BF5" w14:textId="60F32212" w:rsidR="00AD5BE6" w:rsidRPr="00AD5BE6" w:rsidRDefault="00AD5BE6" w:rsidP="00AD5BE6">
      <w:pPr>
        <w:ind w:right="8"/>
        <w:rPr>
          <w:rFonts w:ascii="Arial" w:hAnsi="Arial" w:cs="Arial"/>
          <w:sz w:val="18"/>
          <w:szCs w:val="18"/>
        </w:rPr>
      </w:pPr>
      <w:r w:rsidRPr="00AD5BE6">
        <w:rPr>
          <w:rFonts w:ascii="Arial" w:hAnsi="Arial" w:cs="Arial"/>
          <w:sz w:val="18"/>
          <w:szCs w:val="18"/>
        </w:rPr>
        <w:t>Therefore, researchers have turned to epidemiological methodologies first established in the 1960s to better understand the spread of burglaries in residential dwellings, which have proven to be effective. Every year, it is growing more usual for a wide range of crimes to occur at or near the same period or at a time that is similar to the previous year. In tandem with changes in the form of crime, changes in the precise geographical and temporal aspects of the near-repeat pattern are seen, highlighting the need for specialised responses to both crime types and the distinctive near-repeat dimensions of each crime type.</w:t>
      </w:r>
      <w:r w:rsidR="00ED1C51">
        <w:rPr>
          <w:rFonts w:ascii="Arial" w:hAnsi="Arial" w:cs="Arial"/>
          <w:sz w:val="18"/>
          <w:szCs w:val="18"/>
        </w:rPr>
        <w:t xml:space="preserve"> </w:t>
      </w:r>
      <w:r w:rsidRPr="00AD5BE6">
        <w:rPr>
          <w:rFonts w:ascii="Arial" w:hAnsi="Arial" w:cs="Arial"/>
          <w:sz w:val="18"/>
          <w:szCs w:val="18"/>
        </w:rPr>
        <w:t>The "Optimal Forager" kind of behaviour utilised by the approach corresponds to what would be expected in offenders who adhere to evolutionary meta-</w:t>
      </w:r>
      <w:r w:rsidR="008A6B90" w:rsidRPr="00AD5BE6">
        <w:rPr>
          <w:rFonts w:ascii="Arial" w:hAnsi="Arial" w:cs="Arial"/>
          <w:sz w:val="18"/>
          <w:szCs w:val="18"/>
        </w:rPr>
        <w:t>behavioural</w:t>
      </w:r>
      <w:r w:rsidRPr="00AD5BE6">
        <w:rPr>
          <w:rFonts w:ascii="Arial" w:hAnsi="Arial" w:cs="Arial"/>
          <w:sz w:val="18"/>
          <w:szCs w:val="18"/>
        </w:rPr>
        <w:t xml:space="preserve"> theories of the same name, which are also used in the method. A person's behaviour changes as a result of decreasing the amount of energy required to acquire resources. Another term for this technique is "perspective mapping." Burglaries are the most common type of crime, with almost-repeat patterns being the most common. Because criminals prefer to target the same people over and over again in homogeneous crime hotspots, the rate of near-repeat crimes is greater in these areas. Repeat burglars account for around 10-40 percent of all burglaries, with repeat victims accounting for the remaining 90 percent.</w:t>
      </w:r>
    </w:p>
    <w:p w14:paraId="18F17FF8" w14:textId="48F487A5" w:rsidR="00AD5BE6" w:rsidRDefault="008A6B90" w:rsidP="00AD5BE6">
      <w:pPr>
        <w:ind w:right="8"/>
        <w:rPr>
          <w:rFonts w:ascii="Arial" w:hAnsi="Arial" w:cs="Arial"/>
          <w:sz w:val="18"/>
          <w:szCs w:val="18"/>
        </w:rPr>
      </w:pPr>
      <w:r w:rsidRPr="00AD5BE6">
        <w:rPr>
          <w:rFonts w:ascii="Arial" w:hAnsi="Arial" w:cs="Arial"/>
          <w:sz w:val="18"/>
          <w:szCs w:val="18"/>
        </w:rPr>
        <w:t>Although</w:t>
      </w:r>
      <w:r w:rsidR="00AD5BE6" w:rsidRPr="00AD5BE6">
        <w:rPr>
          <w:rFonts w:ascii="Arial" w:hAnsi="Arial" w:cs="Arial"/>
          <w:sz w:val="18"/>
          <w:szCs w:val="18"/>
        </w:rPr>
        <w:t xml:space="preserve"> these crimes are virtually always perpetrated around the same time of day, the exact hour at which they are committed is not always known. Using the Knox test of spatio-temporal clustering, it is possible to establish how far apart two crimes in the same region occur when they occur at or near the same time and location. Clinicians have created complementary techniques based on the study that are easier to apply and incorporate into existing practise while still achieving outstanding results. These strategies are described below. Although the technique is scientifically solid, it is difficult to implement. Simple buffering methods were used for their employment as police intelligence analysts in Manchester's Trafford region, resulting in a solution that was both simple and </w:t>
      </w:r>
      <w:r w:rsidR="00ED1C51" w:rsidRPr="00AD5BE6">
        <w:rPr>
          <w:rFonts w:ascii="Arial" w:hAnsi="Arial" w:cs="Arial"/>
          <w:sz w:val="18"/>
          <w:szCs w:val="18"/>
        </w:rPr>
        <w:t>successful. “Trafford</w:t>
      </w:r>
      <w:r w:rsidR="00AD5BE6" w:rsidRPr="00AD5BE6">
        <w:rPr>
          <w:rFonts w:ascii="Arial" w:hAnsi="Arial" w:cs="Arial"/>
          <w:sz w:val="18"/>
          <w:szCs w:val="18"/>
        </w:rPr>
        <w:t xml:space="preserve">" uses 400m buffers for both offensive and defensive play, with the colour of the buffers varying depending on how many weeks have passed since the last offence. It is referred to as the "penumbra of danger" since it may be felt in the immediate region of each barrier, thus the </w:t>
      </w:r>
      <w:r w:rsidR="00ED1C51" w:rsidRPr="00AD5BE6">
        <w:rPr>
          <w:rFonts w:ascii="Arial" w:hAnsi="Arial" w:cs="Arial"/>
          <w:sz w:val="18"/>
          <w:szCs w:val="18"/>
        </w:rPr>
        <w:t>name. Considering</w:t>
      </w:r>
      <w:r w:rsidR="00AD5BE6" w:rsidRPr="00AD5BE6">
        <w:rPr>
          <w:rFonts w:ascii="Arial" w:hAnsi="Arial" w:cs="Arial"/>
          <w:sz w:val="18"/>
          <w:szCs w:val="18"/>
        </w:rPr>
        <w:t xml:space="preserve"> the irregular nature of burglary crimes, more recent circles are a stronger predictor than older ones, since they are more likely to pick up lone criminals roving a neighbourhood in their early stages. When numerous circles overlap, the time-dependent coloration makes it simpler to assess future near-repeat and repeat crime sites since the time-dependent colouring is more visible. The Trafford team has created a unique graph depiction of crime density by day for each of the cities that they have visited. It is frequently used by both the top brass in law enforcement and the cops themselves. It was put to the test in two cities in the United Kingdom, </w:t>
      </w:r>
      <w:r w:rsidRPr="00AD5BE6">
        <w:rPr>
          <w:rFonts w:ascii="Arial" w:hAnsi="Arial" w:cs="Arial"/>
          <w:sz w:val="18"/>
          <w:szCs w:val="18"/>
        </w:rPr>
        <w:t>Leeds,</w:t>
      </w:r>
      <w:r w:rsidR="00AD5BE6" w:rsidRPr="00AD5BE6">
        <w:rPr>
          <w:rFonts w:ascii="Arial" w:hAnsi="Arial" w:cs="Arial"/>
          <w:sz w:val="18"/>
          <w:szCs w:val="18"/>
        </w:rPr>
        <w:t xml:space="preserve"> and Birmingham, to determine if it was effective. It has been discovered that combining Manchester's "cocooning" method with Pease's "super cocooning" technique can result in "super cocooning" in any setting. Hardening targets and boosting awareness along the street in issue are some of the methods used to do this, as is identifying repeat </w:t>
      </w:r>
      <w:r w:rsidRPr="00AD5BE6">
        <w:rPr>
          <w:rFonts w:ascii="Arial" w:hAnsi="Arial" w:cs="Arial"/>
          <w:sz w:val="18"/>
          <w:szCs w:val="18"/>
        </w:rPr>
        <w:t>criminals,</w:t>
      </w:r>
      <w:r w:rsidR="00AD5BE6" w:rsidRPr="00AD5BE6">
        <w:rPr>
          <w:rFonts w:ascii="Arial" w:hAnsi="Arial" w:cs="Arial"/>
          <w:sz w:val="18"/>
          <w:szCs w:val="18"/>
        </w:rPr>
        <w:t xml:space="preserve"> and informing locals to keep a watch on the property in question. The homogeneous</w:t>
      </w:r>
      <w:r>
        <w:rPr>
          <w:rFonts w:ascii="Arial" w:hAnsi="Arial" w:cs="Arial"/>
          <w:sz w:val="18"/>
          <w:szCs w:val="18"/>
        </w:rPr>
        <w:t xml:space="preserve"> </w:t>
      </w:r>
      <w:r w:rsidR="00AD5BE6" w:rsidRPr="00AD5BE6">
        <w:rPr>
          <w:rFonts w:ascii="Arial" w:hAnsi="Arial" w:cs="Arial"/>
          <w:sz w:val="18"/>
          <w:szCs w:val="18"/>
        </w:rPr>
        <w:t>potential and composition of the surrounding environment have no effect on circular buffers. Because of this integrated strategy, it is anticipated that positive outcomes would be achieved.</w:t>
      </w:r>
    </w:p>
    <w:p w14:paraId="7EC2E6B3" w14:textId="6804ABF7" w:rsidR="00E35230" w:rsidRDefault="00E35230" w:rsidP="00AD5BE6">
      <w:pPr>
        <w:ind w:right="8"/>
        <w:rPr>
          <w:rFonts w:ascii="Arial" w:hAnsi="Arial" w:cs="Arial"/>
          <w:sz w:val="18"/>
          <w:szCs w:val="18"/>
        </w:rPr>
      </w:pPr>
    </w:p>
    <w:p w14:paraId="16461992" w14:textId="77777777" w:rsidR="00ED1C51" w:rsidRDefault="00ED1C51" w:rsidP="00AD5BE6">
      <w:pPr>
        <w:ind w:right="8"/>
        <w:rPr>
          <w:rFonts w:ascii="Arial" w:hAnsi="Arial" w:cs="Arial"/>
          <w:sz w:val="18"/>
          <w:szCs w:val="18"/>
        </w:rPr>
      </w:pPr>
    </w:p>
    <w:p w14:paraId="01D8EFF0" w14:textId="62D0BFE5" w:rsidR="009548EA" w:rsidRDefault="009548EA" w:rsidP="009548EA">
      <w:pPr>
        <w:ind w:right="8"/>
        <w:rPr>
          <w:rFonts w:ascii="Arial" w:hAnsi="Arial" w:cs="Arial"/>
          <w:b/>
          <w:bCs/>
          <w:sz w:val="20"/>
          <w:szCs w:val="20"/>
          <w:u w:val="single"/>
        </w:rPr>
      </w:pPr>
      <w:r w:rsidRPr="009548EA">
        <w:rPr>
          <w:rFonts w:ascii="Arial" w:hAnsi="Arial" w:cs="Arial"/>
          <w:b/>
          <w:bCs/>
          <w:sz w:val="20"/>
          <w:szCs w:val="20"/>
          <w:u w:val="single"/>
        </w:rPr>
        <w:lastRenderedPageBreak/>
        <w:t>Conclusion</w:t>
      </w:r>
    </w:p>
    <w:p w14:paraId="0020845C" w14:textId="4903B098" w:rsidR="009548EA" w:rsidRPr="009548EA" w:rsidRDefault="009548EA" w:rsidP="009548EA">
      <w:pPr>
        <w:ind w:right="8"/>
        <w:rPr>
          <w:rFonts w:ascii="Arial" w:hAnsi="Arial" w:cs="Arial"/>
          <w:sz w:val="18"/>
          <w:szCs w:val="18"/>
        </w:rPr>
      </w:pPr>
      <w:r w:rsidRPr="009548EA">
        <w:rPr>
          <w:rFonts w:ascii="Arial" w:hAnsi="Arial" w:cs="Arial"/>
          <w:sz w:val="18"/>
          <w:szCs w:val="18"/>
        </w:rPr>
        <w:t xml:space="preserve">As a result, the concept concentrates on crime sites rather than on criminals or criminals' homes or businesses. </w:t>
      </w:r>
      <w:r w:rsidRPr="009548EA">
        <w:rPr>
          <w:rFonts w:ascii="Arial" w:hAnsi="Arial" w:cs="Arial"/>
          <w:sz w:val="18"/>
          <w:szCs w:val="18"/>
        </w:rPr>
        <w:t>Instead,</w:t>
      </w:r>
      <w:r w:rsidRPr="009548EA">
        <w:rPr>
          <w:rFonts w:ascii="Arial" w:hAnsi="Arial" w:cs="Arial"/>
          <w:sz w:val="18"/>
          <w:szCs w:val="18"/>
        </w:rPr>
        <w:t xml:space="preserve"> </w:t>
      </w:r>
      <w:r w:rsidR="00ED1C51" w:rsidRPr="009548EA">
        <w:rPr>
          <w:rFonts w:ascii="Arial" w:hAnsi="Arial" w:cs="Arial"/>
          <w:sz w:val="18"/>
          <w:szCs w:val="18"/>
        </w:rPr>
        <w:t>then</w:t>
      </w:r>
      <w:r w:rsidRPr="009548EA">
        <w:rPr>
          <w:rFonts w:ascii="Arial" w:hAnsi="Arial" w:cs="Arial"/>
          <w:sz w:val="18"/>
          <w:szCs w:val="18"/>
        </w:rPr>
        <w:t xml:space="preserve"> punishing offenders or changing society or institutions to make people less inclined to commit crimes, the idea is to lessen the appeal of illicit conduct. How? By raising the difficulty of crime, increasing the possibility of arrest, decreasing criminal incentives, eradicating the sources of crime, and minimising entices, we can make the world a safer place. It is necessary to employ an action research approach in order to identify design and management improvements that may be executed with the least amount of negative impact on society and the economy. Deterring crime is built on the premise that all crimes are the product of chance, which is supported by criminological theories. Any form of crime cannot be solved without depending on evidence-based preventative tactics that have been shown beneficial in burglary investigations. This is especially true in the case of burglary investigations.</w:t>
      </w:r>
    </w:p>
    <w:p w14:paraId="60E6C60C" w14:textId="5BBAAA29" w:rsidR="00BF7636" w:rsidRDefault="009548EA" w:rsidP="00BF7636">
      <w:pPr>
        <w:ind w:right="8"/>
        <w:rPr>
          <w:rFonts w:ascii="Arial" w:hAnsi="Arial" w:cs="Arial"/>
          <w:sz w:val="18"/>
          <w:szCs w:val="18"/>
        </w:rPr>
      </w:pPr>
      <w:r w:rsidRPr="009548EA">
        <w:rPr>
          <w:rFonts w:ascii="Arial" w:hAnsi="Arial" w:cs="Arial"/>
          <w:sz w:val="18"/>
          <w:szCs w:val="18"/>
        </w:rPr>
        <w:t>Generally speaking, the phrase "Evidence-Founded Policing (EBP)" is based on the views of Experts, who believe that thorough scientific analyses should guide and underlie judgments made by police practitioners in the field. Despite the fact that experts emphasise the necessity of employing such research to inform choices, they continue to recommend that the usage of other, larger definitions would also give helpful research for the broader service to utilise within the working setting. This method might be beneficial in a variety of ways, including guiding the deployment of precious resources, the investigative process, and the intricacies of decision-making as a leader</w:t>
      </w:r>
      <w:r>
        <w:rPr>
          <w:rFonts w:ascii="Arial" w:hAnsi="Arial" w:cs="Arial"/>
          <w:sz w:val="18"/>
          <w:szCs w:val="18"/>
        </w:rPr>
        <w:t xml:space="preserve"> </w:t>
      </w:r>
      <w:r w:rsidRPr="009548EA">
        <w:rPr>
          <w:rFonts w:ascii="Arial" w:hAnsi="Arial" w:cs="Arial"/>
          <w:sz w:val="18"/>
          <w:szCs w:val="18"/>
        </w:rPr>
        <w:t xml:space="preserve">.When one considers that the entry routes to policing in England and Wales are changing to include degree-level education for new constables, it becomes clear that the development of a body of evidence-based knowledge to underpin the profession, similar to those which already exist in medicine and theology, is essential if the police service is to be recognised as the profession to which it aspires. Practitioner-researchers, who study at a variety of academic levels, are well-positioned to discover workplace problems, conduct research, implement solutions, assess them, and disseminate the results broadly. With the implementation of such an EBP approach, police services will be better positioned in order to support United Nations International Sustainable Development Goal 16, which is the provision of access to justice, and will strengthen their institutional capabilities in order to provide effective services to the general public (United Nations, 2019). However, in order for this adoption to be effective, an attitude of making the most of EBP must be embraced throughout the police department, with new recruits being ideally positioned to serve as the trigger for such a </w:t>
      </w:r>
      <w:r w:rsidRPr="009548EA">
        <w:rPr>
          <w:rFonts w:ascii="Arial" w:hAnsi="Arial" w:cs="Arial"/>
          <w:sz w:val="18"/>
          <w:szCs w:val="18"/>
        </w:rPr>
        <w:t>transformation. He</w:t>
      </w:r>
      <w:r w:rsidRPr="009548EA">
        <w:rPr>
          <w:rFonts w:ascii="Arial" w:hAnsi="Arial" w:cs="Arial"/>
          <w:sz w:val="18"/>
          <w:szCs w:val="18"/>
        </w:rPr>
        <w:t xml:space="preserve"> In the United Kingdom (UK), the country is still experiencing austerity measures, with all public services fighting to sustain service delivery. As things stand, this looks to be the case for at least the foreseeable future, and it will remain so </w:t>
      </w:r>
      <w:r w:rsidRPr="009548EA">
        <w:rPr>
          <w:rFonts w:ascii="Arial" w:hAnsi="Arial" w:cs="Arial"/>
          <w:sz w:val="18"/>
          <w:szCs w:val="18"/>
        </w:rPr>
        <w:t>despite</w:t>
      </w:r>
      <w:r w:rsidRPr="009548EA">
        <w:rPr>
          <w:rFonts w:ascii="Arial" w:hAnsi="Arial" w:cs="Arial"/>
          <w:sz w:val="18"/>
          <w:szCs w:val="18"/>
        </w:rPr>
        <w:t xml:space="preserve"> the recent announcement of the recruitment of 20,000 additional police constables, which will only bring total numbers to slightly less than the total number of officers in 2010. While crime statistics have been declining for some time, the overall number of crimes is suddenly growing, particularly in categories such as knife crime and cybercrime. Furthermore, as technology advances, crime in general is getting more sophisticated and diversified, as is the rising usage of social media and the difficulties that might arise </w:t>
      </w:r>
      <w:r w:rsidRPr="009548EA">
        <w:rPr>
          <w:rFonts w:ascii="Arial" w:hAnsi="Arial" w:cs="Arial"/>
          <w:sz w:val="18"/>
          <w:szCs w:val="18"/>
        </w:rPr>
        <w:t>because of</w:t>
      </w:r>
      <w:r w:rsidRPr="009548EA">
        <w:rPr>
          <w:rFonts w:ascii="Arial" w:hAnsi="Arial" w:cs="Arial"/>
          <w:sz w:val="18"/>
          <w:szCs w:val="18"/>
        </w:rPr>
        <w:t xml:space="preserve"> </w:t>
      </w:r>
      <w:r w:rsidR="00017D6D" w:rsidRPr="009548EA">
        <w:rPr>
          <w:rFonts w:ascii="Arial" w:hAnsi="Arial" w:cs="Arial"/>
          <w:sz w:val="18"/>
          <w:szCs w:val="18"/>
        </w:rPr>
        <w:t>this. These</w:t>
      </w:r>
      <w:r w:rsidRPr="009548EA">
        <w:rPr>
          <w:rFonts w:ascii="Arial" w:hAnsi="Arial" w:cs="Arial"/>
          <w:sz w:val="18"/>
          <w:szCs w:val="18"/>
        </w:rPr>
        <w:t xml:space="preserve"> difficulties, when considered in the context of broader global concerns such as organised crime, political upheavals, migration, and so on, indicate that the police force must become "smarter" in its approach to addressing these challenges. There is no longer any evidence that traditional approaches of police </w:t>
      </w:r>
      <w:r w:rsidR="00BF7636" w:rsidRPr="009548EA">
        <w:rPr>
          <w:rFonts w:ascii="Arial" w:hAnsi="Arial" w:cs="Arial"/>
          <w:sz w:val="18"/>
          <w:szCs w:val="18"/>
        </w:rPr>
        <w:t>can provide</w:t>
      </w:r>
      <w:r w:rsidRPr="009548EA">
        <w:rPr>
          <w:rFonts w:ascii="Arial" w:hAnsi="Arial" w:cs="Arial"/>
          <w:sz w:val="18"/>
          <w:szCs w:val="18"/>
        </w:rPr>
        <w:t xml:space="preserve"> solutions to present and future policing difficulties. </w:t>
      </w:r>
    </w:p>
    <w:p w14:paraId="231EBCEA" w14:textId="6D422490" w:rsidR="00BF7636" w:rsidRDefault="00BF7636" w:rsidP="00BF7636">
      <w:pPr>
        <w:ind w:right="8"/>
        <w:rPr>
          <w:rFonts w:ascii="Arial" w:hAnsi="Arial" w:cs="Arial"/>
          <w:sz w:val="18"/>
          <w:szCs w:val="18"/>
        </w:rPr>
      </w:pPr>
    </w:p>
    <w:p w14:paraId="1D819410" w14:textId="442DC0C7" w:rsidR="00BF7636" w:rsidRDefault="00ED1C51" w:rsidP="00BF7636">
      <w:pPr>
        <w:ind w:right="8"/>
        <w:rPr>
          <w:rFonts w:ascii="Arial" w:hAnsi="Arial" w:cs="Arial"/>
          <w:b/>
          <w:bCs/>
          <w:sz w:val="20"/>
          <w:szCs w:val="20"/>
          <w:u w:val="single"/>
        </w:rPr>
      </w:pPr>
      <w:r w:rsidRPr="00ED1C51">
        <w:rPr>
          <w:rFonts w:ascii="Arial" w:hAnsi="Arial" w:cs="Arial"/>
          <w:b/>
          <w:bCs/>
          <w:sz w:val="20"/>
          <w:szCs w:val="20"/>
          <w:u w:val="single"/>
        </w:rPr>
        <w:t xml:space="preserve">References </w:t>
      </w:r>
    </w:p>
    <w:p w14:paraId="2A496FCE" w14:textId="5E52FFAF" w:rsidR="00ED1C51" w:rsidRDefault="00ED1C51" w:rsidP="00BF7636">
      <w:pPr>
        <w:ind w:right="8"/>
        <w:rPr>
          <w:rFonts w:ascii="Arial" w:hAnsi="Arial" w:cs="Arial"/>
          <w:b/>
          <w:bCs/>
          <w:sz w:val="20"/>
          <w:szCs w:val="20"/>
          <w:u w:val="single"/>
        </w:rPr>
      </w:pPr>
    </w:p>
    <w:p w14:paraId="1EAEDAA5" w14:textId="25AAB665" w:rsidR="00ED1C51" w:rsidRDefault="00ED1C51" w:rsidP="00ED1C51">
      <w:pPr>
        <w:ind w:right="8"/>
        <w:rPr>
          <w:rFonts w:ascii="Arial" w:hAnsi="Arial" w:cs="Arial"/>
          <w:i/>
          <w:sz w:val="18"/>
          <w:szCs w:val="18"/>
        </w:rPr>
      </w:pPr>
      <w:r w:rsidRPr="00605BE3">
        <w:rPr>
          <w:rFonts w:ascii="Arial" w:hAnsi="Arial" w:cs="Arial"/>
          <w:sz w:val="18"/>
          <w:szCs w:val="18"/>
        </w:rPr>
        <w:t xml:space="preserve">Clarke, R., 2020. The Theory and Practice of Situational Crime Prevention. </w:t>
      </w:r>
      <w:r w:rsidRPr="00605BE3">
        <w:rPr>
          <w:rFonts w:ascii="Arial" w:hAnsi="Arial" w:cs="Arial"/>
          <w:i/>
          <w:sz w:val="18"/>
          <w:szCs w:val="18"/>
        </w:rPr>
        <w:t>Criminology and Criminal justice.</w:t>
      </w:r>
    </w:p>
    <w:p w14:paraId="21240F38" w14:textId="77777777" w:rsidR="00605BE3" w:rsidRPr="00605BE3" w:rsidRDefault="00605BE3" w:rsidP="00ED1C51">
      <w:pPr>
        <w:ind w:right="8"/>
        <w:rPr>
          <w:rFonts w:ascii="Arial" w:hAnsi="Arial" w:cs="Arial"/>
          <w:sz w:val="18"/>
          <w:szCs w:val="18"/>
        </w:rPr>
      </w:pPr>
    </w:p>
    <w:p w14:paraId="35069F45" w14:textId="7F68989A" w:rsidR="00ED1C51" w:rsidRDefault="00ED1C51" w:rsidP="00ED1C51">
      <w:pPr>
        <w:ind w:right="8"/>
        <w:rPr>
          <w:rFonts w:ascii="Arial" w:hAnsi="Arial" w:cs="Arial"/>
          <w:i/>
          <w:sz w:val="18"/>
          <w:szCs w:val="18"/>
        </w:rPr>
      </w:pPr>
      <w:r w:rsidRPr="00605BE3">
        <w:rPr>
          <w:rFonts w:ascii="Arial" w:hAnsi="Arial" w:cs="Arial"/>
          <w:sz w:val="18"/>
          <w:szCs w:val="18"/>
        </w:rPr>
        <w:t xml:space="preserve">Elizabeth Groff, 2019. Employing Near-Repeat Patterns for Community-Driven Crime Prevention. </w:t>
      </w:r>
      <w:r w:rsidRPr="00605BE3">
        <w:rPr>
          <w:rFonts w:ascii="Arial" w:hAnsi="Arial" w:cs="Arial"/>
          <w:i/>
          <w:sz w:val="18"/>
          <w:szCs w:val="18"/>
        </w:rPr>
        <w:t>Police Chief Magazine.</w:t>
      </w:r>
    </w:p>
    <w:p w14:paraId="6AB3542A" w14:textId="77777777" w:rsidR="00605BE3" w:rsidRPr="00605BE3" w:rsidRDefault="00605BE3" w:rsidP="00ED1C51">
      <w:pPr>
        <w:ind w:right="8"/>
        <w:rPr>
          <w:rFonts w:ascii="Arial" w:hAnsi="Arial" w:cs="Arial"/>
          <w:sz w:val="18"/>
          <w:szCs w:val="18"/>
        </w:rPr>
      </w:pPr>
    </w:p>
    <w:p w14:paraId="21A166C1" w14:textId="47EFC1F8" w:rsidR="00605BE3" w:rsidRPr="00605BE3" w:rsidRDefault="00ED1C51" w:rsidP="00ED1C51">
      <w:pPr>
        <w:spacing w:after="396"/>
        <w:ind w:right="8"/>
        <w:rPr>
          <w:rFonts w:ascii="Arial" w:hAnsi="Arial" w:cs="Arial"/>
          <w:iCs/>
          <w:sz w:val="18"/>
          <w:szCs w:val="18"/>
        </w:rPr>
      </w:pPr>
      <w:r w:rsidRPr="00605BE3">
        <w:rPr>
          <w:rFonts w:ascii="Arial" w:hAnsi="Arial" w:cs="Arial"/>
          <w:sz w:val="18"/>
          <w:szCs w:val="18"/>
        </w:rPr>
        <w:t xml:space="preserve">Law Shelf, 2021. Criminal Law: The Crime of Burglary. </w:t>
      </w:r>
      <w:r w:rsidRPr="00605BE3">
        <w:rPr>
          <w:rFonts w:ascii="Arial" w:hAnsi="Arial" w:cs="Arial"/>
          <w:i/>
          <w:sz w:val="18"/>
          <w:szCs w:val="18"/>
        </w:rPr>
        <w:t>Law Shelf.</w:t>
      </w:r>
    </w:p>
    <w:p w14:paraId="0701E31C" w14:textId="77777777" w:rsidR="00ED1C51" w:rsidRPr="00605BE3" w:rsidRDefault="00ED1C51" w:rsidP="00ED1C51">
      <w:pPr>
        <w:spacing w:after="396"/>
        <w:ind w:right="8"/>
        <w:rPr>
          <w:rFonts w:ascii="Arial" w:hAnsi="Arial" w:cs="Arial"/>
          <w:sz w:val="18"/>
          <w:szCs w:val="18"/>
        </w:rPr>
      </w:pPr>
      <w:r w:rsidRPr="00605BE3">
        <w:rPr>
          <w:rFonts w:ascii="Arial" w:hAnsi="Arial" w:cs="Arial"/>
          <w:sz w:val="18"/>
          <w:szCs w:val="18"/>
        </w:rPr>
        <w:t xml:space="preserve">Markey, J., 2020. Evidence-Based Policing Strategies. </w:t>
      </w:r>
      <w:r w:rsidRPr="00605BE3">
        <w:rPr>
          <w:rFonts w:ascii="Arial" w:hAnsi="Arial" w:cs="Arial"/>
          <w:i/>
          <w:sz w:val="18"/>
          <w:szCs w:val="18"/>
        </w:rPr>
        <w:t>RTI international.</w:t>
      </w:r>
    </w:p>
    <w:p w14:paraId="6E725048" w14:textId="269071B6" w:rsidR="00ED1C51" w:rsidRDefault="00ED1C51" w:rsidP="00ED1C51">
      <w:pPr>
        <w:ind w:right="8"/>
        <w:rPr>
          <w:rFonts w:ascii="Arial" w:hAnsi="Arial" w:cs="Arial"/>
          <w:i/>
          <w:sz w:val="18"/>
          <w:szCs w:val="18"/>
        </w:rPr>
      </w:pPr>
      <w:r w:rsidRPr="00605BE3">
        <w:rPr>
          <w:rFonts w:ascii="Arial" w:hAnsi="Arial" w:cs="Arial"/>
          <w:sz w:val="18"/>
          <w:szCs w:val="18"/>
        </w:rPr>
        <w:t xml:space="preserve">NIJ, 2021. Quantifying Crime Prevention Potential of Near-Repeat Burglary. </w:t>
      </w:r>
      <w:r w:rsidRPr="00605BE3">
        <w:rPr>
          <w:rFonts w:ascii="Arial" w:hAnsi="Arial" w:cs="Arial"/>
          <w:i/>
          <w:sz w:val="18"/>
          <w:szCs w:val="18"/>
        </w:rPr>
        <w:t>National Institute of Justice.</w:t>
      </w:r>
    </w:p>
    <w:p w14:paraId="0E6722B2" w14:textId="77777777" w:rsidR="00605BE3" w:rsidRPr="00605BE3" w:rsidRDefault="00605BE3" w:rsidP="00ED1C51">
      <w:pPr>
        <w:ind w:right="8"/>
        <w:rPr>
          <w:rFonts w:ascii="Arial" w:hAnsi="Arial" w:cs="Arial"/>
          <w:sz w:val="18"/>
          <w:szCs w:val="18"/>
        </w:rPr>
      </w:pPr>
    </w:p>
    <w:p w14:paraId="327ED351" w14:textId="01F9BE76" w:rsidR="00ED1C51" w:rsidRDefault="00ED1C51" w:rsidP="00ED1C51">
      <w:pPr>
        <w:ind w:right="8"/>
        <w:rPr>
          <w:rFonts w:ascii="Arial" w:hAnsi="Arial" w:cs="Arial"/>
          <w:sz w:val="18"/>
          <w:szCs w:val="18"/>
        </w:rPr>
      </w:pPr>
      <w:r w:rsidRPr="00605BE3">
        <w:rPr>
          <w:rFonts w:ascii="Arial" w:hAnsi="Arial" w:cs="Arial"/>
          <w:sz w:val="18"/>
          <w:szCs w:val="18"/>
        </w:rPr>
        <w:t xml:space="preserve">Philip </w:t>
      </w:r>
      <w:proofErr w:type="spellStart"/>
      <w:r w:rsidRPr="00605BE3">
        <w:rPr>
          <w:rFonts w:ascii="Arial" w:hAnsi="Arial" w:cs="Arial"/>
          <w:sz w:val="18"/>
          <w:szCs w:val="18"/>
        </w:rPr>
        <w:t>Glasner</w:t>
      </w:r>
      <w:proofErr w:type="spellEnd"/>
      <w:r w:rsidRPr="00605BE3">
        <w:rPr>
          <w:rFonts w:ascii="Arial" w:hAnsi="Arial" w:cs="Arial"/>
          <w:sz w:val="18"/>
          <w:szCs w:val="18"/>
        </w:rPr>
        <w:t xml:space="preserve">, et al. 2018. A comparative analysis to forecast apartment burglaries in Vienna, Austria, based on repeat and near-repeat victimization. </w:t>
      </w:r>
      <w:r w:rsidRPr="00605BE3">
        <w:rPr>
          <w:rFonts w:ascii="Arial" w:hAnsi="Arial" w:cs="Arial"/>
          <w:i/>
          <w:sz w:val="18"/>
          <w:szCs w:val="18"/>
        </w:rPr>
        <w:t xml:space="preserve">Crime Science, </w:t>
      </w:r>
      <w:r w:rsidRPr="00605BE3">
        <w:rPr>
          <w:rFonts w:ascii="Arial" w:hAnsi="Arial" w:cs="Arial"/>
          <w:sz w:val="18"/>
          <w:szCs w:val="18"/>
        </w:rPr>
        <w:t>9(1).</w:t>
      </w:r>
    </w:p>
    <w:p w14:paraId="650C5E74" w14:textId="77777777" w:rsidR="00605BE3" w:rsidRPr="00605BE3" w:rsidRDefault="00605BE3" w:rsidP="00ED1C51">
      <w:pPr>
        <w:ind w:right="8"/>
        <w:rPr>
          <w:rFonts w:ascii="Arial" w:hAnsi="Arial" w:cs="Arial"/>
          <w:sz w:val="18"/>
          <w:szCs w:val="18"/>
        </w:rPr>
      </w:pPr>
    </w:p>
    <w:p w14:paraId="467D9953" w14:textId="77777777" w:rsidR="00ED1C51" w:rsidRPr="00605BE3" w:rsidRDefault="00ED1C51" w:rsidP="00ED1C51">
      <w:pPr>
        <w:spacing w:after="396"/>
        <w:ind w:right="8"/>
        <w:rPr>
          <w:rFonts w:ascii="Arial" w:hAnsi="Arial" w:cs="Arial"/>
          <w:sz w:val="18"/>
          <w:szCs w:val="18"/>
        </w:rPr>
      </w:pPr>
      <w:r w:rsidRPr="00605BE3">
        <w:rPr>
          <w:rFonts w:ascii="Arial" w:hAnsi="Arial" w:cs="Arial"/>
          <w:sz w:val="18"/>
          <w:szCs w:val="18"/>
        </w:rPr>
        <w:t xml:space="preserve">Potts, J., 2021. examples of how evidence-based policing enhances law enforcement. </w:t>
      </w:r>
      <w:r w:rsidRPr="00605BE3">
        <w:rPr>
          <w:rFonts w:ascii="Arial" w:hAnsi="Arial" w:cs="Arial"/>
          <w:i/>
          <w:sz w:val="18"/>
          <w:szCs w:val="18"/>
        </w:rPr>
        <w:t>Police 1.</w:t>
      </w:r>
    </w:p>
    <w:p w14:paraId="5B6FE941" w14:textId="10E79E0A" w:rsidR="00ED1C51" w:rsidRDefault="00ED1C51" w:rsidP="00ED1C51">
      <w:pPr>
        <w:ind w:right="8"/>
        <w:rPr>
          <w:rFonts w:ascii="Arial" w:hAnsi="Arial" w:cs="Arial"/>
          <w:sz w:val="18"/>
          <w:szCs w:val="18"/>
        </w:rPr>
      </w:pPr>
      <w:r w:rsidRPr="00605BE3">
        <w:rPr>
          <w:rFonts w:ascii="Arial" w:hAnsi="Arial" w:cs="Arial"/>
          <w:sz w:val="18"/>
          <w:szCs w:val="18"/>
        </w:rPr>
        <w:t xml:space="preserve">Roger Pegram et al., 2019. Implementing a Burglary Prevention Program with Evidence-Based Tracking: </w:t>
      </w:r>
      <w:proofErr w:type="gramStart"/>
      <w:r w:rsidRPr="00605BE3">
        <w:rPr>
          <w:rFonts w:ascii="Arial" w:hAnsi="Arial" w:cs="Arial"/>
          <w:sz w:val="18"/>
          <w:szCs w:val="18"/>
        </w:rPr>
        <w:t>a</w:t>
      </w:r>
      <w:proofErr w:type="gramEnd"/>
      <w:r w:rsidRPr="00605BE3">
        <w:rPr>
          <w:rFonts w:ascii="Arial" w:hAnsi="Arial" w:cs="Arial"/>
          <w:sz w:val="18"/>
          <w:szCs w:val="18"/>
        </w:rPr>
        <w:t xml:space="preserve"> Case Study. </w:t>
      </w:r>
      <w:r w:rsidRPr="00605BE3">
        <w:rPr>
          <w:rFonts w:ascii="Arial" w:hAnsi="Arial" w:cs="Arial"/>
          <w:i/>
          <w:sz w:val="18"/>
          <w:szCs w:val="18"/>
        </w:rPr>
        <w:t xml:space="preserve">Cambridge Journal of Evidence-Based Policing, </w:t>
      </w:r>
      <w:r w:rsidRPr="00605BE3">
        <w:rPr>
          <w:rFonts w:ascii="Arial" w:hAnsi="Arial" w:cs="Arial"/>
          <w:sz w:val="18"/>
          <w:szCs w:val="18"/>
        </w:rPr>
        <w:t>497(2), p. 181–191.</w:t>
      </w:r>
    </w:p>
    <w:p w14:paraId="20A6A6E6" w14:textId="77777777" w:rsidR="00605BE3" w:rsidRPr="00605BE3" w:rsidRDefault="00605BE3" w:rsidP="00ED1C51">
      <w:pPr>
        <w:ind w:right="8"/>
        <w:rPr>
          <w:rFonts w:ascii="Arial" w:hAnsi="Arial" w:cs="Arial"/>
          <w:sz w:val="18"/>
          <w:szCs w:val="18"/>
        </w:rPr>
      </w:pPr>
    </w:p>
    <w:p w14:paraId="6F54563A" w14:textId="345D810C" w:rsidR="00ED1C51" w:rsidRDefault="00ED1C51" w:rsidP="00ED1C51">
      <w:pPr>
        <w:ind w:right="8"/>
        <w:rPr>
          <w:rFonts w:ascii="Arial" w:hAnsi="Arial" w:cs="Arial"/>
          <w:sz w:val="18"/>
          <w:szCs w:val="18"/>
        </w:rPr>
      </w:pPr>
      <w:r w:rsidRPr="00605BE3">
        <w:rPr>
          <w:rFonts w:ascii="Arial" w:hAnsi="Arial" w:cs="Arial"/>
          <w:sz w:val="18"/>
          <w:szCs w:val="18"/>
        </w:rPr>
        <w:t xml:space="preserve">Silva et al., 2020. Examining The extent of repeat and near-repeat victimization of domestic burglaries in Belo Horizonte, Brazil. </w:t>
      </w:r>
      <w:r w:rsidRPr="00605BE3">
        <w:rPr>
          <w:rFonts w:ascii="Arial" w:hAnsi="Arial" w:cs="Arial"/>
          <w:i/>
          <w:sz w:val="18"/>
          <w:szCs w:val="18"/>
        </w:rPr>
        <w:t xml:space="preserve">Crime Science Journal, </w:t>
      </w:r>
      <w:r w:rsidRPr="00605BE3">
        <w:rPr>
          <w:rFonts w:ascii="Arial" w:hAnsi="Arial" w:cs="Arial"/>
          <w:sz w:val="18"/>
          <w:szCs w:val="18"/>
        </w:rPr>
        <w:t>4(1).</w:t>
      </w:r>
    </w:p>
    <w:p w14:paraId="022C8BBF" w14:textId="77777777" w:rsidR="00605BE3" w:rsidRPr="00605BE3" w:rsidRDefault="00605BE3" w:rsidP="00ED1C51">
      <w:pPr>
        <w:ind w:right="8"/>
        <w:rPr>
          <w:rFonts w:ascii="Arial" w:hAnsi="Arial" w:cs="Arial"/>
          <w:sz w:val="18"/>
          <w:szCs w:val="18"/>
        </w:rPr>
      </w:pPr>
    </w:p>
    <w:p w14:paraId="117CD354" w14:textId="77777777" w:rsidR="00ED1C51" w:rsidRPr="00605BE3" w:rsidRDefault="00ED1C51" w:rsidP="00ED1C51">
      <w:pPr>
        <w:ind w:right="8"/>
        <w:rPr>
          <w:rFonts w:ascii="Arial" w:hAnsi="Arial" w:cs="Arial"/>
          <w:sz w:val="18"/>
          <w:szCs w:val="18"/>
        </w:rPr>
      </w:pPr>
      <w:r w:rsidRPr="00605BE3">
        <w:rPr>
          <w:rFonts w:ascii="Arial" w:hAnsi="Arial" w:cs="Arial"/>
          <w:sz w:val="18"/>
          <w:szCs w:val="18"/>
        </w:rPr>
        <w:t xml:space="preserve">Travis Taniguchi, E. G., 2020. Near Repeat Burglary intervention. </w:t>
      </w:r>
      <w:r w:rsidRPr="00605BE3">
        <w:rPr>
          <w:rFonts w:ascii="Arial" w:hAnsi="Arial" w:cs="Arial"/>
          <w:i/>
          <w:sz w:val="18"/>
          <w:szCs w:val="18"/>
        </w:rPr>
        <w:t>National Police Foundation.</w:t>
      </w:r>
    </w:p>
    <w:p w14:paraId="7CC3F27D" w14:textId="77777777" w:rsidR="00ED1C51" w:rsidRPr="00605BE3" w:rsidRDefault="00ED1C51" w:rsidP="00ED1C51">
      <w:pPr>
        <w:spacing w:after="0"/>
        <w:rPr>
          <w:rFonts w:ascii="Arial" w:hAnsi="Arial" w:cs="Arial"/>
          <w:sz w:val="18"/>
          <w:szCs w:val="18"/>
        </w:rPr>
      </w:pPr>
    </w:p>
    <w:p w14:paraId="3127D236" w14:textId="77777777" w:rsidR="00ED1C51" w:rsidRPr="00605BE3" w:rsidRDefault="00ED1C51" w:rsidP="00BF7636">
      <w:pPr>
        <w:ind w:right="8"/>
        <w:rPr>
          <w:rFonts w:ascii="Arial" w:hAnsi="Arial" w:cs="Arial"/>
          <w:b/>
          <w:bCs/>
          <w:sz w:val="18"/>
          <w:szCs w:val="18"/>
          <w:u w:val="single"/>
        </w:rPr>
      </w:pPr>
    </w:p>
    <w:p w14:paraId="42C9284E" w14:textId="77777777" w:rsidR="00BF7636" w:rsidRPr="00ED1C51" w:rsidRDefault="00BF7636" w:rsidP="009548EA">
      <w:pPr>
        <w:ind w:right="8"/>
        <w:rPr>
          <w:rFonts w:ascii="Arial" w:hAnsi="Arial" w:cs="Arial"/>
          <w:sz w:val="20"/>
          <w:szCs w:val="20"/>
        </w:rPr>
      </w:pPr>
    </w:p>
    <w:p w14:paraId="7507269E" w14:textId="77777777" w:rsidR="00BF7636" w:rsidRPr="00ED1C51" w:rsidRDefault="00BF7636" w:rsidP="009548EA">
      <w:pPr>
        <w:ind w:right="8"/>
        <w:rPr>
          <w:rFonts w:ascii="Arial" w:hAnsi="Arial" w:cs="Arial"/>
          <w:sz w:val="20"/>
          <w:szCs w:val="20"/>
        </w:rPr>
      </w:pPr>
    </w:p>
    <w:p w14:paraId="23BA4B81" w14:textId="508AB9CF" w:rsidR="009548EA" w:rsidRDefault="009548EA" w:rsidP="009548EA">
      <w:pPr>
        <w:ind w:right="8"/>
        <w:rPr>
          <w:rFonts w:ascii="Arial" w:hAnsi="Arial" w:cs="Arial"/>
          <w:sz w:val="18"/>
          <w:szCs w:val="18"/>
        </w:rPr>
      </w:pPr>
      <w:r w:rsidRPr="009548EA">
        <w:rPr>
          <w:rFonts w:ascii="Arial" w:hAnsi="Arial" w:cs="Arial"/>
          <w:sz w:val="18"/>
          <w:szCs w:val="18"/>
        </w:rPr>
        <w:br w:type="page"/>
      </w:r>
    </w:p>
    <w:p w14:paraId="7605BBAC" w14:textId="77777777" w:rsidR="00BF7636" w:rsidRPr="009548EA" w:rsidRDefault="00BF7636" w:rsidP="009548EA">
      <w:pPr>
        <w:ind w:right="8"/>
        <w:rPr>
          <w:rFonts w:ascii="Arial" w:hAnsi="Arial" w:cs="Arial"/>
          <w:sz w:val="18"/>
          <w:szCs w:val="18"/>
        </w:rPr>
      </w:pPr>
    </w:p>
    <w:p w14:paraId="7D5E9538" w14:textId="77777777" w:rsidR="009548EA" w:rsidRPr="009548EA" w:rsidRDefault="009548EA" w:rsidP="009548EA">
      <w:pPr>
        <w:ind w:right="8"/>
        <w:rPr>
          <w:rFonts w:ascii="Arial" w:hAnsi="Arial" w:cs="Arial"/>
          <w:b/>
          <w:bCs/>
          <w:sz w:val="20"/>
          <w:szCs w:val="20"/>
          <w:u w:val="single"/>
        </w:rPr>
      </w:pPr>
    </w:p>
    <w:p w14:paraId="66B6C5F9" w14:textId="77777777" w:rsidR="00E35230" w:rsidRDefault="00E35230" w:rsidP="00AD5BE6">
      <w:pPr>
        <w:ind w:right="8"/>
        <w:rPr>
          <w:rFonts w:ascii="Arial" w:hAnsi="Arial" w:cs="Arial"/>
          <w:sz w:val="18"/>
          <w:szCs w:val="18"/>
        </w:rPr>
      </w:pPr>
    </w:p>
    <w:p w14:paraId="2FA49DB0" w14:textId="594232F7" w:rsidR="00E35230" w:rsidRDefault="00E35230" w:rsidP="00AD5BE6">
      <w:pPr>
        <w:ind w:right="8"/>
        <w:rPr>
          <w:rFonts w:ascii="Arial" w:hAnsi="Arial" w:cs="Arial"/>
          <w:sz w:val="18"/>
          <w:szCs w:val="18"/>
        </w:rPr>
      </w:pPr>
    </w:p>
    <w:p w14:paraId="5BAA1940" w14:textId="77777777" w:rsidR="00E35230" w:rsidRPr="00AD5BE6" w:rsidRDefault="00E35230" w:rsidP="00AD5BE6">
      <w:pPr>
        <w:ind w:right="8"/>
        <w:rPr>
          <w:rFonts w:ascii="Arial" w:hAnsi="Arial" w:cs="Arial"/>
          <w:sz w:val="18"/>
          <w:szCs w:val="18"/>
        </w:rPr>
      </w:pPr>
    </w:p>
    <w:p w14:paraId="46923273" w14:textId="77777777" w:rsidR="00AD5BE6" w:rsidRPr="00AD5BE6" w:rsidRDefault="00AD5BE6" w:rsidP="00AD5BE6">
      <w:pPr>
        <w:spacing w:after="396"/>
        <w:ind w:right="8"/>
        <w:rPr>
          <w:rFonts w:ascii="Arial" w:hAnsi="Arial" w:cs="Arial"/>
          <w:b/>
          <w:bCs/>
          <w:sz w:val="20"/>
          <w:szCs w:val="20"/>
          <w:u w:val="single"/>
        </w:rPr>
      </w:pPr>
    </w:p>
    <w:p w14:paraId="018ACB10" w14:textId="77777777" w:rsidR="00AD5BE6" w:rsidRPr="00655472" w:rsidRDefault="00AD5BE6" w:rsidP="00655472">
      <w:pPr>
        <w:rPr>
          <w:rFonts w:ascii="Arial" w:hAnsi="Arial" w:cs="Arial"/>
          <w:sz w:val="18"/>
          <w:szCs w:val="18"/>
        </w:rPr>
      </w:pPr>
    </w:p>
    <w:p w14:paraId="4D991E05" w14:textId="77777777" w:rsidR="004A5011" w:rsidRPr="004A5011" w:rsidRDefault="004A5011" w:rsidP="004A5011">
      <w:pPr>
        <w:tabs>
          <w:tab w:val="left" w:pos="1431"/>
        </w:tabs>
        <w:spacing w:after="396"/>
        <w:ind w:right="8"/>
        <w:rPr>
          <w:rFonts w:ascii="Arial" w:hAnsi="Arial" w:cs="Arial"/>
          <w:b/>
          <w:bCs/>
          <w:sz w:val="18"/>
          <w:szCs w:val="18"/>
          <w:u w:val="single"/>
        </w:rPr>
      </w:pPr>
    </w:p>
    <w:p w14:paraId="5F11368C" w14:textId="77777777" w:rsidR="007262C1" w:rsidRPr="007262C1" w:rsidRDefault="007262C1" w:rsidP="00A166BE">
      <w:pPr>
        <w:spacing w:after="396"/>
        <w:rPr>
          <w:rFonts w:ascii="Arial" w:hAnsi="Arial" w:cs="Arial"/>
          <w:sz w:val="18"/>
          <w:szCs w:val="18"/>
          <w:u w:val="single"/>
        </w:rPr>
      </w:pPr>
    </w:p>
    <w:p w14:paraId="0EC9BA71" w14:textId="1047CF34" w:rsidR="00A166BE" w:rsidRDefault="00A166BE" w:rsidP="00A166BE">
      <w:pPr>
        <w:spacing w:after="2526" w:line="265" w:lineRule="auto"/>
        <w:ind w:right="1"/>
        <w:rPr>
          <w:rFonts w:ascii="Arial" w:hAnsi="Arial" w:cs="Arial"/>
          <w:b/>
          <w:sz w:val="20"/>
          <w:szCs w:val="20"/>
        </w:rPr>
      </w:pPr>
    </w:p>
    <w:p w14:paraId="4DA5ADAC" w14:textId="77777777" w:rsidR="00A166BE" w:rsidRDefault="00A166BE" w:rsidP="00A166BE">
      <w:pPr>
        <w:pStyle w:val="NoSpacing"/>
      </w:pPr>
    </w:p>
    <w:p w14:paraId="51D75746" w14:textId="2CE7F813" w:rsidR="00A166BE" w:rsidRDefault="00A166BE" w:rsidP="00A166BE">
      <w:pPr>
        <w:spacing w:after="2526" w:line="265" w:lineRule="auto"/>
        <w:ind w:right="1"/>
        <w:jc w:val="center"/>
        <w:rPr>
          <w:rFonts w:ascii="Arial" w:hAnsi="Arial" w:cs="Arial"/>
          <w:b/>
          <w:sz w:val="20"/>
          <w:szCs w:val="20"/>
        </w:rPr>
      </w:pPr>
    </w:p>
    <w:p w14:paraId="0A4143E1" w14:textId="77777777" w:rsidR="00A166BE" w:rsidRDefault="00A166BE" w:rsidP="00A166BE">
      <w:pPr>
        <w:spacing w:after="2526" w:line="265" w:lineRule="auto"/>
        <w:ind w:right="1"/>
        <w:jc w:val="center"/>
        <w:rPr>
          <w:rFonts w:ascii="Arial" w:hAnsi="Arial" w:cs="Arial"/>
          <w:b/>
          <w:sz w:val="20"/>
          <w:szCs w:val="20"/>
        </w:rPr>
      </w:pPr>
    </w:p>
    <w:p w14:paraId="1F3394FD" w14:textId="6E2B4FA9" w:rsidR="00A166BE" w:rsidRPr="00A166BE" w:rsidRDefault="00A166BE" w:rsidP="00A166BE">
      <w:pPr>
        <w:spacing w:after="2526" w:line="265" w:lineRule="auto"/>
        <w:ind w:right="1"/>
        <w:jc w:val="center"/>
        <w:rPr>
          <w:rFonts w:ascii="Arial" w:hAnsi="Arial" w:cs="Arial"/>
          <w:b/>
          <w:sz w:val="20"/>
          <w:szCs w:val="20"/>
        </w:rPr>
      </w:pPr>
    </w:p>
    <w:p w14:paraId="45D0AB8E" w14:textId="77777777" w:rsidR="00A166BE" w:rsidRPr="00581B0E" w:rsidRDefault="00A166BE">
      <w:pPr>
        <w:rPr>
          <w:lang w:val="en-US"/>
        </w:rPr>
      </w:pPr>
    </w:p>
    <w:sectPr w:rsidR="00A166BE" w:rsidRPr="00581B0E" w:rsidSect="00581B0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B0E"/>
    <w:rsid w:val="00017D6D"/>
    <w:rsid w:val="004A5011"/>
    <w:rsid w:val="00581B0E"/>
    <w:rsid w:val="00605BE3"/>
    <w:rsid w:val="00655472"/>
    <w:rsid w:val="007262C1"/>
    <w:rsid w:val="008A6B90"/>
    <w:rsid w:val="009548EA"/>
    <w:rsid w:val="00A166BE"/>
    <w:rsid w:val="00AD5BE6"/>
    <w:rsid w:val="00B70950"/>
    <w:rsid w:val="00BF7636"/>
    <w:rsid w:val="00E35230"/>
    <w:rsid w:val="00ED1C51"/>
    <w:rsid w:val="00F1702B"/>
    <w:rsid w:val="00F44E68"/>
    <w:rsid w:val="00F72E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FBBAC"/>
  <w15:chartTrackingRefBased/>
  <w15:docId w15:val="{8E5C7A69-17A5-48A7-94E6-D34225876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unhideWhenUsed/>
    <w:qFormat/>
    <w:rsid w:val="00BF7636"/>
    <w:pPr>
      <w:keepNext/>
      <w:keepLines/>
      <w:spacing w:after="618"/>
      <w:ind w:left="1383"/>
      <w:jc w:val="center"/>
      <w:outlineLvl w:val="0"/>
    </w:pPr>
    <w:rPr>
      <w:rFonts w:ascii="Calibri" w:eastAsia="Calibri" w:hAnsi="Calibri" w:cs="Calibri"/>
      <w:color w:val="2F5496"/>
      <w:sz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1B0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1B0E"/>
    <w:rPr>
      <w:rFonts w:eastAsiaTheme="minorEastAsia"/>
      <w:lang w:val="en-US"/>
    </w:rPr>
  </w:style>
  <w:style w:type="character" w:customStyle="1" w:styleId="Heading1Char">
    <w:name w:val="Heading 1 Char"/>
    <w:basedOn w:val="DefaultParagraphFont"/>
    <w:link w:val="Heading1"/>
    <w:uiPriority w:val="9"/>
    <w:rsid w:val="00BF7636"/>
    <w:rPr>
      <w:rFonts w:ascii="Calibri" w:eastAsia="Calibri" w:hAnsi="Calibri" w:cs="Calibri"/>
      <w:color w:val="2F5496"/>
      <w:sz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TotalTime>
  <Pages>7</Pages>
  <Words>2218</Words>
  <Characters>12645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based policing &amp; applications</dc:title>
  <dc:subject>BMPL4001</dc:subject>
  <dc:creator>COMPLETED BY NAZIM AMIN</dc:creator>
  <cp:keywords/>
  <dc:description/>
  <cp:lastModifiedBy>na5imamin1@outlook.com</cp:lastModifiedBy>
  <cp:revision>1</cp:revision>
  <dcterms:created xsi:type="dcterms:W3CDTF">2022-05-05T08:06:00Z</dcterms:created>
  <dcterms:modified xsi:type="dcterms:W3CDTF">2022-05-05T09:36:00Z</dcterms:modified>
</cp:coreProperties>
</file>